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Pusuant to Rule 424(b)(2)</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333-204616</w:t>
      </w:r>
    </w:p>
    <w:p>
      <w:pPr>
        <w:spacing w:after="0" w:line="213"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144145</wp:posOffset>
            </wp:positionV>
            <wp:extent cx="139763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Having an Aggregate Offering Price of Up to $144,040,000</w:t>
      </w:r>
    </w:p>
    <w:p>
      <w:pPr>
        <w:spacing w:after="0" w:line="216" w:lineRule="exact"/>
        <w:rPr>
          <w:sz w:val="24"/>
          <w:szCs w:val="24"/>
          <w:color w:val="auto"/>
        </w:rPr>
      </w:pPr>
    </w:p>
    <w:p>
      <w:pPr>
        <w:ind w:right="200" w:firstLine="348"/>
        <w:spacing w:after="0" w:line="289" w:lineRule="auto"/>
        <w:rPr>
          <w:sz w:val="20"/>
          <w:szCs w:val="20"/>
          <w:color w:val="auto"/>
        </w:rPr>
      </w:pPr>
      <w:r>
        <w:rPr>
          <w:rFonts w:ascii="Arial" w:cs="Arial" w:eastAsia="Arial" w:hAnsi="Arial"/>
          <w:sz w:val="16"/>
          <w:szCs w:val="16"/>
          <w:color w:val="auto"/>
        </w:rPr>
        <w:t>We have entered into an amended and restated equity distribution agreement (the "Amended and Restated Equity Distribution Agreement") with Citigroup Global Markets Inc., Merrill Lynch, Pierce, Fenner &amp; Smith Incorporated, Credit Suisse Securities (USA) LLC, Morgan Stanley &amp; Co. LLC and UBS Securities LLC relating to the common units representing limited partner interests in GasLog Partners LP offered by this prospectus supplement and the accompanying prospectus. In accordance with the terms of the Amended and Restated Equity Distribution Agreement, we may offer and sell common units having an aggregate offering price of up to $144,040,000 from time to time through Citigroup Global Markets Inc., Merrill Lynch, Pierce, Fenner &amp; Smith Incorporated, Credit Suisse Securities (USA) LLC, Morgan Stanley &amp; Co. LLC and UBS Securities LLC as our sales agents. As of the date of this prospectus supplement, we have issued and sold common units having an aggregate offering price of $56,916,103, which means that we may sell common units having an aggregate offering price of up to $87,123,897.</w:t>
      </w:r>
    </w:p>
    <w:p>
      <w:pPr>
        <w:spacing w:after="0" w:line="17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Sales of the common units, if any, will be made by means of ordinary brokers' transactions on the New York Stock Exchange, or the NYSE, at market prices, in block transactions, or as otherwise agreed upon by the sales agents and us.</w:t>
      </w:r>
    </w:p>
    <w:p>
      <w:pPr>
        <w:spacing w:after="0" w:line="186" w:lineRule="exact"/>
        <w:rPr>
          <w:sz w:val="24"/>
          <w:szCs w:val="24"/>
          <w:color w:val="auto"/>
        </w:rPr>
      </w:pPr>
    </w:p>
    <w:p>
      <w:pPr>
        <w:jc w:val="both"/>
        <w:ind w:right="80" w:firstLine="348"/>
        <w:spacing w:after="0" w:line="268" w:lineRule="auto"/>
        <w:rPr>
          <w:sz w:val="20"/>
          <w:szCs w:val="20"/>
          <w:color w:val="auto"/>
        </w:rPr>
      </w:pPr>
      <w:r>
        <w:rPr>
          <w:rFonts w:ascii="Arial" w:cs="Arial" w:eastAsia="Arial" w:hAnsi="Arial"/>
          <w:sz w:val="18"/>
          <w:szCs w:val="18"/>
          <w:color w:val="auto"/>
        </w:rPr>
        <w:t>We will pay the sales agents a commission of up to 2.0% of the gross sales price per unit sold through them as sales agents under the Amended and Restated Equity Distribution Agreement.</w:t>
      </w:r>
    </w:p>
    <w:p>
      <w:pPr>
        <w:spacing w:after="0" w:line="186" w:lineRule="exact"/>
        <w:rPr>
          <w:sz w:val="24"/>
          <w:szCs w:val="24"/>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Under the terms of the Amended and Restated Equity Distribution Agreement, we also may sell common units to the sales agents as principals for their own account at a price agreed upon at the time of sale. If we sell common units to the sales agents as principals, we will enter into a separate terms agreement with the sales agents, and we will describe this agreement in a separate prospectus supplement or pricing supplement.</w:t>
      </w:r>
    </w:p>
    <w:p>
      <w:pPr>
        <w:spacing w:after="0" w:line="161" w:lineRule="exact"/>
        <w:rPr>
          <w:sz w:val="24"/>
          <w:szCs w:val="24"/>
          <w:color w:val="auto"/>
        </w:rPr>
      </w:pPr>
    </w:p>
    <w:p>
      <w:pPr>
        <w:ind w:right="280" w:firstLine="348"/>
        <w:spacing w:after="0" w:line="255" w:lineRule="auto"/>
        <w:rPr>
          <w:sz w:val="20"/>
          <w:szCs w:val="20"/>
          <w:color w:val="auto"/>
        </w:rPr>
      </w:pPr>
      <w:r>
        <w:rPr>
          <w:rFonts w:ascii="Arial" w:cs="Arial" w:eastAsia="Arial" w:hAnsi="Arial"/>
          <w:sz w:val="18"/>
          <w:szCs w:val="18"/>
          <w:color w:val="auto"/>
        </w:rPr>
        <w:t>The sales agents are not required to sell any specific number or dollar amount of our common units but will use their reasonable efforts, as our agents and subject to the terms of the Amended and Restated Equity Distribution Agreement, to sell the common units offered, as instructed by us. The offering of our common units pursuant to the Amended and Restated Equity Distribution Agreement will terminate upon the earlier of (1) the sale of all of the common units subject to the Amended and Restated Equity Distribution Agreement and (2) the termination of the Amended and Restated Equity Distribution Agreement by either the sales agents or us.</w:t>
      </w:r>
    </w:p>
    <w:p>
      <w:pPr>
        <w:spacing w:after="0" w:line="197" w:lineRule="exact"/>
        <w:rPr>
          <w:sz w:val="24"/>
          <w:szCs w:val="24"/>
          <w:color w:val="auto"/>
        </w:rPr>
      </w:pPr>
    </w:p>
    <w:p>
      <w:pPr>
        <w:ind w:right="320" w:firstLine="351"/>
        <w:spacing w:after="0" w:line="268" w:lineRule="auto"/>
        <w:rPr>
          <w:sz w:val="20"/>
          <w:szCs w:val="20"/>
          <w:color w:val="auto"/>
        </w:rPr>
      </w:pPr>
      <w:r>
        <w:rPr>
          <w:rFonts w:ascii="Arial" w:cs="Arial" w:eastAsia="Arial" w:hAnsi="Arial"/>
          <w:sz w:val="18"/>
          <w:szCs w:val="18"/>
          <w:color w:val="auto"/>
        </w:rPr>
        <w:t>Our common units are listed on the New York Stock Exchange under the symbol "GLOP." The last reported sales price of our common units on the New York Stock Exchange on November 2, 2017 was $23.60.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520" w:firstLine="351"/>
        <w:spacing w:after="0" w:line="280" w:lineRule="auto"/>
        <w:rPr>
          <w:sz w:val="20"/>
          <w:szCs w:val="20"/>
          <w:color w:val="auto"/>
        </w:rPr>
      </w:pPr>
      <w:r>
        <w:rPr>
          <w:rFonts w:ascii="Arial" w:cs="Arial" w:eastAsia="Arial" w:hAnsi="Arial"/>
          <w:sz w:val="21"/>
          <w:szCs w:val="21"/>
          <w:b w:val="1"/>
          <w:bCs w:val="1"/>
          <w:color w:val="auto"/>
        </w:rPr>
        <w:t>Investing in our common units involves risks. Limited partnerships are inherently different from corporations. See "Risk Factors" beginning on page S-18 and page 8 of our Annual Report on Form 20-F.</w:t>
      </w:r>
    </w:p>
    <w:p>
      <w:pPr>
        <w:spacing w:after="0" w:line="158" w:lineRule="exact"/>
        <w:rPr>
          <w:sz w:val="24"/>
          <w:szCs w:val="24"/>
          <w:color w:val="auto"/>
        </w:rPr>
      </w:pPr>
    </w:p>
    <w:p>
      <w:pPr>
        <w:ind w:right="20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tabs>
          <w:tab w:leader="none" w:pos="2600" w:val="left"/>
          <w:tab w:leader="none" w:pos="6180" w:val="left"/>
          <w:tab w:leader="none" w:pos="7640" w:val="left"/>
          <w:tab w:leader="none" w:pos="934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Credit Suisse</w:t>
        <w:tab/>
        <w:t>Morgan Stanley</w:t>
      </w:r>
      <w:r>
        <w:rPr>
          <w:sz w:val="20"/>
          <w:szCs w:val="20"/>
          <w:color w:val="auto"/>
        </w:rPr>
        <w:tab/>
      </w:r>
      <w:r>
        <w:rPr>
          <w:rFonts w:ascii="Arial" w:cs="Arial" w:eastAsia="Arial" w:hAnsi="Arial"/>
          <w:sz w:val="19"/>
          <w:szCs w:val="19"/>
          <w:b w:val="1"/>
          <w:bCs w:val="1"/>
          <w:color w:val="auto"/>
        </w:rPr>
        <w:t>UBS Investment Bank</w:t>
      </w:r>
    </w:p>
    <w:p>
      <w:pPr>
        <w:sectPr>
          <w:pgSz w:w="11900" w:h="16838" w:orient="portrait"/>
          <w:cols w:equalWidth="0" w:num="1">
            <w:col w:w="11420"/>
          </w:cols>
          <w:pgMar w:left="240" w:top="685" w:right="239" w:bottom="911" w:gutter="0" w:footer="0" w:header="0"/>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November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911"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8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6"/>
              </w:rPr>
              <w:t>TABLE OF CONTENTS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640" w:type="dxa"/>
            <w:vAlign w:val="bottom"/>
            <w:gridSpan w:val="26"/>
          </w:tcPr>
          <w:p>
            <w:pPr>
              <w:spacing w:after="0"/>
              <w:rPr>
                <w:sz w:val="20"/>
                <w:szCs w:val="20"/>
                <w:color w:val="auto"/>
              </w:rPr>
            </w:pPr>
            <w:r>
              <w:rPr>
                <w:rFonts w:ascii="Arial" w:cs="Arial" w:eastAsia="Arial" w:hAnsi="Arial"/>
                <w:sz w:val="18"/>
                <w:szCs w:val="18"/>
                <w:b w:val="1"/>
                <w:bCs w:val="1"/>
                <w:color w:val="auto"/>
              </w:rPr>
              <w:t>PROSPECTUS SUPPLEMENT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3360" w:type="dxa"/>
            <w:vAlign w:val="bottom"/>
            <w:gridSpan w:val="1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ABOUT THIS PROSPECTUS SUPPLEMENT</w:t>
              </w:r>
            </w:hyperlink>
          </w:p>
        </w:tc>
        <w:tc>
          <w:tcPr>
            <w:tcW w:w="528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jc w:val="right"/>
              <w:ind w:right="1300"/>
              <w:spacing w:after="0"/>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3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528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jc w:val="right"/>
              <w:ind w:right="1300"/>
              <w:spacing w:after="0"/>
              <w:rPr>
                <w:rFonts w:ascii="Arial" w:cs="Arial" w:eastAsia="Arial" w:hAnsi="Arial"/>
                <w:sz w:val="14"/>
                <w:szCs w:val="14"/>
                <w:color w:val="0000EE"/>
                <w:w w:val="73"/>
              </w:rPr>
            </w:pPr>
            <w:hyperlink w:anchor="page6">
              <w:r>
                <w:rPr>
                  <w:rFonts w:ascii="Arial" w:cs="Arial" w:eastAsia="Arial" w:hAnsi="Arial"/>
                  <w:sz w:val="14"/>
                  <w:szCs w:val="14"/>
                  <w:color w:val="0000EE"/>
                  <w:w w:val="73"/>
                </w:rPr>
                <w:t>S-1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640" w:type="dxa"/>
            <w:vAlign w:val="bottom"/>
            <w:gridSpan w:val="4"/>
          </w:tcPr>
          <w:p>
            <w:pPr>
              <w:jc w:val="right"/>
              <w:ind w:right="1300"/>
              <w:spacing w:after="0"/>
              <w:rPr>
                <w:rFonts w:ascii="Arial" w:cs="Arial" w:eastAsia="Arial" w:hAnsi="Arial"/>
                <w:sz w:val="18"/>
                <w:szCs w:val="18"/>
                <w:color w:val="0000EE"/>
                <w:w w:val="84"/>
              </w:rPr>
            </w:pPr>
            <w:hyperlink w:anchor="page23">
              <w:r>
                <w:rPr>
                  <w:rFonts w:ascii="Arial" w:cs="Arial" w:eastAsia="Arial" w:hAnsi="Arial"/>
                  <w:sz w:val="18"/>
                  <w:szCs w:val="18"/>
                  <w:color w:val="0000EE"/>
                  <w:w w:val="84"/>
                </w:rPr>
                <w:t>S-18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FORWARD-LOOKING STATEMENTS</w:t>
              </w:r>
            </w:hyperlink>
          </w:p>
        </w:tc>
        <w:tc>
          <w:tcPr>
            <w:tcW w:w="1640" w:type="dxa"/>
            <w:vAlign w:val="bottom"/>
            <w:gridSpan w:val="4"/>
          </w:tcPr>
          <w:p>
            <w:pPr>
              <w:jc w:val="right"/>
              <w:ind w:right="1300"/>
              <w:spacing w:after="0"/>
              <w:rPr>
                <w:rFonts w:ascii="Arial" w:cs="Arial" w:eastAsia="Arial" w:hAnsi="Arial"/>
                <w:sz w:val="18"/>
                <w:szCs w:val="18"/>
                <w:color w:val="0000EE"/>
                <w:w w:val="84"/>
              </w:rPr>
            </w:pPr>
            <w:hyperlink w:anchor="page24">
              <w:r>
                <w:rPr>
                  <w:rFonts w:ascii="Arial" w:cs="Arial" w:eastAsia="Arial" w:hAnsi="Arial"/>
                  <w:sz w:val="18"/>
                  <w:szCs w:val="18"/>
                  <w:color w:val="0000EE"/>
                  <w:w w:val="84"/>
                </w:rPr>
                <w:t>S-19</w:t>
              </w:r>
            </w:hyperlink>
          </w:p>
        </w:tc>
      </w:tr>
      <w:tr>
        <w:trPr>
          <w:trHeight w:val="412"/>
        </w:trPr>
        <w:tc>
          <w:tcPr>
            <w:tcW w:w="11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USE OF PROCEEDS</w:t>
              </w:r>
            </w:hyperlink>
          </w:p>
        </w:tc>
        <w:tc>
          <w:tcPr>
            <w:tcW w:w="1300" w:type="dxa"/>
            <w:vAlign w:val="bottom"/>
            <w:tcBorders>
              <w:top w:val="single" w:sz="8" w:color="0000EE"/>
            </w:tcBorders>
            <w:gridSpan w:val="5"/>
          </w:tcPr>
          <w:p>
            <w:pPr>
              <w:spacing w:after="0"/>
              <w:rPr>
                <w:sz w:val="24"/>
                <w:szCs w:val="24"/>
                <w:color w:val="auto"/>
              </w:rPr>
            </w:pPr>
          </w:p>
        </w:tc>
        <w:tc>
          <w:tcPr>
            <w:tcW w:w="5780" w:type="dxa"/>
            <w:vAlign w:val="bottom"/>
            <w:gridSpan w:val="14"/>
          </w:tcPr>
          <w:p>
            <w:pPr>
              <w:spacing w:after="0"/>
              <w:rPr>
                <w:sz w:val="24"/>
                <w:szCs w:val="24"/>
                <w:color w:val="auto"/>
              </w:rPr>
            </w:pPr>
          </w:p>
        </w:tc>
        <w:tc>
          <w:tcPr>
            <w:tcW w:w="34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4"/>
              </w:rPr>
            </w:pPr>
            <w:hyperlink w:anchor="page26">
              <w:r>
                <w:rPr>
                  <w:rFonts w:ascii="Arial" w:cs="Arial" w:eastAsia="Arial" w:hAnsi="Arial"/>
                  <w:sz w:val="18"/>
                  <w:szCs w:val="18"/>
                  <w:color w:val="0000EE"/>
                  <w:w w:val="84"/>
                </w:rPr>
                <w:t>S-21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CASH AND CAPITALIZATION</w:t>
              </w:r>
            </w:hyperlink>
          </w:p>
        </w:tc>
        <w:tc>
          <w:tcPr>
            <w:tcW w:w="1640" w:type="dxa"/>
            <w:vAlign w:val="bottom"/>
            <w:gridSpan w:val="4"/>
          </w:tcPr>
          <w:p>
            <w:pPr>
              <w:jc w:val="right"/>
              <w:ind w:right="1300"/>
              <w:spacing w:after="0"/>
              <w:rPr>
                <w:rFonts w:ascii="Arial" w:cs="Arial" w:eastAsia="Arial" w:hAnsi="Arial"/>
                <w:sz w:val="18"/>
                <w:szCs w:val="18"/>
                <w:color w:val="0000EE"/>
                <w:w w:val="84"/>
              </w:rPr>
            </w:pPr>
            <w:hyperlink w:anchor="page27">
              <w:r>
                <w:rPr>
                  <w:rFonts w:ascii="Arial" w:cs="Arial" w:eastAsia="Arial" w:hAnsi="Arial"/>
                  <w:sz w:val="18"/>
                  <w:szCs w:val="18"/>
                  <w:color w:val="0000EE"/>
                  <w:w w:val="84"/>
                </w:rPr>
                <w:t>S-22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6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PRICE RANGE OF OUR COMMON UNITS</w:t>
              </w:r>
            </w:hyperlink>
          </w:p>
        </w:tc>
        <w:tc>
          <w:tcPr>
            <w:tcW w:w="5380" w:type="dxa"/>
            <w:vAlign w:val="bottom"/>
            <w:gridSpan w:val="11"/>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28">
              <w:r>
                <w:rPr>
                  <w:rFonts w:ascii="Arial" w:cs="Arial" w:eastAsia="Arial" w:hAnsi="Arial"/>
                  <w:sz w:val="18"/>
                  <w:szCs w:val="18"/>
                  <w:color w:val="0000EE"/>
                  <w:w w:val="84"/>
                </w:rPr>
                <w:t>S-23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2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DESCRIPTION OF THE COMMON UNITS</w:t>
              </w:r>
            </w:hyperlink>
          </w:p>
        </w:tc>
        <w:tc>
          <w:tcPr>
            <w:tcW w:w="5420" w:type="dxa"/>
            <w:vAlign w:val="bottom"/>
            <w:gridSpan w:val="12"/>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29">
              <w:r>
                <w:rPr>
                  <w:rFonts w:ascii="Arial" w:cs="Arial" w:eastAsia="Arial" w:hAnsi="Arial"/>
                  <w:sz w:val="18"/>
                  <w:szCs w:val="18"/>
                  <w:color w:val="0000EE"/>
                  <w:w w:val="84"/>
                </w:rPr>
                <w:t>S-24</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SUMMARY OF OUR PARTNERSHIP AGREEMENT</w:t>
              </w:r>
            </w:hyperlink>
          </w:p>
        </w:tc>
        <w:tc>
          <w:tcPr>
            <w:tcW w:w="4720" w:type="dxa"/>
            <w:vAlign w:val="bottom"/>
            <w:gridSpan w:val="7"/>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31">
              <w:r>
                <w:rPr>
                  <w:rFonts w:ascii="Arial" w:cs="Arial" w:eastAsia="Arial" w:hAnsi="Arial"/>
                  <w:sz w:val="18"/>
                  <w:szCs w:val="18"/>
                  <w:color w:val="0000EE"/>
                  <w:w w:val="84"/>
                </w:rPr>
                <w:t>S-26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OUR CASH DISTRIBUTION POLICY AND RESTRICTIONS ON DISTRIBUTIONS</w:t>
              </w:r>
            </w:hyperlink>
          </w:p>
        </w:tc>
        <w:tc>
          <w:tcPr>
            <w:tcW w:w="2420" w:type="dxa"/>
            <w:vAlign w:val="bottom"/>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47">
              <w:r>
                <w:rPr>
                  <w:rFonts w:ascii="Arial" w:cs="Arial" w:eastAsia="Arial" w:hAnsi="Arial"/>
                  <w:sz w:val="18"/>
                  <w:szCs w:val="18"/>
                  <w:color w:val="0000EE"/>
                  <w:w w:val="84"/>
                </w:rPr>
                <w:t>S-42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MATERIAL U.S. FEDERAL INCOME TAX CONSIDERATIONS</w:t>
              </w:r>
            </w:hyperlink>
          </w:p>
        </w:tc>
        <w:tc>
          <w:tcPr>
            <w:tcW w:w="3880" w:type="dxa"/>
            <w:vAlign w:val="bottom"/>
            <w:gridSpan w:val="4"/>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48">
              <w:r>
                <w:rPr>
                  <w:rFonts w:ascii="Arial" w:cs="Arial" w:eastAsia="Arial" w:hAnsi="Arial"/>
                  <w:sz w:val="18"/>
                  <w:szCs w:val="18"/>
                  <w:color w:val="0000EE"/>
                  <w:w w:val="84"/>
                </w:rPr>
                <w:t>S-43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NON-UNITED STATES TAX CONSIDERATIONS</w:t>
              </w:r>
            </w:hyperlink>
          </w:p>
        </w:tc>
        <w:tc>
          <w:tcPr>
            <w:tcW w:w="4940" w:type="dxa"/>
            <w:vAlign w:val="bottom"/>
            <w:gridSpan w:val="8"/>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58">
              <w:r>
                <w:rPr>
                  <w:rFonts w:ascii="Arial" w:cs="Arial" w:eastAsia="Arial" w:hAnsi="Arial"/>
                  <w:sz w:val="18"/>
                  <w:szCs w:val="18"/>
                  <w:color w:val="0000EE"/>
                  <w:w w:val="84"/>
                </w:rPr>
                <w:t>S-53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1640" w:type="dxa"/>
            <w:vAlign w:val="bottom"/>
            <w:gridSpan w:val="4"/>
          </w:tcPr>
          <w:p>
            <w:pPr>
              <w:jc w:val="right"/>
              <w:ind w:right="1300"/>
              <w:spacing w:after="0"/>
              <w:rPr>
                <w:rFonts w:ascii="Arial" w:cs="Arial" w:eastAsia="Arial" w:hAnsi="Arial"/>
                <w:sz w:val="18"/>
                <w:szCs w:val="18"/>
                <w:color w:val="0000EE"/>
                <w:w w:val="84"/>
              </w:rPr>
            </w:pPr>
            <w:hyperlink w:anchor="page59">
              <w:r>
                <w:rPr>
                  <w:rFonts w:ascii="Arial" w:cs="Arial" w:eastAsia="Arial" w:hAnsi="Arial"/>
                  <w:sz w:val="18"/>
                  <w:szCs w:val="18"/>
                  <w:color w:val="0000EE"/>
                  <w:w w:val="84"/>
                </w:rPr>
                <w:t>S-54</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6640" w:type="dxa"/>
            <w:vAlign w:val="bottom"/>
            <w:gridSpan w:val="18"/>
          </w:tcPr>
          <w:p>
            <w:pPr>
              <w:spacing w:after="0"/>
              <w:rPr>
                <w:sz w:val="24"/>
                <w:szCs w:val="24"/>
                <w:color w:val="auto"/>
              </w:rPr>
            </w:pPr>
          </w:p>
        </w:tc>
        <w:tc>
          <w:tcPr>
            <w:tcW w:w="340" w:type="dxa"/>
            <w:vAlign w:val="bottom"/>
            <w:tcBorders>
              <w:top w:val="single" w:sz="8" w:color="0000EE"/>
            </w:tcBorders>
            <w:gridSpan w:val="3"/>
          </w:tcPr>
          <w:p>
            <w:pPr>
              <w:jc w:val="right"/>
              <w:spacing w:after="0"/>
              <w:rPr>
                <w:rFonts w:ascii="Arial" w:cs="Arial" w:eastAsia="Arial" w:hAnsi="Arial"/>
                <w:sz w:val="18"/>
                <w:szCs w:val="18"/>
                <w:color w:val="0000EE"/>
                <w:w w:val="84"/>
              </w:rPr>
            </w:pPr>
            <w:hyperlink w:anchor="page61">
              <w:r>
                <w:rPr>
                  <w:rFonts w:ascii="Arial" w:cs="Arial" w:eastAsia="Arial" w:hAnsi="Arial"/>
                  <w:sz w:val="18"/>
                  <w:szCs w:val="18"/>
                  <w:color w:val="0000EE"/>
                  <w:w w:val="84"/>
                </w:rPr>
                <w:t>S-56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24"/>
                <w:szCs w:val="24"/>
                <w:color w:val="auto"/>
              </w:rPr>
            </w:pPr>
          </w:p>
        </w:tc>
        <w:tc>
          <w:tcPr>
            <w:tcW w:w="7220" w:type="dxa"/>
            <w:vAlign w:val="bottom"/>
            <w:gridSpan w:val="20"/>
          </w:tcPr>
          <w:p>
            <w:pPr>
              <w:spacing w:after="0"/>
              <w:rPr>
                <w:sz w:val="24"/>
                <w:szCs w:val="24"/>
                <w:color w:val="auto"/>
              </w:rPr>
            </w:pPr>
          </w:p>
        </w:tc>
        <w:tc>
          <w:tcPr>
            <w:tcW w:w="34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4"/>
              </w:rPr>
            </w:pPr>
            <w:hyperlink w:anchor="page61">
              <w:r>
                <w:rPr>
                  <w:rFonts w:ascii="Arial" w:cs="Arial" w:eastAsia="Arial" w:hAnsi="Arial"/>
                  <w:sz w:val="18"/>
                  <w:szCs w:val="18"/>
                  <w:color w:val="0000EE"/>
                  <w:w w:val="84"/>
                </w:rPr>
                <w:t>S-56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EXPENSES RELATED TO THIS OFFERING</w:t>
              </w:r>
            </w:hyperlink>
          </w:p>
        </w:tc>
        <w:tc>
          <w:tcPr>
            <w:tcW w:w="5280" w:type="dxa"/>
            <w:vAlign w:val="bottom"/>
            <w:gridSpan w:val="10"/>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61">
              <w:r>
                <w:rPr>
                  <w:rFonts w:ascii="Arial" w:cs="Arial" w:eastAsia="Arial" w:hAnsi="Arial"/>
                  <w:sz w:val="18"/>
                  <w:szCs w:val="18"/>
                  <w:color w:val="0000EE"/>
                  <w:w w:val="84"/>
                </w:rPr>
                <w:t>S-56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WHERE YOU CAN FIND ADDITIONAL INFORMATION</w:t>
              </w:r>
            </w:hyperlink>
          </w:p>
        </w:tc>
        <w:tc>
          <w:tcPr>
            <w:tcW w:w="4320" w:type="dxa"/>
            <w:vAlign w:val="bottom"/>
            <w:gridSpan w:val="5"/>
          </w:tcPr>
          <w:p>
            <w:pPr>
              <w:spacing w:after="0"/>
              <w:rPr>
                <w:sz w:val="24"/>
                <w:szCs w:val="24"/>
                <w:color w:val="auto"/>
              </w:rPr>
            </w:pPr>
          </w:p>
        </w:tc>
        <w:tc>
          <w:tcPr>
            <w:tcW w:w="340" w:type="dxa"/>
            <w:vAlign w:val="bottom"/>
            <w:tcBorders>
              <w:bottom w:val="single" w:sz="8" w:color="0000EE"/>
            </w:tcBorders>
            <w:gridSpan w:val="3"/>
          </w:tcPr>
          <w:p>
            <w:pPr>
              <w:jc w:val="right"/>
              <w:spacing w:after="0"/>
              <w:rPr>
                <w:rFonts w:ascii="Arial" w:cs="Arial" w:eastAsia="Arial" w:hAnsi="Arial"/>
                <w:sz w:val="18"/>
                <w:szCs w:val="18"/>
                <w:color w:val="0000EE"/>
                <w:w w:val="84"/>
              </w:rPr>
            </w:pPr>
            <w:hyperlink w:anchor="page61">
              <w:r>
                <w:rPr>
                  <w:rFonts w:ascii="Arial" w:cs="Arial" w:eastAsia="Arial" w:hAnsi="Arial"/>
                  <w:sz w:val="18"/>
                  <w:szCs w:val="18"/>
                  <w:color w:val="0000EE"/>
                  <w:w w:val="84"/>
                </w:rPr>
                <w:t>S-56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INCORPORATION OF CERTAIN INFORMATION BY REFERENCE</w:t>
              </w:r>
            </w:hyperlink>
          </w:p>
        </w:tc>
        <w:tc>
          <w:tcPr>
            <w:tcW w:w="1640" w:type="dxa"/>
            <w:vAlign w:val="bottom"/>
            <w:gridSpan w:val="4"/>
          </w:tcPr>
          <w:p>
            <w:pPr>
              <w:jc w:val="right"/>
              <w:ind w:right="1300"/>
              <w:spacing w:after="0"/>
              <w:rPr>
                <w:rFonts w:ascii="Arial" w:cs="Arial" w:eastAsia="Arial" w:hAnsi="Arial"/>
                <w:sz w:val="18"/>
                <w:szCs w:val="18"/>
                <w:color w:val="0000EE"/>
                <w:w w:val="84"/>
              </w:rPr>
            </w:pPr>
            <w:hyperlink w:anchor="page62">
              <w:r>
                <w:rPr>
                  <w:rFonts w:ascii="Arial" w:cs="Arial" w:eastAsia="Arial" w:hAnsi="Arial"/>
                  <w:sz w:val="18"/>
                  <w:szCs w:val="18"/>
                  <w:color w:val="0000EE"/>
                  <w:w w:val="84"/>
                </w:rPr>
                <w:t>S-57</w:t>
              </w:r>
            </w:hyperlink>
          </w:p>
        </w:tc>
      </w:tr>
      <w:tr>
        <w:trPr>
          <w:trHeight w:val="883"/>
        </w:trPr>
        <w:tc>
          <w:tcPr>
            <w:tcW w:w="1140" w:type="dxa"/>
            <w:vAlign w:val="bottom"/>
          </w:tcPr>
          <w:p>
            <w:pPr>
              <w:spacing w:after="0"/>
              <w:rPr>
                <w:sz w:val="24"/>
                <w:szCs w:val="24"/>
                <w:color w:val="auto"/>
              </w:rPr>
            </w:pPr>
          </w:p>
        </w:tc>
        <w:tc>
          <w:tcPr>
            <w:tcW w:w="5060" w:type="dxa"/>
            <w:vAlign w:val="bottom"/>
            <w:tcBorders>
              <w:top w:val="single" w:sz="8" w:color="0000EE"/>
            </w:tcBorders>
            <w:gridSpan w:val="24"/>
          </w:tcPr>
          <w:p>
            <w:pPr>
              <w:spacing w:after="0"/>
              <w:rPr>
                <w:sz w:val="20"/>
                <w:szCs w:val="20"/>
                <w:color w:val="auto"/>
              </w:rPr>
            </w:pPr>
            <w:r>
              <w:rPr>
                <w:rFonts w:ascii="Arial" w:cs="Arial" w:eastAsia="Arial" w:hAnsi="Arial"/>
                <w:sz w:val="18"/>
                <w:szCs w:val="18"/>
                <w:b w:val="1"/>
                <w:bCs w:val="1"/>
                <w:color w:val="auto"/>
              </w:rPr>
              <w:t>PROSPECTUS</w:t>
            </w:r>
          </w:p>
        </w:tc>
        <w:tc>
          <w:tcPr>
            <w:tcW w:w="3580" w:type="dxa"/>
            <w:vAlign w:val="bottom"/>
            <w:gridSpan w:val="2"/>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FORWARD-LOOKING STATEMENTS</w:t>
              </w:r>
            </w:hyperlink>
          </w:p>
        </w:tc>
        <w:tc>
          <w:tcPr>
            <w:tcW w:w="1640" w:type="dxa"/>
            <w:vAlign w:val="bottom"/>
            <w:gridSpan w:val="4"/>
          </w:tcPr>
          <w:p>
            <w:pPr>
              <w:jc w:val="right"/>
              <w:ind w:right="1300"/>
              <w:spacing w:after="0"/>
              <w:rPr>
                <w:rFonts w:ascii="Arial" w:cs="Arial" w:eastAsia="Arial" w:hAnsi="Arial"/>
                <w:sz w:val="18"/>
                <w:szCs w:val="18"/>
                <w:color w:val="0000EE"/>
              </w:rPr>
            </w:pPr>
            <w:hyperlink w:anchor="page65">
              <w:r>
                <w:rPr>
                  <w:rFonts w:ascii="Arial" w:cs="Arial" w:eastAsia="Arial" w:hAnsi="Arial"/>
                  <w:sz w:val="18"/>
                  <w:szCs w:val="18"/>
                  <w:color w:val="0000EE"/>
                </w:rPr>
                <w:t>1</w:t>
              </w:r>
            </w:hyperlink>
          </w:p>
        </w:tc>
      </w:tr>
      <w:tr>
        <w:trPr>
          <w:trHeight w:val="412"/>
        </w:trPr>
        <w:tc>
          <w:tcPr>
            <w:tcW w:w="11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THE COMPANY</w:t>
              </w:r>
            </w:hyperlink>
          </w:p>
        </w:tc>
        <w:tc>
          <w:tcPr>
            <w:tcW w:w="1600" w:type="dxa"/>
            <w:vAlign w:val="bottom"/>
            <w:tcBorders>
              <w:top w:val="single" w:sz="8" w:color="0000EE"/>
            </w:tcBorders>
            <w:gridSpan w:val="7"/>
          </w:tcPr>
          <w:p>
            <w:pPr>
              <w:spacing w:after="0"/>
              <w:rPr>
                <w:sz w:val="24"/>
                <w:szCs w:val="24"/>
                <w:color w:val="auto"/>
              </w:rPr>
            </w:pPr>
          </w:p>
        </w:tc>
        <w:tc>
          <w:tcPr>
            <w:tcW w:w="5780" w:type="dxa"/>
            <w:vAlign w:val="bottom"/>
            <w:gridSpan w:val="14"/>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RISK FACTORS</w:t>
              </w:r>
            </w:hyperlink>
          </w:p>
        </w:tc>
        <w:tc>
          <w:tcPr>
            <w:tcW w:w="1640" w:type="dxa"/>
            <w:vAlign w:val="bottom"/>
            <w:gridSpan w:val="4"/>
          </w:tcPr>
          <w:p>
            <w:pPr>
              <w:jc w:val="right"/>
              <w:ind w:right="1300"/>
              <w:spacing w:after="0"/>
              <w:rPr>
                <w:rFonts w:ascii="Arial" w:cs="Arial" w:eastAsia="Arial" w:hAnsi="Arial"/>
                <w:sz w:val="18"/>
                <w:szCs w:val="18"/>
                <w:color w:val="0000EE"/>
              </w:rPr>
            </w:pPr>
            <w:hyperlink w:anchor="page69">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SERVICE OF PROCESS AND ENFORCEMENT OF LIABILITIES</w:t>
              </w:r>
            </w:hyperlink>
          </w:p>
        </w:tc>
        <w:tc>
          <w:tcPr>
            <w:tcW w:w="1640" w:type="dxa"/>
            <w:vAlign w:val="bottom"/>
            <w:gridSpan w:val="4"/>
          </w:tcPr>
          <w:p>
            <w:pPr>
              <w:jc w:val="right"/>
              <w:ind w:right="1300"/>
              <w:spacing w:after="0"/>
              <w:rPr>
                <w:rFonts w:ascii="Arial" w:cs="Arial" w:eastAsia="Arial" w:hAnsi="Arial"/>
                <w:sz w:val="18"/>
                <w:szCs w:val="18"/>
                <w:color w:val="0000EE"/>
              </w:rPr>
            </w:pPr>
            <w:hyperlink w:anchor="page70">
              <w:r>
                <w:rPr>
                  <w:rFonts w:ascii="Arial" w:cs="Arial" w:eastAsia="Arial" w:hAnsi="Arial"/>
                  <w:sz w:val="18"/>
                  <w:szCs w:val="18"/>
                  <w:color w:val="0000EE"/>
                </w:rPr>
                <w:t>6</w:t>
              </w:r>
            </w:hyperlink>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ABOUT THIS PROSPECTUS</w:t>
              </w:r>
            </w:hyperlink>
          </w:p>
        </w:tc>
        <w:tc>
          <w:tcPr>
            <w:tcW w:w="376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gridSpan w:val="9"/>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71">
              <w:r>
                <w:rPr>
                  <w:rFonts w:ascii="Arial" w:cs="Arial" w:eastAsia="Arial" w:hAnsi="Arial"/>
                  <w:sz w:val="18"/>
                  <w:szCs w:val="18"/>
                  <w:color w:val="0000EE"/>
                  <w:w w:val="96"/>
                </w:rPr>
                <w:t>WHERE YOU CAN FIND ADDITIONAL INFORMATION</w:t>
              </w:r>
            </w:hyperlink>
          </w:p>
        </w:tc>
        <w:tc>
          <w:tcPr>
            <w:tcW w:w="4320" w:type="dxa"/>
            <w:vAlign w:val="bottom"/>
            <w:gridSpan w:val="5"/>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506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INCORPORATION OF CERTAIN INFORMATION BY REFERENCE</w:t>
              </w:r>
            </w:hyperlink>
          </w:p>
        </w:tc>
        <w:tc>
          <w:tcPr>
            <w:tcW w:w="358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RATIO OF EARNINGS TO FIXED CHARGES</w:t>
              </w:r>
            </w:hyperlink>
          </w:p>
        </w:tc>
        <w:tc>
          <w:tcPr>
            <w:tcW w:w="1640" w:type="dxa"/>
            <w:vAlign w:val="bottom"/>
            <w:gridSpan w:val="4"/>
          </w:tcPr>
          <w:p>
            <w:pPr>
              <w:jc w:val="right"/>
              <w:ind w:right="1300"/>
              <w:spacing w:after="0"/>
              <w:rPr>
                <w:rFonts w:ascii="Arial" w:cs="Arial" w:eastAsia="Arial" w:hAnsi="Arial"/>
                <w:sz w:val="18"/>
                <w:szCs w:val="18"/>
                <w:color w:val="0000EE"/>
              </w:rPr>
            </w:pPr>
            <w:hyperlink w:anchor="page73">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2840" w:type="dxa"/>
            <w:vAlign w:val="bottom"/>
            <w:gridSpan w:val="11"/>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USE OF PROCEEDS</w:t>
              </w:r>
            </w:hyperlink>
          </w:p>
        </w:tc>
        <w:tc>
          <w:tcPr>
            <w:tcW w:w="1860" w:type="dxa"/>
            <w:vAlign w:val="bottom"/>
            <w:gridSpan w:val="10"/>
          </w:tcPr>
          <w:p>
            <w:pPr>
              <w:spacing w:after="0"/>
              <w:rPr>
                <w:sz w:val="24"/>
                <w:szCs w:val="24"/>
                <w:color w:val="auto"/>
              </w:rPr>
            </w:pPr>
          </w:p>
        </w:tc>
        <w:tc>
          <w:tcPr>
            <w:tcW w:w="522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CAPITALIZATION AND INDEBTEDNESS</w:t>
              </w:r>
            </w:hyperlink>
          </w:p>
        </w:tc>
        <w:tc>
          <w:tcPr>
            <w:tcW w:w="1640" w:type="dxa"/>
            <w:vAlign w:val="bottom"/>
            <w:gridSpan w:val="4"/>
          </w:tcPr>
          <w:p>
            <w:pPr>
              <w:jc w:val="right"/>
              <w:ind w:right="1300"/>
              <w:spacing w:after="0"/>
              <w:rPr>
                <w:rFonts w:ascii="Arial" w:cs="Arial" w:eastAsia="Arial" w:hAnsi="Arial"/>
                <w:sz w:val="18"/>
                <w:szCs w:val="18"/>
                <w:color w:val="0000EE"/>
              </w:rPr>
            </w:pPr>
            <w:hyperlink w:anchor="page74">
              <w:r>
                <w:rPr>
                  <w:rFonts w:ascii="Arial" w:cs="Arial" w:eastAsia="Arial" w:hAnsi="Arial"/>
                  <w:sz w:val="18"/>
                  <w:szCs w:val="18"/>
                  <w:color w:val="0000EE"/>
                </w:rPr>
                <w:t>10</w:t>
              </w:r>
            </w:hyperlink>
          </w:p>
        </w:tc>
      </w:tr>
      <w:tr>
        <w:trPr>
          <w:trHeight w:val="412"/>
        </w:trPr>
        <w:tc>
          <w:tcPr>
            <w:tcW w:w="114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2"/>
          </w:tcPr>
          <w:p>
            <w:pPr>
              <w:spacing w:after="0"/>
              <w:rPr>
                <w:sz w:val="24"/>
                <w:szCs w:val="24"/>
                <w:color w:val="auto"/>
              </w:rPr>
            </w:pPr>
          </w:p>
        </w:tc>
        <w:tc>
          <w:tcPr>
            <w:tcW w:w="544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640" w:type="dxa"/>
            <w:vAlign w:val="bottom"/>
            <w:gridSpan w:val="2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DESCRIPTION OF THE OTHER CLASSES OF UNITS</w:t>
              </w:r>
            </w:hyperlink>
          </w:p>
        </w:tc>
        <w:tc>
          <w:tcPr>
            <w:tcW w:w="1640" w:type="dxa"/>
            <w:vAlign w:val="bottom"/>
            <w:gridSpan w:val="4"/>
          </w:tcPr>
          <w:p>
            <w:pPr>
              <w:jc w:val="right"/>
              <w:ind w:right="1300"/>
              <w:spacing w:after="0"/>
              <w:rPr>
                <w:rFonts w:ascii="Arial" w:cs="Arial" w:eastAsia="Arial" w:hAnsi="Arial"/>
                <w:sz w:val="18"/>
                <w:szCs w:val="18"/>
                <w:color w:val="0000EE"/>
              </w:rPr>
            </w:pPr>
            <w:hyperlink w:anchor="page74">
              <w:r>
                <w:rPr>
                  <w:rFonts w:ascii="Arial" w:cs="Arial" w:eastAsia="Arial" w:hAnsi="Arial"/>
                  <w:sz w:val="18"/>
                  <w:szCs w:val="18"/>
                  <w:color w:val="0000EE"/>
                </w:rPr>
                <w:t>10</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gridSpan w:val="5"/>
          </w:tcPr>
          <w:p>
            <w:pPr>
              <w:jc w:val="center"/>
              <w:ind w:right="3820"/>
              <w:spacing w:after="0"/>
              <w:rPr>
                <w:sz w:val="20"/>
                <w:szCs w:val="20"/>
                <w:color w:val="auto"/>
              </w:rPr>
            </w:pPr>
            <w:r>
              <w:rPr>
                <w:rFonts w:ascii="Arial" w:cs="Arial" w:eastAsia="Arial" w:hAnsi="Arial"/>
                <w:sz w:val="18"/>
                <w:szCs w:val="18"/>
                <w:color w:val="auto"/>
              </w:rPr>
              <w:t>i</w:t>
            </w: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33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68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DESCRIPTION OF DEBT SECURITIES</w:t>
              </w:r>
            </w:hyperlink>
          </w:p>
        </w:tc>
        <w:tc>
          <w:tcPr>
            <w:tcW w:w="584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1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DESCRIPTION OF WARRANTS</w:t>
              </w:r>
            </w:hyperlink>
          </w:p>
        </w:tc>
        <w:tc>
          <w:tcPr>
            <w:tcW w:w="1480" w:type="dxa"/>
            <w:vAlign w:val="bottom"/>
            <w:gridSpan w:val="2"/>
          </w:tcPr>
          <w:p>
            <w:pPr>
              <w:jc w:val="right"/>
              <w:ind w:right="1300"/>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18</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DESCRIPTION OF RIGHTS</w:t>
              </w:r>
            </w:hyperlink>
          </w:p>
        </w:tc>
        <w:tc>
          <w:tcPr>
            <w:tcW w:w="320" w:type="dxa"/>
            <w:vAlign w:val="bottom"/>
            <w:tcBorders>
              <w:top w:val="single" w:sz="8" w:color="0000EE"/>
            </w:tcBorders>
          </w:tcPr>
          <w:p>
            <w:pPr>
              <w:spacing w:after="0"/>
              <w:rPr>
                <w:sz w:val="24"/>
                <w:szCs w:val="24"/>
                <w:color w:val="auto"/>
              </w:rPr>
            </w:pPr>
          </w:p>
        </w:tc>
        <w:tc>
          <w:tcPr>
            <w:tcW w:w="638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64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DESCRIPTION OF THE COMBINATION UNITS</w:t>
              </w:r>
            </w:hyperlink>
          </w:p>
        </w:tc>
        <w:tc>
          <w:tcPr>
            <w:tcW w:w="516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SUMMARY OF OUR PARTNERSHIP AGREEMENT</w:t>
              </w:r>
            </w:hyperlink>
          </w:p>
        </w:tc>
        <w:tc>
          <w:tcPr>
            <w:tcW w:w="488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84">
              <w:r>
                <w:rPr>
                  <w:rFonts w:ascii="Arial" w:cs="Arial" w:eastAsia="Arial" w:hAnsi="Arial"/>
                  <w:sz w:val="18"/>
                  <w:szCs w:val="18"/>
                  <w:color w:val="0000EE"/>
                  <w:w w:val="94"/>
                </w:rPr>
                <w:t>OUR CASH DISTRIBUTION POLICY AND RESTRICTIONS ON DISTRIBUTIONS</w:t>
              </w:r>
            </w:hyperlink>
          </w:p>
        </w:tc>
        <w:tc>
          <w:tcPr>
            <w:tcW w:w="25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MATERIAL U.S. FEDERAL INCOME TAX CONSIDERATIONS</w:t>
              </w:r>
            </w:hyperlink>
          </w:p>
        </w:tc>
        <w:tc>
          <w:tcPr>
            <w:tcW w:w="40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NON-UNITED STATES TAX CONSIDERATIONS</w:t>
              </w:r>
            </w:hyperlink>
          </w:p>
        </w:tc>
        <w:tc>
          <w:tcPr>
            <w:tcW w:w="510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1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PLAN OF DISTRIBUTION</w:t>
              </w:r>
            </w:hyperlink>
          </w:p>
        </w:tc>
        <w:tc>
          <w:tcPr>
            <w:tcW w:w="1480" w:type="dxa"/>
            <w:vAlign w:val="bottom"/>
            <w:gridSpan w:val="2"/>
          </w:tcPr>
          <w:p>
            <w:pPr>
              <w:jc w:val="right"/>
              <w:ind w:right="1300"/>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33</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EXPENSES</w:t>
              </w:r>
            </w:hyperlink>
          </w:p>
        </w:tc>
        <w:tc>
          <w:tcPr>
            <w:tcW w:w="1120" w:type="dxa"/>
            <w:vAlign w:val="bottom"/>
            <w:tcBorders>
              <w:top w:val="single" w:sz="8" w:color="0000EE"/>
            </w:tcBorders>
            <w:gridSpan w:val="2"/>
          </w:tcPr>
          <w:p>
            <w:pPr>
              <w:spacing w:after="0"/>
              <w:rPr>
                <w:sz w:val="24"/>
                <w:szCs w:val="24"/>
                <w:color w:val="auto"/>
              </w:rPr>
            </w:pPr>
          </w:p>
        </w:tc>
        <w:tc>
          <w:tcPr>
            <w:tcW w:w="680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1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LEGAL MATTERS</w:t>
              </w:r>
            </w:hyperlink>
          </w:p>
        </w:tc>
        <w:tc>
          <w:tcPr>
            <w:tcW w:w="1480" w:type="dxa"/>
            <w:vAlign w:val="bottom"/>
            <w:gridSpan w:val="2"/>
          </w:tcPr>
          <w:p>
            <w:pPr>
              <w:jc w:val="right"/>
              <w:ind w:right="1300"/>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35</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EXPERTS</w:t>
              </w:r>
            </w:hyperlink>
          </w:p>
        </w:tc>
        <w:tc>
          <w:tcPr>
            <w:tcW w:w="7380" w:type="dxa"/>
            <w:vAlign w:val="bottom"/>
            <w:gridSpan w:val="10"/>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gridSpan w:val="3"/>
          </w:tcPr>
          <w:p>
            <w:pPr>
              <w:ind w:left="600"/>
              <w:spacing w:after="0"/>
              <w:rPr>
                <w:sz w:val="20"/>
                <w:szCs w:val="20"/>
                <w:color w:val="auto"/>
              </w:rPr>
            </w:pPr>
            <w:r>
              <w:rPr>
                <w:rFonts w:ascii="Arial" w:cs="Arial" w:eastAsia="Arial" w:hAnsi="Arial"/>
                <w:sz w:val="18"/>
                <w:szCs w:val="18"/>
                <w:color w:val="auto"/>
              </w:rPr>
              <w:t>ii</w:t>
            </w: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174"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379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737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80" w:firstLine="351"/>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accompanying prospectus. You should read "Risk Factors" beginning on page S-18 of this prospectus supplement and beginning on page 8 of our Annual Report on Form 20-F filed with the Securities and Exchange Commission ("SEC") on February 13, 2017 ("Annual Report on Form 20-F").</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 this prospectus supplement, unless otherwise indicated, references to:</w:t>
      </w:r>
    </w:p>
    <w:p>
      <w:pPr>
        <w:spacing w:after="0" w:line="252" w:lineRule="exact"/>
        <w:rPr>
          <w:sz w:val="20"/>
          <w:szCs w:val="20"/>
          <w:color w:val="auto"/>
        </w:rPr>
      </w:pPr>
    </w:p>
    <w:p>
      <w:pPr>
        <w:ind w:left="1320" w:right="6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199" w:lineRule="exact"/>
        <w:rPr>
          <w:rFonts w:ascii="Arial" w:cs="Arial" w:eastAsia="Arial" w:hAnsi="Arial"/>
          <w:sz w:val="18"/>
          <w:szCs w:val="18"/>
          <w:color w:val="auto"/>
        </w:rPr>
      </w:pPr>
    </w:p>
    <w:p>
      <w:pPr>
        <w:ind w:left="1320" w:right="2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general partner" refers to GasLog Partners GP LLC, the general partner of GasLog Partners and a wholly owned subsidiary of GasLog;</w:t>
      </w:r>
    </w:p>
    <w:p>
      <w:pPr>
        <w:spacing w:after="0" w:line="286" w:lineRule="exact"/>
        <w:rPr>
          <w:rFonts w:ascii="Arial" w:cs="Arial" w:eastAsia="Arial" w:hAnsi="Arial"/>
          <w:sz w:val="15"/>
          <w:szCs w:val="15"/>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BG Group and a subsidiary of Shell;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"Mitsui" refers to Mitsui Co.,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"Lepta Shipping" refers to Lepta Shipping Co., Ltd., a subsidiary of Mitsui;</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52" w:lineRule="exact"/>
        <w:rPr>
          <w:rFonts w:ascii="Arial" w:cs="Arial" w:eastAsia="Arial" w:hAnsi="Arial"/>
          <w:sz w:val="18"/>
          <w:szCs w:val="18"/>
          <w:color w:val="auto"/>
        </w:rPr>
      </w:pPr>
    </w:p>
    <w:p>
      <w:pPr>
        <w:ind w:left="1320" w:right="26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"IPO" refers to the initial public offering of GasLog Partners on May 12, 2014;</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832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00" w:firstLine="348"/>
        <w:spacing w:after="0" w:line="256"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of five full years or more. Our fleet of twelve LNG carriers, which have fixed charter terms expiring between 2018 and 2026 that can be extended at the charterers' option, were contributed to us by, or acquired by us from, GasLog, which controls us through its ownership of our general partner.</w:t>
      </w:r>
    </w:p>
    <w:p>
      <w:pPr>
        <w:spacing w:after="0" w:line="197"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Our fleet consists of twelve LNG carriers, including seven vessels with modern tri-fuel diesel electric ("TFDE") propulsion technology and five modern steam-powered ("Steam") vessels that all operate under long-term charters with subsidiaries of Shell. We also have options and other rights under which we may acquire additional LNG carriers from GasLog, as described below. We believe that such options and rights provide us with significant built-in growth opportunities. We may also acquire vessels from shipyards or other owners in the future.</w:t>
      </w:r>
    </w:p>
    <w:p>
      <w:pPr>
        <w:spacing w:after="0" w:line="167" w:lineRule="exact"/>
        <w:rPr>
          <w:sz w:val="20"/>
          <w:szCs w:val="20"/>
          <w:color w:val="auto"/>
        </w:rPr>
      </w:pPr>
    </w:p>
    <w:p>
      <w:pPr>
        <w:ind w:left="240" w:right="100" w:firstLine="348"/>
        <w:spacing w:after="0" w:line="294" w:lineRule="auto"/>
        <w:rPr>
          <w:sz w:val="20"/>
          <w:szCs w:val="20"/>
          <w:color w:val="auto"/>
        </w:rPr>
      </w:pPr>
      <w:r>
        <w:rPr>
          <w:rFonts w:ascii="Arial" w:cs="Arial" w:eastAsia="Arial" w:hAnsi="Arial"/>
          <w:sz w:val="16"/>
          <w:szCs w:val="16"/>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 For further discussion of the risks that we face, please see "Risk Factors" beginning on page S-18 and please read "Item 3. Key Information—D. Risk Factors" of our Annual Report on Form 20-F.</w:t>
      </w:r>
    </w:p>
    <w:p>
      <w:pPr>
        <w:spacing w:after="0" w:line="170"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We are controlled by GasLog, which currently holds a 26.01% interest (including the 2% interest through general partner units) in us (before giving effect to this offering), and owns and controls our general partner.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ten LNG carriers, including eight newbuildings on order. Since its initial public offering, GasLog has increased by approximately 59% the total carrying capacity of vessels in its fleet, which includes vessels on the water and newbuildings on order. As of November 3, 2017, GasLog's wholly owned fleet includes 15 LNG carriers (including ten ships in operation and five LNG carriers on order) and GasLog has one LNG carrier operating under its technical management for third parties, and a vessel secured under a long-term bareboat charter from Lepta Shipping, a subsidiary of Mitsui. See "—Our Fleet" and "—Additional Vessels".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727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72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fleet as of November 3, 2017:</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Cargo</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Capacity</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Charter</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Optional</w:t>
            </w:r>
          </w:p>
        </w:tc>
      </w:tr>
      <w:tr>
        <w:trPr>
          <w:trHeight w:val="161"/>
        </w:trPr>
        <w:tc>
          <w:tcPr>
            <w:tcW w:w="380" w:type="dxa"/>
            <w:vAlign w:val="bottom"/>
          </w:tcPr>
          <w:p>
            <w:pPr>
              <w:spacing w:after="0"/>
              <w:rPr>
                <w:sz w:val="14"/>
                <w:szCs w:val="14"/>
                <w:color w:val="auto"/>
              </w:rPr>
            </w:pPr>
          </w:p>
        </w:tc>
        <w:tc>
          <w:tcPr>
            <w:tcW w:w="258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4"/>
                <w:szCs w:val="14"/>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Expiration</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155,000</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July 2018</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September 2018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155,000</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w w:val="93"/>
              </w:rPr>
              <w:t>December 2020</w:t>
            </w:r>
          </w:p>
        </w:tc>
        <w:tc>
          <w:tcPr>
            <w:tcW w:w="130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5"/>
              </w:rPr>
              <w:t>2025 - 2030</w:t>
            </w:r>
            <w:r>
              <w:rPr>
                <w:rFonts w:ascii="Arial" w:cs="Arial" w:eastAsia="Arial" w:hAnsi="Arial"/>
                <w:sz w:val="29"/>
                <w:szCs w:val="29"/>
                <w:color w:val="auto"/>
                <w:w w:val="85"/>
                <w:vertAlign w:val="superscript"/>
              </w:rPr>
              <w:t>(1)</w:t>
            </w:r>
          </w:p>
        </w:tc>
      </w:tr>
      <w:tr>
        <w:trPr>
          <w:trHeight w:val="257"/>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130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5"/>
              </w:rPr>
              <w:t>2026 - 2031</w:t>
            </w:r>
            <w:r>
              <w:rPr>
                <w:rFonts w:ascii="Arial" w:cs="Arial" w:eastAsia="Arial" w:hAnsi="Arial"/>
                <w:sz w:val="29"/>
                <w:szCs w:val="29"/>
                <w:color w:val="auto"/>
                <w:w w:val="85"/>
                <w:vertAlign w:val="superscript"/>
              </w:rPr>
              <w:t>(1)</w:t>
            </w: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2016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March 2026</w:t>
            </w:r>
          </w:p>
        </w:tc>
        <w:tc>
          <w:tcPr>
            <w:tcW w:w="1300" w:type="dxa"/>
            <w:vAlign w:val="bottom"/>
            <w:gridSpan w:val="2"/>
          </w:tcPr>
          <w:p>
            <w:pPr>
              <w:jc w:val="center"/>
              <w:ind w:left="92"/>
              <w:spacing w:after="0" w:line="256" w:lineRule="exact"/>
              <w:rPr>
                <w:sz w:val="20"/>
                <w:szCs w:val="20"/>
                <w:color w:val="auto"/>
              </w:rPr>
            </w:pPr>
            <w:r>
              <w:rPr>
                <w:rFonts w:ascii="Arial" w:cs="Arial" w:eastAsia="Arial" w:hAnsi="Arial"/>
                <w:sz w:val="18"/>
                <w:szCs w:val="18"/>
                <w:color w:val="auto"/>
                <w:w w:val="81"/>
              </w:rPr>
              <w:t>2031</w:t>
            </w:r>
            <w:r>
              <w:rPr>
                <w:rFonts w:ascii="Arial" w:cs="Arial" w:eastAsia="Arial" w:hAnsi="Arial"/>
                <w:sz w:val="29"/>
                <w:szCs w:val="29"/>
                <w:color w:val="auto"/>
                <w:w w:val="81"/>
                <w:vertAlign w:val="superscript"/>
              </w:rPr>
              <w:t>(2)</w:t>
            </w:r>
          </w:p>
        </w:tc>
      </w:tr>
      <w:tr>
        <w:trPr>
          <w:trHeight w:val="257"/>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September 2023</w:t>
            </w:r>
          </w:p>
        </w:tc>
        <w:tc>
          <w:tcPr>
            <w:tcW w:w="130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5"/>
              </w:rPr>
              <w:t>2028 - 2031</w:t>
            </w:r>
            <w:r>
              <w:rPr>
                <w:rFonts w:ascii="Arial" w:cs="Arial" w:eastAsia="Arial" w:hAnsi="Arial"/>
                <w:sz w:val="29"/>
                <w:szCs w:val="29"/>
                <w:color w:val="auto"/>
                <w:w w:val="85"/>
                <w:vertAlign w:val="superscript"/>
              </w:rPr>
              <w:t>(3)</w:t>
            </w: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8</w:t>
            </w: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Methane Rita Andrea</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2006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145,000</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April 2020</w:t>
            </w:r>
          </w:p>
        </w:tc>
        <w:tc>
          <w:tcPr>
            <w:tcW w:w="130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5"/>
              </w:rPr>
              <w:t>2023 - 2025</w:t>
            </w:r>
            <w:r>
              <w:rPr>
                <w:rFonts w:ascii="Arial" w:cs="Arial" w:eastAsia="Arial" w:hAnsi="Arial"/>
                <w:sz w:val="29"/>
                <w:szCs w:val="29"/>
                <w:color w:val="auto"/>
                <w:w w:val="85"/>
                <w:vertAlign w:val="superscript"/>
              </w:rPr>
              <w:t>(4)</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145,000</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w w:val="93"/>
              </w:rPr>
              <w:t>December 2019</w:t>
            </w:r>
          </w:p>
        </w:tc>
        <w:tc>
          <w:tcPr>
            <w:tcW w:w="130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5"/>
              </w:rPr>
              <w:t>2022 - 2024</w:t>
            </w:r>
            <w:r>
              <w:rPr>
                <w:rFonts w:ascii="Arial" w:cs="Arial" w:eastAsia="Arial" w:hAnsi="Arial"/>
                <w:sz w:val="29"/>
                <w:szCs w:val="29"/>
                <w:color w:val="auto"/>
                <w:w w:val="85"/>
                <w:vertAlign w:val="superscript"/>
              </w:rPr>
              <w:t>(5)</w:t>
            </w:r>
          </w:p>
        </w:tc>
      </w:tr>
      <w:tr>
        <w:trPr>
          <w:trHeight w:val="257"/>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130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5"/>
              </w:rPr>
              <w:t>2023 - 2025</w:t>
            </w:r>
            <w:r>
              <w:rPr>
                <w:rFonts w:ascii="Arial" w:cs="Arial" w:eastAsia="Arial" w:hAnsi="Arial"/>
                <w:sz w:val="29"/>
                <w:szCs w:val="29"/>
                <w:color w:val="auto"/>
                <w:w w:val="85"/>
                <w:vertAlign w:val="superscript"/>
              </w:rPr>
              <w:t>(5)</w:t>
            </w:r>
          </w:p>
        </w:tc>
      </w:tr>
      <w:tr>
        <w:trPr>
          <w:trHeight w:val="365"/>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145,000</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w w:val="93"/>
              </w:rPr>
              <w:t>December 2020</w:t>
            </w:r>
          </w:p>
        </w:tc>
        <w:tc>
          <w:tcPr>
            <w:tcW w:w="130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2023 - 2025</w:t>
            </w:r>
            <w:r>
              <w:rPr>
                <w:rFonts w:ascii="Arial" w:cs="Arial" w:eastAsia="Arial" w:hAnsi="Arial"/>
                <w:sz w:val="29"/>
                <w:szCs w:val="29"/>
                <w:color w:val="auto"/>
                <w:w w:val="85"/>
                <w:vertAlign w:val="superscript"/>
              </w:rPr>
              <w:t>(5)</w:t>
            </w:r>
          </w:p>
        </w:tc>
      </w:tr>
      <w:tr>
        <w:trPr>
          <w:trHeight w:val="20"/>
        </w:trPr>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Charterer may extend the term of these time charters for a period ranging from five to ten years, and the charters require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2"/>
          <w:szCs w:val="12"/>
          <w:color w:val="auto"/>
        </w:rPr>
      </w:pPr>
    </w:p>
    <w:p>
      <w:pPr>
        <w:ind w:left="1880" w:hanging="544"/>
        <w:spacing w:after="0"/>
        <w:tabs>
          <w:tab w:leader="none" w:pos="1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Charterer may extend the term of the time charter for a period of five years, provided that the charterer provides us with advance notice of declaration.</w:t>
      </w:r>
    </w:p>
    <w:p>
      <w:pPr>
        <w:spacing w:after="0" w:line="122" w:lineRule="exact"/>
        <w:rPr>
          <w:rFonts w:ascii="Arial" w:cs="Arial" w:eastAsia="Arial" w:hAnsi="Arial"/>
          <w:sz w:val="14"/>
          <w:szCs w:val="14"/>
          <w:color w:val="auto"/>
        </w:rPr>
      </w:pPr>
    </w:p>
    <w:p>
      <w:pPr>
        <w:ind w:left="1880" w:hanging="544"/>
        <w:spacing w:after="0" w:line="239" w:lineRule="auto"/>
        <w:tabs>
          <w:tab w:leader="none" w:pos="1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Charterer may extend the term of the time charter by two additional periods of five and three years, respectively, provided that the charterer provides us with advance notice of declaration. The period shown reflects the expiration of the minimum optional period and the maximum optional period.</w:t>
      </w:r>
    </w:p>
    <w:p>
      <w:pPr>
        <w:spacing w:after="0" w:line="111" w:lineRule="exact"/>
        <w:rPr>
          <w:rFonts w:ascii="Arial" w:cs="Arial" w:eastAsia="Arial" w:hAnsi="Arial"/>
          <w:sz w:val="14"/>
          <w:szCs w:val="14"/>
          <w:color w:val="auto"/>
        </w:rPr>
      </w:pPr>
    </w:p>
    <w:p>
      <w:pPr>
        <w:ind w:left="1880" w:right="60" w:hanging="544"/>
        <w:spacing w:after="0" w:line="318" w:lineRule="auto"/>
        <w:tabs>
          <w:tab w:leader="none" w:pos="1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Charterer may extend this charter for one extension period of three or five years, and the charter requires that the charterer provide us with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2"/>
          <w:szCs w:val="12"/>
          <w:color w:val="auto"/>
        </w:rPr>
      </w:pPr>
    </w:p>
    <w:p>
      <w:pPr>
        <w:ind w:left="1880" w:right="320" w:hanging="544"/>
        <w:spacing w:after="0" w:line="318" w:lineRule="auto"/>
        <w:tabs>
          <w:tab w:leader="none" w:pos="1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Charterer may extend the term of two of the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left="240" w:firstLine="351"/>
        <w:spacing w:after="0" w:line="287" w:lineRule="auto"/>
        <w:rPr>
          <w:sz w:val="20"/>
          <w:szCs w:val="20"/>
          <w:color w:val="auto"/>
        </w:rPr>
      </w:pPr>
      <w:r>
        <w:rPr>
          <w:rFonts w:ascii="Arial" w:cs="Arial" w:eastAsia="Arial" w:hAnsi="Arial"/>
          <w:sz w:val="16"/>
          <w:szCs w:val="16"/>
          <w:color w:val="auto"/>
        </w:rPr>
        <w:t xml:space="preserve">In April 2015, the charter expirations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were amended. The initial terms of the time charters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were each extended by four months to May 2018 and July 2018, respectively, whilst the initial term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was shortened by eight months to September 2018. The options to extend the initial terms have not been exercised and as such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 In October 2017, the charterer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notified us of its intention not to exercise the charter extension option. As such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GasLog Partners continues to pursue opportunities for new multi-year charters with third parties for the vessels and, on an interim basis, may consider trading the vessels in the spot market, pursuing the most advantageous redeployment depending on evolving market conditions. It should be noted, that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GasLog Partners has the option to enter into a bareboat charter or time charter arrangement with GasLog designed to guarantee the total cash available for distribution from the vessel for one year, such option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458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45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being agreed to at the time the amendments to the initial charter terms, referenced above, were accepted.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Vessels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within 36 months after GasLog notifies our board of directors of their acceptance by their charterers and (ii) as provided for under the addendum to the omnibus agreement dated April 21, 2015 among GasLog, GasLog Partners, our general partner and GasLog Partners Holdings,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(which is subject to a multi-year charter to Methane Services Limited, or "MSL"), within 36 months after the completion of their acquisition by GasLog on March 31, 2015. In each case, our option to purchase is at fair market value as determined pursuant to the omnibus agreement. See "Item 7. Major Unitholders and Related Party Transactions—B. Related Party Transactions—Omnibus Agreement—Noncompetition" of our Annual Report on Form 20-F for additional information on the LNG carrier purchase options.</w:t>
      </w:r>
    </w:p>
    <w:p>
      <w:pPr>
        <w:spacing w:after="0" w:line="15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Built</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7"/>
                <w:szCs w:val="17"/>
                <w:color w:val="auto"/>
              </w:rPr>
            </w:pPr>
          </w:p>
        </w:tc>
        <w:tc>
          <w:tcPr>
            <w:tcW w:w="106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3"/>
                <w:szCs w:val="13"/>
                <w:b w:val="1"/>
                <w:bCs w:val="1"/>
                <w:color w:val="auto"/>
              </w:rPr>
              <w:t>Expiration</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90"/>
        </w:trPr>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1</w:t>
            </w:r>
          </w:p>
        </w:tc>
        <w:tc>
          <w:tcPr>
            <w:tcW w:w="62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w w:val="91"/>
              </w:rPr>
              <w:t>GasLog</w:t>
            </w:r>
          </w:p>
        </w:tc>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Glasgow</w:t>
            </w:r>
          </w:p>
        </w:tc>
        <w:tc>
          <w:tcPr>
            <w:tcW w:w="4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2016</w:t>
            </w:r>
          </w:p>
        </w:tc>
        <w:tc>
          <w:tcPr>
            <w:tcW w:w="78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6"/>
              </w:rPr>
              <w:t>174,000</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TFDE</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2</w:t>
            </w:r>
          </w:p>
        </w:tc>
        <w:tc>
          <w:tcPr>
            <w:tcW w:w="4580" w:type="dxa"/>
            <w:vAlign w:val="bottom"/>
            <w:gridSpan w:val="3"/>
          </w:tcPr>
          <w:p>
            <w:pPr>
              <w:ind w:left="20"/>
              <w:spacing w:after="0"/>
              <w:rPr>
                <w:sz w:val="20"/>
                <w:szCs w:val="20"/>
                <w:color w:val="auto"/>
              </w:rPr>
            </w:pPr>
            <w:r>
              <w:rPr>
                <w:rFonts w:ascii="Arial" w:cs="Arial" w:eastAsia="Arial" w:hAnsi="Arial"/>
                <w:sz w:val="18"/>
                <w:szCs w:val="18"/>
                <w:i w:val="1"/>
                <w:iCs w:val="1"/>
                <w:color w:val="auto"/>
              </w:rPr>
              <w:t>GasLog Gibraltar</w:t>
            </w: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78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w w:val="93"/>
              </w:rPr>
              <w:t>October 2023</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3</w:t>
            </w:r>
          </w:p>
        </w:tc>
        <w:tc>
          <w:tcPr>
            <w:tcW w:w="45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Methane Becki Anne</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7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170,000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2024</w:t>
            </w:r>
          </w:p>
        </w:tc>
        <w:tc>
          <w:tcPr>
            <w:tcW w:w="0" w:type="dxa"/>
            <w:vAlign w:val="bottom"/>
          </w:tcPr>
          <w:p>
            <w:pPr>
              <w:spacing w:after="0"/>
              <w:rPr>
                <w:sz w:val="1"/>
                <w:szCs w:val="1"/>
                <w:color w:val="auto"/>
              </w:rPr>
            </w:pPr>
          </w:p>
        </w:tc>
      </w:tr>
      <w:tr>
        <w:trPr>
          <w:trHeight w:val="365"/>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4</w:t>
            </w: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(2)</w:t>
            </w:r>
          </w:p>
        </w:tc>
        <w:tc>
          <w:tcPr>
            <w:tcW w:w="23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78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170,000</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March 2026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4"/>
          <w:szCs w:val="14"/>
          <w:color w:val="auto"/>
        </w:rPr>
      </w:pPr>
    </w:p>
    <w:p>
      <w:pPr>
        <w:ind w:left="1880" w:hanging="544"/>
        <w:spacing w:after="0" w:line="228" w:lineRule="auto"/>
        <w:tabs>
          <w:tab w:leader="none" w:pos="1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Lepta Shipping Co., Ltd. ("Lepta Shipping"), a subsidiary of Mitsui Co., Ltd.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 year charter with MSL.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left="240" w:right="180" w:firstLine="351"/>
        <w:spacing w:after="0" w:line="29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five newbuildings listed below will each qualify as a Five-Year Vessel upon commencement of their respective charters, and GasLog will be required to offer to us an opportunity to purchase each vessel at fair market value within 30 days of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44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74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color w:val="auto"/>
        </w:rPr>
        <w:t>commencement of its charter. Generally, we must exercise this right of first offer within 30 days following the notice from GasLog that the vessel has been acquired or has become a Five-Year Vessel.</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Propulsion</w:t>
            </w:r>
            <w:r>
              <w:rPr>
                <w:rFonts w:ascii="Arial" w:cs="Arial" w:eastAsia="Arial" w:hAnsi="Arial"/>
                <w:sz w:val="22"/>
                <w:szCs w:val="22"/>
                <w:b w:val="1"/>
                <w:bCs w:val="1"/>
                <w:color w:val="auto"/>
                <w:w w:val="83"/>
                <w:vertAlign w:val="superscript"/>
              </w:rPr>
              <w:t>(2)</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8"/>
              </w:rPr>
              <w:t>Built</w:t>
            </w:r>
            <w:r>
              <w:rPr>
                <w:rFonts w:ascii="Arial" w:cs="Arial" w:eastAsia="Arial" w:hAnsi="Arial"/>
                <w:sz w:val="20"/>
                <w:szCs w:val="20"/>
                <w:b w:val="1"/>
                <w:bCs w:val="1"/>
                <w:color w:val="auto"/>
                <w:w w:val="88"/>
                <w:vertAlign w:val="superscript"/>
              </w:rPr>
              <w:t>(1)</w:t>
            </w:r>
          </w:p>
        </w:tc>
        <w:tc>
          <w:tcPr>
            <w:tcW w:w="18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Charterer</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(3)</w:t>
            </w:r>
          </w:p>
        </w:tc>
        <w:tc>
          <w:tcPr>
            <w:tcW w:w="0" w:type="dxa"/>
            <w:vAlign w:val="bottom"/>
          </w:tcPr>
          <w:p>
            <w:pPr>
              <w:spacing w:after="0"/>
              <w:rPr>
                <w:sz w:val="1"/>
                <w:szCs w:val="1"/>
                <w:color w:val="auto"/>
              </w:rPr>
            </w:pPr>
          </w:p>
        </w:tc>
      </w:tr>
      <w:tr>
        <w:trPr>
          <w:trHeight w:val="190"/>
        </w:trPr>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 xml:space="preserve">1 </w:t>
            </w:r>
            <w:r>
              <w:rPr>
                <w:rFonts w:ascii="Arial" w:cs="Arial" w:eastAsia="Arial" w:hAnsi="Arial"/>
                <w:sz w:val="18"/>
                <w:szCs w:val="18"/>
                <w:i w:val="1"/>
                <w:iCs w:val="1"/>
                <w:color w:val="auto"/>
                <w:w w:val="88"/>
              </w:rPr>
              <w:t>Hull No.</w:t>
            </w:r>
          </w:p>
        </w:tc>
        <w:tc>
          <w:tcPr>
            <w:tcW w:w="3680" w:type="dxa"/>
            <w:vAlign w:val="bottom"/>
            <w:tcBorders>
              <w:top w:val="single" w:sz="8" w:color="CCEEFF"/>
            </w:tcBorders>
            <w:gridSpan w:val="2"/>
            <w:shd w:val="clear" w:color="auto" w:fill="CCEEFF"/>
          </w:tcPr>
          <w:p>
            <w:pPr>
              <w:jc w:val="right"/>
              <w:ind w:right="3280"/>
              <w:spacing w:after="0" w:line="189" w:lineRule="exact"/>
              <w:rPr>
                <w:sz w:val="20"/>
                <w:szCs w:val="20"/>
                <w:color w:val="auto"/>
              </w:rPr>
            </w:pPr>
            <w:r>
              <w:rPr>
                <w:rFonts w:ascii="Arial" w:cs="Arial" w:eastAsia="Arial" w:hAnsi="Arial"/>
                <w:sz w:val="18"/>
                <w:szCs w:val="18"/>
                <w:i w:val="1"/>
                <w:iCs w:val="1"/>
                <w:color w:val="auto"/>
                <w:w w:val="94"/>
              </w:rPr>
              <w:t>2130</w:t>
            </w:r>
          </w:p>
        </w:tc>
        <w:tc>
          <w:tcPr>
            <w:tcW w:w="66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Q1 2018</w:t>
            </w:r>
          </w:p>
        </w:tc>
        <w:tc>
          <w:tcPr>
            <w:tcW w:w="78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6"/>
              </w:rPr>
              <w:t>174,000</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LP-2S</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Shell</w:t>
            </w:r>
          </w:p>
        </w:tc>
        <w:tc>
          <w:tcPr>
            <w:tcW w:w="102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Hull No. 2800</w:t>
            </w: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Q1 2018</w:t>
            </w:r>
          </w:p>
        </w:tc>
        <w:tc>
          <w:tcPr>
            <w:tcW w:w="78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Shell</w:t>
            </w:r>
          </w:p>
        </w:tc>
        <w:tc>
          <w:tcPr>
            <w:tcW w:w="10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Hull No. 2801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Q1 2018</w:t>
            </w:r>
          </w:p>
        </w:tc>
        <w:tc>
          <w:tcPr>
            <w:tcW w:w="7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174,000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Hull No. 2131</w:t>
            </w: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Q1 2019</w:t>
            </w:r>
          </w:p>
        </w:tc>
        <w:tc>
          <w:tcPr>
            <w:tcW w:w="78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Shell</w:t>
            </w:r>
          </w:p>
        </w:tc>
        <w:tc>
          <w:tcPr>
            <w:tcW w:w="10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i w:val="1"/>
                <w:iCs w:val="1"/>
                <w:color w:val="auto"/>
              </w:rPr>
              <w:t>Hull No. 2212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Q2 2019</w:t>
            </w:r>
          </w:p>
        </w:tc>
        <w:tc>
          <w:tcPr>
            <w:tcW w:w="7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180,000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Centrica</w:t>
            </w:r>
          </w:p>
        </w:tc>
        <w:tc>
          <w:tcPr>
            <w:tcW w:w="10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4"/>
          <w:szCs w:val="14"/>
          <w:color w:val="auto"/>
        </w:rPr>
      </w:pPr>
    </w:p>
    <w:p>
      <w:pPr>
        <w:ind w:left="1880" w:hanging="544"/>
        <w:spacing w:after="0"/>
        <w:tabs>
          <w:tab w:leader="none" w:pos="1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References to "LP-2S" refer to low pressure dual-fuel two-stroke engine propulsion.</w:t>
      </w:r>
    </w:p>
    <w:p>
      <w:pPr>
        <w:spacing w:after="0" w:line="122" w:lineRule="exact"/>
        <w:rPr>
          <w:rFonts w:ascii="Arial" w:cs="Arial" w:eastAsia="Arial" w:hAnsi="Arial"/>
          <w:sz w:val="14"/>
          <w:szCs w:val="14"/>
          <w:color w:val="auto"/>
        </w:rPr>
      </w:pPr>
    </w:p>
    <w:p>
      <w:pPr>
        <w:ind w:left="1880" w:hanging="544"/>
        <w:spacing w:after="0"/>
        <w:tabs>
          <w:tab w:leader="none" w:pos="1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left="240" w:right="2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Relationship with GasLog Ltd.</w:t>
      </w:r>
    </w:p>
    <w:p>
      <w:pPr>
        <w:spacing w:after="0" w:line="231" w:lineRule="exact"/>
        <w:rPr>
          <w:sz w:val="20"/>
          <w:szCs w:val="20"/>
          <w:color w:val="auto"/>
        </w:rPr>
      </w:pPr>
    </w:p>
    <w:p>
      <w:pPr>
        <w:ind w:left="240" w:right="140" w:firstLine="348"/>
        <w:spacing w:after="0" w:line="310" w:lineRule="auto"/>
        <w:rPr>
          <w:sz w:val="20"/>
          <w:szCs w:val="20"/>
          <w:color w:val="auto"/>
        </w:rPr>
      </w:pPr>
      <w:r>
        <w:rPr>
          <w:rFonts w:ascii="Arial" w:cs="Arial" w:eastAsia="Arial" w:hAnsi="Arial"/>
          <w:sz w:val="15"/>
          <w:szCs w:val="15"/>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November 3, 2017, GasLog's wholly owned fleet includes 15 LNG carriers (including ten ships in operation and five LNG carriers on order) and GasLog has one LNG carrier operating under its technical management for third parties, and a vessel secured under a long-term bareboat charter from Lepta Shipping, a subsidiary of Mitsui. In addition, GasLog holds a 26.01% interest (including the 2% interest through general partner units) in the Partnership. GasLog was incorporated in 2003 and is effectively controlled by its chairman, Peter G. Livanos, who beneficially owns approximately 40.16% of GasLog's common shares. Mr. Livanos's family's shipping activities commenced more than 100 years ago. Since its initial public offering in April 2012, GasLog has increased by approximately 59%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064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06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4" w:lineRule="auto"/>
        <w:rPr>
          <w:sz w:val="20"/>
          <w:szCs w:val="20"/>
          <w:color w:val="auto"/>
        </w:rPr>
      </w:pPr>
      <w:r>
        <w:rPr>
          <w:rFonts w:ascii="Arial" w:cs="Arial" w:eastAsia="Arial" w:hAnsi="Arial"/>
          <w:sz w:val="16"/>
          <w:szCs w:val="16"/>
          <w:color w:val="auto"/>
        </w:rPr>
        <w:t xml:space="preserve">total carrying capacity of vessels in its fleet, which includes vessels on the water and newbuildings on order. In addition, GasLog, through its wholly owned subsidiary GasLog LNG Services, provides ship management services to the LNG carriers in our fleet, except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170" w:lineRule="exact"/>
        <w:rPr>
          <w:sz w:val="20"/>
          <w:szCs w:val="20"/>
          <w:color w:val="auto"/>
        </w:rPr>
      </w:pPr>
    </w:p>
    <w:p>
      <w:pPr>
        <w:ind w:left="240" w:right="40" w:firstLine="342"/>
        <w:spacing w:after="0" w:line="298" w:lineRule="auto"/>
        <w:rPr>
          <w:sz w:val="20"/>
          <w:szCs w:val="20"/>
          <w:color w:val="auto"/>
        </w:rPr>
      </w:pPr>
      <w:r>
        <w:rPr>
          <w:rFonts w:ascii="Arial" w:cs="Arial" w:eastAsia="Arial" w:hAnsi="Arial"/>
          <w:sz w:val="16"/>
          <w:szCs w:val="16"/>
          <w:color w:val="auto"/>
        </w:rPr>
        <w:t>As of November 3, 2017, GasLog will own our 2.0% general partner interest, all of our incentive distribution rights and 9,984,716 common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right="20" w:firstLine="351"/>
        <w:spacing w:after="0" w:line="298" w:lineRule="auto"/>
        <w:rPr>
          <w:sz w:val="20"/>
          <w:szCs w:val="20"/>
          <w:color w:val="auto"/>
        </w:rPr>
      </w:pPr>
      <w:r>
        <w:rPr>
          <w:rFonts w:ascii="Arial" w:cs="Arial" w:eastAsia="Arial" w:hAnsi="Arial"/>
          <w:sz w:val="16"/>
          <w:szCs w:val="16"/>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Organizational and Ownership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and diagram depict our simplified organizational and ownership structure as of November 3, 2017:</w:t>
      </w: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Percentage</w:t>
            </w:r>
          </w:p>
        </w:tc>
      </w:tr>
      <w:tr>
        <w:trPr>
          <w:trHeight w:val="176"/>
        </w:trPr>
        <w:tc>
          <w:tcPr>
            <w:tcW w:w="23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(1)</w:t>
            </w:r>
          </w:p>
        </w:tc>
        <w:tc>
          <w:tcPr>
            <w:tcW w:w="160" w:type="dxa"/>
            <w:vAlign w:val="bottom"/>
            <w:gridSpan w:val="2"/>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Ownership</w:t>
            </w:r>
          </w:p>
        </w:tc>
        <w:tc>
          <w:tcPr>
            <w:tcW w:w="160" w:type="dxa"/>
            <w:vAlign w:val="bottom"/>
          </w:tcPr>
          <w:p>
            <w:pPr>
              <w:spacing w:after="0"/>
              <w:rPr>
                <w:sz w:val="15"/>
                <w:szCs w:val="15"/>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Common Units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30,762,105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73.99%</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Common Units held by GasLog Ltd.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9,984,716</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24.01%</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831,569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2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41,578,390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4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880" w:right="560" w:hanging="544"/>
        <w:spacing w:after="0" w:line="318" w:lineRule="auto"/>
        <w:tabs>
          <w:tab w:leader="none" w:pos="1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above table does not include 5,750,000 Series A Preference Units which were issued on May 15, 2017. The preference units will not impact the other classes' percentage ownership, as the Series A Preference Units are not included in the calculation of "Percentage Interest" as defined in our Partnership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148590</wp:posOffset>
            </wp:positionV>
            <wp:extent cx="5840095" cy="3782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009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426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Issuer</w:t>
            </w: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GasLog Partners LP.</w:t>
            </w:r>
          </w:p>
        </w:tc>
      </w:tr>
      <w:tr>
        <w:trPr>
          <w:trHeight w:val="432"/>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Common units offered by us</w:t>
            </w: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Common units having an aggregate offering price of up to $144.04 million.</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Manner of offering</w:t>
            </w: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"At-the-market offering" that may be made from time to time through the sales</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agents. Please read "Plan of Distribution".</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We will use the net proceeds from the sale of the securities covered by this</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prospectus for general partnership purposes, which may include future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acquisitions, debt repayment, capital expenditures and additions to working</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capital. We currently expect that this will include future acquisitions from</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GasLog. Please read "Use of Proceeds".</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4"/>
              </w:rPr>
              <w:t>U.S. federal income tax considerations</w:t>
            </w: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Although we are organized as a partnership, we have elected to be treated as a</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corporation solely for U.S. federal income tax purposes. Consequently, all or a</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portion of the distributions you receive from us will constitute dividends for</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such purposes. The remaining portion of such distributions will be treated first</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 a non-taxable return of capital to the extent of your tax basis in your common</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units and, thereafter, as capital gain. Please see "Risk Factors—Tax Risks" in</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our Annual Report on Form 20-F, as filed with the SEC on February 13, 2017</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 incorporated by reference into this prospectus, for a discussion relating to</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taxation of dividends. For a discussion of other material U.S. federal income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tax consequences that may be relevant to prospective unitholders who are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individual citizens or residents of the United States, see "Material U.S. Federal</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Income Tax Considerations".</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Non-U.S. tax considerations</w:t>
            </w: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We have been organized under the laws of the Republic of the Marshall Islands.</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As of November 3, 2017, we have thirteen subsidiaries, one formed in the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Marshall Islands and twelve incorporated in Bermuda. Of our subsidiaries,</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twelve own vessels in our fleet. GasLog Partners, GasLog LNG Services and</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our general partner are expected to be treated as managed and controlled in</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Monaco. For a discussion of material Marshall Islands income tax</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considerations that may be relevant to prospective unitholders and for a</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discussion of the risk that unitholders may assume and for the activities we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undertake in various jurisdictions for taxation purposes, see "Non-United States</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Tax Considerations" and "Risk Factors—Tax Risks" starting on page 42 of our</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Annual Report on Form 20-F.</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Exchange listing</w:t>
            </w: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Our common units are listed on the New York Stock Exchange under the</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symbol "GLOP".</w:t>
            </w:r>
          </w:p>
        </w:tc>
      </w:tr>
      <w:tr>
        <w:trPr>
          <w:trHeight w:val="228"/>
        </w:trPr>
        <w:tc>
          <w:tcPr>
            <w:tcW w:w="4260" w:type="dxa"/>
            <w:vAlign w:val="bottom"/>
            <w:tcBorders>
              <w:left w:val="single" w:sz="8" w:color="auto"/>
              <w:bottom w:val="single" w:sz="8" w:color="auto"/>
            </w:tcBorders>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427"/>
        </w:trPr>
        <w:tc>
          <w:tcPr>
            <w:tcW w:w="4260" w:type="dxa"/>
            <w:vAlign w:val="bottom"/>
          </w:tcPr>
          <w:p>
            <w:pPr>
              <w:spacing w:after="0"/>
              <w:rPr>
                <w:sz w:val="24"/>
                <w:szCs w:val="24"/>
                <w:color w:val="auto"/>
              </w:rPr>
            </w:pPr>
          </w:p>
        </w:tc>
        <w:tc>
          <w:tcPr>
            <w:tcW w:w="7160" w:type="dxa"/>
            <w:vAlign w:val="bottom"/>
          </w:tcPr>
          <w:p>
            <w:pPr>
              <w:ind w:left="1340"/>
              <w:spacing w:after="0"/>
              <w:rPr>
                <w:sz w:val="20"/>
                <w:szCs w:val="20"/>
                <w:color w:val="auto"/>
              </w:rPr>
            </w:pPr>
            <w:r>
              <w:rPr>
                <w:rFonts w:ascii="Arial" w:cs="Arial" w:eastAsia="Arial" w:hAnsi="Arial"/>
                <w:sz w:val="18"/>
                <w:szCs w:val="18"/>
                <w:color w:val="auto"/>
              </w:rPr>
              <w:t>S-8</w:t>
            </w:r>
          </w:p>
        </w:tc>
      </w:tr>
      <w:tr>
        <w:trPr>
          <w:trHeight w:val="228"/>
        </w:trPr>
        <w:tc>
          <w:tcPr>
            <w:tcW w:w="4260" w:type="dxa"/>
            <w:vAlign w:val="bottom"/>
            <w:tcBorders>
              <w:bottom w:val="single" w:sz="8" w:color="808080"/>
            </w:tcBorders>
          </w:tcPr>
          <w:p>
            <w:pPr>
              <w:spacing w:after="0"/>
              <w:rPr>
                <w:sz w:val="19"/>
                <w:szCs w:val="19"/>
                <w:color w:val="auto"/>
              </w:rPr>
            </w:pPr>
          </w:p>
        </w:tc>
        <w:tc>
          <w:tcPr>
            <w:tcW w:w="7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793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Financial and Operating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This information should be read together with, and is qualified in its entirety by, our consolidated financial statements and the notes thereto included in Exhibit 99.3 of the Report on Form 6-K, as filed with the SEC on September 29, 2017 and incorporated by reference into this prospectus and the interim unaudited condensed consolidated financial statements of GasLog Partners included in Exhibit 99.2 of the Report on Form 6-K as furnished to the SEC on October 26, 2017 and incorporated by reference into this prospectus. You should also read "Item 5. Operating and Financial Review and Prospects" included in Exhibit 99.2 of the Report on Form 6-K, as filed with the SEC on September 29, 2017 and incorporated by reference into this prospectus and "Management's Discussion and Analysis of Financial Condition and Results of Operation" in Exhibit 99.2 of the Report on Form 6-K as furnished to the SEC on October 26, 2017 and incorporated by reference into this prospectus.</w:t>
      </w:r>
    </w:p>
    <w:p>
      <w:pPr>
        <w:spacing w:after="0" w:line="172" w:lineRule="exact"/>
        <w:rPr>
          <w:sz w:val="20"/>
          <w:szCs w:val="20"/>
          <w:color w:val="auto"/>
        </w:rPr>
      </w:pPr>
    </w:p>
    <w:p>
      <w:pPr>
        <w:ind w:left="240" w:right="1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IFRS Common Control Reported Results</w:t>
      </w:r>
    </w:p>
    <w:p>
      <w:pPr>
        <w:spacing w:after="0" w:line="231" w:lineRule="exact"/>
        <w:rPr>
          <w:sz w:val="20"/>
          <w:szCs w:val="20"/>
          <w:color w:val="auto"/>
        </w:rPr>
      </w:pPr>
    </w:p>
    <w:p>
      <w:pPr>
        <w:ind w:left="240" w:right="40" w:firstLine="348"/>
        <w:spacing w:after="0" w:line="287" w:lineRule="auto"/>
        <w:rPr>
          <w:sz w:val="20"/>
          <w:szCs w:val="20"/>
          <w:color w:val="auto"/>
        </w:rPr>
      </w:pPr>
      <w:r>
        <w:rPr>
          <w:rFonts w:ascii="Arial" w:cs="Arial" w:eastAsia="Arial" w:hAnsi="Arial"/>
          <w:sz w:val="16"/>
          <w:szCs w:val="16"/>
          <w:color w:val="auto"/>
        </w:rPr>
        <w:t xml:space="preserve">The following table presents, in each case for the periods and as of the dates indicated, summary historical financial and operating data. The summary historical financial data as of December 31, 2014, 2015 and 2016 and for each of the years in the three year period ended December 31, 2016 has been derived from our audited consolidated financial statements of GasLog Partners LP included in Exhibit 99.3 of the Report on Form 6-K, as filed with the SEC on September 29, 2017 and incorporated by reference into this prospectus, after reflecting the retroactive restatement for the transfer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Geneva</w:t>
      </w:r>
      <w:r>
        <w:rPr>
          <w:rFonts w:ascii="Arial" w:cs="Arial" w:eastAsia="Arial" w:hAnsi="Arial"/>
          <w:sz w:val="16"/>
          <w:szCs w:val="16"/>
          <w:color w:val="auto"/>
        </w:rPr>
        <w:t>, on July 3, 2017, from GasLog to GasLog Partners. The summary historical financial data as of September 30, 2017 and for the three- and nine-month periods ended September 30, 2016 and 2017 has been derived from the interim unaudited condensed consolidated financial statements of GasLog Partners LP included in Exhibit 99.2 of our Report on Form 6-K furnished to the SEC on October 26, 2017 and incorporated by reference into this prospectus. The annual financial statements have been prepared in accordance with IFRS, as issued by the International Accounting Standards Board, or the "IASB". The interim financial statements have been prepared in accordance with International Accounting Standard 34 Interim Financial Reporting as issued by the IASB.</w:t>
      </w:r>
    </w:p>
    <w:p>
      <w:pPr>
        <w:spacing w:after="0" w:line="177"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the transfer of one vessel from GasLog to the Partnership in May 2017 and the transfer of one vessel from GasLog to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35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83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color w:val="auto"/>
        </w:rPr>
        <w:t>Partnership in July 2017 were each accounted for as a reorganization of entities under common control under IFRS and prior periods were retroactively restated.</w:t>
      </w:r>
    </w:p>
    <w:p>
      <w:pPr>
        <w:spacing w:after="0" w:line="18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3"/>
              </w:rPr>
              <w:t>Historical</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tcPr>
          <w:p>
            <w:pPr>
              <w:jc w:val="right"/>
              <w:ind w:right="280"/>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1"/>
                <w:szCs w:val="11"/>
                <w:color w:val="auto"/>
              </w:rPr>
            </w:pPr>
          </w:p>
        </w:tc>
        <w:tc>
          <w:tcPr>
            <w:tcW w:w="1360" w:type="dxa"/>
            <w:vAlign w:val="bottom"/>
            <w:gridSpan w:val="4"/>
          </w:tcPr>
          <w:p>
            <w:pPr>
              <w:jc w:val="right"/>
              <w:ind w:right="92"/>
              <w:spacing w:after="0" w:line="129" w:lineRule="exact"/>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1"/>
                <w:szCs w:val="11"/>
                <w:color w:val="auto"/>
              </w:rPr>
            </w:pPr>
          </w:p>
        </w:tc>
      </w:tr>
      <w:tr>
        <w:trPr>
          <w:trHeight w:val="161"/>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52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8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56"/>
        </w:trPr>
        <w:tc>
          <w:tcPr>
            <w:tcW w:w="2860" w:type="dxa"/>
            <w:vAlign w:val="bottom"/>
          </w:tcPr>
          <w:p>
            <w:pPr>
              <w:spacing w:after="0"/>
              <w:rPr>
                <w:sz w:val="13"/>
                <w:szCs w:val="13"/>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13"/>
          </w:tcPr>
          <w:p>
            <w:pPr>
              <w:jc w:val="right"/>
              <w:spacing w:after="0"/>
              <w:rPr>
                <w:sz w:val="20"/>
                <w:szCs w:val="20"/>
                <w:color w:val="auto"/>
              </w:rPr>
            </w:pPr>
            <w:r>
              <w:rPr>
                <w:rFonts w:ascii="Arial" w:cs="Arial" w:eastAsia="Arial" w:hAnsi="Arial"/>
                <w:sz w:val="14"/>
                <w:szCs w:val="14"/>
                <w:b w:val="1"/>
                <w:bCs w:val="1"/>
                <w:color w:val="auto"/>
                <w:w w:val="97"/>
              </w:rPr>
              <w:t>(in thousands of U.S. dollars, except per unit data)</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Revenues</w:t>
            </w:r>
          </w:p>
        </w:tc>
        <w:tc>
          <w:tcPr>
            <w:tcW w:w="160" w:type="dxa"/>
            <w:vAlign w:val="bottom"/>
          </w:tcPr>
          <w:p>
            <w:pPr>
              <w:jc w:val="right"/>
              <w:ind w:right="14"/>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184,222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224,190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259,478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66,033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73,439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186,387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217,923</w:t>
            </w:r>
          </w:p>
        </w:tc>
      </w:tr>
      <w:tr>
        <w:trPr>
          <w:trHeight w:val="149"/>
        </w:trPr>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Vessel operating costs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(35,732)</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(47,748)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(53,082)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(13,536)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(15,066)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(39,425)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(43,568)</w:t>
            </w:r>
          </w:p>
        </w:tc>
      </w:tr>
      <w:tr>
        <w:trPr>
          <w:trHeight w:val="149"/>
        </w:trPr>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Voyage expenses and commissions</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(2,368)</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(2,979)</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(849)</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(921)</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(2,630)</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(2,733)</w:t>
            </w:r>
          </w:p>
        </w:tc>
      </w:tr>
      <w:tr>
        <w:trPr>
          <w:trHeight w:val="149"/>
        </w:trPr>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(39,569)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(49,971)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(56,023)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(14,076)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(15,611)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(40,516)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(46,327)</w:t>
            </w:r>
          </w:p>
        </w:tc>
      </w:tr>
      <w:tr>
        <w:trPr>
          <w:trHeight w:val="149"/>
        </w:trPr>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(6,946)</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(11,542)</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(3,130)</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(3,787)</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(9,227)</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(10,470)</w:t>
            </w:r>
          </w:p>
        </w:tc>
      </w:tr>
      <w:tr>
        <w:trPr>
          <w:trHeight w:val="20"/>
        </w:trPr>
        <w:tc>
          <w:tcPr>
            <w:tcW w:w="2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8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99,607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111,950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134,580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34,442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38,054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94,589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114,825</w:t>
            </w:r>
          </w:p>
        </w:tc>
      </w:tr>
      <w:tr>
        <w:trPr>
          <w:trHeight w:val="142"/>
        </w:trPr>
        <w:tc>
          <w:tcPr>
            <w:tcW w:w="2860" w:type="dxa"/>
            <w:vAlign w:val="bottom"/>
          </w:tcPr>
          <w:p>
            <w:pPr>
              <w:ind w:left="120"/>
              <w:spacing w:after="0" w:line="142" w:lineRule="exact"/>
              <w:rPr>
                <w:sz w:val="20"/>
                <w:szCs w:val="20"/>
                <w:color w:val="auto"/>
              </w:rPr>
            </w:pPr>
            <w:r>
              <w:rPr>
                <w:rFonts w:ascii="Arial" w:cs="Arial" w:eastAsia="Arial" w:hAnsi="Arial"/>
                <w:sz w:val="14"/>
                <w:szCs w:val="14"/>
                <w:color w:val="auto"/>
              </w:rPr>
              <w:t>Financial costs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(37,725)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(31,212)</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(41,796)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(12,249)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(12,319)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(30,162)</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(36,098)</w:t>
            </w:r>
          </w:p>
        </w:tc>
        <w:tc>
          <w:tcPr>
            <w:tcW w:w="160" w:type="dxa"/>
            <w:vAlign w:val="bottom"/>
          </w:tcPr>
          <w:p>
            <w:pPr>
              <w:spacing w:after="0"/>
              <w:rPr>
                <w:sz w:val="12"/>
                <w:szCs w:val="12"/>
                <w:color w:val="auto"/>
              </w:rPr>
            </w:pPr>
          </w:p>
        </w:tc>
      </w:tr>
      <w:tr>
        <w:trPr>
          <w:trHeight w:val="149"/>
        </w:trPr>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Financial income</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669</w:t>
            </w:r>
          </w:p>
        </w:tc>
      </w:tr>
      <w:tr>
        <w:trPr>
          <w:trHeight w:val="149"/>
        </w:trPr>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Loss on interest rate swaps</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(12,903)</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(3,144)</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(2,244)</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(672)</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(6,136)</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w:t>
            </w:r>
          </w:p>
        </w:tc>
      </w:tr>
      <w:tr>
        <w:trPr>
          <w:trHeight w:val="20"/>
        </w:trPr>
        <w:tc>
          <w:tcPr>
            <w:tcW w:w="2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8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(50,579)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(34,327)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(44,118)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(14,404)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(12,680)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(36,167)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(38,414)</w:t>
            </w:r>
          </w:p>
        </w:tc>
      </w:tr>
      <w:tr>
        <w:trPr>
          <w:trHeight w:val="142"/>
        </w:trPr>
        <w:tc>
          <w:tcPr>
            <w:tcW w:w="28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Profit for the year/period</w:t>
            </w:r>
          </w:p>
        </w:tc>
        <w:tc>
          <w:tcPr>
            <w:tcW w:w="1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49,028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77,623</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90,462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25,374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79"/>
              </w:rPr>
              <w:t>58,422</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76,411</w:t>
            </w:r>
          </w:p>
        </w:tc>
        <w:tc>
          <w:tcPr>
            <w:tcW w:w="160" w:type="dxa"/>
            <w:vAlign w:val="bottom"/>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86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b w:val="1"/>
                <w:bCs w:val="1"/>
                <w:color w:val="auto"/>
                <w:w w:val="98"/>
              </w:rPr>
              <w:t>Profit attributable to GasLog's operations</w:t>
            </w:r>
          </w:p>
        </w:tc>
        <w:tc>
          <w:tcPr>
            <w:tcW w:w="160" w:type="dxa"/>
            <w:vAlign w:val="bottom"/>
            <w:shd w:val="clear" w:color="auto" w:fill="CCEEFF"/>
          </w:tcPr>
          <w:p>
            <w:pPr>
              <w:jc w:val="right"/>
              <w:ind w:right="14"/>
              <w:spacing w:after="0" w:line="129"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34,484</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12,583</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13,192</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1,169</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75</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5,979</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rPr>
              <w:t>10,732</w:t>
            </w:r>
          </w:p>
        </w:tc>
      </w:tr>
      <w:tr>
        <w:trPr>
          <w:trHeight w:val="149"/>
        </w:trPr>
        <w:tc>
          <w:tcPr>
            <w:tcW w:w="28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Partnership's profit</w:t>
            </w:r>
          </w:p>
        </w:tc>
        <w:tc>
          <w:tcPr>
            <w:tcW w:w="1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14,544</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65,040</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77,270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18,869</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25,299</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52,443</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65,679</w:t>
            </w:r>
          </w:p>
        </w:tc>
      </w:tr>
      <w:tr>
        <w:trPr>
          <w:trHeight w:val="293"/>
        </w:trPr>
        <w:tc>
          <w:tcPr>
            <w:tcW w:w="2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EARNINGS PER UNIT ATTRIBUTABLE TO</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93"/>
        </w:trPr>
        <w:tc>
          <w:tcPr>
            <w:tcW w:w="2860" w:type="dxa"/>
            <w:vAlign w:val="bottom"/>
            <w:shd w:val="clear" w:color="auto" w:fill="CCEEFF"/>
          </w:tcPr>
          <w:p>
            <w:pPr>
              <w:ind w:left="120"/>
              <w:spacing w:after="0" w:line="193" w:lineRule="exact"/>
              <w:rPr>
                <w:sz w:val="20"/>
                <w:szCs w:val="20"/>
                <w:color w:val="auto"/>
              </w:rPr>
            </w:pPr>
            <w:r>
              <w:rPr>
                <w:rFonts w:ascii="Arial" w:cs="Arial" w:eastAsia="Arial" w:hAnsi="Arial"/>
                <w:sz w:val="14"/>
                <w:szCs w:val="14"/>
                <w:b w:val="1"/>
                <w:bCs w:val="1"/>
                <w:color w:val="auto"/>
              </w:rPr>
              <w:t>THE PARTNERSHIP:</w:t>
            </w:r>
            <w:r>
              <w:rPr>
                <w:rFonts w:ascii="Arial" w:cs="Arial" w:eastAsia="Arial" w:hAnsi="Arial"/>
                <w:sz w:val="22"/>
                <w:szCs w:val="22"/>
                <w:b w:val="1"/>
                <w:bCs w:val="1"/>
                <w:color w:val="auto"/>
                <w:vertAlign w:val="superscript"/>
              </w:rPr>
              <w:t>(2)</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49"/>
        </w:trPr>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Common units (basic)</w:t>
            </w:r>
          </w:p>
        </w:tc>
        <w:tc>
          <w:tcPr>
            <w:tcW w:w="160" w:type="dxa"/>
            <w:vAlign w:val="bottom"/>
          </w:tcPr>
          <w:p>
            <w:pPr>
              <w:jc w:val="right"/>
              <w:ind w:right="14"/>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0.75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w:t>
            </w:r>
          </w:p>
        </w:tc>
      </w:tr>
      <w:tr>
        <w:trPr>
          <w:trHeight w:val="149"/>
        </w:trPr>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units (diluted)</w:t>
            </w:r>
          </w:p>
        </w:tc>
        <w:tc>
          <w:tcPr>
            <w:tcW w:w="16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w:t>
            </w:r>
          </w:p>
        </w:tc>
      </w:tr>
      <w:tr>
        <w:trPr>
          <w:trHeight w:val="176"/>
        </w:trPr>
        <w:tc>
          <w:tcPr>
            <w:tcW w:w="2860" w:type="dxa"/>
            <w:vAlign w:val="bottom"/>
          </w:tcPr>
          <w:p>
            <w:pPr>
              <w:ind w:left="120"/>
              <w:spacing w:after="0" w:line="176" w:lineRule="exact"/>
              <w:rPr>
                <w:sz w:val="20"/>
                <w:szCs w:val="20"/>
                <w:color w:val="auto"/>
              </w:rPr>
            </w:pPr>
            <w:r>
              <w:rPr>
                <w:rFonts w:ascii="Arial" w:cs="Arial" w:eastAsia="Arial" w:hAnsi="Arial"/>
                <w:sz w:val="13"/>
                <w:szCs w:val="13"/>
                <w:color w:val="auto"/>
              </w:rPr>
              <w:t>Subordinated units</w:t>
            </w:r>
            <w:r>
              <w:rPr>
                <w:rFonts w:ascii="Arial" w:cs="Arial" w:eastAsia="Arial" w:hAnsi="Arial"/>
                <w:sz w:val="20"/>
                <w:szCs w:val="20"/>
                <w:color w:val="auto"/>
                <w:vertAlign w:val="superscript"/>
              </w:rPr>
              <w:t>(3)</w:t>
            </w:r>
          </w:p>
        </w:tc>
        <w:tc>
          <w:tcPr>
            <w:tcW w:w="160" w:type="dxa"/>
            <w:vAlign w:val="bottom"/>
          </w:tcPr>
          <w:p>
            <w:pPr>
              <w:jc w:val="right"/>
              <w:ind w:right="14"/>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0.56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1.85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2.14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1.52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0.52</w:t>
            </w:r>
          </w:p>
        </w:tc>
      </w:tr>
      <w:tr>
        <w:trPr>
          <w:trHeight w:val="149"/>
        </w:trPr>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partner units</w:t>
            </w:r>
          </w:p>
        </w:tc>
        <w:tc>
          <w:tcPr>
            <w:tcW w:w="16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w:t>
            </w: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29"/>
        </w:trPr>
        <w:tc>
          <w:tcPr>
            <w:tcW w:w="13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1500" w:type="dxa"/>
            <w:vAlign w:val="bottom"/>
            <w:gridSpan w:val="2"/>
          </w:tcPr>
          <w:p>
            <w:pPr>
              <w:spacing w:after="0"/>
              <w:rPr>
                <w:sz w:val="11"/>
                <w:szCs w:val="11"/>
                <w:color w:val="auto"/>
              </w:rPr>
            </w:pPr>
          </w:p>
        </w:tc>
      </w:tr>
      <w:tr>
        <w:trPr>
          <w:trHeight w:val="161"/>
        </w:trPr>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As of December 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3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6"/>
        </w:trPr>
        <w:tc>
          <w:tcPr>
            <w:tcW w:w="13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7"/>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0"/>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7"/>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1"/>
        </w:trPr>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(in thousands of U.S. dollars)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50,629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62,677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55,819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192,554</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Vessels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1,507,541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1,464,763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1,826,995</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1,782,825</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Vessels under construction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1,618,829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1,616,133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1,904,280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1,986,644</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Borrowings—current portion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66,697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96,086</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Borrowings—non-current portion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900,749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533,555</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1,055,773</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953,018</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620,217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682,250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735,639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898,558</w:t>
            </w:r>
          </w:p>
        </w:tc>
        <w:tc>
          <w:tcPr>
            <w:tcW w:w="1340" w:type="dxa"/>
            <w:vAlign w:val="bottom"/>
          </w:tcPr>
          <w:p>
            <w:pPr>
              <w:spacing w:after="0"/>
              <w:rPr>
                <w:sz w:val="18"/>
                <w:szCs w:val="18"/>
                <w:color w:val="auto"/>
              </w:rPr>
            </w:pPr>
          </w:p>
        </w:tc>
      </w:tr>
      <w:tr>
        <w:trPr>
          <w:trHeight w:val="226"/>
        </w:trPr>
        <w:tc>
          <w:tcPr>
            <w:tcW w:w="134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S-10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95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10"/>
          </w:tcPr>
          <w:p>
            <w:pPr>
              <w:ind w:left="160"/>
              <w:spacing w:after="0"/>
              <w:rPr>
                <w:sz w:val="20"/>
                <w:szCs w:val="20"/>
                <w:color w:val="auto"/>
              </w:rPr>
            </w:pPr>
            <w:r>
              <w:rPr>
                <w:rFonts w:ascii="Arial" w:cs="Arial" w:eastAsia="Arial" w:hAnsi="Arial"/>
                <w:sz w:val="14"/>
                <w:szCs w:val="14"/>
                <w:b w:val="1"/>
                <w:bCs w:val="1"/>
                <w:color w:val="auto"/>
              </w:rPr>
              <w:t>Nine Months</w:t>
            </w:r>
          </w:p>
        </w:tc>
      </w:t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12"/>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11"/>
          </w:tcPr>
          <w:p>
            <w:pPr>
              <w:ind w:left="8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129"/>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88"/>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6"/>
        </w:trPr>
        <w:tc>
          <w:tcPr>
            <w:tcW w:w="1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gridSpan w:val="3"/>
          </w:tcPr>
          <w:p>
            <w:pPr>
              <w:ind w:left="120"/>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gridSpan w:val="3"/>
          </w:tcPr>
          <w:p>
            <w:pPr>
              <w:ind w:left="100"/>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13"/>
          </w:tcPr>
          <w:p>
            <w:pPr>
              <w:jc w:val="center"/>
              <w:ind w:right="12"/>
              <w:spacing w:after="0"/>
              <w:rPr>
                <w:sz w:val="20"/>
                <w:szCs w:val="20"/>
                <w:color w:val="auto"/>
              </w:rPr>
            </w:pPr>
            <w:r>
              <w:rPr>
                <w:rFonts w:ascii="Arial" w:cs="Arial" w:eastAsia="Arial" w:hAnsi="Arial"/>
                <w:sz w:val="14"/>
                <w:szCs w:val="14"/>
                <w:b w:val="1"/>
                <w:bCs w:val="1"/>
                <w:color w:val="auto"/>
                <w:w w:val="85"/>
              </w:rPr>
              <w:t>(in thousands of U.S. dollars)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w w:val="89"/>
              </w:rPr>
              <w:t>Net cash provided by operating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w w:val="96"/>
              </w:rPr>
              <w:t>$  128,064</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  125,934</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  176,770</w:t>
            </w:r>
          </w:p>
        </w:tc>
        <w:tc>
          <w:tcPr>
            <w:tcW w:w="3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32"/>
              <w:spacing w:after="0"/>
              <w:rPr>
                <w:sz w:val="20"/>
                <w:szCs w:val="20"/>
                <w:color w:val="auto"/>
              </w:rPr>
            </w:pPr>
            <w:r>
              <w:rPr>
                <w:rFonts w:ascii="Arial" w:cs="Arial" w:eastAsia="Arial" w:hAnsi="Arial"/>
                <w:sz w:val="18"/>
                <w:szCs w:val="18"/>
                <w:color w:val="auto"/>
                <w:w w:val="95"/>
              </w:rPr>
              <w:t>131,477</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124,157</w:t>
            </w:r>
          </w:p>
        </w:tc>
        <w:tc>
          <w:tcPr>
            <w:tcW w:w="40" w:type="dxa"/>
            <w:vAlign w:val="bottom"/>
          </w:tcPr>
          <w:p>
            <w:pPr>
              <w:spacing w:after="0"/>
              <w:rPr>
                <w:sz w:val="18"/>
                <w:szCs w:val="18"/>
                <w:color w:val="auto"/>
              </w:rPr>
            </w:pPr>
          </w:p>
        </w:tc>
      </w:tr>
      <w:tr>
        <w:trPr>
          <w:trHeight w:val="216"/>
        </w:trPr>
        <w:tc>
          <w:tcPr>
            <w:tcW w:w="37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Net cash (used in)/provided by investing activities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(809,337)</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14,421</w:t>
            </w:r>
          </w:p>
        </w:tc>
        <w:tc>
          <w:tcPr>
            <w:tcW w:w="1120" w:type="dxa"/>
            <w:vAlign w:val="bottom"/>
            <w:gridSpan w:val="6"/>
            <w:shd w:val="clear" w:color="auto" w:fill="CCEEFF"/>
          </w:tcPr>
          <w:p>
            <w:pPr>
              <w:jc w:val="right"/>
              <w:ind w:right="30"/>
              <w:spacing w:after="0"/>
              <w:rPr>
                <w:sz w:val="20"/>
                <w:szCs w:val="20"/>
                <w:color w:val="auto"/>
              </w:rPr>
            </w:pPr>
            <w:r>
              <w:rPr>
                <w:rFonts w:ascii="Arial" w:cs="Arial" w:eastAsia="Arial" w:hAnsi="Arial"/>
                <w:sz w:val="18"/>
                <w:szCs w:val="18"/>
                <w:color w:val="auto"/>
              </w:rPr>
              <w:t>(341,960)</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(333,419)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3,297</w:t>
            </w:r>
          </w:p>
        </w:tc>
        <w:tc>
          <w:tcPr>
            <w:tcW w:w="40" w:type="dxa"/>
            <w:vAlign w:val="bottom"/>
            <w:shd w:val="clear" w:color="auto" w:fill="CCEEFF"/>
          </w:tcPr>
          <w:p>
            <w:pPr>
              <w:spacing w:after="0"/>
              <w:rPr>
                <w:sz w:val="18"/>
                <w:szCs w:val="18"/>
                <w:color w:val="auto"/>
              </w:rPr>
            </w:pPr>
          </w:p>
        </w:tc>
      </w:tr>
      <w:tr>
        <w:trPr>
          <w:trHeight w:val="222"/>
        </w:trPr>
        <w:tc>
          <w:tcPr>
            <w:tcW w:w="3780" w:type="dxa"/>
            <w:vAlign w:val="bottom"/>
            <w:gridSpan w:val="5"/>
          </w:tcPr>
          <w:p>
            <w:pPr>
              <w:spacing w:after="0"/>
              <w:rPr>
                <w:sz w:val="20"/>
                <w:szCs w:val="20"/>
                <w:color w:val="auto"/>
              </w:rPr>
            </w:pPr>
            <w:r>
              <w:rPr>
                <w:rFonts w:ascii="Arial" w:cs="Arial" w:eastAsia="Arial" w:hAnsi="Arial"/>
                <w:sz w:val="18"/>
                <w:szCs w:val="18"/>
                <w:color w:val="auto"/>
                <w:w w:val="95"/>
              </w:rPr>
              <w:t>Net cash provided by/(used in) financing activities</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711,785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(128,307)</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158,332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ind w:right="32"/>
              <w:spacing w:after="0"/>
              <w:rPr>
                <w:sz w:val="20"/>
                <w:szCs w:val="20"/>
                <w:color w:val="auto"/>
              </w:rPr>
            </w:pPr>
            <w:r>
              <w:rPr>
                <w:rFonts w:ascii="Arial" w:cs="Arial" w:eastAsia="Arial" w:hAnsi="Arial"/>
                <w:sz w:val="18"/>
                <w:szCs w:val="18"/>
                <w:color w:val="auto"/>
                <w:w w:val="95"/>
              </w:rPr>
              <w:t>258,680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9,281</w:t>
            </w:r>
          </w:p>
        </w:tc>
        <w:tc>
          <w:tcPr>
            <w:tcW w:w="40" w:type="dxa"/>
            <w:vAlign w:val="bottom"/>
          </w:tcPr>
          <w:p>
            <w:pPr>
              <w:spacing w:after="0"/>
              <w:rPr>
                <w:sz w:val="19"/>
                <w:szCs w:val="19"/>
                <w:color w:val="auto"/>
              </w:rPr>
            </w:pPr>
          </w:p>
        </w:tc>
      </w:tr>
      <w:tr>
        <w:trPr>
          <w:trHeight w:val="778"/>
        </w:trPr>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24"/>
                <w:szCs w:val="24"/>
                <w:color w:val="auto"/>
              </w:rPr>
            </w:pPr>
          </w:p>
        </w:tc>
        <w:tc>
          <w:tcPr>
            <w:tcW w:w="158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9"/>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4"/>
                <w:szCs w:val="14"/>
                <w:color w:val="auto"/>
              </w:rPr>
            </w:pPr>
          </w:p>
        </w:tc>
        <w:tc>
          <w:tcPr>
            <w:tcW w:w="1220" w:type="dxa"/>
            <w:vAlign w:val="bottom"/>
            <w:gridSpan w:val="6"/>
          </w:tcPr>
          <w:p>
            <w:pPr>
              <w:ind w:left="1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58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3"/>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gridSpan w:val="2"/>
          </w:tcPr>
          <w:p>
            <w:pPr>
              <w:spacing w:after="0"/>
              <w:rPr>
                <w:sz w:val="14"/>
                <w:szCs w:val="14"/>
                <w:color w:val="auto"/>
              </w:rPr>
            </w:pPr>
          </w:p>
        </w:tc>
        <w:tc>
          <w:tcPr>
            <w:tcW w:w="78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100" w:type="dxa"/>
            <w:vAlign w:val="bottom"/>
            <w:tcBorders>
              <w:top w:val="single" w:sz="8" w:color="auto"/>
            </w:tcBorders>
            <w:gridSpan w:val="2"/>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gridSpan w:val="4"/>
          </w:tcPr>
          <w:p>
            <w:pPr>
              <w:ind w:left="60"/>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FLEET DATA*:</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900" w:type="dxa"/>
            <w:vAlign w:val="bottom"/>
            <w:gridSpan w:val="3"/>
          </w:tcPr>
          <w:p>
            <w:pPr>
              <w:spacing w:after="0" w:line="149" w:lineRule="exact"/>
              <w:rPr>
                <w:sz w:val="20"/>
                <w:szCs w:val="20"/>
                <w:color w:val="auto"/>
              </w:rPr>
            </w:pPr>
            <w:r>
              <w:rPr>
                <w:rFonts w:ascii="Arial" w:cs="Arial" w:eastAsia="Arial" w:hAnsi="Arial"/>
                <w:sz w:val="14"/>
                <w:szCs w:val="14"/>
                <w:color w:val="auto"/>
              </w:rPr>
              <w:t>Number of LNG carriers at end of period</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Average number of LNG carriers during period</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2"/>
              </w:rPr>
              <w:t>9.7</w:t>
            </w: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900" w:type="dxa"/>
            <w:vAlign w:val="bottom"/>
            <w:gridSpan w:val="3"/>
          </w:tcPr>
          <w:p>
            <w:pPr>
              <w:spacing w:after="0" w:line="149" w:lineRule="exact"/>
              <w:rPr>
                <w:sz w:val="20"/>
                <w:szCs w:val="20"/>
                <w:color w:val="auto"/>
              </w:rPr>
            </w:pPr>
            <w:r>
              <w:rPr>
                <w:rFonts w:ascii="Arial" w:cs="Arial" w:eastAsia="Arial" w:hAnsi="Arial"/>
                <w:sz w:val="14"/>
                <w:szCs w:val="14"/>
                <w:color w:val="auto"/>
              </w:rPr>
              <w:t>Average age of LNG carriers (years)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6.0</w:t>
            </w:r>
          </w:p>
        </w:tc>
        <w:tc>
          <w:tcPr>
            <w:tcW w:w="6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2"/>
              </w:rPr>
              <w:t>5.7</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calendar days of fleet for the period</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2,595</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3,285</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3,663</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1,012</w:t>
            </w:r>
          </w:p>
        </w:tc>
        <w:tc>
          <w:tcPr>
            <w:tcW w:w="9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2,651</w:t>
            </w: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3,003</w:t>
            </w: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84"/>
        </w:trPr>
        <w:tc>
          <w:tcPr>
            <w:tcW w:w="2900" w:type="dxa"/>
            <w:vAlign w:val="bottom"/>
            <w:gridSpan w:val="3"/>
          </w:tcPr>
          <w:p>
            <w:pPr>
              <w:spacing w:after="0"/>
              <w:rPr>
                <w:sz w:val="20"/>
                <w:szCs w:val="20"/>
                <w:color w:val="auto"/>
              </w:rPr>
            </w:pPr>
            <w:r>
              <w:rPr>
                <w:rFonts w:ascii="Arial" w:cs="Arial" w:eastAsia="Arial" w:hAnsi="Arial"/>
                <w:sz w:val="14"/>
                <w:szCs w:val="14"/>
                <w:color w:val="auto"/>
              </w:rPr>
              <w:t>Total operating days of fleet for the period</w:t>
            </w:r>
            <w:r>
              <w:rPr>
                <w:rFonts w:ascii="Arial" w:cs="Arial" w:eastAsia="Arial" w:hAnsi="Arial"/>
                <w:sz w:val="22"/>
                <w:szCs w:val="22"/>
                <w:color w:val="auto"/>
                <w:vertAlign w:val="superscript"/>
              </w:rPr>
              <w:t>(4)</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2,586</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3,220</w:t>
            </w:r>
          </w:p>
        </w:tc>
        <w:tc>
          <w:tcPr>
            <w:tcW w:w="8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3,618</w:t>
            </w:r>
          </w:p>
        </w:tc>
        <w:tc>
          <w:tcPr>
            <w:tcW w:w="6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920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1,012</w:t>
            </w:r>
          </w:p>
        </w:tc>
        <w:tc>
          <w:tcPr>
            <w:tcW w:w="980" w:type="dxa"/>
            <w:vAlign w:val="bottom"/>
            <w:gridSpan w:val="6"/>
          </w:tcPr>
          <w:p>
            <w:pPr>
              <w:jc w:val="right"/>
              <w:ind w:right="40"/>
              <w:spacing w:after="0"/>
              <w:rPr>
                <w:sz w:val="20"/>
                <w:szCs w:val="20"/>
                <w:color w:val="auto"/>
              </w:rPr>
            </w:pPr>
            <w:r>
              <w:rPr>
                <w:rFonts w:ascii="Arial" w:cs="Arial" w:eastAsia="Arial" w:hAnsi="Arial"/>
                <w:sz w:val="14"/>
                <w:szCs w:val="14"/>
                <w:color w:val="auto"/>
              </w:rPr>
              <w:t>2,606</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18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3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960" w:type="dxa"/>
            <w:vAlign w:val="bottom"/>
            <w:gridSpan w:val="3"/>
          </w:tcPr>
          <w:p>
            <w:pPr>
              <w:jc w:val="center"/>
              <w:ind w:left="436"/>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3140" w:type="dxa"/>
            <w:vAlign w:val="bottom"/>
          </w:tcPr>
          <w:p>
            <w:pPr>
              <w:spacing w:after="0"/>
              <w:rPr>
                <w:sz w:val="14"/>
                <w:szCs w:val="14"/>
                <w:color w:val="auto"/>
              </w:rPr>
            </w:pPr>
          </w:p>
        </w:tc>
        <w:tc>
          <w:tcPr>
            <w:tcW w:w="2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Pr>
          <w:p>
            <w:pPr>
              <w:spacing w:after="0"/>
              <w:rPr>
                <w:sz w:val="14"/>
                <w:szCs w:val="14"/>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r>
      <w:tr>
        <w:trPr>
          <w:trHeight w:val="156"/>
        </w:trPr>
        <w:tc>
          <w:tcPr>
            <w:tcW w:w="314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60" w:type="dxa"/>
            <w:vAlign w:val="bottom"/>
          </w:tcPr>
          <w:p>
            <w:pPr>
              <w:ind w:left="20"/>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80" w:type="dxa"/>
            <w:vAlign w:val="bottom"/>
          </w:tcPr>
          <w:p>
            <w:pPr>
              <w:spacing w:after="0"/>
              <w:rPr>
                <w:sz w:val="13"/>
                <w:szCs w:val="13"/>
                <w:color w:val="auto"/>
              </w:rPr>
            </w:pPr>
          </w:p>
        </w:tc>
        <w:tc>
          <w:tcPr>
            <w:tcW w:w="660" w:type="dxa"/>
            <w:vAlign w:val="bottom"/>
            <w:gridSpan w:val="2"/>
          </w:tcPr>
          <w:p>
            <w:pPr>
              <w:ind w:left="20"/>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61"/>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7"/>
          </w:tcPr>
          <w:p>
            <w:pPr>
              <w:ind w:left="200"/>
              <w:spacing w:after="0"/>
              <w:rPr>
                <w:sz w:val="20"/>
                <w:szCs w:val="20"/>
                <w:color w:val="auto"/>
              </w:rPr>
            </w:pPr>
            <w:r>
              <w:rPr>
                <w:rFonts w:ascii="Arial" w:cs="Arial" w:eastAsia="Arial" w:hAnsi="Arial"/>
                <w:sz w:val="14"/>
                <w:szCs w:val="14"/>
                <w:b w:val="1"/>
                <w:bCs w:val="1"/>
                <w:color w:val="auto"/>
              </w:rPr>
              <w:t>(in thousands of U.S. dollars)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6"/>
        </w:trPr>
        <w:tc>
          <w:tcPr>
            <w:tcW w:w="3140" w:type="dxa"/>
            <w:vAlign w:val="bottom"/>
          </w:tcPr>
          <w:p>
            <w:pPr>
              <w:ind w:left="120"/>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   139,176</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   161,921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   190,603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48,518</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$ 53,665</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   135,105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161,152</w:t>
            </w:r>
          </w:p>
        </w:tc>
      </w:tr>
      <w:tr>
        <w:trPr>
          <w:trHeight w:val="149"/>
        </w:trPr>
        <w:tc>
          <w:tcPr>
            <w:tcW w:w="3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9"/>
        </w:trPr>
        <w:tc>
          <w:tcPr>
            <w:tcW w:w="3140" w:type="dxa"/>
            <w:vAlign w:val="bottom"/>
          </w:tcPr>
          <w:p>
            <w:pPr>
              <w:ind w:left="240"/>
              <w:spacing w:after="0" w:line="149" w:lineRule="exact"/>
              <w:rPr>
                <w:sz w:val="20"/>
                <w:szCs w:val="20"/>
                <w:color w:val="auto"/>
              </w:rPr>
            </w:pPr>
            <w:r>
              <w:rPr>
                <w:rFonts w:ascii="Arial" w:cs="Arial" w:eastAsia="Arial" w:hAnsi="Arial"/>
                <w:sz w:val="14"/>
                <w:szCs w:val="14"/>
                <w:color w:val="auto"/>
              </w:rPr>
              <w:t>Payment for vessels and vessel additions</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789,179</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7,317</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337,647</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162,775</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1,509</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333,534</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1,799</w:t>
            </w:r>
          </w:p>
        </w:tc>
      </w:tr>
      <w:tr>
        <w:trPr>
          <w:trHeight w:val="176"/>
        </w:trPr>
        <w:tc>
          <w:tcPr>
            <w:tcW w:w="3140" w:type="dxa"/>
            <w:vAlign w:val="bottom"/>
            <w:shd w:val="clear" w:color="auto" w:fill="CCEEFF"/>
          </w:tcPr>
          <w:p>
            <w:pPr>
              <w:ind w:left="240"/>
              <w:spacing w:after="0" w:line="176" w:lineRule="exact"/>
              <w:rPr>
                <w:sz w:val="20"/>
                <w:szCs w:val="20"/>
                <w:color w:val="auto"/>
              </w:rPr>
            </w:pPr>
            <w:r>
              <w:rPr>
                <w:rFonts w:ascii="Arial" w:cs="Arial" w:eastAsia="Arial" w:hAnsi="Arial"/>
                <w:sz w:val="13"/>
                <w:szCs w:val="13"/>
                <w:color w:val="auto"/>
              </w:rPr>
              <w:t>Distributable cash flow</w:t>
            </w:r>
            <w:r>
              <w:rPr>
                <w:rFonts w:ascii="Arial" w:cs="Arial" w:eastAsia="Arial" w:hAnsi="Arial"/>
                <w:sz w:val="20"/>
                <w:szCs w:val="20"/>
                <w:color w:val="auto"/>
                <w:vertAlign w:val="superscript"/>
              </w:rPr>
              <w:t>(5)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27,259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72,254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83,660</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21,413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26,867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60,117</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73,618</w:t>
            </w:r>
          </w:p>
        </w:tc>
      </w:tr>
      <w:tr>
        <w:trPr>
          <w:trHeight w:val="149"/>
        </w:trPr>
        <w:tc>
          <w:tcPr>
            <w:tcW w:w="3140" w:type="dxa"/>
            <w:vAlign w:val="bottom"/>
          </w:tcPr>
          <w:p>
            <w:pPr>
              <w:ind w:left="240"/>
              <w:spacing w:after="0" w:line="149" w:lineRule="exact"/>
              <w:rPr>
                <w:sz w:val="20"/>
                <w:szCs w:val="20"/>
                <w:color w:val="auto"/>
              </w:rPr>
            </w:pPr>
            <w:r>
              <w:rPr>
                <w:rFonts w:ascii="Arial" w:cs="Arial" w:eastAsia="Arial" w:hAnsi="Arial"/>
                <w:sz w:val="14"/>
                <w:szCs w:val="14"/>
                <w:color w:val="auto"/>
              </w:rPr>
              <w:t>Cash distributions declared</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22,179</w:t>
            </w:r>
            <w:r>
              <w:rPr>
                <w:rFonts w:ascii="Arial" w:cs="Arial" w:eastAsia="Arial" w:hAnsi="Arial"/>
                <w:sz w:val="17"/>
                <w:szCs w:val="17"/>
                <w:color w:val="auto"/>
                <w:vertAlign w:val="superscript"/>
              </w:rPr>
              <w:t>(6)</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58,992</w:t>
            </w:r>
            <w:r>
              <w:rPr>
                <w:rFonts w:ascii="Arial" w:cs="Arial" w:eastAsia="Arial" w:hAnsi="Arial"/>
                <w:sz w:val="17"/>
                <w:szCs w:val="17"/>
                <w:color w:val="auto"/>
                <w:vertAlign w:val="superscript"/>
              </w:rPr>
              <w:t>(7)</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65,577</w:t>
            </w:r>
            <w:r>
              <w:rPr>
                <w:rFonts w:ascii="Arial" w:cs="Arial" w:eastAsia="Arial" w:hAnsi="Arial"/>
                <w:sz w:val="17"/>
                <w:szCs w:val="17"/>
                <w:color w:val="auto"/>
                <w:vertAlign w:val="superscript"/>
              </w:rPr>
              <w:t>(8)</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17,077</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21,001</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48,500</w:t>
            </w:r>
            <w:r>
              <w:rPr>
                <w:rFonts w:ascii="Arial" w:cs="Arial" w:eastAsia="Arial" w:hAnsi="Arial"/>
                <w:sz w:val="17"/>
                <w:szCs w:val="17"/>
                <w:color w:val="auto"/>
                <w:vertAlign w:val="superscript"/>
              </w:rPr>
              <w:t>(9)</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49"/>
        </w:trPr>
        <w:tc>
          <w:tcPr>
            <w:tcW w:w="31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Cash distributions paid</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23,169</w:t>
            </w:r>
            <w:r>
              <w:rPr>
                <w:rFonts w:ascii="Arial" w:cs="Arial" w:eastAsia="Arial" w:hAnsi="Arial"/>
                <w:sz w:val="17"/>
                <w:szCs w:val="17"/>
                <w:color w:val="auto"/>
                <w:vertAlign w:val="superscript"/>
              </w:rPr>
              <w:t>(6)</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60,002</w:t>
            </w:r>
            <w:r>
              <w:rPr>
                <w:rFonts w:ascii="Arial" w:cs="Arial" w:eastAsia="Arial" w:hAnsi="Arial"/>
                <w:sz w:val="17"/>
                <w:szCs w:val="17"/>
                <w:color w:val="auto"/>
                <w:vertAlign w:val="superscript"/>
              </w:rPr>
              <w:t>(7)</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73,377</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17,077</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21,001</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56,300</w:t>
            </w:r>
            <w:r>
              <w:rPr>
                <w:rFonts w:ascii="Arial" w:cs="Arial" w:eastAsia="Arial" w:hAnsi="Arial"/>
                <w:sz w:val="17"/>
                <w:szCs w:val="17"/>
                <w:color w:val="auto"/>
                <w:vertAlign w:val="superscript"/>
              </w:rPr>
              <w:t>(9)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(10)</w:t>
            </w:r>
          </w:p>
        </w:tc>
      </w:tr>
      <w:tr>
        <w:trPr>
          <w:trHeight w:val="172"/>
        </w:trPr>
        <w:tc>
          <w:tcPr>
            <w:tcW w:w="3140" w:type="dxa"/>
            <w:vAlign w:val="bottom"/>
          </w:tcPr>
          <w:p>
            <w:pPr>
              <w:ind w:left="240"/>
              <w:spacing w:after="0"/>
              <w:rPr>
                <w:sz w:val="20"/>
                <w:szCs w:val="20"/>
                <w:color w:val="auto"/>
              </w:rPr>
            </w:pPr>
            <w:r>
              <w:rPr>
                <w:rFonts w:ascii="Arial" w:cs="Arial" w:eastAsia="Arial" w:hAnsi="Arial"/>
                <w:sz w:val="14"/>
                <w:szCs w:val="14"/>
                <w:color w:val="auto"/>
                <w:w w:val="99"/>
              </w:rPr>
              <w:t>Preference unit distributions declared and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4,133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4,133</w:t>
            </w:r>
          </w:p>
        </w:tc>
      </w:tr>
    </w:tbl>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Partnership Performance Results</w:t>
      </w:r>
    </w:p>
    <w:p>
      <w:pPr>
        <w:spacing w:after="0" w:line="231" w:lineRule="exact"/>
        <w:rPr>
          <w:sz w:val="20"/>
          <w:szCs w:val="20"/>
          <w:color w:val="auto"/>
        </w:rPr>
      </w:pPr>
    </w:p>
    <w:p>
      <w:pPr>
        <w:ind w:left="240" w:firstLine="348"/>
        <w:spacing w:after="0" w:line="323" w:lineRule="auto"/>
        <w:rPr>
          <w:sz w:val="20"/>
          <w:szCs w:val="20"/>
          <w:color w:val="auto"/>
        </w:rPr>
      </w:pPr>
      <w:r>
        <w:rPr>
          <w:rFonts w:ascii="Arial" w:cs="Arial" w:eastAsia="Arial" w:hAnsi="Arial"/>
          <w:sz w:val="15"/>
          <w:szCs w:val="15"/>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536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853694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calculation of the quarterly distribution and the earnings per unit, which similarly exclude the results of vessels prior to their transfer to the Partnership.</w:t>
      </w:r>
    </w:p>
    <w:p>
      <w:pPr>
        <w:spacing w:after="0" w:line="23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90"/>
              </w:rPr>
              <w:t>Nine Months</w:t>
            </w:r>
          </w:p>
        </w:tc>
        <w:tc>
          <w:tcPr>
            <w:tcW w:w="2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center"/>
              <w:ind w:left="68"/>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9"/>
          </w:tcPr>
          <w:p>
            <w:pPr>
              <w:jc w:val="center"/>
              <w:ind w:right="48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47"/>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72"/>
              </w:rPr>
              <w:t>thousands of U.S.</w:t>
            </w:r>
          </w:p>
        </w:tc>
        <w:tc>
          <w:tcPr>
            <w:tcW w:w="40" w:type="dxa"/>
            <w:vAlign w:val="bottom"/>
          </w:tcPr>
          <w:p>
            <w:pPr>
              <w:spacing w:after="0"/>
              <w:rPr>
                <w:sz w:val="12"/>
                <w:szCs w:val="12"/>
                <w:color w:val="auto"/>
              </w:rPr>
            </w:pPr>
          </w:p>
        </w:tc>
        <w:tc>
          <w:tcPr>
            <w:tcW w:w="8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w w:val="82"/>
              </w:rPr>
              <w:t>dollars)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PARTNERSHIP</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PERFORMANCE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STATEMENT OF PROFIT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262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OR LOSS</w:t>
            </w:r>
            <w:r>
              <w:rPr>
                <w:rFonts w:ascii="Arial" w:cs="Arial" w:eastAsia="Arial" w:hAnsi="Arial"/>
                <w:sz w:val="29"/>
                <w:szCs w:val="29"/>
                <w:b w:val="1"/>
                <w:bCs w:val="1"/>
                <w:color w:val="auto"/>
                <w:vertAlign w:val="superscript"/>
              </w:rPr>
              <w:t>(5)</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65,931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168,927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5"/>
          </w:tcPr>
          <w:p>
            <w:pPr>
              <w:jc w:val="right"/>
              <w:ind w:right="92"/>
              <w:spacing w:after="0"/>
              <w:rPr>
                <w:sz w:val="20"/>
                <w:szCs w:val="20"/>
                <w:color w:val="auto"/>
              </w:rPr>
            </w:pPr>
            <w:r>
              <w:rPr>
                <w:rFonts w:ascii="Arial" w:cs="Arial" w:eastAsia="Arial" w:hAnsi="Arial"/>
                <w:sz w:val="18"/>
                <w:szCs w:val="18"/>
                <w:color w:val="auto"/>
                <w:w w:val="92"/>
              </w:rPr>
              <w:t>206,424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51,452</w:t>
            </w:r>
          </w:p>
        </w:tc>
        <w:tc>
          <w:tcPr>
            <w:tcW w:w="160" w:type="dxa"/>
            <w:vAlign w:val="bottom"/>
          </w:tcPr>
          <w:p>
            <w:pPr>
              <w:spacing w:after="0"/>
              <w:rPr>
                <w:sz w:val="18"/>
                <w:szCs w:val="18"/>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73,277</w:t>
            </w:r>
          </w:p>
        </w:tc>
        <w:tc>
          <w:tcPr>
            <w:tcW w:w="100" w:type="dxa"/>
            <w:vAlign w:val="bottom"/>
          </w:tcPr>
          <w:p>
            <w:pPr>
              <w:spacing w:after="0"/>
              <w:rPr>
                <w:sz w:val="18"/>
                <w:szCs w:val="18"/>
                <w:color w:val="auto"/>
              </w:rPr>
            </w:pPr>
          </w:p>
        </w:tc>
        <w:tc>
          <w:tcPr>
            <w:tcW w:w="880" w:type="dxa"/>
            <w:vAlign w:val="bottom"/>
            <w:gridSpan w:val="6"/>
          </w:tcPr>
          <w:p>
            <w:pPr>
              <w:jc w:val="right"/>
              <w:ind w:right="120"/>
              <w:spacing w:after="0"/>
              <w:rPr>
                <w:sz w:val="20"/>
                <w:szCs w:val="20"/>
                <w:color w:val="auto"/>
              </w:rPr>
            </w:pPr>
            <w:r>
              <w:rPr>
                <w:rFonts w:ascii="Arial" w:cs="Arial" w:eastAsia="Arial" w:hAnsi="Arial"/>
                <w:sz w:val="18"/>
                <w:szCs w:val="18"/>
                <w:color w:val="auto"/>
                <w:w w:val="92"/>
              </w:rPr>
              <w:t>$ 150,446</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$ 192,852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Vessel operating costs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(12,226)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w w:val="98"/>
              </w:rPr>
              <w:t>(43,479)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72"/>
              <w:spacing w:after="0"/>
              <w:rPr>
                <w:sz w:val="20"/>
                <w:szCs w:val="20"/>
                <w:color w:val="auto"/>
              </w:rPr>
            </w:pPr>
            <w:r>
              <w:rPr>
                <w:rFonts w:ascii="Arial" w:cs="Arial" w:eastAsia="Arial" w:hAnsi="Arial"/>
                <w:sz w:val="18"/>
                <w:szCs w:val="18"/>
                <w:color w:val="auto"/>
                <w:w w:val="92"/>
              </w:rPr>
              <w:t>(10,822)</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(15,046)</w:t>
            </w:r>
          </w:p>
        </w:tc>
        <w:tc>
          <w:tcPr>
            <w:tcW w:w="8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(32,634)</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(39,523)</w:t>
            </w:r>
          </w:p>
        </w:tc>
        <w:tc>
          <w:tcPr>
            <w:tcW w:w="20" w:type="dxa"/>
            <w:vAlign w:val="bottom"/>
          </w:tcPr>
          <w:p>
            <w:pPr>
              <w:spacing w:after="0"/>
              <w:rPr>
                <w:sz w:val="18"/>
                <w:szCs w:val="18"/>
                <w:color w:val="auto"/>
              </w:rPr>
            </w:pPr>
          </w:p>
        </w:tc>
      </w:tr>
      <w:tr>
        <w:trPr>
          <w:trHeight w:val="208"/>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Voyage expenses and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620" w:type="dxa"/>
            <w:vAlign w:val="bottom"/>
            <w:gridSpan w:val="2"/>
          </w:tcPr>
          <w:p>
            <w:pPr>
              <w:ind w:left="320"/>
              <w:spacing w:after="0"/>
              <w:rPr>
                <w:sz w:val="20"/>
                <w:szCs w:val="20"/>
                <w:color w:val="auto"/>
              </w:rPr>
            </w:pPr>
            <w:r>
              <w:rPr>
                <w:rFonts w:ascii="Arial" w:cs="Arial" w:eastAsia="Arial" w:hAnsi="Arial"/>
                <w:sz w:val="18"/>
                <w:szCs w:val="18"/>
                <w:color w:val="auto"/>
              </w:rPr>
              <w:t>commissions</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ind w:right="32"/>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4"/>
          </w:tcPr>
          <w:p>
            <w:pPr>
              <w:jc w:val="right"/>
              <w:ind w:right="72"/>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(919)</w:t>
            </w:r>
          </w:p>
        </w:tc>
        <w:tc>
          <w:tcPr>
            <w:tcW w:w="880" w:type="dxa"/>
            <w:vAlign w:val="bottom"/>
            <w:gridSpan w:val="6"/>
          </w:tcPr>
          <w:p>
            <w:pPr>
              <w:jc w:val="right"/>
              <w:ind w:right="60"/>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(2,420)</w:t>
            </w:r>
          </w:p>
        </w:tc>
        <w:tc>
          <w:tcPr>
            <w:tcW w:w="20" w:type="dxa"/>
            <w:vAlign w:val="bottom"/>
          </w:tcPr>
          <w:p>
            <w:pPr>
              <w:spacing w:after="0"/>
              <w:rPr>
                <w:sz w:val="19"/>
                <w:szCs w:val="19"/>
                <w:color w:val="auto"/>
              </w:rPr>
            </w:pPr>
          </w:p>
        </w:tc>
      </w:tr>
      <w:tr>
        <w:trPr>
          <w:trHeight w:val="217"/>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(13,352)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(35,981)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w w:val="98"/>
              </w:rPr>
              <w:t>(45,230)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72"/>
              <w:spacing w:after="0"/>
              <w:rPr>
                <w:sz w:val="20"/>
                <w:szCs w:val="20"/>
                <w:color w:val="auto"/>
              </w:rPr>
            </w:pPr>
            <w:r>
              <w:rPr>
                <w:rFonts w:ascii="Arial" w:cs="Arial" w:eastAsia="Arial" w:hAnsi="Arial"/>
                <w:sz w:val="18"/>
                <w:szCs w:val="18"/>
                <w:color w:val="auto"/>
                <w:w w:val="92"/>
              </w:rPr>
              <w:t>(11,116)</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(15,580)</w:t>
            </w:r>
          </w:p>
        </w:tc>
        <w:tc>
          <w:tcPr>
            <w:tcW w:w="8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(33,168)</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(41,408)</w:t>
            </w:r>
          </w:p>
        </w:tc>
        <w:tc>
          <w:tcPr>
            <w:tcW w:w="20" w:type="dxa"/>
            <w:vAlign w:val="bottom"/>
          </w:tcPr>
          <w:p>
            <w:pPr>
              <w:spacing w:after="0"/>
              <w:rPr>
                <w:sz w:val="18"/>
                <w:szCs w:val="18"/>
                <w:color w:val="auto"/>
              </w:rPr>
            </w:pPr>
          </w:p>
        </w:tc>
      </w:tr>
      <w:tr>
        <w:trPr>
          <w:trHeight w:val="208"/>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62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(4,591)</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(10,383)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ind w:right="32"/>
              <w:spacing w:after="0"/>
              <w:rPr>
                <w:sz w:val="20"/>
                <w:szCs w:val="20"/>
                <w:color w:val="auto"/>
              </w:rPr>
            </w:pPr>
            <w:r>
              <w:rPr>
                <w:rFonts w:ascii="Arial" w:cs="Arial" w:eastAsia="Arial" w:hAnsi="Arial"/>
                <w:sz w:val="18"/>
                <w:szCs w:val="18"/>
                <w:color w:val="auto"/>
                <w:w w:val="98"/>
              </w:rPr>
              <w:t>(11,219)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4"/>
          </w:tcPr>
          <w:p>
            <w:pPr>
              <w:jc w:val="right"/>
              <w:ind w:right="72"/>
              <w:spacing w:after="0"/>
              <w:rPr>
                <w:sz w:val="20"/>
                <w:szCs w:val="20"/>
                <w:color w:val="auto"/>
              </w:rPr>
            </w:pPr>
            <w:r>
              <w:rPr>
                <w:rFonts w:ascii="Arial" w:cs="Arial" w:eastAsia="Arial" w:hAnsi="Arial"/>
                <w:sz w:val="18"/>
                <w:szCs w:val="18"/>
                <w:color w:val="auto"/>
              </w:rPr>
              <w:t>(2,752)</w:t>
            </w:r>
          </w:p>
        </w:tc>
        <w:tc>
          <w:tcPr>
            <w:tcW w:w="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(3,783)</w:t>
            </w:r>
          </w:p>
        </w:tc>
        <w:tc>
          <w:tcPr>
            <w:tcW w:w="880" w:type="dxa"/>
            <w:vAlign w:val="bottom"/>
            <w:gridSpan w:val="6"/>
          </w:tcPr>
          <w:p>
            <w:pPr>
              <w:jc w:val="right"/>
              <w:ind w:right="60"/>
              <w:spacing w:after="0"/>
              <w:rPr>
                <w:sz w:val="20"/>
                <w:szCs w:val="20"/>
                <w:color w:val="auto"/>
              </w:rPr>
            </w:pPr>
            <w:r>
              <w:rPr>
                <w:rFonts w:ascii="Arial" w:cs="Arial" w:eastAsia="Arial" w:hAnsi="Arial"/>
                <w:sz w:val="18"/>
                <w:szCs w:val="18"/>
                <w:color w:val="auto"/>
              </w:rPr>
              <w:t>(8,426)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(10,134)</w:t>
            </w:r>
          </w:p>
        </w:tc>
        <w:tc>
          <w:tcPr>
            <w:tcW w:w="2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34,945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2"/>
              </w:rPr>
              <w:t>103,655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26,118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37,949</w:t>
            </w: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74,083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99,367</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Financial costs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(15,206)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(21,789)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6"/>
              </w:rPr>
              <w:t>(30,187)</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(7,333)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(12,289)</w:t>
            </w: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(21,766)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(31,359)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(Loss)/gain on interest rate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620" w:type="dxa"/>
            <w:vAlign w:val="bottom"/>
            <w:gridSpan w:val="2"/>
          </w:tcPr>
          <w:p>
            <w:pPr>
              <w:ind w:left="32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ind w:right="92"/>
              <w:spacing w:after="0"/>
              <w:rPr>
                <w:sz w:val="20"/>
                <w:szCs w:val="20"/>
                <w:color w:val="auto"/>
              </w:rPr>
            </w:pPr>
            <w:r>
              <w:rPr>
                <w:rFonts w:ascii="Arial" w:cs="Arial" w:eastAsia="Arial" w:hAnsi="Arial"/>
                <w:sz w:val="18"/>
                <w:szCs w:val="18"/>
                <w:color w:val="auto"/>
              </w:rPr>
              <w:t>3,623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(2,985)</w:t>
            </w:r>
          </w:p>
        </w:tc>
        <w:tc>
          <w:tcPr>
            <w:tcW w:w="2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(20,401)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(21,765)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8"/>
              </w:rPr>
              <w:t>(26,385)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(7,249)</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(12,650)</w:t>
            </w:r>
          </w:p>
        </w:tc>
        <w:tc>
          <w:tcPr>
            <w:tcW w:w="8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(21,640)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(33,688)</w:t>
            </w:r>
          </w:p>
        </w:tc>
        <w:tc>
          <w:tcPr>
            <w:tcW w:w="20" w:type="dxa"/>
            <w:vAlign w:val="bottom"/>
          </w:tcPr>
          <w:p>
            <w:pPr>
              <w:spacing w:after="0"/>
              <w:rPr>
                <w:sz w:val="18"/>
                <w:szCs w:val="18"/>
                <w:color w:val="auto"/>
              </w:rPr>
            </w:pPr>
          </w:p>
        </w:tc>
      </w:tr>
      <w:tr>
        <w:trPr>
          <w:trHeight w:val="210"/>
        </w:trPr>
        <w:tc>
          <w:tcPr>
            <w:tcW w:w="2620" w:type="dxa"/>
            <w:vAlign w:val="bottom"/>
            <w:gridSpan w:val="2"/>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14,544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77,270</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18,869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25,299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52,443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65,679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24"/>
                <w:szCs w:val="24"/>
                <w:color w:val="auto"/>
              </w:rPr>
            </w:pPr>
          </w:p>
        </w:tc>
        <w:tc>
          <w:tcPr>
            <w:tcW w:w="13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0"/>
              </w:rPr>
              <w:t>Nine Months</w:t>
            </w:r>
          </w:p>
        </w:tc>
        <w:tc>
          <w:tcPr>
            <w:tcW w:w="20" w:type="dxa"/>
            <w:vAlign w:val="bottom"/>
          </w:tcPr>
          <w:p>
            <w:pPr>
              <w:spacing w:after="0"/>
              <w:rPr>
                <w:sz w:val="24"/>
                <w:szCs w:val="24"/>
                <w:color w:val="auto"/>
              </w:rPr>
            </w:pPr>
          </w:p>
        </w:tc>
      </w:tr>
      <w:tr>
        <w:trPr>
          <w:trHeight w:val="149"/>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9"/>
          </w:tcPr>
          <w:p>
            <w:pPr>
              <w:jc w:val="right"/>
              <w:ind w:right="612"/>
              <w:spacing w:after="0" w:line="149"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2"/>
                <w:szCs w:val="12"/>
                <w:color w:val="auto"/>
              </w:rPr>
            </w:pPr>
          </w:p>
        </w:tc>
        <w:tc>
          <w:tcPr>
            <w:tcW w:w="700" w:type="dxa"/>
            <w:vAlign w:val="bottom"/>
            <w:gridSpan w:val="4"/>
          </w:tcPr>
          <w:p>
            <w:pPr>
              <w:jc w:val="center"/>
              <w:ind w:left="157"/>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9"/>
          </w:tcPr>
          <w:p>
            <w:pPr>
              <w:jc w:val="right"/>
              <w:ind w:right="552"/>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4"/>
                <w:szCs w:val="14"/>
                <w:color w:val="auto"/>
              </w:rPr>
            </w:pPr>
          </w:p>
        </w:tc>
        <w:tc>
          <w:tcPr>
            <w:tcW w:w="10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3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2016</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26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480" w:type="dxa"/>
            <w:vAlign w:val="bottom"/>
            <w:gridSpan w:val="5"/>
          </w:tcPr>
          <w:p>
            <w:pPr>
              <w:ind w:left="160"/>
              <w:spacing w:after="0"/>
              <w:rPr>
                <w:sz w:val="20"/>
                <w:szCs w:val="20"/>
                <w:color w:val="auto"/>
              </w:rPr>
            </w:pPr>
            <w:r>
              <w:rPr>
                <w:rFonts w:ascii="Arial" w:cs="Arial" w:eastAsia="Arial" w:hAnsi="Arial"/>
                <w:sz w:val="18"/>
                <w:szCs w:val="18"/>
                <w:color w:val="auto"/>
              </w:rPr>
              <w:t>Number of LNG carriers at end of period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8</w:t>
            </w:r>
          </w:p>
        </w:tc>
        <w:tc>
          <w:tcPr>
            <w:tcW w:w="780" w:type="dxa"/>
            <w:vAlign w:val="bottom"/>
            <w:gridSpan w:val="4"/>
          </w:tcPr>
          <w:p>
            <w:pPr>
              <w:jc w:val="right"/>
              <w:ind w:right="9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8</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34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89"/>
              </w:rPr>
              <w:t>Average number of LNG carriers during period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2.4</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780" w:type="dxa"/>
            <w:vAlign w:val="bottom"/>
            <w:tcBorders>
              <w:right w:val="single" w:sz="8" w:color="CCEEFF"/>
            </w:tcBorders>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11.1</w:t>
            </w: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r>
      <w:tr>
        <w:trPr>
          <w:trHeight w:val="216"/>
        </w:trPr>
        <w:tc>
          <w:tcPr>
            <w:tcW w:w="2760" w:type="dxa"/>
            <w:vAlign w:val="bottom"/>
            <w:gridSpan w:val="3"/>
          </w:tcPr>
          <w:p>
            <w:pPr>
              <w:ind w:left="160"/>
              <w:spacing w:after="0"/>
              <w:rPr>
                <w:sz w:val="20"/>
                <w:szCs w:val="20"/>
                <w:color w:val="auto"/>
              </w:rPr>
            </w:pPr>
            <w:r>
              <w:rPr>
                <w:rFonts w:ascii="Arial" w:cs="Arial" w:eastAsia="Arial" w:hAnsi="Arial"/>
                <w:sz w:val="18"/>
                <w:szCs w:val="18"/>
                <w:color w:val="auto"/>
                <w:w w:val="88"/>
              </w:rPr>
              <w:t>Average age of LNG carriers (years)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4.5</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6.7</w:t>
            </w:r>
          </w:p>
        </w:tc>
        <w:tc>
          <w:tcPr>
            <w:tcW w:w="780" w:type="dxa"/>
            <w:vAlign w:val="bottom"/>
            <w:gridSpan w:val="4"/>
          </w:tcPr>
          <w:p>
            <w:pPr>
              <w:jc w:val="right"/>
              <w:ind w:right="92"/>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6.7</w:t>
            </w: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rPr>
              <w:t>7.4</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34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calendar days of fleet for the period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2,377</w:t>
            </w:r>
          </w:p>
        </w:tc>
        <w:tc>
          <w:tcPr>
            <w:tcW w:w="780" w:type="dxa"/>
            <w:vAlign w:val="bottom"/>
            <w:tcBorders>
              <w:right w:val="single" w:sz="8" w:color="CCEEFF"/>
            </w:tcBorders>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2,989</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3"/>
              </w:rPr>
              <w:t>1,010</w:t>
            </w: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2,192</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2,698</w:t>
            </w:r>
          </w:p>
        </w:tc>
        <w:tc>
          <w:tcPr>
            <w:tcW w:w="20" w:type="dxa"/>
            <w:vAlign w:val="bottom"/>
            <w:shd w:val="clear" w:color="auto" w:fill="CCEEFF"/>
          </w:tcPr>
          <w:p>
            <w:pPr>
              <w:spacing w:after="0"/>
              <w:rPr>
                <w:sz w:val="18"/>
                <w:szCs w:val="18"/>
                <w:color w:val="auto"/>
              </w:rPr>
            </w:pPr>
          </w:p>
        </w:tc>
      </w:tr>
      <w:tr>
        <w:trPr>
          <w:trHeight w:val="222"/>
        </w:trPr>
        <w:tc>
          <w:tcPr>
            <w:tcW w:w="3480" w:type="dxa"/>
            <w:vAlign w:val="bottom"/>
            <w:gridSpan w:val="5"/>
          </w:tcPr>
          <w:p>
            <w:pPr>
              <w:ind w:left="160"/>
              <w:spacing w:after="0"/>
              <w:rPr>
                <w:sz w:val="20"/>
                <w:szCs w:val="20"/>
                <w:color w:val="auto"/>
              </w:rPr>
            </w:pPr>
            <w:r>
              <w:rPr>
                <w:rFonts w:ascii="Arial" w:cs="Arial" w:eastAsia="Arial" w:hAnsi="Arial"/>
                <w:sz w:val="18"/>
                <w:szCs w:val="18"/>
                <w:color w:val="auto"/>
                <w:w w:val="92"/>
              </w:rPr>
              <w:t>Total operating days of fleet for the period(4)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885</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2,377</w:t>
            </w:r>
          </w:p>
        </w:tc>
        <w:tc>
          <w:tcPr>
            <w:tcW w:w="780" w:type="dxa"/>
            <w:vAlign w:val="bottom"/>
            <w:gridSpan w:val="4"/>
          </w:tcPr>
          <w:p>
            <w:pPr>
              <w:jc w:val="right"/>
              <w:ind w:right="92"/>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9"/>
                <w:szCs w:val="19"/>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1,010</w:t>
            </w: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rPr>
              <w:t>2,147</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2,698</w:t>
            </w:r>
          </w:p>
        </w:tc>
        <w:tc>
          <w:tcPr>
            <w:tcW w:w="20" w:type="dxa"/>
            <w:vAlign w:val="bottom"/>
          </w:tcPr>
          <w:p>
            <w:pPr>
              <w:spacing w:after="0"/>
              <w:rPr>
                <w:sz w:val="19"/>
                <w:szCs w:val="19"/>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35" w:lineRule="exact"/>
        <w:rPr>
          <w:sz w:val="20"/>
          <w:szCs w:val="20"/>
          <w:color w:val="auto"/>
        </w:rPr>
      </w:pPr>
    </w:p>
    <w:p>
      <w:pPr>
        <w:ind w:left="1880" w:hanging="544"/>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Partnership Performance Fleet Data above is calculated consistent with our Partnership Performance Results.</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15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December 31,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6"/>
          </w:tcPr>
          <w:p>
            <w:pPr>
              <w:ind w:left="140"/>
              <w:spacing w:after="0" w:line="142" w:lineRule="exact"/>
              <w:rPr>
                <w:sz w:val="20"/>
                <w:szCs w:val="20"/>
                <w:color w:val="auto"/>
              </w:rPr>
            </w:pPr>
            <w:r>
              <w:rPr>
                <w:rFonts w:ascii="Arial" w:cs="Arial" w:eastAsia="Arial" w:hAnsi="Arial"/>
                <w:sz w:val="14"/>
                <w:szCs w:val="14"/>
                <w:b w:val="1"/>
                <w:bCs w:val="1"/>
                <w:color w:val="auto"/>
                <w:w w:val="98"/>
              </w:rPr>
              <w:t>(in thousands of U.S. dollars)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6"/>
        </w:trPr>
        <w:tc>
          <w:tcPr>
            <w:tcW w:w="37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OTHER PARTNERSHIP PERFORMANCE FINANCIAL</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DATA:</w:t>
            </w: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740" w:type="dxa"/>
            <w:vAlign w:val="bottom"/>
            <w:gridSpan w:val="2"/>
          </w:tcPr>
          <w:p>
            <w:pPr>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680" w:type="dxa"/>
            <w:vAlign w:val="bottom"/>
            <w:gridSpan w:val="2"/>
          </w:tcPr>
          <w:p>
            <w:pPr>
              <w:jc w:val="right"/>
              <w:ind w:right="112"/>
              <w:spacing w:after="0"/>
              <w:rPr>
                <w:sz w:val="20"/>
                <w:szCs w:val="20"/>
                <w:color w:val="auto"/>
              </w:rPr>
            </w:pPr>
            <w:r>
              <w:rPr>
                <w:rFonts w:ascii="Arial" w:cs="Arial" w:eastAsia="Arial" w:hAnsi="Arial"/>
                <w:sz w:val="14"/>
                <w:szCs w:val="14"/>
                <w:color w:val="auto"/>
                <w:w w:val="88"/>
              </w:rPr>
              <w:t>$ 48,297</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$ 122,786</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$ 148,885</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$ 37,234</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$ 53,529</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$ 107,251</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$ 140,775</w:t>
            </w:r>
          </w:p>
        </w:tc>
        <w:tc>
          <w:tcPr>
            <w:tcW w:w="20" w:type="dxa"/>
            <w:vAlign w:val="bottom"/>
          </w:tcPr>
          <w:p>
            <w:pPr>
              <w:spacing w:after="0"/>
              <w:rPr>
                <w:sz w:val="15"/>
                <w:szCs w:val="15"/>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374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Distributable cash flow</w:t>
            </w:r>
            <w:r>
              <w:rPr>
                <w:rFonts w:ascii="Arial" w:cs="Arial" w:eastAsia="Arial" w:hAnsi="Arial"/>
                <w:sz w:val="20"/>
                <w:szCs w:val="20"/>
                <w:color w:val="auto"/>
                <w:vertAlign w:val="superscript"/>
              </w:rPr>
              <w:t>(5)</w:t>
            </w:r>
          </w:p>
        </w:tc>
        <w:tc>
          <w:tcPr>
            <w:tcW w:w="680" w:type="dxa"/>
            <w:vAlign w:val="bottom"/>
            <w:gridSpan w:val="2"/>
          </w:tcPr>
          <w:p>
            <w:pPr>
              <w:jc w:val="right"/>
              <w:ind w:right="112"/>
              <w:spacing w:after="0"/>
              <w:rPr>
                <w:sz w:val="20"/>
                <w:szCs w:val="20"/>
                <w:color w:val="auto"/>
              </w:rPr>
            </w:pPr>
            <w:r>
              <w:rPr>
                <w:rFonts w:ascii="Arial" w:cs="Arial" w:eastAsia="Arial" w:hAnsi="Arial"/>
                <w:sz w:val="14"/>
                <w:szCs w:val="14"/>
                <w:color w:val="auto"/>
              </w:rPr>
              <w:t>27,259</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72,254</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83,660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21,413</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26,867</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60,118</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73,617</w:t>
            </w:r>
          </w:p>
        </w:tc>
        <w:tc>
          <w:tcPr>
            <w:tcW w:w="20" w:type="dxa"/>
            <w:vAlign w:val="bottom"/>
          </w:tcPr>
          <w:p>
            <w:pPr>
              <w:spacing w:after="0"/>
              <w:rPr>
                <w:sz w:val="15"/>
                <w:szCs w:val="15"/>
                <w:color w:val="auto"/>
              </w:rPr>
            </w:pPr>
          </w:p>
        </w:tc>
      </w:tr>
      <w:tr>
        <w:trPr>
          <w:trHeight w:val="149"/>
        </w:trPr>
        <w:tc>
          <w:tcPr>
            <w:tcW w:w="3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distributions declared and paid</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13,369</w:t>
            </w:r>
            <w:r>
              <w:rPr>
                <w:rFonts w:ascii="Arial" w:cs="Arial" w:eastAsia="Arial" w:hAnsi="Arial"/>
                <w:sz w:val="17"/>
                <w:szCs w:val="17"/>
                <w:color w:val="auto"/>
                <w:vertAlign w:val="superscript"/>
              </w:rPr>
              <w:t>(11)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51,192</w:t>
            </w:r>
            <w:r>
              <w:rPr>
                <w:rFonts w:ascii="Arial" w:cs="Arial" w:eastAsia="Arial" w:hAnsi="Arial"/>
                <w:sz w:val="17"/>
                <w:szCs w:val="17"/>
                <w:color w:val="auto"/>
                <w:vertAlign w:val="superscript"/>
              </w:rPr>
              <w:t>(12)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65,577</w:t>
            </w:r>
            <w:r>
              <w:rPr>
                <w:rFonts w:ascii="Arial" w:cs="Arial" w:eastAsia="Arial" w:hAnsi="Arial"/>
                <w:sz w:val="17"/>
                <w:szCs w:val="17"/>
                <w:color w:val="auto"/>
                <w:vertAlign w:val="superscript"/>
              </w:rPr>
              <w:t>(13)</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17,077</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21,001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48,500</w:t>
            </w:r>
            <w:r>
              <w:rPr>
                <w:rFonts w:ascii="Arial" w:cs="Arial" w:eastAsia="Arial" w:hAnsi="Arial"/>
                <w:sz w:val="17"/>
                <w:szCs w:val="17"/>
                <w:color w:val="auto"/>
                <w:vertAlign w:val="superscript"/>
              </w:rPr>
              <w:t>(14)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60,671</w:t>
            </w:r>
            <w:r>
              <w:rPr>
                <w:rFonts w:ascii="Arial" w:cs="Arial" w:eastAsia="Arial" w:hAnsi="Arial"/>
                <w:sz w:val="17"/>
                <w:szCs w:val="17"/>
                <w:color w:val="auto"/>
                <w:vertAlign w:val="superscript"/>
              </w:rPr>
              <w:t>(15)</w:t>
            </w:r>
          </w:p>
        </w:tc>
        <w:tc>
          <w:tcPr>
            <w:tcW w:w="20" w:type="dxa"/>
            <w:vAlign w:val="bottom"/>
          </w:tcPr>
          <w:p>
            <w:pPr>
              <w:spacing w:after="0"/>
              <w:rPr>
                <w:sz w:val="12"/>
                <w:szCs w:val="12"/>
                <w:color w:val="auto"/>
              </w:rPr>
            </w:pPr>
          </w:p>
        </w:tc>
      </w:tr>
      <w:tr>
        <w:trPr>
          <w:trHeight w:val="172"/>
        </w:trPr>
        <w:tc>
          <w:tcPr>
            <w:tcW w:w="3740" w:type="dxa"/>
            <w:vAlign w:val="bottom"/>
            <w:gridSpan w:val="2"/>
          </w:tcPr>
          <w:p>
            <w:pPr>
              <w:ind w:left="120"/>
              <w:spacing w:after="0"/>
              <w:rPr>
                <w:sz w:val="20"/>
                <w:szCs w:val="20"/>
                <w:color w:val="auto"/>
              </w:rPr>
            </w:pPr>
            <w:r>
              <w:rPr>
                <w:rFonts w:ascii="Arial" w:cs="Arial" w:eastAsia="Arial" w:hAnsi="Arial"/>
                <w:sz w:val="14"/>
                <w:szCs w:val="14"/>
                <w:color w:val="auto"/>
              </w:rPr>
              <w:t>Preference unit distributions declared and paid</w:t>
            </w:r>
          </w:p>
        </w:tc>
        <w:tc>
          <w:tcPr>
            <w:tcW w:w="68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4,133</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4,133</w:t>
            </w:r>
          </w:p>
        </w:tc>
        <w:tc>
          <w:tcPr>
            <w:tcW w:w="20" w:type="dxa"/>
            <w:vAlign w:val="bottom"/>
          </w:tcPr>
          <w:p>
            <w:pPr>
              <w:spacing w:after="0"/>
              <w:rPr>
                <w:sz w:val="14"/>
                <w:szCs w:val="14"/>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92" w:lineRule="exact"/>
        <w:rPr>
          <w:sz w:val="20"/>
          <w:szCs w:val="20"/>
          <w:color w:val="auto"/>
        </w:rPr>
      </w:pPr>
    </w:p>
    <w:p>
      <w:pPr>
        <w:ind w:left="1880" w:right="100" w:hanging="544"/>
        <w:spacing w:after="0" w:line="239" w:lineRule="auto"/>
        <w:tabs>
          <w:tab w:leader="none" w:pos="1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Restated so as to reflect the historical financial statements of GAS-seven Ltd., GAS-eleven Ltd. and GAS-thirteen Ltd. acquired on November 1, 2016, May 3, 2017 and July 3, 2017, respectively, from GasLog.</w:t>
      </w:r>
    </w:p>
    <w:p>
      <w:pPr>
        <w:spacing w:after="0" w:line="111" w:lineRule="exact"/>
        <w:rPr>
          <w:rFonts w:ascii="Arial" w:cs="Arial" w:eastAsia="Arial" w:hAnsi="Arial"/>
          <w:sz w:val="14"/>
          <w:szCs w:val="14"/>
          <w:color w:val="auto"/>
        </w:rPr>
      </w:pPr>
    </w:p>
    <w:p>
      <w:pPr>
        <w:ind w:left="1880" w:hanging="544"/>
        <w:spacing w:after="0" w:line="266" w:lineRule="auto"/>
        <w:tabs>
          <w:tab w:leader="none" w:pos="1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shares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w:t>
      </w:r>
    </w:p>
    <w:p>
      <w:pPr>
        <w:sectPr>
          <w:pgSz w:w="11900" w:h="16838" w:orient="portrait"/>
          <w:cols w:equalWidth="0" w:num="1">
            <w:col w:w="11100"/>
          </w:cols>
          <w:pgMar w:left="24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1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11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right="80"/>
        <w:spacing w:after="0" w:line="266" w:lineRule="auto"/>
        <w:rPr>
          <w:sz w:val="20"/>
          <w:szCs w:val="20"/>
          <w:color w:val="auto"/>
        </w:rPr>
      </w:pPr>
      <w:r>
        <w:rPr>
          <w:rFonts w:ascii="Arial" w:cs="Arial" w:eastAsia="Arial" w:hAnsi="Arial"/>
          <w:sz w:val="12"/>
          <w:szCs w:val="12"/>
          <w:color w:val="auto"/>
        </w:rPr>
        <w:t>partner interest. Earnings per unit is presented for the periods in which the units were outstanding. On May 15, 2017, the Partnership completed an equity offering of 5,750,000 Series A Preference Units. On May 16, 2017 the subordination period expired, and the subordinated units held by GasLog converted on a one-for-one basis into common units, which participate pro rata with other common units in distributions for available cash. Also, on May 16, 2017, GasLog Partners entered into an Equity Distribution Agreement (the "Equity Distribution Agreement") under which the Partnership may, from time to time, raise equity through the issuance and sale of new common units having an aggregate offering price of up to $100.0 million. Since the commencement of the Equity Distribution Agreement through September 30, 2017, GasLog Partners has issued and received payment for a total of 2,351,885 common units. In connection with the issuance of common units under the Equity Distribution Agreement during this period, the Partnership also issued 47,998 general partner units to its general partner in order for GasLog to retain its 2.0% general partner interest. On November 3, 2017, GLOP entered into the Amended and Restated Equity Distribution Agreement to increase the size of the program from $100,000,000 to $144,040,000.</w:t>
      </w:r>
    </w:p>
    <w:p>
      <w:pPr>
        <w:spacing w:after="0" w:line="316" w:lineRule="exact"/>
        <w:rPr>
          <w:sz w:val="20"/>
          <w:szCs w:val="20"/>
          <w:color w:val="auto"/>
        </w:rPr>
      </w:pPr>
    </w:p>
    <w:p>
      <w:pPr>
        <w:ind w:left="1880" w:right="40" w:hanging="544"/>
        <w:spacing w:after="0" w:line="228" w:lineRule="auto"/>
        <w:tabs>
          <w:tab w:leader="none" w:pos="1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Upon the expiration of the subordination period, which occurred on May 16, 2017, all of the subordinated units held by GasLog converted on a one-for-one basis into common units which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For further discussion, see "Item 8. Financial Information-Our Cash Distribution Policy-Subordination Period" in our Annual Report on Form 20-F.</w:t>
      </w:r>
    </w:p>
    <w:p>
      <w:pPr>
        <w:spacing w:after="0" w:line="113" w:lineRule="exact"/>
        <w:rPr>
          <w:rFonts w:ascii="Arial" w:cs="Arial" w:eastAsia="Arial" w:hAnsi="Arial"/>
          <w:sz w:val="14"/>
          <w:szCs w:val="14"/>
          <w:color w:val="auto"/>
        </w:rPr>
      </w:pPr>
    </w:p>
    <w:p>
      <w:pPr>
        <w:ind w:left="1880" w:right="80" w:hanging="544"/>
        <w:spacing w:after="0" w:line="228" w:lineRule="auto"/>
        <w:tabs>
          <w:tab w:leader="none" w:pos="1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111" w:lineRule="exact"/>
        <w:rPr>
          <w:rFonts w:ascii="Arial" w:cs="Arial" w:eastAsia="Arial" w:hAnsi="Arial"/>
          <w:sz w:val="14"/>
          <w:szCs w:val="14"/>
          <w:color w:val="auto"/>
        </w:rPr>
      </w:pPr>
    </w:p>
    <w:p>
      <w:pPr>
        <w:ind w:left="1880" w:hanging="544"/>
        <w:spacing w:after="0"/>
        <w:tabs>
          <w:tab w:leader="none" w:pos="18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Non-GAAP Financial Measures</w:t>
      </w:r>
    </w:p>
    <w:p>
      <w:pPr>
        <w:spacing w:after="0" w:line="192" w:lineRule="exact"/>
        <w:rPr>
          <w:rFonts w:ascii="Arial" w:cs="Arial" w:eastAsia="Arial" w:hAnsi="Arial"/>
          <w:sz w:val="14"/>
          <w:szCs w:val="14"/>
          <w:b w:val="1"/>
          <w:bCs w:val="1"/>
          <w:color w:val="auto"/>
        </w:rPr>
      </w:pPr>
    </w:p>
    <w:p>
      <w:pPr>
        <w:ind w:left="1880" w:right="380"/>
        <w:spacing w:after="0" w:line="239" w:lineRule="auto"/>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Partnership Performance Results. </w:t>
      </w:r>
      <w:r>
        <w:rPr>
          <w:rFonts w:ascii="Arial" w:cs="Arial" w:eastAsia="Arial" w:hAnsi="Arial"/>
          <w:sz w:val="14"/>
          <w:szCs w:val="14"/>
          <w:color w:val="auto"/>
        </w:rPr>
        <w:t>As described above, our IFRS Common Control Reported Results are derived from the consolidated financial statements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w:t>
      </w:r>
    </w:p>
    <w:p>
      <w:pPr>
        <w:spacing w:after="0" w:line="165" w:lineRule="exact"/>
        <w:rPr>
          <w:rFonts w:ascii="Arial" w:cs="Arial" w:eastAsia="Arial" w:hAnsi="Arial"/>
          <w:sz w:val="14"/>
          <w:szCs w:val="14"/>
          <w:b w:val="1"/>
          <w:bCs w:val="1"/>
          <w:color w:val="auto"/>
        </w:rPr>
      </w:pPr>
    </w:p>
    <w:p>
      <w:pPr>
        <w:ind w:left="1880" w:right="240"/>
        <w:spacing w:after="0" w:line="262" w:lineRule="auto"/>
        <w:rPr>
          <w:rFonts w:ascii="Arial" w:cs="Arial" w:eastAsia="Arial" w:hAnsi="Arial"/>
          <w:sz w:val="14"/>
          <w:szCs w:val="14"/>
          <w:b w:val="1"/>
          <w:bCs w:val="1"/>
          <w:color w:val="auto"/>
        </w:rPr>
      </w:pPr>
      <w:r>
        <w:rPr>
          <w:rFonts w:ascii="Arial" w:cs="Arial" w:eastAsia="Arial" w:hAnsi="Arial"/>
          <w:sz w:val="12"/>
          <w:szCs w:val="12"/>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2"/>
          <w:szCs w:val="12"/>
          <w:i w:val="1"/>
          <w:iCs w:val="1"/>
          <w:color w:val="auto"/>
        </w:rPr>
        <w:t>GasLog Shanghai</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respectively) for the period prior to the closing of the IPO, GAS-sixteen Ltd. and GAS-seventeen Ltd. (the owners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respectively) for the period prior to their transfer to the Partnership on July 1, 2015, the amounts related to GAS-</w:t>
      </w:r>
    </w:p>
    <w:p>
      <w:pPr>
        <w:spacing w:after="0" w:line="1" w:lineRule="exact"/>
        <w:rPr>
          <w:rFonts w:ascii="Arial" w:cs="Arial" w:eastAsia="Arial" w:hAnsi="Arial"/>
          <w:sz w:val="14"/>
          <w:szCs w:val="14"/>
          <w:b w:val="1"/>
          <w:bCs w:val="1"/>
          <w:color w:val="auto"/>
        </w:rPr>
      </w:pPr>
    </w:p>
    <w:p>
      <w:pPr>
        <w:ind w:left="1880"/>
        <w:spacing w:after="0" w:line="263" w:lineRule="auto"/>
        <w:rPr>
          <w:rFonts w:ascii="Arial" w:cs="Arial" w:eastAsia="Arial" w:hAnsi="Arial"/>
          <w:sz w:val="14"/>
          <w:szCs w:val="14"/>
          <w:b w:val="1"/>
          <w:bCs w:val="1"/>
          <w:color w:val="auto"/>
        </w:rPr>
      </w:pPr>
      <w:r>
        <w:rPr>
          <w:rFonts w:ascii="Arial" w:cs="Arial" w:eastAsia="Arial" w:hAnsi="Arial"/>
          <w:sz w:val="12"/>
          <w:szCs w:val="12"/>
          <w:color w:val="auto"/>
        </w:rPr>
        <w:t xml:space="preserve">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and the amounts related to GAS-thirteen Ltd. (the owner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Geneva</w:t>
      </w:r>
      <w:r>
        <w:rPr>
          <w:rFonts w:ascii="Arial" w:cs="Arial" w:eastAsia="Arial" w:hAnsi="Arial"/>
          <w:sz w:val="12"/>
          <w:szCs w:val="12"/>
          <w:color w:val="auto"/>
        </w:rPr>
        <w:t>) for the period prior to its transfer to the Partnership on July 3, 2017. While such amounts are reflected in the Partnership's reported financial statements because</w:t>
      </w:r>
      <w:r>
        <w:rPr>
          <w:rFonts w:ascii="Arial" w:cs="Arial" w:eastAsia="Arial" w:hAnsi="Arial"/>
          <w:sz w:val="12"/>
          <w:szCs w:val="12"/>
          <w:i w:val="1"/>
          <w:iCs w:val="1"/>
          <w:color w:val="auto"/>
        </w:rPr>
        <w:t xml:space="preserve"> </w:t>
      </w:r>
      <w:r>
        <w:rPr>
          <w:rFonts w:ascii="Arial" w:cs="Arial" w:eastAsia="Arial" w:hAnsi="Arial"/>
          <w:sz w:val="12"/>
          <w:szCs w:val="12"/>
          <w:color w:val="auto"/>
        </w:rPr>
        <w:t>the transfers to the Partnership were accounted for as a reorganization of entities under common control under IFRS, (i) GAS-three Ltd., GAS-four Ltd. and GAS-five Ltd. were not owned by the Partnership prior to the closing of the IPO, (ii) GAS-sixteen Ltd. and GAS-seventeen Ltd. were not owned by the Partnership prior to their transfer to the Partnership in September 2014, (iii) GAS-nineteen Ltd., GAS-twenty Ltd. and GAS-twenty one Ltd. were not owned by the Partnership prior to their transfer to the Partnership in July 2015, (iv) GAS-seven Ltd. was not owned by the Partnership prior to its transfer to the Partnership in November 2016, (v) GAS-eleven Ltd. was not owned by the Partnership prior to its transfer to the Partnership in May 2017 and (vi) GAS-thirteen Ltd. was not owned by the Partnership prior to its transfer to the Partnership in July 2017, and accordingly the Partnership was not entitled to the cash or results generated in the period prior to such transfers.</w:t>
      </w:r>
    </w:p>
    <w:p>
      <w:pPr>
        <w:spacing w:after="0" w:line="153" w:lineRule="exact"/>
        <w:rPr>
          <w:rFonts w:ascii="Arial" w:cs="Arial" w:eastAsia="Arial" w:hAnsi="Arial"/>
          <w:sz w:val="14"/>
          <w:szCs w:val="14"/>
          <w:b w:val="1"/>
          <w:bCs w:val="1"/>
          <w:color w:val="auto"/>
        </w:rPr>
      </w:pPr>
    </w:p>
    <w:p>
      <w:pPr>
        <w:ind w:left="1880" w:right="100"/>
        <w:spacing w:after="0" w:line="273" w:lineRule="auto"/>
        <w:rPr>
          <w:rFonts w:ascii="Arial" w:cs="Arial" w:eastAsia="Arial" w:hAnsi="Arial"/>
          <w:sz w:val="14"/>
          <w:szCs w:val="14"/>
          <w:b w:val="1"/>
          <w:bCs w:val="1"/>
          <w:color w:val="auto"/>
        </w:rPr>
      </w:pPr>
      <w:r>
        <w:rPr>
          <w:rFonts w:ascii="Arial" w:cs="Arial" w:eastAsia="Arial" w:hAnsi="Arial"/>
          <w:sz w:val="12"/>
          <w:szCs w:val="12"/>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3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53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80"/>
        <w:spacing w:after="0"/>
        <w:rPr>
          <w:sz w:val="20"/>
          <w:szCs w:val="20"/>
          <w:color w:val="auto"/>
        </w:rPr>
      </w:pPr>
      <w:r>
        <w:rPr>
          <w:rFonts w:ascii="Arial" w:cs="Arial" w:eastAsia="Arial" w:hAnsi="Arial"/>
          <w:sz w:val="12"/>
          <w:szCs w:val="12"/>
          <w:b w:val="1"/>
          <w:bCs w:val="1"/>
          <w:color w:val="auto"/>
        </w:rPr>
        <w:t>Reconciliation of Partnership Performance Results to IFRS Common Control Reported Results in our Financial Statements:</w:t>
      </w:r>
    </w:p>
    <w:p>
      <w:pPr>
        <w:spacing w:after="0" w:line="214"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jc w:val="center"/>
              <w:ind w:right="52"/>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10"/>
          </w:tcPr>
          <w:p>
            <w:pPr>
              <w:jc w:val="center"/>
              <w:ind w:left="52"/>
              <w:spacing w:after="0"/>
              <w:rPr>
                <w:sz w:val="20"/>
                <w:szCs w:val="20"/>
                <w:color w:val="auto"/>
              </w:rPr>
            </w:pPr>
            <w:r>
              <w:rPr>
                <w:rFonts w:ascii="Arial" w:cs="Arial" w:eastAsia="Arial" w:hAnsi="Arial"/>
                <w:sz w:val="14"/>
                <w:szCs w:val="14"/>
                <w:b w:val="1"/>
                <w:bCs w:val="1"/>
                <w:color w:val="auto"/>
                <w:w w:val="85"/>
              </w:rPr>
              <w:t>December 31, 2015</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8"/>
              </w:rPr>
              <w:t>December 31, 2016</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IFRS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IFRS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3"/>
              </w:rPr>
              <w:t>IFRS</w:t>
            </w:r>
          </w:p>
        </w:tc>
        <w:tc>
          <w:tcPr>
            <w:tcW w:w="60" w:type="dxa"/>
            <w:vAlign w:val="bottom"/>
          </w:tcPr>
          <w:p>
            <w:pPr>
              <w:spacing w:after="0"/>
              <w:rPr>
                <w:sz w:val="11"/>
                <w:szCs w:val="11"/>
                <w:color w:val="auto"/>
              </w:rPr>
            </w:pPr>
          </w:p>
        </w:tc>
      </w:tr>
      <w:tr>
        <w:trPr>
          <w:trHeight w:val="149"/>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Partnership</w:t>
            </w:r>
          </w:p>
        </w:tc>
        <w:tc>
          <w:tcPr>
            <w:tcW w:w="80" w:type="dxa"/>
            <w:vAlign w:val="bottom"/>
          </w:tcPr>
          <w:p>
            <w:pPr>
              <w:spacing w:after="0"/>
              <w:rPr>
                <w:sz w:val="12"/>
                <w:szCs w:val="12"/>
                <w:color w:val="auto"/>
              </w:rPr>
            </w:pPr>
          </w:p>
        </w:tc>
        <w:tc>
          <w:tcPr>
            <w:tcW w:w="6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2"/>
                <w:szCs w:val="12"/>
                <w:color w:val="auto"/>
              </w:rPr>
            </w:pPr>
          </w:p>
        </w:tc>
        <w:tc>
          <w:tcPr>
            <w:tcW w:w="78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2"/>
                <w:szCs w:val="12"/>
                <w:color w:val="auto"/>
              </w:rPr>
            </w:pPr>
          </w:p>
        </w:tc>
        <w:tc>
          <w:tcPr>
            <w:tcW w:w="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Control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Partnership</w:t>
            </w:r>
          </w:p>
        </w:tc>
        <w:tc>
          <w:tcPr>
            <w:tcW w:w="8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Control</w:t>
            </w:r>
          </w:p>
        </w:tc>
      </w:tr>
      <w:tr>
        <w:trPr>
          <w:trHeight w:val="149"/>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Reported</w:t>
            </w:r>
          </w:p>
        </w:tc>
        <w:tc>
          <w:tcPr>
            <w:tcW w:w="20" w:type="dxa"/>
            <w:vAlign w:val="bottom"/>
          </w:tcPr>
          <w:p>
            <w:pPr>
              <w:spacing w:after="0"/>
              <w:rPr>
                <w:sz w:val="12"/>
                <w:szCs w:val="12"/>
                <w:color w:val="auto"/>
              </w:rPr>
            </w:pPr>
          </w:p>
        </w:tc>
        <w:tc>
          <w:tcPr>
            <w:tcW w:w="7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20" w:type="dxa"/>
            <w:vAlign w:val="bottom"/>
          </w:tcPr>
          <w:p>
            <w:pPr>
              <w:spacing w:after="0"/>
              <w:rPr>
                <w:sz w:val="12"/>
                <w:szCs w:val="12"/>
                <w:color w:val="auto"/>
              </w:rPr>
            </w:pPr>
          </w:p>
        </w:tc>
        <w:tc>
          <w:tcPr>
            <w:tcW w:w="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Reported</w:t>
            </w:r>
          </w:p>
        </w:tc>
        <w:tc>
          <w:tcPr>
            <w:tcW w:w="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to GasLog</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Results</w:t>
            </w:r>
          </w:p>
        </w:tc>
        <w:tc>
          <w:tcPr>
            <w:tcW w:w="80" w:type="dxa"/>
            <w:vAlign w:val="bottom"/>
          </w:tcPr>
          <w:p>
            <w:pPr>
              <w:spacing w:after="0"/>
              <w:rPr>
                <w:sz w:val="14"/>
                <w:szCs w:val="14"/>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7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2"/>
              </w:rPr>
              <w:t>Results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6"/>
              </w:rPr>
              <w:t>to GasLog</w:t>
            </w:r>
          </w:p>
        </w:tc>
        <w:tc>
          <w:tcPr>
            <w:tcW w:w="8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Results</w:t>
            </w:r>
          </w:p>
        </w:tc>
        <w:tc>
          <w:tcPr>
            <w:tcW w:w="8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gridSpan w:val="3"/>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auto"/>
            </w:tcBorders>
            <w:gridSpan w:val="3"/>
          </w:tcPr>
          <w:p>
            <w:pPr>
              <w:jc w:val="center"/>
              <w:ind w:right="12"/>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gridSpan w:val="2"/>
          </w:tcPr>
          <w:p>
            <w:pPr>
              <w:jc w:val="center"/>
              <w:ind w:right="40"/>
              <w:spacing w:after="0" w:line="157" w:lineRule="exact"/>
              <w:rPr>
                <w:sz w:val="20"/>
                <w:szCs w:val="20"/>
                <w:color w:val="auto"/>
              </w:rPr>
            </w:pPr>
            <w:r>
              <w:rPr>
                <w:rFonts w:ascii="Arial" w:cs="Arial" w:eastAsia="Arial" w:hAnsi="Arial"/>
                <w:sz w:val="12"/>
                <w:szCs w:val="12"/>
                <w:b w:val="1"/>
                <w:bCs w:val="1"/>
                <w:color w:val="auto"/>
                <w:w w:val="88"/>
              </w:rPr>
              <w:t>Restated</w:t>
            </w:r>
            <w:r>
              <w:rPr>
                <w:rFonts w:ascii="Arial" w:cs="Arial" w:eastAsia="Arial" w:hAnsi="Arial"/>
                <w:sz w:val="18"/>
                <w:szCs w:val="18"/>
                <w:b w:val="1"/>
                <w:bCs w:val="1"/>
                <w:color w:val="auto"/>
                <w:w w:val="88"/>
                <w:vertAlign w:val="superscript"/>
              </w:rPr>
              <w:t>(1)</w:t>
            </w:r>
          </w:p>
        </w:tc>
        <w:tc>
          <w:tcPr>
            <w:tcW w:w="60" w:type="dxa"/>
            <w:vAlign w:val="bottom"/>
          </w:tcPr>
          <w:p>
            <w:pPr>
              <w:spacing w:after="0"/>
              <w:rPr>
                <w:sz w:val="13"/>
                <w:szCs w:val="13"/>
                <w:color w:val="auto"/>
              </w:rPr>
            </w:pP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14"/>
          </w:tcPr>
          <w:p>
            <w:pPr>
              <w:jc w:val="center"/>
              <w:ind w:right="240"/>
              <w:spacing w:after="0"/>
              <w:rPr>
                <w:sz w:val="20"/>
                <w:szCs w:val="20"/>
                <w:color w:val="auto"/>
              </w:rPr>
            </w:pPr>
            <w:r>
              <w:rPr>
                <w:rFonts w:ascii="Arial" w:cs="Arial" w:eastAsia="Arial" w:hAnsi="Arial"/>
                <w:sz w:val="14"/>
                <w:szCs w:val="14"/>
                <w:b w:val="1"/>
                <w:bCs w:val="1"/>
                <w:color w:val="auto"/>
                <w:w w:val="86"/>
              </w:rPr>
              <w:t>(in thousands of U.S. dollars)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6"/>
        </w:trPr>
        <w:tc>
          <w:tcPr>
            <w:tcW w:w="9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STATEMENT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OF PROFIT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1"/>
        </w:trPr>
        <w:tc>
          <w:tcPr>
            <w:tcW w:w="9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OR LOSS</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49"/>
        </w:trPr>
        <w:tc>
          <w:tcPr>
            <w:tcW w:w="9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340" w:type="dxa"/>
            <w:vAlign w:val="bottom"/>
            <w:gridSpan w:val="2"/>
          </w:tcPr>
          <w:p>
            <w:pPr>
              <w:jc w:val="right"/>
              <w:ind w:right="175"/>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118,291</w:t>
            </w:r>
          </w:p>
        </w:tc>
        <w:tc>
          <w:tcPr>
            <w:tcW w:w="6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65,931</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184,222</w:t>
            </w:r>
          </w:p>
        </w:tc>
        <w:tc>
          <w:tcPr>
            <w:tcW w:w="60" w:type="dxa"/>
            <w:vAlign w:val="bottom"/>
          </w:tcPr>
          <w:p>
            <w:pPr>
              <w:spacing w:after="0"/>
              <w:rPr>
                <w:sz w:val="12"/>
                <w:szCs w:val="12"/>
                <w:color w:val="auto"/>
              </w:rPr>
            </w:pPr>
          </w:p>
        </w:tc>
        <w:tc>
          <w:tcPr>
            <w:tcW w:w="340" w:type="dxa"/>
            <w:vAlign w:val="bottom"/>
            <w:gridSpan w:val="2"/>
          </w:tcPr>
          <w:p>
            <w:pPr>
              <w:jc w:val="right"/>
              <w:ind w:right="194"/>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3"/>
              </w:rPr>
              <w:t>55,263</w:t>
            </w:r>
          </w:p>
        </w:tc>
        <w:tc>
          <w:tcPr>
            <w:tcW w:w="40" w:type="dxa"/>
            <w:vAlign w:val="bottom"/>
          </w:tcPr>
          <w:p>
            <w:pPr>
              <w:spacing w:after="0"/>
              <w:rPr>
                <w:sz w:val="12"/>
                <w:szCs w:val="12"/>
                <w:color w:val="auto"/>
              </w:rPr>
            </w:pPr>
          </w:p>
        </w:tc>
        <w:tc>
          <w:tcPr>
            <w:tcW w:w="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168,927</w:t>
            </w:r>
          </w:p>
        </w:tc>
        <w:tc>
          <w:tcPr>
            <w:tcW w:w="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224,190</w:t>
            </w:r>
          </w:p>
        </w:tc>
        <w:tc>
          <w:tcPr>
            <w:tcW w:w="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53,054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206,424</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259,478</w:t>
            </w:r>
          </w:p>
        </w:tc>
        <w:tc>
          <w:tcPr>
            <w:tcW w:w="60" w:type="dxa"/>
            <w:vAlign w:val="bottom"/>
          </w:tcPr>
          <w:p>
            <w:pPr>
              <w:spacing w:after="0"/>
              <w:rPr>
                <w:sz w:val="12"/>
                <w:szCs w:val="12"/>
                <w:color w:val="auto"/>
              </w:rPr>
            </w:pP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Vessel operating</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9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costs</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8"/>
              </w:rPr>
              <w:t>(23,506)</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(12,226)</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(35,732)</w:t>
            </w:r>
          </w:p>
        </w:tc>
        <w:tc>
          <w:tcPr>
            <w:tcW w:w="800" w:type="dxa"/>
            <w:vAlign w:val="bottom"/>
            <w:gridSpan w:val="6"/>
            <w:shd w:val="clear" w:color="auto" w:fill="CCEEFF"/>
          </w:tcPr>
          <w:p>
            <w:pPr>
              <w:jc w:val="right"/>
              <w:spacing w:after="0" w:line="159" w:lineRule="exact"/>
              <w:rPr>
                <w:sz w:val="20"/>
                <w:szCs w:val="20"/>
                <w:color w:val="auto"/>
              </w:rPr>
            </w:pPr>
            <w:r>
              <w:rPr>
                <w:rFonts w:ascii="Arial" w:cs="Arial" w:eastAsia="Arial" w:hAnsi="Arial"/>
                <w:sz w:val="14"/>
                <w:szCs w:val="14"/>
                <w:color w:val="auto"/>
              </w:rPr>
              <w:t>(14,092)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(33,656)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(47,748)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(9,603)</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(43,479)</w:t>
            </w:r>
          </w:p>
        </w:tc>
        <w:tc>
          <w:tcPr>
            <w:tcW w:w="8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(53,082)</w:t>
            </w:r>
          </w:p>
        </w:tc>
      </w:tr>
      <w:tr>
        <w:trPr>
          <w:trHeight w:val="138"/>
        </w:trPr>
        <w:tc>
          <w:tcPr>
            <w:tcW w:w="960" w:type="dxa"/>
            <w:vAlign w:val="bottom"/>
          </w:tcPr>
          <w:p>
            <w:pPr>
              <w:spacing w:after="0" w:line="138" w:lineRule="exact"/>
              <w:rPr>
                <w:sz w:val="20"/>
                <w:szCs w:val="20"/>
                <w:color w:val="auto"/>
              </w:rPr>
            </w:pPr>
            <w:r>
              <w:rPr>
                <w:rFonts w:ascii="Arial" w:cs="Arial" w:eastAsia="Arial" w:hAnsi="Arial"/>
                <w:sz w:val="14"/>
                <w:szCs w:val="14"/>
                <w:color w:val="auto"/>
                <w:w w:val="84"/>
              </w:rPr>
              <w:t>Voyage expenses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960" w:type="dxa"/>
            <w:vAlign w:val="bottom"/>
          </w:tcPr>
          <w:p>
            <w:pPr>
              <w:ind w:left="120"/>
              <w:spacing w:after="0" w:line="149" w:lineRule="exact"/>
              <w:rPr>
                <w:sz w:val="20"/>
                <w:szCs w:val="20"/>
                <w:color w:val="auto"/>
              </w:rPr>
            </w:pPr>
            <w:r>
              <w:rPr>
                <w:rFonts w:ascii="Arial" w:cs="Arial" w:eastAsia="Arial" w:hAnsi="Arial"/>
                <w:sz w:val="14"/>
                <w:szCs w:val="14"/>
                <w:color w:val="auto"/>
              </w:rPr>
              <w:t>and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960" w:type="dxa"/>
            <w:vAlign w:val="bottom"/>
          </w:tcPr>
          <w:p>
            <w:pPr>
              <w:ind w:left="120"/>
              <w:spacing w:after="0" w:line="159" w:lineRule="exact"/>
              <w:rPr>
                <w:sz w:val="20"/>
                <w:szCs w:val="20"/>
                <w:color w:val="auto"/>
              </w:rPr>
            </w:pPr>
            <w:r>
              <w:rPr>
                <w:rFonts w:ascii="Arial" w:cs="Arial" w:eastAsia="Arial" w:hAnsi="Arial"/>
                <w:sz w:val="14"/>
                <w:szCs w:val="14"/>
                <w:color w:val="auto"/>
              </w:rPr>
              <w:t>commissions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(1,551)</w:t>
            </w:r>
          </w:p>
        </w:tc>
        <w:tc>
          <w:tcPr>
            <w:tcW w:w="1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(817)</w:t>
            </w:r>
          </w:p>
        </w:tc>
        <w:tc>
          <w:tcPr>
            <w:tcW w:w="80" w:type="dxa"/>
            <w:vAlign w:val="bottom"/>
          </w:tcPr>
          <w:p>
            <w:pPr>
              <w:spacing w:after="0"/>
              <w:rPr>
                <w:sz w:val="13"/>
                <w:szCs w:val="13"/>
                <w:color w:val="auto"/>
              </w:rPr>
            </w:pPr>
          </w:p>
        </w:tc>
        <w:tc>
          <w:tcPr>
            <w:tcW w:w="6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(2,368)</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(877)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(2,102)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(2,979)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(718)</w:t>
            </w:r>
          </w:p>
        </w:tc>
        <w:tc>
          <w:tcPr>
            <w:tcW w:w="8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(2,841)</w:t>
            </w:r>
          </w:p>
        </w:tc>
        <w:tc>
          <w:tcPr>
            <w:tcW w:w="8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(3,559)</w:t>
            </w:r>
          </w:p>
        </w:tc>
      </w:tr>
      <w:tr>
        <w:trPr>
          <w:trHeight w:val="149"/>
        </w:trPr>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(26,217)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(13,352)</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(39,569)</w:t>
            </w:r>
          </w:p>
        </w:tc>
        <w:tc>
          <w:tcPr>
            <w:tcW w:w="8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(13,990)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(35,981)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(49,971)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(10,793)</w:t>
            </w: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(45,230)</w:t>
            </w:r>
          </w:p>
        </w:tc>
        <w:tc>
          <w:tcPr>
            <w:tcW w:w="8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(56,023)</w:t>
            </w:r>
          </w:p>
        </w:tc>
      </w:tr>
      <w:tr>
        <w:trPr>
          <w:trHeight w:val="138"/>
        </w:trPr>
        <w:tc>
          <w:tcPr>
            <w:tcW w:w="960" w:type="dxa"/>
            <w:vAlign w:val="bottom"/>
          </w:tcPr>
          <w:p>
            <w:pPr>
              <w:spacing w:after="0" w:line="138" w:lineRule="exact"/>
              <w:rPr>
                <w:sz w:val="20"/>
                <w:szCs w:val="20"/>
                <w:color w:val="auto"/>
              </w:rPr>
            </w:pPr>
            <w:r>
              <w:rPr>
                <w:rFonts w:ascii="Arial" w:cs="Arial" w:eastAsia="Arial" w:hAnsi="Arial"/>
                <w:sz w:val="14"/>
                <w:szCs w:val="14"/>
                <w:color w:val="auto"/>
              </w:rPr>
              <w:t>General and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960" w:type="dxa"/>
            <w:vAlign w:val="bottom"/>
          </w:tcPr>
          <w:p>
            <w:pPr>
              <w:ind w:left="120"/>
              <w:spacing w:after="0" w:line="149" w:lineRule="exact"/>
              <w:rPr>
                <w:sz w:val="20"/>
                <w:szCs w:val="20"/>
                <w:color w:val="auto"/>
              </w:rPr>
            </w:pPr>
            <w:r>
              <w:rPr>
                <w:rFonts w:ascii="Arial" w:cs="Arial" w:eastAsia="Arial" w:hAnsi="Arial"/>
                <w:sz w:val="14"/>
                <w:szCs w:val="14"/>
                <w:color w:val="auto"/>
                <w:w w:val="94"/>
              </w:rPr>
              <w:t>administrative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960" w:type="dxa"/>
            <w:vAlign w:val="bottom"/>
          </w:tcPr>
          <w:p>
            <w:pPr>
              <w:ind w:left="120"/>
              <w:spacing w:after="0" w:line="159" w:lineRule="exact"/>
              <w:rPr>
                <w:sz w:val="20"/>
                <w:szCs w:val="20"/>
                <w:color w:val="auto"/>
              </w:rPr>
            </w:pPr>
            <w:r>
              <w:rPr>
                <w:rFonts w:ascii="Arial" w:cs="Arial" w:eastAsia="Arial" w:hAnsi="Arial"/>
                <w:sz w:val="14"/>
                <w:szCs w:val="14"/>
                <w:color w:val="auto"/>
              </w:rPr>
              <w:t>expenses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(2,355)</w:t>
            </w:r>
          </w:p>
        </w:tc>
        <w:tc>
          <w:tcPr>
            <w:tcW w:w="1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(4,591)</w:t>
            </w:r>
          </w:p>
        </w:tc>
        <w:tc>
          <w:tcPr>
            <w:tcW w:w="80" w:type="dxa"/>
            <w:vAlign w:val="bottom"/>
          </w:tcPr>
          <w:p>
            <w:pPr>
              <w:spacing w:after="0"/>
              <w:rPr>
                <w:sz w:val="13"/>
                <w:szCs w:val="13"/>
                <w:color w:val="auto"/>
              </w:rPr>
            </w:pPr>
          </w:p>
        </w:tc>
        <w:tc>
          <w:tcPr>
            <w:tcW w:w="6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(6,946)</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0"/>
              </w:rPr>
              <w:t>(1,159)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(10,383)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(11,542)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(1,015)</w:t>
            </w:r>
          </w:p>
        </w:tc>
        <w:tc>
          <w:tcPr>
            <w:tcW w:w="8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(11,219)</w:t>
            </w:r>
          </w:p>
        </w:tc>
        <w:tc>
          <w:tcPr>
            <w:tcW w:w="8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(12,234)</w:t>
            </w:r>
          </w:p>
        </w:tc>
      </w:tr>
      <w:tr>
        <w:trPr>
          <w:trHeight w:val="129"/>
        </w:trPr>
        <w:tc>
          <w:tcPr>
            <w:tcW w:w="9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Profit from</w:t>
            </w:r>
          </w:p>
        </w:tc>
        <w:tc>
          <w:tcPr>
            <w:tcW w:w="4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1"/>
        </w:trPr>
        <w:tc>
          <w:tcPr>
            <w:tcW w:w="9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operations</w:t>
            </w:r>
          </w:p>
        </w:tc>
        <w:tc>
          <w:tcPr>
            <w:tcW w:w="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64,662</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34,945</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99,607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3"/>
              </w:rPr>
              <w:t>25,145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86,805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111,950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30,925</w:t>
            </w: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103,655</w:t>
            </w:r>
          </w:p>
        </w:tc>
        <w:tc>
          <w:tcPr>
            <w:tcW w:w="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134,580</w:t>
            </w:r>
          </w:p>
        </w:tc>
        <w:tc>
          <w:tcPr>
            <w:tcW w:w="60" w:type="dxa"/>
            <w:vAlign w:val="bottom"/>
            <w:shd w:val="clear" w:color="auto" w:fill="CCEEFF"/>
          </w:tcPr>
          <w:p>
            <w:pPr>
              <w:spacing w:after="0"/>
              <w:rPr>
                <w:sz w:val="14"/>
                <w:szCs w:val="14"/>
                <w:color w:val="auto"/>
              </w:rPr>
            </w:pPr>
          </w:p>
        </w:tc>
      </w:tr>
      <w:tr>
        <w:trPr>
          <w:trHeight w:val="142"/>
        </w:trPr>
        <w:tc>
          <w:tcPr>
            <w:tcW w:w="960" w:type="dxa"/>
            <w:vAlign w:val="bottom"/>
          </w:tcPr>
          <w:p>
            <w:pPr>
              <w:spacing w:after="0" w:line="142" w:lineRule="exact"/>
              <w:rPr>
                <w:sz w:val="20"/>
                <w:szCs w:val="20"/>
                <w:color w:val="auto"/>
              </w:rPr>
            </w:pPr>
            <w:r>
              <w:rPr>
                <w:rFonts w:ascii="Arial" w:cs="Arial" w:eastAsia="Arial" w:hAnsi="Arial"/>
                <w:sz w:val="14"/>
                <w:szCs w:val="14"/>
                <w:color w:val="auto"/>
              </w:rPr>
              <w:t>Financial costs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w w:val="80"/>
              </w:rPr>
              <w:t>(22,519)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(15,206)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(37,725)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1"/>
              </w:rPr>
              <w:t>(9,423)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(21,789)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(31,212)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(11,609)</w:t>
            </w:r>
          </w:p>
        </w:tc>
        <w:tc>
          <w:tcPr>
            <w:tcW w:w="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(30,187)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(41,796)</w:t>
            </w:r>
          </w:p>
        </w:tc>
        <w:tc>
          <w:tcPr>
            <w:tcW w:w="60" w:type="dxa"/>
            <w:vAlign w:val="bottom"/>
          </w:tcPr>
          <w:p>
            <w:pPr>
              <w:spacing w:after="0"/>
              <w:rPr>
                <w:sz w:val="12"/>
                <w:szCs w:val="12"/>
                <w:color w:val="auto"/>
              </w:rPr>
            </w:pPr>
          </w:p>
        </w:tc>
      </w:tr>
      <w:tr>
        <w:trPr>
          <w:trHeight w:val="149"/>
        </w:trPr>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Financial income</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60" w:type="dxa"/>
            <w:vAlign w:val="bottom"/>
            <w:shd w:val="clear" w:color="auto" w:fill="CCEEFF"/>
          </w:tcPr>
          <w:p>
            <w:pPr>
              <w:spacing w:after="0"/>
              <w:rPr>
                <w:sz w:val="12"/>
                <w:szCs w:val="12"/>
                <w:color w:val="auto"/>
              </w:rPr>
            </w:pPr>
          </w:p>
        </w:tc>
      </w:tr>
      <w:tr>
        <w:trPr>
          <w:trHeight w:val="138"/>
        </w:trPr>
        <w:tc>
          <w:tcPr>
            <w:tcW w:w="960" w:type="dxa"/>
            <w:vAlign w:val="bottom"/>
          </w:tcPr>
          <w:p>
            <w:pPr>
              <w:spacing w:after="0" w:line="138" w:lineRule="exact"/>
              <w:rPr>
                <w:sz w:val="20"/>
                <w:szCs w:val="20"/>
                <w:color w:val="auto"/>
              </w:rPr>
            </w:pPr>
            <w:r>
              <w:rPr>
                <w:rFonts w:ascii="Arial" w:cs="Arial" w:eastAsia="Arial" w:hAnsi="Arial"/>
                <w:sz w:val="14"/>
                <w:szCs w:val="14"/>
                <w:color w:val="auto"/>
              </w:rPr>
              <w:t>(Loss)/gain on</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960" w:type="dxa"/>
            <w:vAlign w:val="bottom"/>
          </w:tcPr>
          <w:p>
            <w:pPr>
              <w:ind w:left="120"/>
              <w:spacing w:after="0" w:line="149" w:lineRule="exact"/>
              <w:rPr>
                <w:sz w:val="20"/>
                <w:szCs w:val="20"/>
                <w:color w:val="auto"/>
              </w:rPr>
            </w:pPr>
            <w:r>
              <w:rPr>
                <w:rFonts w:ascii="Arial" w:cs="Arial" w:eastAsia="Arial" w:hAnsi="Arial"/>
                <w:sz w:val="14"/>
                <w:szCs w:val="14"/>
                <w:color w:val="auto"/>
              </w:rPr>
              <w:t>interest rate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960" w:type="dxa"/>
            <w:vAlign w:val="bottom"/>
          </w:tcPr>
          <w:p>
            <w:pPr>
              <w:ind w:left="120"/>
              <w:spacing w:after="0" w:line="159" w:lineRule="exact"/>
              <w:rPr>
                <w:sz w:val="20"/>
                <w:szCs w:val="20"/>
                <w:color w:val="auto"/>
              </w:rPr>
            </w:pPr>
            <w:r>
              <w:rPr>
                <w:rFonts w:ascii="Arial" w:cs="Arial" w:eastAsia="Arial" w:hAnsi="Arial"/>
                <w:sz w:val="14"/>
                <w:szCs w:val="14"/>
                <w:color w:val="auto"/>
              </w:rPr>
              <w:t>swaps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(7,685)</w:t>
            </w:r>
          </w:p>
        </w:tc>
        <w:tc>
          <w:tcPr>
            <w:tcW w:w="1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(5,218)</w:t>
            </w:r>
          </w:p>
        </w:tc>
        <w:tc>
          <w:tcPr>
            <w:tcW w:w="80" w:type="dxa"/>
            <w:vAlign w:val="bottom"/>
          </w:tcPr>
          <w:p>
            <w:pPr>
              <w:spacing w:after="0"/>
              <w:rPr>
                <w:sz w:val="13"/>
                <w:szCs w:val="13"/>
                <w:color w:val="auto"/>
              </w:rPr>
            </w:pPr>
          </w:p>
        </w:tc>
        <w:tc>
          <w:tcPr>
            <w:tcW w:w="6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(12,903)</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0"/>
              </w:rPr>
              <w:t>(3,144)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(3,144)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(6,136)</w:t>
            </w:r>
          </w:p>
        </w:tc>
        <w:tc>
          <w:tcPr>
            <w:tcW w:w="8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3,623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(2,513)</w:t>
            </w:r>
          </w:p>
        </w:tc>
      </w:tr>
      <w:tr>
        <w:trPr>
          <w:trHeight w:val="129"/>
        </w:trPr>
        <w:tc>
          <w:tcPr>
            <w:tcW w:w="9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other</w:t>
            </w:r>
          </w:p>
        </w:tc>
        <w:tc>
          <w:tcPr>
            <w:tcW w:w="4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1"/>
        </w:trPr>
        <w:tc>
          <w:tcPr>
            <w:tcW w:w="9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w w:val="88"/>
              </w:rPr>
              <w:t>expenses, net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88"/>
              </w:rPr>
              <w:t>(30,178)</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(20,401)</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(50,579)</w:t>
            </w: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(12,562)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(21,765)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(34,327)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(17,733)</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(26,385)</w:t>
            </w: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(44,118)</w:t>
            </w:r>
          </w:p>
        </w:tc>
      </w:tr>
      <w:tr>
        <w:trPr>
          <w:trHeight w:val="129"/>
        </w:trPr>
        <w:tc>
          <w:tcPr>
            <w:tcW w:w="960" w:type="dxa"/>
            <w:vAlign w:val="bottom"/>
          </w:tcPr>
          <w:p>
            <w:pPr>
              <w:spacing w:after="0" w:line="129" w:lineRule="exact"/>
              <w:rPr>
                <w:sz w:val="20"/>
                <w:szCs w:val="20"/>
                <w:color w:val="auto"/>
              </w:rPr>
            </w:pPr>
            <w:r>
              <w:rPr>
                <w:rFonts w:ascii="Arial" w:cs="Arial" w:eastAsia="Arial" w:hAnsi="Arial"/>
                <w:sz w:val="14"/>
                <w:szCs w:val="14"/>
                <w:b w:val="1"/>
                <w:bCs w:val="1"/>
                <w:color w:val="auto"/>
              </w:rPr>
              <w:t>Profit for the</w:t>
            </w: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year</w:t>
            </w:r>
          </w:p>
        </w:tc>
        <w:tc>
          <w:tcPr>
            <w:tcW w:w="34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7"/>
              </w:rPr>
              <w:t>34,484</w:t>
            </w:r>
          </w:p>
        </w:tc>
        <w:tc>
          <w:tcPr>
            <w:tcW w:w="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14,544</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49,028</w:t>
            </w:r>
          </w:p>
        </w:tc>
        <w:tc>
          <w:tcPr>
            <w:tcW w:w="60" w:type="dxa"/>
            <w:vAlign w:val="bottom"/>
          </w:tcPr>
          <w:p>
            <w:pPr>
              <w:spacing w:after="0"/>
              <w:rPr>
                <w:sz w:val="14"/>
                <w:szCs w:val="14"/>
                <w:color w:val="auto"/>
              </w:rPr>
            </w:pPr>
          </w:p>
        </w:tc>
        <w:tc>
          <w:tcPr>
            <w:tcW w:w="34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12,583</w:t>
            </w:r>
          </w:p>
        </w:tc>
        <w:tc>
          <w:tcPr>
            <w:tcW w:w="40" w:type="dxa"/>
            <w:vAlign w:val="bottom"/>
          </w:tcPr>
          <w:p>
            <w:pPr>
              <w:spacing w:after="0"/>
              <w:rPr>
                <w:sz w:val="14"/>
                <w:szCs w:val="14"/>
                <w:color w:val="auto"/>
              </w:rPr>
            </w:pPr>
          </w:p>
        </w:tc>
        <w:tc>
          <w:tcPr>
            <w:tcW w:w="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65,040</w:t>
            </w:r>
          </w:p>
        </w:tc>
        <w:tc>
          <w:tcPr>
            <w:tcW w:w="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77,623</w:t>
            </w:r>
          </w:p>
        </w:tc>
        <w:tc>
          <w:tcPr>
            <w:tcW w:w="60" w:type="dxa"/>
            <w:vAlign w:val="bottom"/>
          </w:tcPr>
          <w:p>
            <w:pPr>
              <w:spacing w:after="0"/>
              <w:rPr>
                <w:sz w:val="14"/>
                <w:szCs w:val="14"/>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13,192</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77,270</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90,462</w:t>
            </w:r>
          </w:p>
        </w:tc>
        <w:tc>
          <w:tcPr>
            <w:tcW w:w="6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65"/>
        </w:trPr>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7"/>
              </w:rPr>
              <w:t>For the three months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5"/>
              </w:rPr>
              <w:t>ended September 30, 2016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w w:val="96"/>
              </w:rPr>
              <w:t>ended September 30, 2017</w:t>
            </w:r>
          </w:p>
        </w:tc>
      </w:tr>
      <w:tr>
        <w:trPr>
          <w:trHeight w:val="129"/>
        </w:trPr>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4"/>
          </w:tcPr>
          <w:p>
            <w:pPr>
              <w:jc w:val="center"/>
              <w:ind w:right="112"/>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IFRS</w:t>
            </w:r>
          </w:p>
        </w:tc>
        <w:tc>
          <w:tcPr>
            <w:tcW w:w="160" w:type="dxa"/>
            <w:vAlign w:val="bottom"/>
            <w:gridSpan w:val="2"/>
          </w:tcPr>
          <w:p>
            <w:pPr>
              <w:spacing w:after="0"/>
              <w:rPr>
                <w:sz w:val="11"/>
                <w:szCs w:val="11"/>
                <w:color w:val="auto"/>
              </w:rPr>
            </w:pPr>
          </w:p>
        </w:tc>
      </w:tr>
      <w:tr>
        <w:trPr>
          <w:trHeight w:val="149"/>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Common</w:t>
            </w:r>
          </w:p>
        </w:tc>
      </w:tr>
      <w:tr>
        <w:trPr>
          <w:trHeight w:val="149"/>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2"/>
              </w:rPr>
              <w:t>Results</w:t>
            </w:r>
          </w:p>
        </w:tc>
        <w:tc>
          <w:tcPr>
            <w:tcW w:w="120" w:type="dxa"/>
            <w:vAlign w:val="bottom"/>
          </w:tcPr>
          <w:p>
            <w:pPr>
              <w:spacing w:after="0"/>
              <w:rPr>
                <w:sz w:val="12"/>
                <w:szCs w:val="12"/>
                <w:color w:val="auto"/>
              </w:rPr>
            </w:pPr>
          </w:p>
        </w:tc>
        <w:tc>
          <w:tcPr>
            <w:tcW w:w="920" w:type="dxa"/>
            <w:vAlign w:val="bottom"/>
            <w:gridSpan w:val="6"/>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Partnership</w:t>
            </w:r>
          </w:p>
        </w:tc>
        <w:tc>
          <w:tcPr>
            <w:tcW w:w="8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Results</w:t>
            </w:r>
          </w:p>
        </w:tc>
        <w:tc>
          <w:tcPr>
            <w:tcW w:w="8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Partnership</w:t>
            </w:r>
          </w:p>
        </w:tc>
        <w:tc>
          <w:tcPr>
            <w:tcW w:w="80" w:type="dxa"/>
            <w:vAlign w:val="bottom"/>
          </w:tcPr>
          <w:p>
            <w:pPr>
              <w:spacing w:after="0"/>
              <w:rPr>
                <w:sz w:val="12"/>
                <w:szCs w:val="12"/>
                <w:color w:val="auto"/>
              </w:rPr>
            </w:pPr>
          </w:p>
        </w:tc>
        <w:tc>
          <w:tcPr>
            <w:tcW w:w="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120" w:type="dxa"/>
            <w:vAlign w:val="bottom"/>
          </w:tcPr>
          <w:p>
            <w:pPr>
              <w:spacing w:after="0"/>
              <w:rPr>
                <w:sz w:val="12"/>
                <w:szCs w:val="12"/>
                <w:color w:val="auto"/>
              </w:rPr>
            </w:pPr>
          </w:p>
        </w:tc>
        <w:tc>
          <w:tcPr>
            <w:tcW w:w="920" w:type="dxa"/>
            <w:vAlign w:val="bottom"/>
            <w:gridSpan w:val="6"/>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Performance</w:t>
            </w:r>
          </w:p>
        </w:tc>
        <w:tc>
          <w:tcPr>
            <w:tcW w:w="8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c>
          <w:tcPr>
            <w:tcW w:w="960" w:type="dxa"/>
            <w:vAlign w:val="bottom"/>
            <w:gridSpan w:val="6"/>
          </w:tcPr>
          <w:p>
            <w:pPr>
              <w:jc w:val="right"/>
              <w:ind w:right="192"/>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8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79"/>
              </w:rPr>
              <w:t>Performance</w:t>
            </w:r>
          </w:p>
        </w:tc>
        <w:tc>
          <w:tcPr>
            <w:tcW w:w="8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Reported</w:t>
            </w: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to GasLog</w:t>
            </w:r>
          </w:p>
        </w:tc>
        <w:tc>
          <w:tcPr>
            <w:tcW w:w="120" w:type="dxa"/>
            <w:vAlign w:val="bottom"/>
          </w:tcPr>
          <w:p>
            <w:pPr>
              <w:spacing w:after="0"/>
              <w:rPr>
                <w:sz w:val="14"/>
                <w:szCs w:val="14"/>
                <w:color w:val="auto"/>
              </w:rPr>
            </w:pPr>
          </w:p>
        </w:tc>
        <w:tc>
          <w:tcPr>
            <w:tcW w:w="920" w:type="dxa"/>
            <w:vAlign w:val="bottom"/>
            <w:gridSpan w:val="6"/>
          </w:tcPr>
          <w:p>
            <w:pPr>
              <w:jc w:val="center"/>
              <w:ind w:right="72"/>
              <w:spacing w:after="0"/>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c>
          <w:tcPr>
            <w:tcW w:w="960" w:type="dxa"/>
            <w:vAlign w:val="bottom"/>
            <w:gridSpan w:val="6"/>
          </w:tcPr>
          <w:p>
            <w:pPr>
              <w:jc w:val="right"/>
              <w:ind w:right="232"/>
              <w:spacing w:after="0"/>
              <w:rPr>
                <w:sz w:val="20"/>
                <w:szCs w:val="20"/>
                <w:color w:val="auto"/>
              </w:rPr>
            </w:pPr>
            <w:r>
              <w:rPr>
                <w:rFonts w:ascii="Arial" w:cs="Arial" w:eastAsia="Arial" w:hAnsi="Arial"/>
                <w:sz w:val="14"/>
                <w:szCs w:val="14"/>
                <w:b w:val="1"/>
                <w:bCs w:val="1"/>
                <w:color w:val="auto"/>
                <w:w w:val="92"/>
              </w:rPr>
              <w:t>to GasLog</w:t>
            </w:r>
          </w:p>
        </w:tc>
        <w:tc>
          <w:tcPr>
            <w:tcW w:w="80" w:type="dxa"/>
            <w:vAlign w:val="bottom"/>
          </w:tcPr>
          <w:p>
            <w:pPr>
              <w:spacing w:after="0"/>
              <w:rPr>
                <w:sz w:val="14"/>
                <w:szCs w:val="14"/>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gridSpan w:val="5"/>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13"/>
          </w:tcPr>
          <w:p>
            <w:pPr>
              <w:jc w:val="right"/>
              <w:ind w:right="192"/>
              <w:spacing w:after="0"/>
              <w:rPr>
                <w:sz w:val="20"/>
                <w:szCs w:val="20"/>
                <w:color w:val="auto"/>
              </w:rPr>
            </w:pPr>
            <w:r>
              <w:rPr>
                <w:rFonts w:ascii="Arial" w:cs="Arial" w:eastAsia="Arial" w:hAnsi="Arial"/>
                <w:sz w:val="14"/>
                <w:szCs w:val="14"/>
                <w:b w:val="1"/>
                <w:bCs w:val="1"/>
                <w:color w:val="auto"/>
                <w:w w:val="86"/>
              </w:rPr>
              <w:t>(in thousands of U.S. dollars)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64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9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14,581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79"/>
              </w:rPr>
              <w:t>51,452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7"/>
              </w:rPr>
              <w:t>66,033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73,277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73,439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0"/>
              </w:rPr>
              <w:t>Vessel operating costs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(2,714)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5"/>
              </w:rPr>
              <w:t>(10,822)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(13,536)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(15,046)</w:t>
            </w: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(15,066)</w:t>
            </w:r>
          </w:p>
        </w:tc>
        <w:tc>
          <w:tcPr>
            <w:tcW w:w="60" w:type="dxa"/>
            <w:vAlign w:val="bottom"/>
            <w:shd w:val="clear" w:color="auto" w:fill="CCEEFF"/>
          </w:tcPr>
          <w:p>
            <w:pPr>
              <w:spacing w:after="0"/>
              <w:rPr>
                <w:sz w:val="12"/>
                <w:szCs w:val="12"/>
                <w:color w:val="auto"/>
              </w:rPr>
            </w:pPr>
          </w:p>
        </w:tc>
      </w:tr>
      <w:tr>
        <w:trPr>
          <w:trHeight w:val="149"/>
        </w:trPr>
        <w:tc>
          <w:tcPr>
            <w:tcW w:w="1940" w:type="dxa"/>
            <w:vAlign w:val="bottom"/>
            <w:gridSpan w:val="6"/>
          </w:tcPr>
          <w:p>
            <w:pPr>
              <w:spacing w:after="0" w:line="149" w:lineRule="exact"/>
              <w:rPr>
                <w:sz w:val="20"/>
                <w:szCs w:val="20"/>
                <w:color w:val="auto"/>
              </w:rPr>
            </w:pPr>
            <w:r>
              <w:rPr>
                <w:rFonts w:ascii="Arial" w:cs="Arial" w:eastAsia="Arial" w:hAnsi="Arial"/>
                <w:sz w:val="14"/>
                <w:szCs w:val="14"/>
                <w:color w:val="auto"/>
                <w:w w:val="85"/>
              </w:rPr>
              <w:t>Voyage expenses and commissions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(644)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(921)</w:t>
            </w:r>
          </w:p>
        </w:tc>
        <w:tc>
          <w:tcPr>
            <w:tcW w:w="60" w:type="dxa"/>
            <w:vAlign w:val="bottom"/>
          </w:tcPr>
          <w:p>
            <w:pPr>
              <w:spacing w:after="0"/>
              <w:rPr>
                <w:sz w:val="12"/>
                <w:szCs w:val="12"/>
                <w:color w:val="auto"/>
              </w:rPr>
            </w:pPr>
          </w:p>
        </w:tc>
      </w:tr>
      <w:tr>
        <w:trPr>
          <w:trHeight w:val="149"/>
        </w:trPr>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(2,960)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5"/>
              </w:rPr>
              <w:t>(11,116)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(14,076)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(15,580)</w:t>
            </w: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(15,611)</w:t>
            </w:r>
          </w:p>
        </w:tc>
        <w:tc>
          <w:tcPr>
            <w:tcW w:w="60" w:type="dxa"/>
            <w:vAlign w:val="bottom"/>
            <w:shd w:val="clear" w:color="auto" w:fill="CCEEFF"/>
          </w:tcPr>
          <w:p>
            <w:pPr>
              <w:spacing w:after="0"/>
              <w:rPr>
                <w:sz w:val="12"/>
                <w:szCs w:val="12"/>
                <w:color w:val="auto"/>
              </w:rPr>
            </w:pPr>
          </w:p>
        </w:tc>
      </w:tr>
      <w:tr>
        <w:trPr>
          <w:trHeight w:val="149"/>
        </w:trPr>
        <w:tc>
          <w:tcPr>
            <w:tcW w:w="2640" w:type="dxa"/>
            <w:vAlign w:val="bottom"/>
            <w:gridSpan w:val="8"/>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w w:val="90"/>
              </w:rPr>
              <w:t>(2,752)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(3,130)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(3,787)</w:t>
            </w:r>
          </w:p>
        </w:tc>
        <w:tc>
          <w:tcPr>
            <w:tcW w:w="60" w:type="dxa"/>
            <w:vAlign w:val="bottom"/>
          </w:tcPr>
          <w:p>
            <w:pPr>
              <w:spacing w:after="0"/>
              <w:rPr>
                <w:sz w:val="12"/>
                <w:szCs w:val="12"/>
                <w:color w:val="auto"/>
              </w:rPr>
            </w:pPr>
          </w:p>
        </w:tc>
      </w:tr>
      <w:tr>
        <w:trPr>
          <w:trHeight w:val="142"/>
        </w:trPr>
        <w:tc>
          <w:tcPr>
            <w:tcW w:w="13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7"/>
              </w:rPr>
              <w:t>Profit from operations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8,324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26,118</w:t>
            </w: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34,442</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105</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37,949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38,054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2"/>
        </w:trPr>
        <w:tc>
          <w:tcPr>
            <w:tcW w:w="960" w:type="dxa"/>
            <w:vAlign w:val="bottom"/>
          </w:tcPr>
          <w:p>
            <w:pPr>
              <w:spacing w:after="0" w:line="142" w:lineRule="exact"/>
              <w:rPr>
                <w:sz w:val="20"/>
                <w:szCs w:val="20"/>
                <w:color w:val="auto"/>
              </w:rPr>
            </w:pPr>
            <w:r>
              <w:rPr>
                <w:rFonts w:ascii="Arial" w:cs="Arial" w:eastAsia="Arial" w:hAnsi="Arial"/>
                <w:sz w:val="14"/>
                <w:szCs w:val="14"/>
                <w:color w:val="auto"/>
              </w:rPr>
              <w:t>Financial costs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(4,916)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76"/>
              </w:rPr>
              <w:t>(7,333)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80"/>
              </w:rPr>
              <w:t>(12,249)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(12,289)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5"/>
              </w:rPr>
              <w:t>(12,319)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Financial income</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1800" w:type="dxa"/>
            <w:vAlign w:val="bottom"/>
            <w:gridSpan w:val="5"/>
          </w:tcPr>
          <w:p>
            <w:pPr>
              <w:spacing w:after="0" w:line="149" w:lineRule="exact"/>
              <w:rPr>
                <w:sz w:val="20"/>
                <w:szCs w:val="20"/>
                <w:color w:val="auto"/>
              </w:rPr>
            </w:pPr>
            <w:r>
              <w:rPr>
                <w:rFonts w:ascii="Arial" w:cs="Arial" w:eastAsia="Arial" w:hAnsi="Arial"/>
                <w:sz w:val="14"/>
                <w:szCs w:val="14"/>
                <w:color w:val="auto"/>
              </w:rPr>
              <w:t>Loss on interest rate swaps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(2,244)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(2,244)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(672)</w:t>
            </w:r>
          </w:p>
        </w:tc>
        <w:tc>
          <w:tcPr>
            <w:tcW w:w="6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0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(7,155)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w w:val="90"/>
              </w:rPr>
              <w:t>(7,249)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(14,404)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32"/>
              <w:spacing w:after="0" w:line="142" w:lineRule="exact"/>
              <w:rPr>
                <w:sz w:val="20"/>
                <w:szCs w:val="20"/>
                <w:color w:val="auto"/>
              </w:rPr>
            </w:pPr>
            <w:r>
              <w:rPr>
                <w:rFonts w:ascii="Arial" w:cs="Arial" w:eastAsia="Arial" w:hAnsi="Arial"/>
                <w:sz w:val="14"/>
                <w:szCs w:val="14"/>
                <w:b w:val="1"/>
                <w:bCs w:val="1"/>
                <w:color w:val="auto"/>
              </w:rPr>
              <w:t>(30)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(12,650)</w:t>
            </w: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(12,680)</w:t>
            </w:r>
          </w:p>
        </w:tc>
        <w:tc>
          <w:tcPr>
            <w:tcW w:w="60" w:type="dxa"/>
            <w:vAlign w:val="bottom"/>
            <w:shd w:val="clear" w:color="auto" w:fill="CCEEFF"/>
          </w:tcPr>
          <w:p>
            <w:pPr>
              <w:spacing w:after="0"/>
              <w:rPr>
                <w:sz w:val="12"/>
                <w:szCs w:val="12"/>
                <w:color w:val="auto"/>
              </w:rPr>
            </w:pPr>
          </w:p>
        </w:tc>
      </w:tr>
      <w:tr>
        <w:trPr>
          <w:trHeight w:val="142"/>
        </w:trPr>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Profit for the period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1,169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18,869</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20,038</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25,299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25,374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36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For the nine months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980" w:type="dxa"/>
            <w:vAlign w:val="bottom"/>
          </w:tcPr>
          <w:p>
            <w:pPr>
              <w:spacing w:after="0"/>
              <w:rPr>
                <w:sz w:val="14"/>
                <w:szCs w:val="14"/>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ended September 30, 2016</w:t>
            </w:r>
          </w:p>
        </w:tc>
        <w:tc>
          <w:tcPr>
            <w:tcW w:w="25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ended September 30, 2017</w:t>
            </w:r>
          </w:p>
        </w:tc>
      </w:tr>
      <w:tr>
        <w:trPr>
          <w:trHeight w:val="129"/>
        </w:trPr>
        <w:tc>
          <w:tcPr>
            <w:tcW w:w="29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IFRS</w:t>
            </w:r>
          </w:p>
        </w:tc>
        <w:tc>
          <w:tcPr>
            <w:tcW w:w="160" w:type="dxa"/>
            <w:vAlign w:val="bottom"/>
          </w:tcPr>
          <w:p>
            <w:pPr>
              <w:spacing w:after="0"/>
              <w:rPr>
                <w:sz w:val="11"/>
                <w:szCs w:val="11"/>
                <w:color w:val="auto"/>
              </w:rPr>
            </w:pPr>
          </w:p>
        </w:tc>
      </w:tr>
      <w:tr>
        <w:trPr>
          <w:trHeight w:val="149"/>
        </w:trPr>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29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Results</w:t>
            </w:r>
          </w:p>
        </w:tc>
        <w:tc>
          <w:tcPr>
            <w:tcW w:w="94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Partnership</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Control</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Results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9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94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Performance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Reported</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29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to GasLog</w:t>
            </w:r>
          </w:p>
        </w:tc>
        <w:tc>
          <w:tcPr>
            <w:tcW w:w="9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2"/>
              </w:rPr>
              <w:t>Results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Results</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to GasLog</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2980" w:type="dxa"/>
            <w:vAlign w:val="bottom"/>
          </w:tcPr>
          <w:p>
            <w:pPr>
              <w:spacing w:after="0"/>
              <w:rPr>
                <w:sz w:val="13"/>
                <w:szCs w:val="13"/>
                <w:color w:val="auto"/>
              </w:rPr>
            </w:pPr>
          </w:p>
        </w:tc>
        <w:tc>
          <w:tcPr>
            <w:tcW w:w="7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6"/>
              </w:rPr>
              <w:t>(in thousands of U.S. dollars)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35,941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150,446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186,387</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25,071</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192,852</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217,923</w:t>
            </w:r>
          </w:p>
        </w:tc>
        <w:tc>
          <w:tcPr>
            <w:tcW w:w="160" w:type="dxa"/>
            <w:vAlign w:val="bottom"/>
          </w:tcPr>
          <w:p>
            <w:pPr>
              <w:spacing w:after="0"/>
              <w:rPr>
                <w:sz w:val="12"/>
                <w:szCs w:val="12"/>
                <w:color w:val="auto"/>
              </w:rPr>
            </w:pP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Vessel operating costs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(6,791)</w:t>
            </w:r>
          </w:p>
        </w:tc>
        <w:tc>
          <w:tcPr>
            <w:tcW w:w="940" w:type="dxa"/>
            <w:vAlign w:val="bottom"/>
            <w:tcBorders>
              <w:right w:val="single" w:sz="8" w:color="CCEEFF"/>
            </w:tcBorders>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(32,634)</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(39,425)</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(4,045)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(39,523)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(43,568)</w:t>
            </w: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Voyage expenses and commissions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(495)</w:t>
            </w:r>
          </w:p>
        </w:tc>
        <w:tc>
          <w:tcPr>
            <w:tcW w:w="9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(2,135)</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(2,733)</w:t>
            </w: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(7,348)</w:t>
            </w:r>
          </w:p>
        </w:tc>
        <w:tc>
          <w:tcPr>
            <w:tcW w:w="940" w:type="dxa"/>
            <w:vAlign w:val="bottom"/>
            <w:tcBorders>
              <w:right w:val="single" w:sz="8" w:color="CCEEFF"/>
            </w:tcBorders>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(33,168)</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(40,516)</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(4,919)</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(41,408)</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(46,327)</w:t>
            </w: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(801)</w:t>
            </w:r>
          </w:p>
        </w:tc>
        <w:tc>
          <w:tcPr>
            <w:tcW w:w="9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(8,426)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(9,227)</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(10,134)</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(10,470)</w:t>
            </w:r>
          </w:p>
        </w:tc>
      </w:tr>
      <w:tr>
        <w:trPr>
          <w:trHeight w:val="142"/>
        </w:trPr>
        <w:tc>
          <w:tcPr>
            <w:tcW w:w="2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20,506</w:t>
            </w: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74,083</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94,589</w:t>
            </w:r>
          </w:p>
        </w:tc>
        <w:tc>
          <w:tcPr>
            <w:tcW w:w="160" w:type="dxa"/>
            <w:vAlign w:val="bottom"/>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15,458</w:t>
            </w: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99,367</w:t>
            </w: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114,825</w:t>
            </w:r>
          </w:p>
        </w:tc>
        <w:tc>
          <w:tcPr>
            <w:tcW w:w="160" w:type="dxa"/>
            <w:vAlign w:val="bottom"/>
            <w:shd w:val="clear" w:color="auto" w:fill="CCEEFF"/>
          </w:tcPr>
          <w:p>
            <w:pPr>
              <w:spacing w:after="0"/>
              <w:rPr>
                <w:sz w:val="12"/>
                <w:szCs w:val="12"/>
                <w:color w:val="auto"/>
              </w:rPr>
            </w:pPr>
          </w:p>
        </w:tc>
      </w:tr>
      <w:tr>
        <w:trPr>
          <w:trHeight w:val="142"/>
        </w:trPr>
        <w:tc>
          <w:tcPr>
            <w:tcW w:w="2980" w:type="dxa"/>
            <w:vAlign w:val="bottom"/>
          </w:tcPr>
          <w:p>
            <w:pPr>
              <w:spacing w:after="0" w:line="142" w:lineRule="exact"/>
              <w:rPr>
                <w:sz w:val="20"/>
                <w:szCs w:val="20"/>
                <w:color w:val="auto"/>
              </w:rPr>
            </w:pPr>
            <w:r>
              <w:rPr>
                <w:rFonts w:ascii="Arial" w:cs="Arial" w:eastAsia="Arial" w:hAnsi="Arial"/>
                <w:sz w:val="14"/>
                <w:szCs w:val="14"/>
                <w:color w:val="auto"/>
              </w:rPr>
              <w:t>Financial costs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(8,396)</w:t>
            </w: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(21,766)</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(30,162)</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(4,739)</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(31,359)</w:t>
            </w: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(36,098)</w:t>
            </w:r>
          </w:p>
        </w:tc>
        <w:tc>
          <w:tcPr>
            <w:tcW w:w="160" w:type="dxa"/>
            <w:vAlign w:val="bottom"/>
          </w:tcPr>
          <w:p>
            <w:pPr>
              <w:spacing w:after="0"/>
              <w:rPr>
                <w:sz w:val="12"/>
                <w:szCs w:val="12"/>
                <w:color w:val="auto"/>
              </w:rPr>
            </w:pP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income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w:t>
            </w:r>
          </w:p>
        </w:tc>
        <w:tc>
          <w:tcPr>
            <w:tcW w:w="160" w:type="dxa"/>
            <w:vAlign w:val="bottom"/>
            <w:shd w:val="clear" w:color="auto" w:fill="CCEEFF"/>
          </w:tcPr>
          <w:p>
            <w:pPr>
              <w:spacing w:after="0"/>
              <w:rPr>
                <w:sz w:val="12"/>
                <w:szCs w:val="12"/>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Loss on interest rate swaps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(6,136)</w:t>
            </w:r>
          </w:p>
        </w:tc>
        <w:tc>
          <w:tcPr>
            <w:tcW w:w="9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(6,136)</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(2,985)</w:t>
            </w:r>
          </w:p>
        </w:tc>
      </w:tr>
      <w:tr>
        <w:trPr>
          <w:trHeight w:val="20"/>
        </w:trPr>
        <w:tc>
          <w:tcPr>
            <w:tcW w:w="2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(14,527)</w:t>
            </w:r>
          </w:p>
        </w:tc>
        <w:tc>
          <w:tcPr>
            <w:tcW w:w="940" w:type="dxa"/>
            <w:vAlign w:val="bottom"/>
            <w:tcBorders>
              <w:right w:val="single" w:sz="8" w:color="CCEEFF"/>
            </w:tcBorders>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(21,640)</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(36,167)</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(4,726)</w:t>
            </w: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(33,688)</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(38,414)</w:t>
            </w:r>
          </w:p>
        </w:tc>
      </w:tr>
      <w:tr>
        <w:trPr>
          <w:trHeight w:val="142"/>
        </w:trPr>
        <w:tc>
          <w:tcPr>
            <w:tcW w:w="2980" w:type="dxa"/>
            <w:vAlign w:val="bottom"/>
          </w:tcPr>
          <w:p>
            <w:pPr>
              <w:spacing w:after="0" w:line="142" w:lineRule="exact"/>
              <w:rPr>
                <w:sz w:val="20"/>
                <w:szCs w:val="20"/>
                <w:color w:val="auto"/>
              </w:rPr>
            </w:pPr>
            <w:r>
              <w:rPr>
                <w:rFonts w:ascii="Arial" w:cs="Arial" w:eastAsia="Arial" w:hAnsi="Arial"/>
                <w:sz w:val="14"/>
                <w:szCs w:val="14"/>
                <w:b w:val="1"/>
                <w:bCs w:val="1"/>
                <w:color w:val="auto"/>
              </w:rPr>
              <w:t>Profit for the period</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5,979</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52,443</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58,422</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10,732</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76,411</w:t>
            </w:r>
          </w:p>
        </w:tc>
        <w:tc>
          <w:tcPr>
            <w:tcW w:w="160" w:type="dxa"/>
            <w:vAlign w:val="bottom"/>
          </w:tcPr>
          <w:p>
            <w:pPr>
              <w:spacing w:after="0"/>
              <w:rPr>
                <w:sz w:val="12"/>
                <w:szCs w:val="12"/>
                <w:color w:val="auto"/>
              </w:rPr>
            </w:pPr>
          </w:p>
        </w:tc>
      </w:tr>
      <w:tr>
        <w:trPr>
          <w:trHeight w:val="20"/>
        </w:trPr>
        <w:tc>
          <w:tcPr>
            <w:tcW w:w="2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9" w:lineRule="exact"/>
        <w:rPr>
          <w:sz w:val="20"/>
          <w:szCs w:val="20"/>
          <w:color w:val="auto"/>
        </w:rPr>
      </w:pPr>
    </w:p>
    <w:p>
      <w:pPr>
        <w:ind w:left="1880"/>
        <w:spacing w:after="0"/>
        <w:rPr>
          <w:sz w:val="20"/>
          <w:szCs w:val="20"/>
          <w:color w:val="auto"/>
        </w:rPr>
      </w:pPr>
      <w:r>
        <w:rPr>
          <w:rFonts w:ascii="Arial" w:cs="Arial" w:eastAsia="Arial" w:hAnsi="Arial"/>
          <w:sz w:val="14"/>
          <w:szCs w:val="14"/>
          <w:b w:val="1"/>
          <w:bCs w:val="1"/>
          <w:i w:val="1"/>
          <w:iCs w:val="1"/>
          <w:color w:val="auto"/>
        </w:rPr>
        <w:t>EBITDA</w:t>
      </w:r>
    </w:p>
    <w:p>
      <w:pPr>
        <w:spacing w:after="0" w:line="177" w:lineRule="exact"/>
        <w:rPr>
          <w:sz w:val="20"/>
          <w:szCs w:val="20"/>
          <w:color w:val="auto"/>
        </w:rPr>
      </w:pPr>
    </w:p>
    <w:p>
      <w:pPr>
        <w:ind w:left="1880" w:right="20"/>
        <w:spacing w:after="0" w:line="266" w:lineRule="auto"/>
        <w:rPr>
          <w:sz w:val="20"/>
          <w:szCs w:val="20"/>
          <w:color w:val="auto"/>
        </w:rPr>
      </w:pPr>
      <w:r>
        <w:rPr>
          <w:rFonts w:ascii="Arial" w:cs="Arial" w:eastAsia="Arial" w:hAnsi="Arial"/>
          <w:sz w:val="12"/>
          <w:szCs w:val="12"/>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financial costs, gain/losses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303" w:lineRule="exact"/>
        <w:rPr>
          <w:sz w:val="20"/>
          <w:szCs w:val="20"/>
          <w:color w:val="auto"/>
        </w:rPr>
      </w:pPr>
    </w:p>
    <w:p>
      <w:pPr>
        <w:ind w:left="1880"/>
        <w:spacing w:after="0" w:line="273" w:lineRule="auto"/>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61" w:lineRule="exact"/>
        <w:rPr>
          <w:sz w:val="20"/>
          <w:szCs w:val="20"/>
          <w:color w:val="auto"/>
        </w:rPr>
      </w:pPr>
    </w:p>
    <w:p>
      <w:pPr>
        <w:jc w:val="both"/>
        <w:ind w:left="1880"/>
        <w:spacing w:after="0" w:line="233" w:lineRule="auto"/>
        <w:rPr>
          <w:sz w:val="20"/>
          <w:szCs w:val="20"/>
          <w:color w:val="auto"/>
        </w:rPr>
      </w:pPr>
      <w:r>
        <w:rPr>
          <w:rFonts w:ascii="Arial" w:cs="Arial" w:eastAsia="Arial" w:hAnsi="Arial"/>
          <w:sz w:val="14"/>
          <w:szCs w:val="14"/>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66" w:lineRule="exact"/>
        <w:rPr>
          <w:sz w:val="20"/>
          <w:szCs w:val="20"/>
          <w:color w:val="auto"/>
        </w:rPr>
      </w:pPr>
    </w:p>
    <w:p>
      <w:pPr>
        <w:ind w:left="1880" w:right="280"/>
        <w:spacing w:after="0" w:line="233" w:lineRule="auto"/>
        <w:rPr>
          <w:sz w:val="20"/>
          <w:szCs w:val="20"/>
          <w:color w:val="auto"/>
        </w:rPr>
      </w:pPr>
      <w:r>
        <w:rPr>
          <w:rFonts w:ascii="Arial" w:cs="Arial" w:eastAsia="Arial" w:hAnsi="Arial"/>
          <w:sz w:val="14"/>
          <w:szCs w:val="14"/>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16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Reconciliation of Profit to EBITDA:</w:t>
      </w:r>
    </w:p>
    <w:p>
      <w:pPr>
        <w:spacing w:after="0" w:line="19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IFRS Common Control Reported Results:</w:t>
      </w:r>
    </w:p>
    <w:p>
      <w:pPr>
        <w:spacing w:after="0" w:line="191"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ind w:left="232"/>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center"/>
              <w:ind w:left="272"/>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56"/>
        </w:trPr>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1"/>
              </w:rPr>
              <w:t>(in thousands of U.S. dollars)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w:t>
            </w:r>
          </w:p>
        </w:tc>
        <w:tc>
          <w:tcPr>
            <w:tcW w:w="14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49,028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77,623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90,462</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20,038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25,374</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58,422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76,411</w:t>
            </w:r>
          </w:p>
        </w:tc>
        <w:tc>
          <w:tcPr>
            <w:tcW w:w="160" w:type="dxa"/>
            <w:vAlign w:val="bottom"/>
            <w:shd w:val="clear" w:color="auto" w:fill="CCEEFF"/>
          </w:tcPr>
          <w:p>
            <w:pPr>
              <w:spacing w:after="0"/>
              <w:rPr>
                <w:sz w:val="12"/>
                <w:szCs w:val="12"/>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39,569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49,971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56,023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15,611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40,516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46,327</w:t>
            </w:r>
          </w:p>
        </w:tc>
        <w:tc>
          <w:tcPr>
            <w:tcW w:w="160" w:type="dxa"/>
            <w:vAlign w:val="bottom"/>
          </w:tcPr>
          <w:p>
            <w:pPr>
              <w:spacing w:after="0"/>
              <w:rPr>
                <w:sz w:val="12"/>
                <w:szCs w:val="12"/>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37,725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12,319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30,162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36,098</w:t>
            </w:r>
          </w:p>
        </w:tc>
        <w:tc>
          <w:tcPr>
            <w:tcW w:w="160" w:type="dxa"/>
            <w:vAlign w:val="bottom"/>
            <w:shd w:val="clear" w:color="auto" w:fill="CCEEFF"/>
          </w:tcPr>
          <w:p>
            <w:pPr>
              <w:spacing w:after="0"/>
              <w:rPr>
                <w:sz w:val="12"/>
                <w:szCs w:val="12"/>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(669)</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interest rate swaps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60" w:type="dxa"/>
            <w:vAlign w:val="bottom"/>
            <w:shd w:val="clear" w:color="auto" w:fill="CCEEFF"/>
          </w:tcPr>
          <w:p>
            <w:pPr>
              <w:spacing w:after="0"/>
              <w:rPr>
                <w:sz w:val="12"/>
                <w:szCs w:val="12"/>
                <w:color w:val="auto"/>
              </w:rPr>
            </w:pPr>
          </w:p>
        </w:tc>
      </w:tr>
      <w:tr>
        <w:trPr>
          <w:trHeight w:val="142"/>
        </w:trPr>
        <w:tc>
          <w:tcPr>
            <w:tcW w:w="2360" w:type="dxa"/>
            <w:vAlign w:val="bottom"/>
          </w:tcPr>
          <w:p>
            <w:pPr>
              <w:spacing w:after="0" w:line="142" w:lineRule="exact"/>
              <w:rPr>
                <w:sz w:val="20"/>
                <w:szCs w:val="20"/>
                <w:color w:val="auto"/>
              </w:rPr>
            </w:pPr>
            <w:r>
              <w:rPr>
                <w:rFonts w:ascii="Arial" w:cs="Arial" w:eastAsia="Arial" w:hAnsi="Arial"/>
                <w:sz w:val="14"/>
                <w:szCs w:val="14"/>
                <w:b w:val="1"/>
                <w:bCs w:val="1"/>
                <w:color w:val="auto"/>
              </w:rPr>
              <w:t>EBITDA</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139,176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161,921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190,603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48,518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53,665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135,105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161,152</w:t>
            </w:r>
          </w:p>
        </w:tc>
        <w:tc>
          <w:tcPr>
            <w:tcW w:w="160" w:type="dxa"/>
            <w:vAlign w:val="bottom"/>
          </w:tcPr>
          <w:p>
            <w:pPr>
              <w:spacing w:after="0"/>
              <w:rPr>
                <w:sz w:val="12"/>
                <w:szCs w:val="12"/>
                <w:color w:val="auto"/>
              </w:rPr>
            </w:pPr>
          </w:p>
        </w:tc>
      </w:tr>
      <w:tr>
        <w:trPr>
          <w:trHeight w:val="20"/>
        </w:trPr>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242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724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3020" w:type="dxa"/>
            <w:vAlign w:val="bottom"/>
          </w:tcPr>
          <w:p>
            <w:pPr>
              <w:ind w:left="320"/>
              <w:spacing w:after="0"/>
              <w:rPr>
                <w:sz w:val="20"/>
                <w:szCs w:val="20"/>
                <w:color w:val="auto"/>
              </w:rPr>
            </w:pPr>
            <w:r>
              <w:rPr>
                <w:rFonts w:ascii="Arial" w:cs="Arial" w:eastAsia="Arial" w:hAnsi="Arial"/>
                <w:sz w:val="14"/>
                <w:szCs w:val="14"/>
                <w:b w:val="1"/>
                <w:bCs w:val="1"/>
                <w:color w:val="auto"/>
              </w:rPr>
              <w:t>Partnership Performance Results: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39"/>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left="23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10"/>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(in thousands of U.S. dollars)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14,544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65,040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77,270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18,869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25,299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52,443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65,679</w:t>
            </w:r>
          </w:p>
        </w:tc>
        <w:tc>
          <w:tcPr>
            <w:tcW w:w="160" w:type="dxa"/>
            <w:vAlign w:val="bottom"/>
            <w:shd w:val="clear" w:color="auto" w:fill="CCEEFF"/>
          </w:tcPr>
          <w:p>
            <w:pPr>
              <w:spacing w:after="0"/>
              <w:rPr>
                <w:sz w:val="12"/>
                <w:szCs w:val="12"/>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13,352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35,981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45,230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11,116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15,580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33,168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41,408</w:t>
            </w:r>
          </w:p>
        </w:tc>
        <w:tc>
          <w:tcPr>
            <w:tcW w:w="160" w:type="dxa"/>
            <w:vAlign w:val="bottom"/>
          </w:tcPr>
          <w:p>
            <w:pPr>
              <w:spacing w:after="0"/>
              <w:rPr>
                <w:sz w:val="12"/>
                <w:szCs w:val="12"/>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15,206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12,289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31,359</w:t>
            </w:r>
          </w:p>
        </w:tc>
        <w:tc>
          <w:tcPr>
            <w:tcW w:w="160" w:type="dxa"/>
            <w:vAlign w:val="bottom"/>
            <w:shd w:val="clear" w:color="auto" w:fill="CCEEFF"/>
          </w:tcPr>
          <w:p>
            <w:pPr>
              <w:spacing w:after="0"/>
              <w:rPr>
                <w:sz w:val="12"/>
                <w:szCs w:val="12"/>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(656)</w:t>
            </w:r>
          </w:p>
        </w:tc>
      </w:tr>
      <w:tr>
        <w:trPr>
          <w:trHeight w:val="149"/>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Loss/(gain) on interest rate swaps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(3,623)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60" w:type="dxa"/>
            <w:vAlign w:val="bottom"/>
            <w:shd w:val="clear" w:color="auto" w:fill="CCEEFF"/>
          </w:tcPr>
          <w:p>
            <w:pPr>
              <w:spacing w:after="0"/>
              <w:rPr>
                <w:sz w:val="12"/>
                <w:szCs w:val="12"/>
                <w:color w:val="auto"/>
              </w:rPr>
            </w:pPr>
          </w:p>
        </w:tc>
      </w:tr>
      <w:tr>
        <w:trPr>
          <w:trHeight w:val="142"/>
        </w:trPr>
        <w:tc>
          <w:tcPr>
            <w:tcW w:w="3020" w:type="dxa"/>
            <w:vAlign w:val="bottom"/>
          </w:tcPr>
          <w:p>
            <w:pPr>
              <w:spacing w:after="0" w:line="142" w:lineRule="exact"/>
              <w:rPr>
                <w:sz w:val="20"/>
                <w:szCs w:val="20"/>
                <w:color w:val="auto"/>
              </w:rPr>
            </w:pPr>
            <w:r>
              <w:rPr>
                <w:rFonts w:ascii="Arial" w:cs="Arial" w:eastAsia="Arial" w:hAnsi="Arial"/>
                <w:sz w:val="14"/>
                <w:szCs w:val="14"/>
                <w:b w:val="1"/>
                <w:bCs w:val="1"/>
                <w:color w:val="auto"/>
              </w:rPr>
              <w:t>EBITDA</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48,297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122,786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148,885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37,234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53,529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107,251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140,775</w:t>
            </w:r>
          </w:p>
        </w:tc>
        <w:tc>
          <w:tcPr>
            <w:tcW w:w="160" w:type="dxa"/>
            <w:vAlign w:val="bottom"/>
          </w:tcPr>
          <w:p>
            <w:pPr>
              <w:spacing w:after="0"/>
              <w:rPr>
                <w:sz w:val="12"/>
                <w:szCs w:val="12"/>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880"/>
        <w:spacing w:after="0"/>
        <w:rPr>
          <w:sz w:val="20"/>
          <w:szCs w:val="20"/>
          <w:color w:val="auto"/>
        </w:rPr>
      </w:pPr>
      <w:r>
        <w:rPr>
          <w:rFonts w:ascii="Arial" w:cs="Arial" w:eastAsia="Arial" w:hAnsi="Arial"/>
          <w:sz w:val="14"/>
          <w:szCs w:val="14"/>
          <w:b w:val="1"/>
          <w:bCs w:val="1"/>
          <w:i w:val="1"/>
          <w:iCs w:val="1"/>
          <w:color w:val="auto"/>
        </w:rPr>
        <w:t>Distributable Cash Flow</w:t>
      </w:r>
    </w:p>
    <w:p>
      <w:pPr>
        <w:spacing w:after="0" w:line="177" w:lineRule="exact"/>
        <w:rPr>
          <w:sz w:val="20"/>
          <w:szCs w:val="20"/>
          <w:color w:val="auto"/>
        </w:rPr>
      </w:pPr>
    </w:p>
    <w:p>
      <w:pPr>
        <w:ind w:left="1880"/>
        <w:spacing w:after="0" w:line="270" w:lineRule="auto"/>
        <w:rPr>
          <w:sz w:val="20"/>
          <w:szCs w:val="20"/>
          <w:color w:val="auto"/>
        </w:rPr>
      </w:pPr>
      <w:r>
        <w:rPr>
          <w:rFonts w:ascii="Arial" w:cs="Arial" w:eastAsia="Arial" w:hAnsi="Arial"/>
          <w:sz w:val="12"/>
          <w:szCs w:val="12"/>
          <w:color w:val="auto"/>
        </w:rPr>
        <w:t>Distributable cash flow means EBITDA, on the basis of the Partnership Performance Results, after considering financial costs for the period, including realized loss on interest rate swaps and excluding amortization of loan fees, estimated dry-docking and replacement capital reserves established by the Partnership and accrued dividends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162" w:lineRule="exact"/>
        <w:rPr>
          <w:sz w:val="20"/>
          <w:szCs w:val="20"/>
          <w:color w:val="auto"/>
        </w:rPr>
      </w:pPr>
    </w:p>
    <w:p>
      <w:pPr>
        <w:ind w:left="1880" w:right="260"/>
        <w:spacing w:after="0" w:line="239"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66"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Reconciliation of Distributable Cash Flow to EBITDA*:</w:t>
      </w:r>
    </w:p>
    <w:p>
      <w:pPr>
        <w:spacing w:after="0" w:line="204"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w w:val="87"/>
              </w:rPr>
              <w:t>Partnership Performance Results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6"/>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tcPr>
          <w:p>
            <w:pPr>
              <w:jc w:val="center"/>
              <w:ind w:right="32"/>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1"/>
                <w:szCs w:val="11"/>
                <w:color w:val="auto"/>
              </w:rPr>
            </w:pPr>
          </w:p>
        </w:tc>
      </w:tr>
      <w:tr>
        <w:trPr>
          <w:trHeight w:val="149"/>
        </w:trPr>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left="35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10"/>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60" w:type="dxa"/>
            <w:vAlign w:val="bottom"/>
          </w:tcPr>
          <w:p>
            <w:pPr>
              <w:spacing w:after="0"/>
              <w:rPr>
                <w:sz w:val="14"/>
                <w:szCs w:val="14"/>
                <w:color w:val="auto"/>
              </w:rPr>
            </w:pPr>
          </w:p>
        </w:tc>
        <w:tc>
          <w:tcPr>
            <w:tcW w:w="13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3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EBITDA (Partnership Performance Results)*</w:t>
            </w:r>
          </w:p>
        </w:tc>
        <w:tc>
          <w:tcPr>
            <w:tcW w:w="5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$ 48,297</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122,786</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148,885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$ 37,234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53,529</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107,251</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140,775</w:t>
            </w:r>
          </w:p>
        </w:tc>
        <w:tc>
          <w:tcPr>
            <w:tcW w:w="160" w:type="dxa"/>
            <w:vAlign w:val="bottom"/>
            <w:shd w:val="clear" w:color="auto" w:fill="CCEEFF"/>
          </w:tcPr>
          <w:p>
            <w:pPr>
              <w:spacing w:after="0"/>
              <w:rPr>
                <w:sz w:val="12"/>
                <w:szCs w:val="12"/>
                <w:color w:val="auto"/>
              </w:rPr>
            </w:pPr>
          </w:p>
        </w:tc>
      </w:tr>
      <w:tr>
        <w:trPr>
          <w:trHeight w:val="138"/>
        </w:trPr>
        <w:tc>
          <w:tcPr>
            <w:tcW w:w="3240" w:type="dxa"/>
            <w:vAlign w:val="bottom"/>
            <w:gridSpan w:val="2"/>
          </w:tcPr>
          <w:p>
            <w:pPr>
              <w:spacing w:after="0" w:line="138" w:lineRule="exact"/>
              <w:rPr>
                <w:sz w:val="20"/>
                <w:szCs w:val="20"/>
                <w:color w:val="auto"/>
              </w:rPr>
            </w:pPr>
            <w:r>
              <w:rPr>
                <w:rFonts w:ascii="Arial" w:cs="Arial" w:eastAsia="Arial" w:hAnsi="Arial"/>
                <w:sz w:val="14"/>
                <w:szCs w:val="14"/>
                <w:color w:val="auto"/>
                <w:w w:val="92"/>
              </w:rPr>
              <w:t>Financial costs (excluding amortization of loan fees) and</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32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realized loss on interest rate swaps</w:t>
            </w:r>
          </w:p>
        </w:tc>
        <w:tc>
          <w:tcPr>
            <w:tcW w:w="6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(9,912)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5"/>
              </w:rPr>
              <w:t>(19,484)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1"/>
              </w:rPr>
              <w:t>(26,929)</w:t>
            </w:r>
          </w:p>
        </w:tc>
        <w:tc>
          <w:tcPr>
            <w:tcW w:w="6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(6,425)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4"/>
              </w:rPr>
              <w:t>(11,380)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5"/>
              </w:rPr>
              <w:t>(18,938)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1"/>
              </w:rPr>
              <w:t>(29,390)</w:t>
            </w: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Dry-docking capital reserve</w:t>
            </w:r>
          </w:p>
        </w:tc>
        <w:tc>
          <w:tcPr>
            <w:tcW w:w="6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(8,829)</w:t>
            </w: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(3,240)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(8,793)</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Replacement capital reserve</w:t>
            </w: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(8,505)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(22,710)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(29,467)</w:t>
            </w: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(7,228)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(8,942)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(21,692)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(24,325)</w:t>
            </w: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preferred equity distribution</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(3,100)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(4,649)</w:t>
            </w:r>
          </w:p>
        </w:tc>
      </w:tr>
      <w:tr>
        <w:trPr>
          <w:trHeight w:val="142"/>
        </w:trPr>
        <w:tc>
          <w:tcPr>
            <w:tcW w:w="3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27,259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72,254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21,413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26,867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60,117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73,618</w:t>
            </w:r>
          </w:p>
        </w:tc>
        <w:tc>
          <w:tcPr>
            <w:tcW w:w="160" w:type="dxa"/>
            <w:vAlign w:val="bottom"/>
          </w:tcPr>
          <w:p>
            <w:pPr>
              <w:spacing w:after="0"/>
              <w:rPr>
                <w:sz w:val="12"/>
                <w:szCs w:val="12"/>
                <w:color w:val="auto"/>
              </w:rPr>
            </w:pPr>
          </w:p>
        </w:tc>
      </w:tr>
      <w:tr>
        <w:trPr>
          <w:trHeight w:val="142"/>
        </w:trPr>
        <w:tc>
          <w:tcPr>
            <w:tcW w:w="3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reserves**</w:t>
            </w:r>
          </w:p>
        </w:tc>
        <w:tc>
          <w:tcPr>
            <w:tcW w:w="6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(3,173)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5"/>
              </w:rPr>
              <w:t>(16,067)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(14,244)</w:t>
            </w:r>
          </w:p>
        </w:tc>
        <w:tc>
          <w:tcPr>
            <w:tcW w:w="6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(4,336)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(4,562)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5"/>
              </w:rPr>
              <w:t>(10,251)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(10,191)</w:t>
            </w:r>
          </w:p>
        </w:tc>
      </w:tr>
      <w:tr>
        <w:trPr>
          <w:trHeight w:val="142"/>
        </w:trPr>
        <w:tc>
          <w:tcPr>
            <w:tcW w:w="3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distributions</w:t>
            </w: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$ 24,086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56,187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69,416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$ 17,077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22,305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49,866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63,427</w:t>
            </w:r>
          </w:p>
        </w:tc>
        <w:tc>
          <w:tcPr>
            <w:tcW w:w="160" w:type="dxa"/>
            <w:vAlign w:val="bottom"/>
          </w:tcPr>
          <w:p>
            <w:pPr>
              <w:spacing w:after="0"/>
              <w:rPr>
                <w:sz w:val="12"/>
                <w:szCs w:val="12"/>
                <w:color w:val="auto"/>
              </w:rPr>
            </w:pPr>
          </w:p>
        </w:tc>
      </w:tr>
      <w:tr>
        <w:trPr>
          <w:trHeight w:val="20"/>
        </w:trPr>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6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100" w:hanging="545"/>
        <w:spacing w:after="0"/>
        <w:tabs>
          <w:tab w:leader="none" w:pos="21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reconciliation of profit to EBITDA on the basis of Partnership Performance Results is presented in Note 5 above.</w:t>
      </w:r>
    </w:p>
    <w:p>
      <w:pPr>
        <w:spacing w:after="0" w:line="123" w:lineRule="exact"/>
        <w:rPr>
          <w:sz w:val="20"/>
          <w:szCs w:val="20"/>
          <w:color w:val="auto"/>
        </w:rPr>
      </w:pPr>
    </w:p>
    <w:p>
      <w:pPr>
        <w:ind w:left="2100" w:right="120" w:hanging="545"/>
        <w:spacing w:after="0" w:line="318" w:lineRule="auto"/>
        <w:tabs>
          <w:tab w:leader="none" w:pos="2100" w:val="left"/>
        </w:tabs>
        <w:numPr>
          <w:ilvl w:val="1"/>
          <w:numId w:val="11"/>
        </w:numPr>
        <w:rPr>
          <w:rFonts w:ascii="Arial" w:cs="Arial" w:eastAsia="Arial" w:hAnsi="Arial"/>
          <w:sz w:val="12"/>
          <w:szCs w:val="12"/>
          <w:color w:val="auto"/>
        </w:rPr>
      </w:pPr>
      <w:r>
        <w:rPr>
          <w:rFonts w:ascii="Arial" w:cs="Arial" w:eastAsia="Arial" w:hAnsi="Arial"/>
          <w:sz w:val="12"/>
          <w:szCs w:val="12"/>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6" w:lineRule="exact"/>
        <w:rPr>
          <w:rFonts w:ascii="Arial" w:cs="Arial" w:eastAsia="Arial" w:hAnsi="Arial"/>
          <w:sz w:val="12"/>
          <w:szCs w:val="12"/>
          <w:color w:val="auto"/>
        </w:rPr>
      </w:pPr>
    </w:p>
    <w:p>
      <w:pPr>
        <w:ind w:left="2100" w:hanging="545"/>
        <w:spacing w:after="0"/>
        <w:tabs>
          <w:tab w:leader="none" w:pos="2100" w:val="left"/>
        </w:tabs>
        <w:numPr>
          <w:ilvl w:val="1"/>
          <w:numId w:val="12"/>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jc w:val="both"/>
        <w:ind w:left="1880" w:right="160" w:hanging="544"/>
        <w:spacing w:after="0" w:line="233" w:lineRule="auto"/>
        <w:tabs>
          <w:tab w:leader="none" w:pos="1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Does not reflect a distribution of $10.72 million declared in January 2015 in respect of the fourth quarter of 2014. Cash distribution paid includes $9.80 million dividend due to GasLog which was declared in 2013 and excludes $8.81 million dividend due to GasLog which was declared in 2014, in both cases prior to the contribution of the relevant vessels to the Partnership.</w:t>
      </w:r>
    </w:p>
    <w:p>
      <w:pPr>
        <w:spacing w:after="0" w:line="111" w:lineRule="exact"/>
        <w:rPr>
          <w:rFonts w:ascii="Arial" w:cs="Arial" w:eastAsia="Arial" w:hAnsi="Arial"/>
          <w:sz w:val="14"/>
          <w:szCs w:val="14"/>
          <w:color w:val="auto"/>
        </w:rPr>
      </w:pPr>
    </w:p>
    <w:p>
      <w:pPr>
        <w:jc w:val="both"/>
        <w:ind w:left="1880" w:right="160" w:hanging="544"/>
        <w:spacing w:after="0" w:line="233" w:lineRule="auto"/>
        <w:tabs>
          <w:tab w:leader="none" w:pos="1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Does not reflect a distribution of $15.71 million declared in January 2016 in respect of the fourth quarter of 2015. Cash distribution paid includes $8.81 million dividend due to GasLog which was declared in 2014 and excludes $7.80 million dividend due to GasLog which was declared in 2015, in both cases prior to the contribution of the relevant vessels to the Partnership.</w:t>
      </w:r>
    </w:p>
    <w:p>
      <w:pPr>
        <w:spacing w:after="0" w:line="111" w:lineRule="exact"/>
        <w:rPr>
          <w:rFonts w:ascii="Arial" w:cs="Arial" w:eastAsia="Arial" w:hAnsi="Arial"/>
          <w:sz w:val="14"/>
          <w:szCs w:val="14"/>
          <w:color w:val="auto"/>
        </w:rPr>
      </w:pPr>
    </w:p>
    <w:p>
      <w:pPr>
        <w:ind w:left="1880" w:right="180" w:hanging="544"/>
        <w:spacing w:after="0" w:line="239" w:lineRule="auto"/>
        <w:tabs>
          <w:tab w:leader="none" w:pos="1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Does not reflect a distribution of $19.55 million declared in January 2017 in respect of the fourth quarter of 2016. Cash distribution paid includes $7.80 million dividend due to GasLog which was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the Partnership.</w:t>
      </w:r>
    </w:p>
    <w:p>
      <w:pPr>
        <w:spacing w:after="0" w:line="111" w:lineRule="exact"/>
        <w:rPr>
          <w:rFonts w:ascii="Arial" w:cs="Arial" w:eastAsia="Arial" w:hAnsi="Arial"/>
          <w:sz w:val="14"/>
          <w:szCs w:val="14"/>
          <w:color w:val="auto"/>
        </w:rPr>
      </w:pPr>
    </w:p>
    <w:p>
      <w:pPr>
        <w:ind w:left="1880" w:right="20" w:hanging="544"/>
        <w:spacing w:after="0" w:line="239" w:lineRule="auto"/>
        <w:tabs>
          <w:tab w:leader="none" w:pos="1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Does not reflect a distribution of $17.08 million declared in October 2016 in respect of the third quarter of 2016. Cash distribution paid includes $7.80 million dividend due to GasLog which was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the Partnership.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942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194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880" w:hanging="544"/>
        <w:spacing w:after="0" w:line="233" w:lineRule="auto"/>
        <w:tabs>
          <w:tab w:leader="none" w:pos="1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reflect a distribution of $22.31 million declared in October 2017, in respect of the third quarter of 2017, which is payable on November 10, 2017, to all unitholders of record as of November 6, 2017. The aggregate amount of the declared distribution was based on the number of units issued and outstanding as of September 30, 2017.</w:t>
      </w:r>
    </w:p>
    <w:p>
      <w:pPr>
        <w:spacing w:after="0" w:line="111" w:lineRule="exact"/>
        <w:rPr>
          <w:rFonts w:ascii="Arial" w:cs="Arial" w:eastAsia="Arial" w:hAnsi="Arial"/>
          <w:sz w:val="14"/>
          <w:szCs w:val="14"/>
          <w:color w:val="auto"/>
        </w:rPr>
      </w:pPr>
    </w:p>
    <w:p>
      <w:pPr>
        <w:ind w:left="1880" w:hanging="544"/>
        <w:spacing w:after="0"/>
        <w:tabs>
          <w:tab w:leader="none" w:pos="1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reflect a distribution of $10.72 million declared in January 2015 and paid in February 2015, in respect of the fourth quarter of 2014.</w:t>
      </w:r>
    </w:p>
    <w:p>
      <w:pPr>
        <w:spacing w:after="0" w:line="122" w:lineRule="exact"/>
        <w:rPr>
          <w:rFonts w:ascii="Arial" w:cs="Arial" w:eastAsia="Arial" w:hAnsi="Arial"/>
          <w:sz w:val="14"/>
          <w:szCs w:val="14"/>
          <w:color w:val="auto"/>
        </w:rPr>
      </w:pPr>
    </w:p>
    <w:p>
      <w:pPr>
        <w:ind w:left="1880" w:hanging="544"/>
        <w:spacing w:after="0"/>
        <w:tabs>
          <w:tab w:leader="none" w:pos="1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reflect a distribution of $15.71 million declared in January 2016 and paid in February 2016, in respect of the fourth quarter of 2015.</w:t>
      </w:r>
    </w:p>
    <w:p>
      <w:pPr>
        <w:spacing w:after="0" w:line="122" w:lineRule="exact"/>
        <w:rPr>
          <w:rFonts w:ascii="Arial" w:cs="Arial" w:eastAsia="Arial" w:hAnsi="Arial"/>
          <w:sz w:val="14"/>
          <w:szCs w:val="14"/>
          <w:color w:val="auto"/>
        </w:rPr>
      </w:pPr>
    </w:p>
    <w:p>
      <w:pPr>
        <w:ind w:left="1880" w:hanging="544"/>
        <w:spacing w:after="0"/>
        <w:tabs>
          <w:tab w:leader="none" w:pos="1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reflect a distribution of $19.55 million declared in January 2017 and paid in February 2017, in respect of the fourth quarter of 2016.</w:t>
      </w:r>
    </w:p>
    <w:p>
      <w:pPr>
        <w:spacing w:after="0" w:line="122" w:lineRule="exact"/>
        <w:rPr>
          <w:rFonts w:ascii="Arial" w:cs="Arial" w:eastAsia="Arial" w:hAnsi="Arial"/>
          <w:sz w:val="14"/>
          <w:szCs w:val="14"/>
          <w:color w:val="auto"/>
        </w:rPr>
      </w:pPr>
    </w:p>
    <w:p>
      <w:pPr>
        <w:ind w:left="1880" w:hanging="544"/>
        <w:spacing w:after="0"/>
        <w:tabs>
          <w:tab w:leader="none" w:pos="1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reflect a distribution of $17.08 million declared in October 2016 and paid in November 2016, in respect of the third quarter of 2016.</w:t>
      </w:r>
    </w:p>
    <w:p>
      <w:pPr>
        <w:spacing w:after="0" w:line="122" w:lineRule="exact"/>
        <w:rPr>
          <w:rFonts w:ascii="Arial" w:cs="Arial" w:eastAsia="Arial" w:hAnsi="Arial"/>
          <w:sz w:val="14"/>
          <w:szCs w:val="14"/>
          <w:color w:val="auto"/>
        </w:rPr>
      </w:pPr>
    </w:p>
    <w:p>
      <w:pPr>
        <w:jc w:val="both"/>
        <w:ind w:left="1880" w:hanging="544"/>
        <w:spacing w:after="0" w:line="233" w:lineRule="auto"/>
        <w:tabs>
          <w:tab w:leader="none" w:pos="1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reflect a distribution of $22.31 million declared in October 2017, in respect of the third quarter of 2017, which is payable on November 10, 2017, to all unitholders of record as of November 6, 2017. The aggregate amount of the declared distribution was based on the number of units issued and outstanding as of September 30, 2017.</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131" w:right="10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Any investment in our common units involves a high degree of risk. Before investing in our common units, you should carefully consider the important factors set forth under the heading "Risk Factors" starting on page 8 of our Annual Report on Form 20-F, which was filed with the SEC on February 13, 2017 and incorporated herein by reference. For further details, see the sections entitled "Where You Can Find Additional Information" and "Incorporation of Certain Information by Reference".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any of these risks were to materialize, our business, results of operations, cash flows and financial condition could be materially adversely affected. In that case, our ability to make distributions to our unitholders may be reduced, the trading price of our common units could decline and you could lose all or part of your investment. The risks referred to above are not the only ones that may exist. Additional risks not currently known by us or that we deem immaterial may also impair our business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12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GasLog's ability to retain key employees and provide services to us, and the availability of skilled labor, ship crews and management;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intend to use the net proceeds from this offering, after deducting the sales agents' commissions and estimated expenses payable by us, for general partnership purposes, which may include future acquisitions, debt repayment, capital expenditures and additions to working capital. We currently expect that this will include future acquisitions from GasLog.</w:t>
      </w:r>
    </w:p>
    <w:p>
      <w:pPr>
        <w:spacing w:after="0" w:line="194"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Information—D. Risk Factors— 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cash and cash equivalents and (b) consolidated capitalization as of September 30, 2017 on an:</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principal payments on our bank indebtedness totaling $4.52 million during the period from October 1, 2017 to November 3, 2017;</w:t>
      </w:r>
    </w:p>
    <w:p>
      <w:pPr>
        <w:spacing w:after="0" w:line="261" w:lineRule="exact"/>
        <w:rPr>
          <w:rFonts w:ascii="Arial" w:cs="Arial" w:eastAsia="Arial" w:hAnsi="Arial"/>
          <w:sz w:val="16"/>
          <w:szCs w:val="16"/>
          <w:color w:val="auto"/>
        </w:rPr>
      </w:pPr>
    </w:p>
    <w:p>
      <w:pPr>
        <w:ind w:left="1620" w:right="380" w:hanging="532"/>
        <w:spacing w:after="0" w:line="268"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acquisition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on October 20, 2017 for a net consideration of $70.61 million ($185.90 million acquisition price less assumed debt of $116.52 million plus working capital adjustment of $1.22 million);</w:t>
      </w:r>
    </w:p>
    <w:p>
      <w:pPr>
        <w:spacing w:after="0" w:line="212" w:lineRule="exact"/>
        <w:rPr>
          <w:rFonts w:ascii="Arial" w:cs="Arial" w:eastAsia="Arial" w:hAnsi="Arial"/>
          <w:sz w:val="18"/>
          <w:szCs w:val="18"/>
          <w:color w:val="auto"/>
        </w:rPr>
      </w:pPr>
    </w:p>
    <w:p>
      <w:pPr>
        <w:ind w:left="1620" w:right="280" w:hanging="532"/>
        <w:spacing w:after="0" w:line="33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issuance of 130,220 common units for net proceeds of $2.99 million and 2,658 general partner units for $0.06 million in connection with the Equity Distribution Agreement subsequent to September 30, 2017, and through November 3, 2017.</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September 30, 2017, and the date of this prospectus supplement.</w:t>
      </w:r>
    </w:p>
    <w:p>
      <w:pPr>
        <w:spacing w:after="0" w:line="186" w:lineRule="exact"/>
        <w:rPr>
          <w:sz w:val="20"/>
          <w:szCs w:val="20"/>
          <w:color w:val="auto"/>
        </w:rPr>
      </w:pPr>
    </w:p>
    <w:p>
      <w:pPr>
        <w:jc w:val="both"/>
        <w:ind w:right="200" w:firstLine="348"/>
        <w:spacing w:after="0" w:line="335" w:lineRule="auto"/>
        <w:rPr>
          <w:sz w:val="20"/>
          <w:szCs w:val="20"/>
          <w:color w:val="auto"/>
        </w:rPr>
      </w:pPr>
      <w:r>
        <w:rPr>
          <w:rFonts w:ascii="Arial" w:cs="Arial" w:eastAsia="Arial" w:hAnsi="Arial"/>
          <w:sz w:val="15"/>
          <w:szCs w:val="15"/>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 Condition and Results of Operations" in Exhibit 99.2 of the Report on Form 6-K as furnished to the SEC on October 26, 2017 and incorporated herein by reference.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6"/>
          </w:tcPr>
          <w:p>
            <w:pPr>
              <w:ind w:left="120"/>
              <w:spacing w:after="0"/>
              <w:rPr>
                <w:sz w:val="20"/>
                <w:szCs w:val="20"/>
                <w:color w:val="auto"/>
              </w:rPr>
            </w:pPr>
            <w:r>
              <w:rPr>
                <w:rFonts w:ascii="Arial" w:cs="Arial" w:eastAsia="Arial" w:hAnsi="Arial"/>
                <w:sz w:val="14"/>
                <w:szCs w:val="14"/>
                <w:b w:val="1"/>
                <w:bCs w:val="1"/>
                <w:color w:val="auto"/>
              </w:rPr>
              <w:t>As of September 30, 2017</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3"/>
              </w:rPr>
              <w:t>Adjusted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gridSpan w:val="6"/>
          </w:tcPr>
          <w:p>
            <w:pPr>
              <w:ind w:left="2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192,554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120,421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CAPITALIZATION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Borrowings-current portion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Borrowings-non-current portion</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953,018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1,061,913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1,049,104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1,161,104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ind w:left="1140"/>
              <w:spacing w:after="0"/>
              <w:rPr>
                <w:sz w:val="20"/>
                <w:szCs w:val="20"/>
                <w:color w:val="auto"/>
              </w:rPr>
            </w:pPr>
            <w:r>
              <w:rPr>
                <w:rFonts w:ascii="Arial" w:cs="Arial" w:eastAsia="Arial" w:hAnsi="Arial"/>
                <w:sz w:val="18"/>
                <w:szCs w:val="18"/>
                <w:color w:val="auto"/>
              </w:rPr>
              <w:t>Partners' Capital:</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Common unitholders: 40,616,601 units issued and outstanding as of September 30, 2017, 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40,746,821 units as adjusted</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744,794</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w w:val="88"/>
              </w:rPr>
              <w:t>General partner: 828,911 units issued and outstanding as of September 30, 2017 and 831,569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11,615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Series A Preference unitholders: 5,750,000 units issued and outstanding as of September 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 and as adjusted</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139,298</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Incentive Distribution Rights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Partners' Capital</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898,558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ind w:left="1140"/>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1,947,662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2,062,715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60" w:type="dxa"/>
            <w:vAlign w:val="bottom"/>
            <w:vMerge w:val="restart"/>
          </w:tcPr>
          <w:p>
            <w:pPr>
              <w:ind w:left="4380"/>
              <w:spacing w:after="0"/>
              <w:rPr>
                <w:sz w:val="20"/>
                <w:szCs w:val="20"/>
                <w:color w:val="auto"/>
              </w:rPr>
            </w:pPr>
            <w:r>
              <w:rPr>
                <w:rFonts w:ascii="Arial" w:cs="Arial" w:eastAsia="Arial" w:hAnsi="Arial"/>
                <w:sz w:val="18"/>
                <w:szCs w:val="18"/>
                <w:color w:val="auto"/>
              </w:rPr>
              <w:t>S-22</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OUR COMMON UNITS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common units started trading on the New York Stock Exchange under the symbol "GLOP" on May 7, 2014. The last reported sales price of our common units on November 2, 2017 was $23.60. The following table sets forth the high and low closing sales prices for the common units since the date of listing for the periods indicated.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vMerge w:val="restart"/>
          </w:tcPr>
          <w:p>
            <w:pPr>
              <w:jc w:val="right"/>
              <w:ind w:right="273"/>
              <w:spacing w:after="0"/>
              <w:rPr>
                <w:sz w:val="20"/>
                <w:szCs w:val="20"/>
                <w:color w:val="auto"/>
              </w:rPr>
            </w:pPr>
            <w:r>
              <w:rPr>
                <w:rFonts w:ascii="Arial" w:cs="Arial" w:eastAsia="Arial" w:hAnsi="Arial"/>
                <w:sz w:val="14"/>
                <w:szCs w:val="14"/>
                <w:b w:val="1"/>
                <w:bCs w:val="1"/>
                <w:color w:val="auto"/>
              </w:rPr>
              <w:t>Price Range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gridSpan w:val="3"/>
            <w:vMerge w:val="restart"/>
          </w:tcPr>
          <w:p>
            <w:pPr>
              <w:jc w:val="center"/>
              <w:ind w:right="1380"/>
              <w:spacing w:after="0" w:line="144" w:lineRule="exact"/>
              <w:rPr>
                <w:sz w:val="20"/>
                <w:szCs w:val="20"/>
                <w:color w:val="auto"/>
              </w:rPr>
            </w:pPr>
            <w:r>
              <w:rPr>
                <w:rFonts w:ascii="Arial" w:cs="Arial" w:eastAsia="Arial" w:hAnsi="Arial"/>
                <w:sz w:val="14"/>
                <w:szCs w:val="14"/>
                <w:b w:val="1"/>
                <w:bCs w:val="1"/>
                <w:color w:val="auto"/>
                <w:w w:val="91"/>
              </w:rPr>
              <w:t>Distribution</w:t>
            </w: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
              <w:spacing w:after="0" w:line="193" w:lineRule="exact"/>
              <w:rPr>
                <w:sz w:val="20"/>
                <w:szCs w:val="20"/>
                <w:color w:val="auto"/>
              </w:rPr>
            </w:pPr>
            <w:r>
              <w:rPr>
                <w:rFonts w:ascii="Arial" w:cs="Arial" w:eastAsia="Arial" w:hAnsi="Arial"/>
                <w:sz w:val="14"/>
                <w:szCs w:val="14"/>
                <w:b w:val="1"/>
                <w:bCs w:val="1"/>
                <w:color w:val="auto"/>
                <w:w w:val="86"/>
              </w:rPr>
              <w:t>Per Unit</w:t>
            </w:r>
            <w:r>
              <w:rPr>
                <w:rFonts w:ascii="Arial" w:cs="Arial" w:eastAsia="Arial" w:hAnsi="Arial"/>
                <w:sz w:val="22"/>
                <w:szCs w:val="22"/>
                <w:b w:val="1"/>
                <w:bCs w:val="1"/>
                <w:color w:val="auto"/>
                <w:w w:val="86"/>
                <w:vertAlign w:val="superscript"/>
              </w:rPr>
              <w:t>(1)</w:t>
            </w:r>
          </w:p>
        </w:tc>
        <w:tc>
          <w:tcPr>
            <w:tcW w:w="1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Year ended December 31, 2016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2015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Second Quarter 2015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29.28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Fourth Quarter 2015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Second Quarter 2016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20.97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Fourth Quarter 2016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Second Quarter 2017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October 2017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24.15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 to November 2, 2017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1500" w:type="dxa"/>
            <w:vAlign w:val="bottom"/>
            <w:gridSpan w:val="2"/>
          </w:tcPr>
          <w:p>
            <w:pPr>
              <w:ind w:left="1140"/>
              <w:spacing w:after="0"/>
              <w:rPr>
                <w:sz w:val="20"/>
                <w:szCs w:val="20"/>
                <w:color w:val="auto"/>
              </w:rPr>
            </w:pPr>
            <w:r>
              <w:rPr>
                <w:rFonts w:ascii="Arial" w:cs="Arial" w:eastAsia="Arial" w:hAnsi="Arial"/>
                <w:sz w:val="14"/>
                <w:szCs w:val="14"/>
                <w:color w:val="auto"/>
              </w:rPr>
              <w:t>(1)</w:t>
            </w:r>
          </w:p>
        </w:tc>
        <w:tc>
          <w:tcPr>
            <w:tcW w:w="5320" w:type="dxa"/>
            <w:vAlign w:val="bottom"/>
            <w:gridSpan w:val="2"/>
          </w:tcPr>
          <w:p>
            <w:pPr>
              <w:ind w:left="180"/>
              <w:spacing w:after="0"/>
              <w:rPr>
                <w:sz w:val="20"/>
                <w:szCs w:val="20"/>
                <w:color w:val="auto"/>
              </w:rPr>
            </w:pPr>
            <w:r>
              <w:rPr>
                <w:rFonts w:ascii="Arial" w:cs="Arial" w:eastAsia="Arial" w:hAnsi="Arial"/>
                <w:sz w:val="14"/>
                <w:szCs w:val="14"/>
                <w:color w:val="auto"/>
              </w:rPr>
              <w:t>Distributions are shown for the quarter with respect to which they are declared.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80" w:type="dxa"/>
            <w:vAlign w:val="bottom"/>
          </w:tcPr>
          <w:p>
            <w:pPr>
              <w:ind w:left="2000"/>
              <w:spacing w:after="0"/>
              <w:rPr>
                <w:sz w:val="20"/>
                <w:szCs w:val="20"/>
                <w:color w:val="auto"/>
              </w:rPr>
            </w:pPr>
            <w:r>
              <w:rPr>
                <w:rFonts w:ascii="Arial" w:cs="Arial" w:eastAsia="Arial" w:hAnsi="Arial"/>
                <w:sz w:val="18"/>
                <w:szCs w:val="18"/>
                <w:color w:val="auto"/>
              </w:rPr>
              <w:t>S-23</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common units represent limited partner interests in us. The holders of units are entitled to participate in partnership distributions and exercise the rights and privileges available to limited partners under our partnership agreement. No certificates will be issued to the unitholders in respect of the common units. For a description of the rights and privileges of limited partners under our partnership agreement, including voting rights, see "Summary of our Partnership Agreement" found elsewhere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American Stock Transfer &amp; Trust, LLC serves as registrar and transfer agent for the common units. We pay all fees charged by the transfer agent for transfers of common units, except the following, which must be paid by unitholders:</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common unit;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their activities in that capacity, except for any liability due to any gross negligence or intentional misconduct of the indemnified person or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23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By transfer of common units in accordance with our partnership agreement, each transferee of common units will be admitted as a limited partner with respect to the common units transferred when such transfer and admission is reflected in our books and records. Each transferee:</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 such as the approval of all transactions and agreements we entered into in connection with our formation and the IPO.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w:t>
      </w:r>
    </w:p>
    <w:p>
      <w:pPr>
        <w:spacing w:after="0" w:line="139"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39"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18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See "Item 8. Financial Information—Our Cash Distribution Policy" beginning on page 111 of our Annual Report on Form 20-F for descriptions of the</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general partner interest and the incentive distribution rights and "—Summary of Our Partnership Agreement" for a description of the Series A Preference Units.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20 of the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 holder of common units or Series A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8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60" w:type="dxa"/>
            <w:vAlign w:val="bottom"/>
          </w:tcPr>
          <w:p>
            <w:pPr>
              <w:spacing w:after="0"/>
              <w:rPr>
                <w:sz w:val="14"/>
                <w:szCs w:val="14"/>
                <w:color w:val="auto"/>
              </w:rPr>
            </w:pPr>
          </w:p>
        </w:tc>
        <w:tc>
          <w:tcPr>
            <w:tcW w:w="5480" w:type="dxa"/>
            <w:vAlign w:val="bottom"/>
            <w:gridSpan w:val="2"/>
          </w:tcPr>
          <w:p>
            <w:pPr>
              <w:ind w:left="130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380" w:type="dxa"/>
            <w:vAlign w:val="bottom"/>
            <w:gridSpan w:val="2"/>
          </w:tcPr>
          <w:p>
            <w:pPr>
              <w:spacing w:after="0" w:line="201" w:lineRule="exact"/>
              <w:rPr>
                <w:sz w:val="20"/>
                <w:szCs w:val="20"/>
                <w:color w:val="auto"/>
              </w:rPr>
            </w:pPr>
            <w:r>
              <w:rPr>
                <w:rFonts w:ascii="Arial" w:cs="Arial" w:eastAsia="Arial" w:hAnsi="Arial"/>
                <w:sz w:val="18"/>
                <w:szCs w:val="18"/>
                <w:color w:val="auto"/>
                <w:w w:val="97"/>
              </w:rPr>
              <w:t>Issuance of additional common units or other limited partner interests</w:t>
            </w:r>
          </w:p>
        </w:tc>
        <w:tc>
          <w:tcPr>
            <w:tcW w:w="56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w w:val="92"/>
              </w:rPr>
              <w:t>No approval rights; general partner approval required for all issuances not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4"/>
              </w:rPr>
              <w:t>reasonably expected to be accretive within twelve months of issuance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88"/>
              </w:rPr>
              <w:t>which would otherwise have a material adverse impact on the general partner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or its interest in our partnership.</w:t>
            </w:r>
          </w:p>
        </w:tc>
        <w:tc>
          <w:tcPr>
            <w:tcW w:w="0" w:type="dxa"/>
            <w:vAlign w:val="bottom"/>
          </w:tcPr>
          <w:p>
            <w:pPr>
              <w:spacing w:after="0"/>
              <w:rPr>
                <w:sz w:val="1"/>
                <w:szCs w:val="1"/>
                <w:color w:val="auto"/>
              </w:rPr>
            </w:pPr>
          </w:p>
        </w:tc>
      </w:tr>
      <w:tr>
        <w:trPr>
          <w:trHeight w:val="453"/>
        </w:trPr>
        <w:tc>
          <w:tcPr>
            <w:tcW w:w="5400" w:type="dxa"/>
            <w:vAlign w:val="bottom"/>
            <w:gridSpan w:val="3"/>
          </w:tcPr>
          <w:p>
            <w:pPr>
              <w:spacing w:after="0"/>
              <w:rPr>
                <w:sz w:val="20"/>
                <w:szCs w:val="20"/>
                <w:color w:val="auto"/>
              </w:rPr>
            </w:pPr>
            <w:r>
              <w:rPr>
                <w:rFonts w:ascii="Arial" w:cs="Arial" w:eastAsia="Arial" w:hAnsi="Arial"/>
                <w:sz w:val="18"/>
                <w:szCs w:val="18"/>
                <w:color w:val="auto"/>
              </w:rPr>
              <w:t>Amendment of the partnership agreement</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5"/>
              </w:rPr>
              <w:t>Certain amendments may be made by our board of directors without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88"/>
              </w:rPr>
              <w:t>approval of the unitholders. Other amendments generally require the approval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8"/>
              </w:rPr>
              <w:t>of a Unit Majority. See "—Amendment of the Partnership Agreement".</w:t>
            </w:r>
          </w:p>
        </w:tc>
        <w:tc>
          <w:tcPr>
            <w:tcW w:w="0" w:type="dxa"/>
            <w:vAlign w:val="bottom"/>
          </w:tcPr>
          <w:p>
            <w:pPr>
              <w:spacing w:after="0"/>
              <w:rPr>
                <w:sz w:val="1"/>
                <w:szCs w:val="1"/>
                <w:color w:val="auto"/>
              </w:rPr>
            </w:pPr>
          </w:p>
        </w:tc>
      </w:tr>
      <w:tr>
        <w:trPr>
          <w:trHeight w:val="453"/>
        </w:trPr>
        <w:tc>
          <w:tcPr>
            <w:tcW w:w="5400" w:type="dxa"/>
            <w:vAlign w:val="bottom"/>
            <w:gridSpan w:val="3"/>
          </w:tcPr>
          <w:p>
            <w:pPr>
              <w:spacing w:after="0"/>
              <w:rPr>
                <w:sz w:val="20"/>
                <w:szCs w:val="20"/>
                <w:color w:val="auto"/>
              </w:rPr>
            </w:pPr>
            <w:r>
              <w:rPr>
                <w:rFonts w:ascii="Arial" w:cs="Arial" w:eastAsia="Arial" w:hAnsi="Arial"/>
                <w:sz w:val="18"/>
                <w:szCs w:val="18"/>
                <w:color w:val="auto"/>
                <w:w w:val="90"/>
              </w:rPr>
              <w:t>Merger of our partnership or the sale of all or substantially all of our assets</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0"/>
              </w:rPr>
              <w:t>Unit Majority and approval of our general partner and our board of directors.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See "—Merger, Sale, Conversion or Other Disposition of Assets".</w:t>
            </w:r>
          </w:p>
        </w:tc>
        <w:tc>
          <w:tcPr>
            <w:tcW w:w="0" w:type="dxa"/>
            <w:vAlign w:val="bottom"/>
          </w:tcPr>
          <w:p>
            <w:pPr>
              <w:spacing w:after="0"/>
              <w:rPr>
                <w:sz w:val="1"/>
                <w:szCs w:val="1"/>
                <w:color w:val="auto"/>
              </w:rPr>
            </w:pPr>
          </w:p>
        </w:tc>
      </w:tr>
      <w:tr>
        <w:trPr>
          <w:trHeight w:val="453"/>
        </w:trPr>
        <w:tc>
          <w:tcPr>
            <w:tcW w:w="5400" w:type="dxa"/>
            <w:vAlign w:val="bottom"/>
            <w:gridSpan w:val="3"/>
          </w:tcPr>
          <w:p>
            <w:pPr>
              <w:spacing w:after="0"/>
              <w:rPr>
                <w:sz w:val="20"/>
                <w:szCs w:val="20"/>
                <w:color w:val="auto"/>
              </w:rPr>
            </w:pPr>
            <w:r>
              <w:rPr>
                <w:rFonts w:ascii="Arial" w:cs="Arial" w:eastAsia="Arial" w:hAnsi="Arial"/>
                <w:sz w:val="18"/>
                <w:szCs w:val="18"/>
                <w:color w:val="auto"/>
              </w:rPr>
              <w:t>Dissolution of our partnership</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0"/>
              </w:rPr>
              <w:t>Unit Majority and approval of our general partner and our board of directors.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See "—Termination and Dissolution".</w:t>
            </w:r>
          </w:p>
        </w:tc>
        <w:tc>
          <w:tcPr>
            <w:tcW w:w="0" w:type="dxa"/>
            <w:vAlign w:val="bottom"/>
          </w:tcPr>
          <w:p>
            <w:pPr>
              <w:spacing w:after="0"/>
              <w:rPr>
                <w:sz w:val="1"/>
                <w:szCs w:val="1"/>
                <w:color w:val="auto"/>
              </w:rPr>
            </w:pPr>
          </w:p>
        </w:tc>
      </w:tr>
      <w:tr>
        <w:trPr>
          <w:trHeight w:val="459"/>
        </w:trPr>
        <w:tc>
          <w:tcPr>
            <w:tcW w:w="5400" w:type="dxa"/>
            <w:vAlign w:val="bottom"/>
            <w:gridSpan w:val="3"/>
          </w:tcPr>
          <w:p>
            <w:pPr>
              <w:spacing w:after="0"/>
              <w:rPr>
                <w:sz w:val="20"/>
                <w:szCs w:val="20"/>
                <w:color w:val="auto"/>
              </w:rPr>
            </w:pPr>
            <w:r>
              <w:rPr>
                <w:rFonts w:ascii="Arial" w:cs="Arial" w:eastAsia="Arial" w:hAnsi="Arial"/>
                <w:sz w:val="18"/>
                <w:szCs w:val="18"/>
                <w:color w:val="auto"/>
              </w:rPr>
              <w:t>Reconstitution of our partnership upon dissolution</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Unit Majority. See "—Termination and Dissolution".</w:t>
            </w:r>
          </w:p>
        </w:tc>
        <w:tc>
          <w:tcPr>
            <w:tcW w:w="0" w:type="dxa"/>
            <w:vAlign w:val="bottom"/>
          </w:tcPr>
          <w:p>
            <w:pPr>
              <w:spacing w:after="0"/>
              <w:rPr>
                <w:sz w:val="1"/>
                <w:szCs w:val="1"/>
                <w:color w:val="auto"/>
              </w:rPr>
            </w:pPr>
          </w:p>
        </w:tc>
      </w:tr>
      <w:tr>
        <w:trPr>
          <w:trHeight w:val="453"/>
        </w:trPr>
        <w:tc>
          <w:tcPr>
            <w:tcW w:w="5400" w:type="dxa"/>
            <w:vAlign w:val="bottom"/>
            <w:gridSpan w:val="3"/>
          </w:tcPr>
          <w:p>
            <w:pPr>
              <w:spacing w:after="0"/>
              <w:rPr>
                <w:sz w:val="20"/>
                <w:szCs w:val="20"/>
                <w:color w:val="auto"/>
              </w:rPr>
            </w:pPr>
            <w:r>
              <w:rPr>
                <w:rFonts w:ascii="Arial" w:cs="Arial" w:eastAsia="Arial" w:hAnsi="Arial"/>
                <w:sz w:val="18"/>
                <w:szCs w:val="18"/>
                <w:color w:val="auto"/>
              </w:rPr>
              <w:t>Withdrawal of our general partner</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1"/>
              </w:rPr>
              <w:t>Under most circumstances, the approval of a majority of the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6"/>
              </w:rPr>
              <w:t>excluding common units held by our general partner and its affiliates,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0"/>
              </w:rPr>
              <w:t>required for the 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 manner that would cause a dissolution of our partnership. See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Withdrawal or Removal of our General Partner".</w:t>
            </w:r>
          </w:p>
        </w:tc>
        <w:tc>
          <w:tcPr>
            <w:tcW w:w="0" w:type="dxa"/>
            <w:vAlign w:val="bottom"/>
          </w:tcPr>
          <w:p>
            <w:pPr>
              <w:spacing w:after="0"/>
              <w:rPr>
                <w:sz w:val="1"/>
                <w:szCs w:val="1"/>
                <w:color w:val="auto"/>
              </w:rPr>
            </w:pPr>
          </w:p>
        </w:tc>
      </w:tr>
      <w:tr>
        <w:trPr>
          <w:trHeight w:val="493"/>
        </w:trPr>
        <w:tc>
          <w:tcPr>
            <w:tcW w:w="5400" w:type="dxa"/>
            <w:vAlign w:val="bottom"/>
            <w:gridSpan w:val="3"/>
          </w:tcPr>
          <w:p>
            <w:pPr>
              <w:spacing w:after="0"/>
              <w:rPr>
                <w:sz w:val="20"/>
                <w:szCs w:val="20"/>
                <w:color w:val="auto"/>
              </w:rPr>
            </w:pPr>
            <w:r>
              <w:rPr>
                <w:rFonts w:ascii="Arial" w:cs="Arial" w:eastAsia="Arial" w:hAnsi="Arial"/>
                <w:sz w:val="18"/>
                <w:szCs w:val="18"/>
                <w:color w:val="auto"/>
              </w:rPr>
              <w:t>Removal of our general partner</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1"/>
              </w:rPr>
              <w:t>Not less than 66</w:t>
            </w:r>
            <w:r>
              <w:rPr>
                <w:rFonts w:ascii="Arial" w:cs="Arial" w:eastAsia="Arial" w:hAnsi="Arial"/>
                <w:sz w:val="29"/>
                <w:szCs w:val="29"/>
                <w:color w:val="auto"/>
                <w:w w:val="91"/>
                <w:vertAlign w:val="superscript"/>
              </w:rPr>
              <w:t>2</w:t>
            </w:r>
            <w:r>
              <w:rPr>
                <w:rFonts w:ascii="Arial" w:cs="Arial" w:eastAsia="Arial" w:hAnsi="Arial"/>
                <w:sz w:val="18"/>
                <w:szCs w:val="18"/>
                <w:color w:val="auto"/>
                <w:w w:val="91"/>
              </w:rPr>
              <w:t>/</w:t>
            </w:r>
            <w:r>
              <w:rPr>
                <w:rFonts w:ascii="Arial" w:cs="Arial" w:eastAsia="Arial" w:hAnsi="Arial"/>
                <w:sz w:val="14"/>
                <w:szCs w:val="14"/>
                <w:color w:val="auto"/>
                <w:w w:val="91"/>
              </w:rPr>
              <w:t>3</w:t>
            </w:r>
            <w:r>
              <w:rPr>
                <w:rFonts w:ascii="Arial" w:cs="Arial" w:eastAsia="Arial" w:hAnsi="Arial"/>
                <w:sz w:val="18"/>
                <w:szCs w:val="18"/>
                <w:color w:val="auto"/>
                <w:w w:val="91"/>
              </w:rPr>
              <w:t>% of the outstanding common units voting together as 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9"/>
              </w:rPr>
              <w:t>single class. See "—Withdrawal or Removal of our General Partner".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460" w:type="dxa"/>
            <w:vAlign w:val="bottom"/>
          </w:tcPr>
          <w:p>
            <w:pPr>
              <w:ind w:left="130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rPr>
              <w:t>Transfer of our general partner interest in us</w:t>
            </w:r>
          </w:p>
        </w:tc>
        <w:tc>
          <w:tcPr>
            <w:tcW w:w="5460" w:type="dxa"/>
            <w:vAlign w:val="bottom"/>
          </w:tcPr>
          <w:p>
            <w:pPr>
              <w:spacing w:after="0" w:line="201" w:lineRule="exact"/>
              <w:rPr>
                <w:sz w:val="20"/>
                <w:szCs w:val="20"/>
                <w:color w:val="auto"/>
              </w:rPr>
            </w:pPr>
            <w:r>
              <w:rPr>
                <w:rFonts w:ascii="Arial" w:cs="Arial" w:eastAsia="Arial" w:hAnsi="Arial"/>
                <w:sz w:val="18"/>
                <w:szCs w:val="18"/>
                <w:color w:val="auto"/>
                <w:w w:val="96"/>
              </w:rPr>
              <w:t>Our general partner may transfer all, but not less than all, of its general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partner interest in us without a vote of our common unitholders 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limited partners to an affiliate or another person in connection with its merger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0"/>
              </w:rPr>
              <w:t>or consolidation 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5"/>
              </w:rPr>
              <w:t>such person. The approval of a majority of the common units,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4"/>
              </w:rPr>
              <w:t>common units held by our general partner and its affiliates, is required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other circumstances for a transfer of the general partner interest to a third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0"/>
              </w:rPr>
              <w:t>party prior to March 31, 2024. See "—Transfer of General Partner Interest".</w:t>
            </w:r>
          </w:p>
        </w:tc>
        <w:tc>
          <w:tcPr>
            <w:tcW w:w="0" w:type="dxa"/>
            <w:vAlign w:val="bottom"/>
          </w:tcPr>
          <w:p>
            <w:pPr>
              <w:spacing w:after="0"/>
              <w:rPr>
                <w:sz w:val="1"/>
                <w:szCs w:val="1"/>
                <w:color w:val="auto"/>
              </w:rPr>
            </w:pPr>
          </w:p>
        </w:tc>
      </w:tr>
      <w:tr>
        <w:trPr>
          <w:trHeight w:val="453"/>
        </w:trPr>
        <w:tc>
          <w:tcPr>
            <w:tcW w:w="596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5460" w:type="dxa"/>
            <w:vAlign w:val="bottom"/>
          </w:tcPr>
          <w:p>
            <w:pPr>
              <w:spacing w:after="0"/>
              <w:rPr>
                <w:sz w:val="20"/>
                <w:szCs w:val="20"/>
                <w:color w:val="auto"/>
              </w:rPr>
            </w:pPr>
            <w:r>
              <w:rPr>
                <w:rFonts w:ascii="Arial" w:cs="Arial" w:eastAsia="Arial" w:hAnsi="Arial"/>
                <w:sz w:val="18"/>
                <w:szCs w:val="18"/>
                <w:color w:val="auto"/>
                <w:w w:val="92"/>
              </w:rPr>
              <w:t>Except for transfers to an affiliate or another person as part of a merger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consolidation with or into, or sale of all or substantially all of the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such person, the approval of a majority of the common units,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common units 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as a class, is required in most circumstances for a transfer of the 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distribution rights to a third party prior to March 31, 2019. See "—Transfer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of Incentive Distribution Rights".</w:t>
            </w:r>
          </w:p>
        </w:tc>
        <w:tc>
          <w:tcPr>
            <w:tcW w:w="0" w:type="dxa"/>
            <w:vAlign w:val="bottom"/>
          </w:tcPr>
          <w:p>
            <w:pPr>
              <w:spacing w:after="0"/>
              <w:rPr>
                <w:sz w:val="1"/>
                <w:szCs w:val="1"/>
                <w:color w:val="auto"/>
              </w:rPr>
            </w:pPr>
          </w:p>
        </w:tc>
      </w:tr>
      <w:tr>
        <w:trPr>
          <w:trHeight w:val="453"/>
        </w:trPr>
        <w:tc>
          <w:tcPr>
            <w:tcW w:w="5960" w:type="dxa"/>
            <w:vAlign w:val="bottom"/>
            <w:gridSpan w:val="3"/>
          </w:tcPr>
          <w:p>
            <w:pPr>
              <w:spacing w:after="0"/>
              <w:rPr>
                <w:sz w:val="20"/>
                <w:szCs w:val="20"/>
                <w:color w:val="auto"/>
              </w:rPr>
            </w:pPr>
            <w:r>
              <w:rPr>
                <w:rFonts w:ascii="Arial" w:cs="Arial" w:eastAsia="Arial" w:hAnsi="Arial"/>
                <w:sz w:val="18"/>
                <w:szCs w:val="18"/>
                <w:color w:val="auto"/>
              </w:rPr>
              <w:t>Transfer of ownership interests in our general partner</w:t>
            </w:r>
          </w:p>
        </w:tc>
        <w:tc>
          <w:tcPr>
            <w:tcW w:w="5460" w:type="dxa"/>
            <w:vAlign w:val="bottom"/>
          </w:tcPr>
          <w:p>
            <w:pPr>
              <w:spacing w:after="0"/>
              <w:rPr>
                <w:sz w:val="20"/>
                <w:szCs w:val="20"/>
                <w:color w:val="auto"/>
              </w:rPr>
            </w:pPr>
            <w:r>
              <w:rPr>
                <w:rFonts w:ascii="Arial" w:cs="Arial" w:eastAsia="Arial" w:hAnsi="Arial"/>
                <w:sz w:val="18"/>
                <w:szCs w:val="18"/>
                <w:color w:val="auto"/>
                <w:w w:val="90"/>
              </w:rPr>
              <w:t>No approval required at any time. See "—Transfer of Ownership Interests 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(if applicable), we may not (i) issue any Parity Securities if the cumulative distributions on Series A Preference Units are in arrears or (ii) create or issue any Senior Securities.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 elect one director to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6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4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93"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rFonts w:ascii="Arial" w:cs="Arial" w:eastAsia="Arial" w:hAnsi="Arial"/>
          <w:sz w:val="16"/>
          <w:szCs w:val="16"/>
          <w:color w:val="auto"/>
        </w:rPr>
      </w:pPr>
    </w:p>
    <w:p>
      <w:pPr>
        <w:ind w:left="1620" w:right="60" w:hanging="532"/>
        <w:spacing w:after="0" w:line="259"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6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Series A Preference Units and the holders of other Parity Securities (if applicable)) if our board of directors determines that those amendments:</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Unity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 liability. The</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ownership of more than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1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94"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 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and Series A Preference Units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6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21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38" w:lineRule="exact"/>
        <w:rPr>
          <w:rFonts w:ascii="Arial" w:cs="Arial" w:eastAsia="Arial" w:hAnsi="Arial"/>
          <w:sz w:val="18"/>
          <w:szCs w:val="18"/>
          <w:color w:val="auto"/>
        </w:rPr>
      </w:pPr>
    </w:p>
    <w:p>
      <w:pPr>
        <w:ind w:left="5540" w:right="340" w:hanging="4992"/>
        <w:spacing w:after="0" w:line="51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into common units or to receive cash in exchange for that interest. 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 See "Material U.S. Federal Income Tax Considerations-U.S. Federal Income Taxation of U.S. Holders-Sale, Exchange or Other Disposition of Common Units" and "Material U.S. Federal Income Tax Considerations-U.S. Federal Income Taxation of Non-U.S. Holders-Disposition of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November 3, 2017, our board of directors is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5540" w:right="3060" w:hanging="4992"/>
        <w:spacing w:after="0" w:line="51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 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5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the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7"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46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3"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cash distribution policy and restrictions on distributions are described in page 20 of the accompanying prospectus. We hereby supplement that disclosure with the below.</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are payable on the 15th of March, June, September and December of each year (the initial distribution having been paid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unitholders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This discussion is based upon provisions of the U.S. Internal Revenue Code of 1986, as amended, or the "Code,"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discussion applies only to beneficial owners of common units that own the common units as "capital assets" within the meaning of</w:t>
      </w:r>
    </w:p>
    <w:p>
      <w:pPr>
        <w:spacing w:after="0" w:line="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Section 1221 of the Code (</w:t>
      </w:r>
      <w:r>
        <w:rPr>
          <w:rFonts w:ascii="Arial" w:cs="Arial" w:eastAsia="Arial" w:hAnsi="Arial"/>
          <w:sz w:val="16"/>
          <w:szCs w:val="16"/>
          <w:i w:val="1"/>
          <w:iCs w:val="1"/>
          <w:color w:val="auto"/>
        </w:rPr>
        <w:t>i.e.</w:t>
      </w:r>
      <w:r>
        <w:rPr>
          <w:rFonts w:ascii="Arial" w:cs="Arial" w:eastAsia="Arial" w:hAnsi="Arial"/>
          <w:sz w:val="16"/>
          <w:szCs w:val="16"/>
          <w:color w:val="auto"/>
        </w:rPr>
        <w:t>, generally, for investment purposes) and is not intended to be applicable to all categories of investors, such as unitholders subject to special tax rules (</w:t>
      </w:r>
      <w:r>
        <w:rPr>
          <w:rFonts w:ascii="Arial" w:cs="Arial" w:eastAsia="Arial" w:hAnsi="Arial"/>
          <w:sz w:val="16"/>
          <w:szCs w:val="16"/>
          <w:i w:val="1"/>
          <w:iCs w:val="1"/>
          <w:color w:val="auto"/>
        </w:rPr>
        <w:t>e.g.</w:t>
      </w:r>
      <w:r>
        <w:rPr>
          <w:rFonts w:ascii="Arial" w:cs="Arial" w:eastAsia="Arial" w:hAnsi="Arial"/>
          <w:sz w:val="16"/>
          <w:szCs w:val="16"/>
          <w:color w:val="auto"/>
        </w:rPr>
        <w:t>, financial institutions, insurance companies, broker- 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and the activities of the partnership. If you are a partner in a partnership holding our common units, you are encouraged to consult your own tax advisor regarding the tax consequences to you of the partnership's ownership of our common units.</w:t>
      </w:r>
    </w:p>
    <w:p>
      <w:pPr>
        <w:spacing w:after="0" w:line="17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Subsidiaries</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Our subsidiaries have elected (or are in the process of electing) to be treated as disregarded entities for U.S. federal income tax purposes. As a result, for purposes of the discussion below, our subsidiaries are treated (or will be treated) as branches rather than as separate corporations.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Shipping Income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would impose on us a 4% U.S. income tax in respect of our U.S. Source International Transportation Income (without the allowance for deductions) unless we are exempt from U.S. federal income tax on such income under the rules contained in Section 883 of the Code. We do not expect to qualify for exemption under a tax treaty. The other 50% of the income described in the first sentence of this paragraph would not be subject to U.S. income tax.</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Under Section 883 of the Code and the regulations thereunder, we would be exempt from U.S. federal income tax on our U.S. Source International Transportation Income if:</w:t>
      </w:r>
    </w:p>
    <w:p>
      <w:pPr>
        <w:spacing w:after="0" w:line="213" w:lineRule="exact"/>
        <w:rPr>
          <w:sz w:val="20"/>
          <w:szCs w:val="20"/>
          <w:color w:val="auto"/>
        </w:rPr>
      </w:pPr>
    </w:p>
    <w:p>
      <w:pPr>
        <w:ind w:left="10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organized in a foreign country (the "country of organization") that grants an "equivalent exemption" to corporations organized in the United States with respect to the types of U.S. Source International Transportation Income that we may earn (an "Equivalent Exemption");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satisfy the Publicly-Traded Test (as described below) or the 50% Ownership Test (as described below);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order for a foreign corporation to meet the Publicly-Traded Test, its equity interests must be "primarily traded" and "regularly traded" on an established securities market in the United States or in a foreign jurisdiction that grants an Equivalent Exemption. The Treasury regulations under Section 883 of the Code provide, in pertinent part, that equity of a foreign corporation will be considered to be "primarily traded" on an established securities market in a country if, with respect to the class or classes of equity relied upon to meet the "regularly traded" requirement described below, the number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of units of such class of equity that is traded during any tax year on all established securities markets in that country exceeds the number of equity interests in each such class that is traded during that year on established securities markets in any other single country. We believe that our common units are, and will continue to be, "primarily traded" on the NYSE, which is an established securities market for these purposes.</w:t>
      </w:r>
    </w:p>
    <w:p>
      <w:pPr>
        <w:spacing w:after="0" w:line="161"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Publicly-Traded Test also requires equity interests in a foreign corporation to be "regularly traded" on an established securities market. The Treasury regulations under Section 883 of the Code provide that equity interests in a foreign corporation are considered to be "regularly traded" on an established securities market if one or more classes of such equity interests that, in the aggregate, represent more than 50% of the combined vote and value of all outstanding equity interests in the foreign corporation satisfy certain listing and trading volume requirements. These listing and trading volume requirements will be satisfied with respect to a class of equity interests if (i) such equity interests are traded on the market, other than in minimal quantities, on at least 60 days during the tax year (or</w:t>
      </w:r>
    </w:p>
    <w:p>
      <w:pPr>
        <w:spacing w:after="0" w:line="2" w:lineRule="exact"/>
        <w:rPr>
          <w:sz w:val="20"/>
          <w:szCs w:val="20"/>
          <w:color w:val="auto"/>
        </w:rPr>
      </w:pPr>
    </w:p>
    <w:p>
      <w:pPr>
        <w:ind w:right="100"/>
        <w:spacing w:after="0" w:line="227"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6</w:t>
      </w:r>
      <w:r>
        <w:rPr>
          <w:rFonts w:ascii="Arial" w:cs="Arial" w:eastAsia="Arial" w:hAnsi="Arial"/>
          <w:sz w:val="18"/>
          <w:szCs w:val="18"/>
          <w:color w:val="auto"/>
        </w:rPr>
        <w:t xml:space="preserve"> of the days in a short tax year) and (ii) the aggregate number of equity interests in such class traded on such market during the tax year is at least 10% of the average number of equity interests outstanding in that class during such year (as appropriately adjusted in the case of a short tax year), provided, that if a class of equity interests is traded on an established securities market in the United States and is regularly quoted by dealers making a market in such equity interests then tests (i) and (ii) will be deemed satisfied.</w:t>
      </w:r>
    </w:p>
    <w:p>
      <w:pPr>
        <w:spacing w:after="0" w:line="212"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Notwithstanding the foregoing, a class of equity interests may fail the regularly traded test if, for more than half the number of days during the tax year, persons who each own, either actually or constructively under certain attribution rules, 5% or more of the vote and value of the outstanding shares of the class of equity interests, or "5% Holders", own in the aggregate 50% or more of the vote and value of the class of equity interests (which is referred to as the "Closely Held Block Exception"). The Closely Held Block Exception does not apply, however, if the foreign corporation can establish that a sufficient proportion of such 5% Holders are Qualified Shareholders (as defined below) so as to preclude the non-qualified 5% Holders from owning 50% or more of the total value of the class of equity interests for more than half the number of days during the tax year. If 50% or more of the vote and value of a class of equity interests is owned, in the aggregate, by 5% Holders, then a sufficient number of 5% Holders must verify that they are Qualified Shareholders by providing certain information to the foreign corporation, including information about their countries of residence for tax purposes and their actual and/or constructive ownership of such equity interests.</w:t>
      </w:r>
    </w:p>
    <w:p>
      <w:pPr>
        <w:spacing w:after="0" w:line="174"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an alternative to satisfying the Publicly-Traded Test, a foreign corporation may qualify for an exemption under Section 883 of the Code by satisfying the 50% Ownership Test. A corporation generally will satisfy the 50% Ownership Test if more than 50% of the value of its outstanding equity interests is owned, or treated as owned after applying certain attribution rules, for at least half the number of days in the tax year by individual residents of jurisdictions that grant an Equivalent Exemption, foreign corporations organized in jurisdictions that grant an Equivalent Exemption and that meet the Publicly-Traded Test, or certain other qualified persons described in the Treasury regulations under Section 883 (which are referred to collectively as "Qualified Shareholders").</w:t>
      </w:r>
    </w:p>
    <w:p>
      <w:pPr>
        <w:spacing w:after="0" w:line="170" w:lineRule="exact"/>
        <w:rPr>
          <w:sz w:val="20"/>
          <w:szCs w:val="20"/>
          <w:color w:val="auto"/>
        </w:rPr>
      </w:pPr>
    </w:p>
    <w:p>
      <w:pPr>
        <w:jc w:val="both"/>
        <w:ind w:right="500" w:firstLine="348"/>
        <w:spacing w:after="0" w:line="306" w:lineRule="auto"/>
        <w:rPr>
          <w:sz w:val="20"/>
          <w:szCs w:val="20"/>
          <w:color w:val="auto"/>
        </w:rPr>
      </w:pPr>
      <w:r>
        <w:rPr>
          <w:rFonts w:ascii="Arial" w:cs="Arial" w:eastAsia="Arial" w:hAnsi="Arial"/>
          <w:sz w:val="16"/>
          <w:szCs w:val="16"/>
          <w:color w:val="auto"/>
        </w:rPr>
        <w:t>The Marshall Islands, the jurisdiction in which we are organized, grants an Equivalent Exemption with respect to the type of U.S. Source International Transportation Income we expect to earn. Therefore, we would be eligible for the exemption under Section 883 of the Code if we were to satisfy either the Publicly-Traded Test or the 50% Ownership Test and we satisfy certain substantiation, reporting or other requirements.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Following the completion of our follow-on public offering in September 2014, GasLog no longer held more than 50% of the value of our equity. As a result, for tax years after 2014, we no longer qualified for the 50% Ownership Test by virtue of GasLog's ownership of our equity, even if GasLog itself qualifies under Section 883. Moreover, we will not qualify under the Publicly-Traded Test so long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as our common unitholders have the right to elect only a minority of our directors. Therefore, we do not expect to qualify for the exemption from U.S. federal income tax under Section 883 during the 2017 tax year, unless our general partner exercises the "GasLog option" described below. For 2016, the U.S. source gross transportation tax was $0.06 million, and for the first nine months of 2017, the gross U.S. source transportation income tax was $0.19 million.</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is exercised, our common units would then be considered to have more than 50% of the voting power of all our equity. Our common units would then be considered to be "regularly traded" on an established securities market if they represented more than 50% of the value of all our equity and the listing and trading conditions described above are satisfied. Based upon our expected cash flow and distributions on our outstanding equity units, we expect that the common units will represent more than 50% of the value of our equity, and we expect that we will also satisfy the listing and trading requirements. However, we cannot assure you this will be the case. If these conditions are satisfied, and except as provided below, we would satisfy the Publicly-Traded Test unless the "Closely Held Block" exception to that test was applicable. If GasLog at that time satisfies the Publicly Traded Test, it would be a Qualified Shareholder of ours, to the extent it continued to own our common units, in determining whether the Closely Held Block Exception to the Publicly Traded Test applied.</w:t>
      </w:r>
    </w:p>
    <w:p>
      <w:pPr>
        <w:spacing w:after="0" w:line="174"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 addition, our partnership agreement provides that any person or group (including GasLog) that beneficially owns more than 4.9% of any class of our units then outstanding generally will be treated as owning only 4.9% of such units for purposes of voting for directors. We cannot assure you that this limitation will be effective to eliminate the possibility that we will have any 5% Holders for purposes of the Closely Held Block Exception.</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However, assuming this limitation is effective, we anticipate that, in the event that GasLog exercises the GasLog option, we will be able to satisfy the Publicly-Traded Test if our common units represent more than half the value of our equity.</w:t>
      </w:r>
    </w:p>
    <w:p>
      <w:pPr>
        <w:spacing w:after="0" w:line="186" w:lineRule="exact"/>
        <w:rPr>
          <w:sz w:val="20"/>
          <w:szCs w:val="20"/>
          <w:color w:val="auto"/>
        </w:rPr>
      </w:pPr>
    </w:p>
    <w:p>
      <w:pPr>
        <w:ind w:right="80" w:firstLine="351"/>
        <w:spacing w:after="0" w:line="309" w:lineRule="auto"/>
        <w:rPr>
          <w:sz w:val="20"/>
          <w:szCs w:val="20"/>
          <w:color w:val="auto"/>
        </w:rPr>
      </w:pPr>
      <w:r>
        <w:rPr>
          <w:rFonts w:ascii="Arial" w:cs="Arial" w:eastAsia="Arial" w:hAnsi="Arial"/>
          <w:sz w:val="15"/>
          <w:szCs w:val="15"/>
          <w:color w:val="auto"/>
        </w:rPr>
        <w:t>However, we cannot assure you that we will be able to satisfy the Publicly-Traded Test in future years. There is no assurance that GasLog will exercise the GasLog option, which is necessary for us to satisfy the Publicly-Traded Test. Moreover, we cannot assure you that GasLog's exercise of the GasLog option will be sufficient for us to satisfy the Publicly-Traded Test. In particular, we may not be able to satisfy the Publicly-Traded Test in the tax year during which GasLog exercises the GasLog option, because it is not clear if the Publicly-Traded Test must be satisfied on each day during the tax year and whether the exercise of the option would be considered effective immediately or only at the time of the unitholder meeting following exercise of the option. In addition, if an increase in the value of our incentive distribution rights causes our common units to fail the 50% value test, we will fail to satisfy the Publicly-Traded Test even if the option is exercised. Moreover, because we are in legal form a partnership, it is possible that the IRS would assert that our common units do not meet the "regularly traded" test. Furthermore, our board of directors could determine that it is in our best interests to take an action that would result in our not being able to satisfy the Publicly-Traded Test in the future. Should any of the requirements described above fail to be satisfied, we may not be able to satisfy the Publicly-Traded Test.</w:t>
      </w:r>
    </w:p>
    <w:p>
      <w:pPr>
        <w:spacing w:after="0" w:line="16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In addition, our U.S. Source International Transportation Income that is considered to be "effectively connected" with the conduct of a U.S. trade or business is subject to the U.S. corporate income tax currently imposed at rates of up to 35% (net of applicable deductions). In addition, we may be subject to the 30% U.S. "branch profits" tax on earnings effectively connected with the conduct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such trade or business, as determined after allowance for certain adjustments, and on certain interest paid or deemed paid attributable to the conduct of our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trade or business.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460" w:hanging="532"/>
        <w:spacing w:after="0" w:line="268"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185" w:lineRule="exact"/>
        <w:rPr>
          <w:rFonts w:ascii="Arial" w:cs="Arial" w:eastAsia="Arial" w:hAnsi="Arial"/>
          <w:sz w:val="18"/>
          <w:szCs w:val="18"/>
          <w:color w:val="auto"/>
        </w:rPr>
      </w:pPr>
    </w:p>
    <w:p>
      <w:pPr>
        <w:ind w:right="280" w:firstLine="403"/>
        <w:spacing w:after="0" w:line="370" w:lineRule="auto"/>
        <w:tabs>
          <w:tab w:leader="none" w:pos="697" w:val="left"/>
        </w:tabs>
        <w:numPr>
          <w:ilvl w:val="0"/>
          <w:numId w:val="37"/>
        </w:numPr>
        <w:rPr>
          <w:rFonts w:ascii="Arial" w:cs="Arial" w:eastAsia="Arial" w:hAnsi="Arial"/>
          <w:sz w:val="15"/>
          <w:szCs w:val="15"/>
          <w:color w:val="auto"/>
        </w:rPr>
      </w:pPr>
      <w:r>
        <w:rPr>
          <w:rFonts w:ascii="Arial" w:cs="Arial" w:eastAsia="Arial" w:hAnsi="Arial"/>
          <w:sz w:val="15"/>
          <w:szCs w:val="15"/>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1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Gain on Sale of Shipping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common units that owns (actually or constructively) less than 10.0% of our equity and that is:</w:t>
      </w:r>
    </w:p>
    <w:p>
      <w:pPr>
        <w:spacing w:after="0" w:line="21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common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and thereafter as capital gain. U.S. Holders that are corporations generally will not be entitled to claim dividends received deduction with respect to distributions they receive from us because we are not a U.S. corporation. Dividends received with respect to our common units generally will be treated as foreign source "passive category income" for purposes of computing allowable foreign tax credits for U.S. federal income tax purposes.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84" w:lineRule="auto"/>
        <w:rPr>
          <w:sz w:val="20"/>
          <w:szCs w:val="20"/>
          <w:color w:val="auto"/>
        </w:rPr>
      </w:pPr>
      <w:r>
        <w:rPr>
          <w:rFonts w:ascii="Arial" w:cs="Arial" w:eastAsia="Arial" w:hAnsi="Arial"/>
          <w:sz w:val="16"/>
          <w:szCs w:val="16"/>
          <w:color w:val="auto"/>
        </w:rPr>
        <w:t>Dividends received with respect to our common units by a U.S. Holder that is an individual, trust or estate, or a "U.S. Individual Holder", generally will be treated as "qualified dividend income", which is taxable to such U.S. Individual Holder at preferential tax rates provided that: (i) our common units are readily tradable on an established securities market in the United States (such as the New York Stock Exchange on which we expect our common units to be traded);</w:t>
      </w:r>
    </w:p>
    <w:p>
      <w:pPr>
        <w:spacing w:after="0" w:line="1" w:lineRule="exact"/>
        <w:rPr>
          <w:sz w:val="20"/>
          <w:szCs w:val="20"/>
          <w:color w:val="auto"/>
        </w:rPr>
      </w:pPr>
    </w:p>
    <w:p>
      <w:pPr>
        <w:ind w:right="40" w:firstLine="8"/>
        <w:spacing w:after="0" w:line="288"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common units for more than 60 days during the 121-day period beginning 60 days before the date on which the common units become ex-dividend (and has not entered into certain risk limiting transactions with respect to such common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at ordinary income rates to a U.S. Individual Holder.</w:t>
      </w:r>
    </w:p>
    <w:p>
      <w:pPr>
        <w:spacing w:after="0" w:line="17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Special rules may apply to any amounts received in respect of our common units that are treated as "extraordinary dividends". In general, an extraordinary dividend is a dividend with respect to a common unit that is equal to or in excess of 10.0% of a unitholder's adjusted tax basis (or fair market value upon the unitholder's election) in such common unit. In addition, extraordinary dividends include dividends received within a one-year period that, in the aggregate, equal or exceed 20.0% of a unitholder's adjusted tax basis (or fair market value). If we pay an "extraordinary dividend" on our common units that is treated as "qualified dividend income", then any loss recognized by a U.S. Individual Holder from the sale or exchange of such common units will be treated as long-term capital loss to the extent of the amount of such dividend.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Net Investment Income</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25"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208" w:lineRule="exact"/>
        <w:rPr>
          <w:sz w:val="20"/>
          <w:szCs w:val="20"/>
          <w:color w:val="auto"/>
        </w:rPr>
      </w:pPr>
    </w:p>
    <w:p>
      <w:pPr>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w:t>
      </w:r>
      <w:r>
        <w:rPr>
          <w:rFonts w:ascii="Arial" w:cs="Arial" w:eastAsia="Arial" w:hAnsi="Arial"/>
          <w:sz w:val="18"/>
          <w:szCs w:val="18"/>
          <w:i w:val="1"/>
          <w:iCs w:val="1"/>
          <w:color w:val="auto"/>
        </w:rPr>
        <w:t>e.g.</w:t>
      </w:r>
      <w:r>
        <w:rPr>
          <w:rFonts w:ascii="Arial" w:cs="Arial" w:eastAsia="Arial" w:hAnsi="Arial"/>
          <w:sz w:val="18"/>
          <w:szCs w:val="18"/>
          <w:color w:val="auto"/>
        </w:rPr>
        <w:t>,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86"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17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unitholders that the nature of our operations will not change in the future and that we will not become a PFIC in any future taxable year.</w:t>
      </w:r>
    </w:p>
    <w:p>
      <w:pPr>
        <w:spacing w:after="0" w:line="197"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198"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25"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common units will be increased to reflect taxed but undistributed earnings and profits. Distributions of earnings and profits that were previously taxed will result in a corresponding reduction in the Electing Holder's adjusted tax basis in common units and will not be taxed again once distributed. An Electing Holder generally will recognize capital gain or loss on the sale, exchange or other disposition of our common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we were to be treated as a PFIC for any taxable year and, as we anticipate, our units were treated as "marketable stock", then, as an alternative to making a QEF election,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 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its common units would be adjusted to reflect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25"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If we were to be treated as a PFIC for any taxable year, a U.S. Holder that does not make either a QEF election or a "mark-to-market" election for that year, such holder hereinafter a "Non- Electing Holder", would be subject to special rules resulting in increased tax liability with respect to (1)any excess distribution (</w:t>
      </w:r>
      <w:r>
        <w:rPr>
          <w:rFonts w:ascii="Arial" w:cs="Arial" w:eastAsia="Arial" w:hAnsi="Arial"/>
          <w:sz w:val="15"/>
          <w:szCs w:val="15"/>
          <w:i w:val="1"/>
          <w:iCs w:val="1"/>
          <w:color w:val="auto"/>
        </w:rPr>
        <w:t>i.e.</w:t>
      </w:r>
      <w:r>
        <w:rPr>
          <w:rFonts w:ascii="Arial" w:cs="Arial" w:eastAsia="Arial" w:hAnsi="Arial"/>
          <w:sz w:val="15"/>
          <w:szCs w:val="15"/>
          <w:color w:val="auto"/>
        </w:rPr>
        <w:t>, the portion of any distributions received by the Non-Electing Holder on our common units in a taxable year in excess of 125.0% of the average annual distributions received by the Non-Electing Holder in the three preceding taxable years, or, if shorter, the portion of the Non-Electing Holder's holding period for the common units before the taxable year) and (2) any gain realized on the sale, exchange or other disposition of the units. Under these special rules:</w:t>
      </w:r>
    </w:p>
    <w:p>
      <w:pPr>
        <w:spacing w:after="0" w:line="167"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taxable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beneficial owner of our common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you are encouraged to consult your own tax advisor regarding the tax consequences to you of the partnership's ownership of our common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may be exempt from taxation under an income tax treaty if the income arising from the distribution is not attributable to a U.S. permanent establishment maintained by the Non- U.S. 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payments to a U.S. Individual Holder of distributions or the proceeds of a disposition of common units will be subject to information reporting.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payments to a U.S. Individual Holder also may be subject to backup withholding if the U.S. Individual Holder:</w:t>
      </w:r>
    </w:p>
    <w:p>
      <w:pPr>
        <w:spacing w:after="0" w:line="23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W- 8IMY, as applicable.</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U.S. Holders purchasing more than $100,000 of our common units in this offering may be required to file IRS Form 926 reporting such payment. For purposes of determining the total dollar value of common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Unitholders are encouraged to consult their tax advisors regarding their reporting obligations, if any, that would result from their purchase, ownership or disposition of our units.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section to "we", "our" or "us" are references to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unitholder (so long as you are not a citizen or resident of the Marshall Islands).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 (so long as you are not a citizen or resident of the Marshall Islands).</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the Amended and Restated Equity Distribution Agreement with Citigroup Global Markets Inc., Merrill Lynch, Pierce, Fenner &amp; Smith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Incorporated, Credit Suisse Securities (USA) LLC, Morgan Stanley &amp; Co. LLC and UBS Securities LLC, or the "Agents," under which we may offer and sell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units representing limited partner interests in GasLog Partners LP having an aggregate offering price of up to $144.04 million from time to time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Agents, as our sales agents. As of the date of this prospectus supplement, we have issued and sold common units having an aggregate offering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$56,916,103, which means that we may sell common units having an aggregate offering price of up to $87,123,897. We have filed the Amended and Restated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Distribution Agreement as an exhibit to a Report on Form 6-K, which is incorporated by reference in this prospectus supplement. The sales, if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units made under the Amended and Restated Equity Distribution Agreement will be made by means of ordinary brokers' transactions on the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Exchange at market prices, in block transactions, or as otherwise agreed upon by the Agents and us. As sales agents, the Agents will not engage in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transactions that stabilize the price of our common units.</w:t>
      </w:r>
    </w:p>
    <w:p>
      <w:pPr>
        <w:spacing w:after="0" w:line="21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Under the terms of the Amended and Restated Equity Distribution Agreement, we also may sell common units to the Agents as principals for their own account at a price agreed upon at the time of sale. If we sell common units to the Agents as principals, we will enter into a separate agreement with the Agents, and we will describe this agreement in a separate prospectus supplement or pricing supplement.</w:t>
      </w:r>
    </w:p>
    <w:p>
      <w:pPr>
        <w:spacing w:after="0" w:line="194"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We will designate the maximum amount of common units to be sold through the Agents on a daily basis or otherwise as we and the Agents agree and the minimum price per unit at which such common units may be sold. Subject to the terms and conditions of the Amended and Restated Equity Distribution Agreement, the Agents will use their reasonable efforts to sell on our behalf all of the designated common units. We may instruct the Agents not to sell any common units if the sales cannot be effected at or above the price designated by us in any such instruction. We or the Agents may suspend the offering of common units at any time and from time to time by notifying the other party.</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Agents will provide to us written confirmation following the close of trading on the NYSE each day on which common units are sold under the Amended and Restated Equity Distribution Agreement. Each confirmation will include the number of common units sold on that day, the gross sales proceeds, the net proceeds to us (after regulatory transaction fees, if any, but before other expenses) and the compensation payable by us to the Agents. We will report at least quarterly the number of common units sold through the Agents under the Amended and Restated Equity Distribution Agreement, the net proceeds to us (before expenses) and the compensation paid by us to the Agents in connection with the sales of common units.</w:t>
      </w:r>
    </w:p>
    <w:p>
      <w:pPr>
        <w:spacing w:after="0" w:line="170"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will pay the Agents a commission of up to 2.0% of the gross sales price per common units sold through it as our agents under the Amended and Restated Equity Distribution Agreement. We have agreed to reimburse the Agents for certain of their expenses in an amount up to $225,000.</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Settlement for sales of common units will occur on the second business day following the date on which such sales are made in return for payment of the net proceeds to us. There is no arrangement for funds to be received in an escrow, trust or similar arrangement.</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we or the Agents have reason to believe that our common units are no longer an "actively- traded security" as defined under Rule 101(c)(l) of Regulation M under the U.S. Securities Exchange Act of 1934, as amended, such party will promptly notify the other and sales of common units pursuant to the Amended and Restated Equity Distribution Agreement or any terms agreement will be suspended until, in our collective judgment, Rule 101(c)(1) or another exemptive provision has been satisfied.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offering of common units pursuant to the Amended and Restated Equity Distribution Agreement will terminate upon the earlier of (1) the sale of all common units subject to the Amended and Restated Equity Distribution Agreement and (2) the termination of the Amended and Restated Equity Distribution Agreement by us or by the Agents.</w:t>
      </w:r>
    </w:p>
    <w:p>
      <w:pPr>
        <w:spacing w:after="0" w:line="19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In connection with the sale of the common units on our behalf, each of the Agents may be deemed to be an "underwriter" within the meaning of the Securities Act of 1933, as amended (or the Securities Act), and the compensation paid to the Agents may be deemed to be underwriting commissions or discounts. We have agreed to provide indemnification and contribution to the Agents against certain liabilities, including liabilities under the Securities Act.</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Agents and their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 Affiliates of the Agents are lenders under certain of our and our affiliates' credit facilities. To the extent we use proceeds from this offering to repay indebtedness under our credit facilities, affiliates of the Agents may receive a portion of the proceeds from this offering. In addition, in the ordinary course of their various business activities, the Agents and their affiliates may make or hold a broad array of investments and actively trade debt and equity securities (or related derivative securities) and financial instruments for their own account and for the accounts of their customers and may at any time hold long and short positions in such securities and instruments. Such investment and securities activities may involve our securities and instruments. The Agents and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validity of the common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60" w:firstLine="348"/>
        <w:spacing w:after="0" w:line="323" w:lineRule="auto"/>
        <w:rPr>
          <w:sz w:val="20"/>
          <w:szCs w:val="20"/>
          <w:color w:val="auto"/>
        </w:rPr>
      </w:pPr>
      <w:r>
        <w:rPr>
          <w:rFonts w:ascii="Arial" w:cs="Arial" w:eastAsia="Arial" w:hAnsi="Arial"/>
          <w:sz w:val="15"/>
          <w:szCs w:val="15"/>
          <w:color w:val="auto"/>
        </w:rPr>
        <w:t>The consolidated financial statements of GasLog Partners LP as of December 31, 2015 and 2016 and for each of the three years in the period ended December 31, 2016 incorporated in this prospectus supplement by reference from our Current Report on Form 6-K filed with the SEC on September 29, 2017,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RELATED TO THIS OFFERING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the main costs and expenses, other than the underwriting discounts and commissions, in connection with this offering, which we will be required to pay.</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16,732.80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The New York Stock Exchange listing fee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costs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Transfer agent fees and other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18,267.20</w:t>
            </w:r>
          </w:p>
        </w:tc>
        <w:tc>
          <w:tcPr>
            <w:tcW w:w="160" w:type="dxa"/>
            <w:vAlign w:val="bottom"/>
            <w:shd w:val="clear" w:color="auto" w:fill="CCEEFF"/>
          </w:tcPr>
          <w:p>
            <w:pPr>
              <w:spacing w:after="0"/>
              <w:rPr>
                <w:sz w:val="18"/>
                <w:szCs w:val="18"/>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$385,000.00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operation of the public reference facility by calling 1-800-SEC- 0330. The SEC also maintains a website 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 incorporates by reference certain documents, to the extent noted therein, including the following:</w:t>
      </w:r>
    </w:p>
    <w:p>
      <w:pPr>
        <w:spacing w:after="0" w:line="239" w:lineRule="exact"/>
        <w:rPr>
          <w:sz w:val="20"/>
          <w:szCs w:val="20"/>
          <w:color w:val="auto"/>
        </w:rPr>
      </w:pPr>
    </w:p>
    <w:p>
      <w:pPr>
        <w:ind w:left="1080" w:right="480" w:hanging="532"/>
        <w:spacing w:after="0" w:line="33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Annual Report on Form 20-F for the year ended December 31, 2016, filed with the SEC on February 13, 2017 (Items 3, 5 and 18 of this Form 20-F have been updated by the Current Report on Form 6-K filed with the SEC on September 29, 2017); and</w:t>
      </w:r>
    </w:p>
    <w:p>
      <w:pPr>
        <w:spacing w:after="0" w:line="166" w:lineRule="exact"/>
        <w:rPr>
          <w:rFonts w:ascii="Arial" w:cs="Arial" w:eastAsia="Arial" w:hAnsi="Arial"/>
          <w:sz w:val="16"/>
          <w:szCs w:val="16"/>
          <w:color w:val="auto"/>
        </w:rPr>
      </w:pPr>
    </w:p>
    <w:p>
      <w:pPr>
        <w:ind w:left="1080" w:right="260" w:hanging="532"/>
        <w:spacing w:after="0" w:line="370"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Reports on Form 6-K, filed with the SEC on March 23, 2017, April 27, 2017, May 3, 2017, May 10, 2017, May 15, 2017, May 16, 2017, June 1, 2017, July 5, 2017, July 27, 2017, August 21, 2017, September 15, 2017, September 29, 2017, October 20, 2017 and October 26, 2017.</w:t>
      </w:r>
    </w:p>
    <w:p>
      <w:pPr>
        <w:spacing w:after="0" w:line="11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common units made by this prospectus supplement has been terminated. In all cases, you should rely on the later information over different information included in this prospectus supplement.</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free of charge upon written or oral request, to each person to whom this prospectus supplement is delivered, including any beneficial owner of our common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www.gaslogmlp.com.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$600,000,000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Through this prospectus, we may offer common units representing limited partner interests (the "Common Units") and other classes of units representing limited partner interests (the "Other Units"), debt securities, warrants to purchase Common Units, Other Units or other rights (the "Warrants"), rights to purchase Common Units and Other Units (the "Rights"), and units consisting of any combination of the Common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9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3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June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94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gridSpan w:val="10"/>
          </w:tcPr>
          <w:p>
            <w:pPr>
              <w:jc w:val="center"/>
              <w:ind w:right="310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FORWARD-LOOKING STATEMENTS</w:t>
              </w:r>
            </w:hyperlink>
          </w:p>
        </w:tc>
        <w:tc>
          <w:tcPr>
            <w:tcW w:w="1480" w:type="dxa"/>
            <w:vAlign w:val="bottom"/>
            <w:gridSpan w:val="3"/>
          </w:tcPr>
          <w:p>
            <w:pPr>
              <w:jc w:val="right"/>
              <w:ind w:right="1300"/>
              <w:spacing w:after="0"/>
              <w:rPr>
                <w:rFonts w:ascii="Arial" w:cs="Arial" w:eastAsia="Arial" w:hAnsi="Arial"/>
                <w:sz w:val="18"/>
                <w:szCs w:val="18"/>
                <w:color w:val="0000EE"/>
              </w:rPr>
            </w:pPr>
            <w:hyperlink w:anchor="page65">
              <w:r>
                <w:rPr>
                  <w:rFonts w:ascii="Arial" w:cs="Arial" w:eastAsia="Arial" w:hAnsi="Arial"/>
                  <w:sz w:val="18"/>
                  <w:szCs w:val="18"/>
                  <w:color w:val="0000EE"/>
                </w:rPr>
                <w:t>1</w:t>
              </w:r>
            </w:hyperlink>
          </w:p>
        </w:tc>
      </w:tr>
      <w:tr>
        <w:trPr>
          <w:trHeight w:val="412"/>
        </w:trPr>
        <w:tc>
          <w:tcPr>
            <w:tcW w:w="11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THE COMPANY</w:t>
              </w:r>
            </w:hyperlink>
          </w:p>
        </w:tc>
        <w:tc>
          <w:tcPr>
            <w:tcW w:w="1600" w:type="dxa"/>
            <w:vAlign w:val="bottom"/>
            <w:tcBorders>
              <w:top w:val="single" w:sz="8" w:color="0000EE"/>
            </w:tcBorders>
            <w:gridSpan w:val="8"/>
          </w:tcPr>
          <w:p>
            <w:pPr>
              <w:spacing w:after="0"/>
              <w:rPr>
                <w:sz w:val="24"/>
                <w:szCs w:val="24"/>
                <w:color w:val="auto"/>
              </w:rPr>
            </w:pPr>
          </w:p>
        </w:tc>
        <w:tc>
          <w:tcPr>
            <w:tcW w:w="594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RISK FACTORS</w:t>
              </w:r>
            </w:hyperlink>
          </w:p>
        </w:tc>
        <w:tc>
          <w:tcPr>
            <w:tcW w:w="1480" w:type="dxa"/>
            <w:vAlign w:val="bottom"/>
            <w:gridSpan w:val="3"/>
          </w:tcPr>
          <w:p>
            <w:pPr>
              <w:jc w:val="right"/>
              <w:ind w:right="1300"/>
              <w:spacing w:after="0"/>
              <w:rPr>
                <w:rFonts w:ascii="Arial" w:cs="Arial" w:eastAsia="Arial" w:hAnsi="Arial"/>
                <w:sz w:val="18"/>
                <w:szCs w:val="18"/>
                <w:color w:val="0000EE"/>
              </w:rPr>
            </w:pPr>
            <w:hyperlink w:anchor="page69">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SERVICE OF PROCESS AND ENFORCEMENT OF LIABILITIES</w:t>
              </w:r>
            </w:hyperlink>
          </w:p>
        </w:tc>
        <w:tc>
          <w:tcPr>
            <w:tcW w:w="1480" w:type="dxa"/>
            <w:vAlign w:val="bottom"/>
            <w:gridSpan w:val="3"/>
          </w:tcPr>
          <w:p>
            <w:pPr>
              <w:jc w:val="right"/>
              <w:ind w:right="1300"/>
              <w:spacing w:after="0"/>
              <w:rPr>
                <w:rFonts w:ascii="Arial" w:cs="Arial" w:eastAsia="Arial" w:hAnsi="Arial"/>
                <w:sz w:val="18"/>
                <w:szCs w:val="18"/>
                <w:color w:val="0000EE"/>
              </w:rPr>
            </w:pPr>
            <w:hyperlink w:anchor="page70">
              <w:r>
                <w:rPr>
                  <w:rFonts w:ascii="Arial" w:cs="Arial" w:eastAsia="Arial" w:hAnsi="Arial"/>
                  <w:sz w:val="18"/>
                  <w:szCs w:val="18"/>
                  <w:color w:val="0000EE"/>
                </w:rPr>
                <w:t>6</w:t>
              </w:r>
            </w:hyperlink>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ABOUT THIS PROSPECTUS</w:t>
              </w:r>
            </w:hyperlink>
          </w:p>
        </w:tc>
        <w:tc>
          <w:tcPr>
            <w:tcW w:w="39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71">
              <w:r>
                <w:rPr>
                  <w:rFonts w:ascii="Arial" w:cs="Arial" w:eastAsia="Arial" w:hAnsi="Arial"/>
                  <w:sz w:val="18"/>
                  <w:szCs w:val="18"/>
                  <w:color w:val="0000EE"/>
                  <w:w w:val="96"/>
                </w:rPr>
                <w:t>WHERE YOU CAN FIND ADDITIONAL INFORMATION</w:t>
              </w:r>
            </w:hyperlink>
          </w:p>
        </w:tc>
        <w:tc>
          <w:tcPr>
            <w:tcW w:w="44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506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INCORPORATION OF CERTAIN INFORMATION BY REFERENCE</w:t>
              </w:r>
            </w:hyperlink>
          </w:p>
        </w:tc>
        <w:tc>
          <w:tcPr>
            <w:tcW w:w="37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RATIO OF EARNINGS TO FIXED CHARGES</w:t>
              </w:r>
            </w:hyperlink>
          </w:p>
        </w:tc>
        <w:tc>
          <w:tcPr>
            <w:tcW w:w="1480" w:type="dxa"/>
            <w:vAlign w:val="bottom"/>
            <w:gridSpan w:val="3"/>
          </w:tcPr>
          <w:p>
            <w:pPr>
              <w:jc w:val="right"/>
              <w:ind w:right="1300"/>
              <w:spacing w:after="0"/>
              <w:rPr>
                <w:rFonts w:ascii="Arial" w:cs="Arial" w:eastAsia="Arial" w:hAnsi="Arial"/>
                <w:sz w:val="18"/>
                <w:szCs w:val="18"/>
                <w:color w:val="0000EE"/>
              </w:rPr>
            </w:pPr>
            <w:hyperlink w:anchor="page73">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USE OF PROCEEDS</w:t>
              </w:r>
            </w:hyperlink>
          </w:p>
        </w:tc>
        <w:tc>
          <w:tcPr>
            <w:tcW w:w="1860" w:type="dxa"/>
            <w:vAlign w:val="bottom"/>
            <w:gridSpan w:val="9"/>
          </w:tcPr>
          <w:p>
            <w:pPr>
              <w:spacing w:after="0"/>
              <w:rPr>
                <w:sz w:val="24"/>
                <w:szCs w:val="24"/>
                <w:color w:val="auto"/>
              </w:rPr>
            </w:pPr>
          </w:p>
        </w:tc>
        <w:tc>
          <w:tcPr>
            <w:tcW w:w="538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CAPITALIZATION AND INDEBTEDNESS</w:t>
              </w:r>
            </w:hyperlink>
          </w:p>
        </w:tc>
        <w:tc>
          <w:tcPr>
            <w:tcW w:w="1480" w:type="dxa"/>
            <w:vAlign w:val="bottom"/>
            <w:gridSpan w:val="3"/>
          </w:tcPr>
          <w:p>
            <w:pPr>
              <w:jc w:val="right"/>
              <w:ind w:right="1300"/>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10</w:t>
              </w:r>
            </w:hyperlink>
          </w:p>
        </w:tc>
      </w:tr>
      <w:tr>
        <w:trPr>
          <w:trHeight w:val="412"/>
        </w:trPr>
        <w:tc>
          <w:tcPr>
            <w:tcW w:w="114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24"/>
                <w:szCs w:val="24"/>
                <w:color w:val="auto"/>
              </w:rPr>
            </w:pPr>
          </w:p>
        </w:tc>
        <w:tc>
          <w:tcPr>
            <w:tcW w:w="560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DESCRIPTION OF THE OTHER CLASSES OF UNITS</w:t>
              </w:r>
            </w:hyperlink>
          </w:p>
        </w:tc>
        <w:tc>
          <w:tcPr>
            <w:tcW w:w="474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DESCRIPTION OF DEBT SECURITIES</w:t>
              </w:r>
            </w:hyperlink>
          </w:p>
        </w:tc>
        <w:tc>
          <w:tcPr>
            <w:tcW w:w="58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DESCRIPTION OF WARRANTS</w:t>
              </w:r>
            </w:hyperlink>
          </w:p>
        </w:tc>
        <w:tc>
          <w:tcPr>
            <w:tcW w:w="1480" w:type="dxa"/>
            <w:vAlign w:val="bottom"/>
            <w:gridSpan w:val="3"/>
          </w:tcPr>
          <w:p>
            <w:pPr>
              <w:jc w:val="right"/>
              <w:ind w:right="1300"/>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18</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2"/>
          </w:tcPr>
          <w:p>
            <w:pPr>
              <w:spacing w:after="0"/>
              <w:rPr>
                <w:sz w:val="24"/>
                <w:szCs w:val="24"/>
                <w:color w:val="auto"/>
              </w:rPr>
            </w:pPr>
          </w:p>
        </w:tc>
        <w:tc>
          <w:tcPr>
            <w:tcW w:w="6380" w:type="dxa"/>
            <w:vAlign w:val="bottom"/>
            <w:gridSpan w:val="15"/>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64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DESCRIPTION OF THE COMBINATION UNITS</w:t>
              </w:r>
            </w:hyperlink>
          </w:p>
        </w:tc>
        <w:tc>
          <w:tcPr>
            <w:tcW w:w="516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SUMMARY OF OUR PARTNERSHIP AGREEMENT</w:t>
              </w:r>
            </w:hyperlink>
          </w:p>
        </w:tc>
        <w:tc>
          <w:tcPr>
            <w:tcW w:w="488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84">
              <w:r>
                <w:rPr>
                  <w:rFonts w:ascii="Arial" w:cs="Arial" w:eastAsia="Arial" w:hAnsi="Arial"/>
                  <w:sz w:val="18"/>
                  <w:szCs w:val="18"/>
                  <w:color w:val="0000EE"/>
                  <w:w w:val="94"/>
                </w:rPr>
                <w:t>OUR CASH DISTRIBUTION POLICY AND RESTRICTIONS ON DISTRIBUTIONS</w:t>
              </w:r>
            </w:hyperlink>
          </w:p>
        </w:tc>
        <w:tc>
          <w:tcPr>
            <w:tcW w:w="2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MATERIAL U.S. FEDERAL INCOME TAX CONSIDERATIONS</w:t>
              </w:r>
            </w:hyperlink>
          </w:p>
        </w:tc>
        <w:tc>
          <w:tcPr>
            <w:tcW w:w="40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NON-UNITED STATES TAX CONSIDERATIONS</w:t>
              </w:r>
            </w:hyperlink>
          </w:p>
        </w:tc>
        <w:tc>
          <w:tcPr>
            <w:tcW w:w="51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PLAN OF DISTRIBUTION</w:t>
              </w:r>
            </w:hyperlink>
          </w:p>
        </w:tc>
        <w:tc>
          <w:tcPr>
            <w:tcW w:w="1480" w:type="dxa"/>
            <w:vAlign w:val="bottom"/>
            <w:gridSpan w:val="3"/>
          </w:tcPr>
          <w:p>
            <w:pPr>
              <w:jc w:val="right"/>
              <w:ind w:right="1300"/>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33</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EXPENSES</w:t>
              </w:r>
            </w:hyperlink>
          </w:p>
        </w:tc>
        <w:tc>
          <w:tcPr>
            <w:tcW w:w="1120" w:type="dxa"/>
            <w:vAlign w:val="bottom"/>
            <w:tcBorders>
              <w:top w:val="single" w:sz="8" w:color="0000EE"/>
            </w:tcBorders>
            <w:gridSpan w:val="5"/>
          </w:tcPr>
          <w:p>
            <w:pPr>
              <w:spacing w:after="0"/>
              <w:rPr>
                <w:sz w:val="24"/>
                <w:szCs w:val="24"/>
                <w:color w:val="auto"/>
              </w:rPr>
            </w:pPr>
          </w:p>
        </w:tc>
        <w:tc>
          <w:tcPr>
            <w:tcW w:w="6800" w:type="dxa"/>
            <w:vAlign w:val="bottom"/>
            <w:gridSpan w:val="1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LEGAL MATTERS</w:t>
              </w:r>
            </w:hyperlink>
          </w:p>
        </w:tc>
        <w:tc>
          <w:tcPr>
            <w:tcW w:w="1480" w:type="dxa"/>
            <w:vAlign w:val="bottom"/>
            <w:gridSpan w:val="3"/>
          </w:tcPr>
          <w:p>
            <w:pPr>
              <w:jc w:val="right"/>
              <w:ind w:right="1300"/>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35</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EXPERTS</w:t>
              </w:r>
            </w:hyperlink>
          </w:p>
        </w:tc>
        <w:tc>
          <w:tcPr>
            <w:tcW w:w="7380" w:type="dxa"/>
            <w:vAlign w:val="bottom"/>
            <w:gridSpan w:val="20"/>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5"/>
          </w:tcPr>
          <w:p>
            <w:pPr>
              <w:jc w:val="center"/>
              <w:ind w:right="3980"/>
              <w:spacing w:after="0"/>
              <w:rPr>
                <w:sz w:val="20"/>
                <w:szCs w:val="20"/>
                <w:color w:val="auto"/>
              </w:rPr>
            </w:pPr>
            <w:r>
              <w:rPr>
                <w:rFonts w:ascii="Arial" w:cs="Arial" w:eastAsia="Arial" w:hAnsi="Arial"/>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to differ include, but are not limited to, the following:</w:t>
      </w:r>
    </w:p>
    <w:p>
      <w:pPr>
        <w:spacing w:after="0" w:line="239" w:lineRule="exact"/>
        <w:rPr>
          <w:sz w:val="20"/>
          <w:szCs w:val="20"/>
          <w:color w:val="auto"/>
        </w:rPr>
      </w:pPr>
    </w:p>
    <w:p>
      <w:pPr>
        <w:ind w:left="1080" w:right="32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liquefied natural gas, or "LNG", and LNG shipping market conditions and trends, including charter rates, ship values, factors affecting supply and demand,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supply of, and demand for,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leverage GasLog Ltd.'s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enter into time charters with existing customers as well as new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contracted charter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operating or financial results and future revenues and expenses;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future financial condition and liquidity;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purchase vessels from GasLog Ltd. in the future;</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relating to making cash distributions on the units, including any increases in cash distributions, and our ability to make such distributions;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enter into shipbuilding contracts for newbuildings and our expectations about the availability of existing LNG carriers to purchase, as well as our ability to consummate any such acquisitions;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acceptance of a vessel by its charterer;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anticipated general and administrative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adapt our commercial strategy to changes in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dates and extensions of charters;</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fees and expenses payable under the amended ship management agreements, the administrative services agreement and the amended commercial management agreements;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unitholders;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estimated future maintenance and replacement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GasLog Ltd.'s ability to retain key employees and provide services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sales of our Common Units in the public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maximize the use of our ships, including the re-employment or disposal of ships no longer under time charter commitments;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as well as standards imposed by our charterers applicable to our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imposed by classification societies;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factors discussed in this prospectus and from time to time in our periodic reports.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Many of these statements are based on our assumptions about factors that are beyond our ability to control or predict and are subject to risks and uncertainties that are described more fully in the "Risk Factors" section of this prospectus. Any of these factors or a combination of these factors could materially affect future results of operations and the ultimate accuracy of the forward-looking statements. Factors that might cause future results to differ include, but are not limited to, the following:</w:t>
      </w:r>
    </w:p>
    <w:p>
      <w:pPr>
        <w:spacing w:after="0" w:line="224"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 governmental rules and regulations, or actions taken by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economic and competitive conditions affecting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length and number of off-hire periods and dependence on affiliated managers;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discussed in the section entitled "Risk Factors" of this prospectus.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w:t>
      </w:r>
    </w:p>
    <w:p>
      <w:pPr>
        <w:sectPr>
          <w:pgSz w:w="11900" w:h="16838" w:orient="portrait"/>
          <w:cols w:equalWidth="0" w:num="1">
            <w:col w:w="11380"/>
          </w:cols>
          <w:pgMar w:left="240" w:top="131" w:right="279" w:bottom="144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our Common Units.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pacing w:after="0" w:line="239" w:lineRule="exact"/>
        <w:rPr>
          <w:sz w:val="20"/>
          <w:szCs w:val="20"/>
          <w:color w:val="auto"/>
        </w:rPr>
      </w:pPr>
    </w:p>
    <w:p>
      <w:pPr>
        <w:ind w:left="1080" w:right="1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"GasLog", depending on the context, refer to GasLog Ltd. and to any one or more of its direct and indirect subsidiaries, other than GasLog Partners and its direct and indirect subsidiaries;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general partner" refer to GasLog Partners GP LLC, the general partner of GasLog Partners and a wholly owned subsidiary of GasLog Ltd.;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"GasLog LNG Services" refer to GasLog LNG Services Ltd., a wholly owned subsidiary of GasLog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"GasLog Carriers" refer to GasLog Carriers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"GasLog Partners Holdings" refer to GasLog Partners Holdings LLC;</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"BG Group" refer to BG Group plc; "Methane Services" refer to Methane Services Limited, a subsidiary of BG Group; and "Shell" refer to Royal Dutch Shell plc, or, in each case, any one or more of their subsidiaries or to such entities collectively;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"cbm" refer to cubic meters.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of five full years or more. Our fleet of five LNG carriers, which have charter terms expiring through 2020, were contributed to us by, or acquired from, GasLog, which controls us through its ownership of our general partner.</w:t>
      </w:r>
    </w:p>
    <w:p>
      <w:pPr>
        <w:spacing w:after="0" w:line="194"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 xml:space="preserve">As of June 1, 2015, our fleet consisted of five LNG carriers, including three vessels with modern tri-fuel diesel electric, or "TFDE", propulsion technology and two steam-powered vessels that operate under long-term charters with Methane Services, a subsidiary of BG Group. At that date, we also had options and other certain acquisition rights under which we may acquire additional LNG carriers from GasLog. Under the omnibus agreement entered into with GasLog in connection with our IPO (defined below), we have the option to purchase up to 12 LNG carriers from GasLog within 36 months after each such vessel's acceptance by its charterer (or, in the case of certain vessels, 36 months after the closing of the IPO), in each case at fair market value as determined pursuant to the omnibus agreement. In addition, we previously had options to acquire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which we exercised in September 2014 and these two vessels are now part of our owned fleet.</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 Year Vessels") either at their acquisition cost plus a certain break up costs (in the case of a newly acquired Five Year Vessel) or at their fair market value (in the case of a previously owned vessel that becomes a Five Year Vessel). Generally, we must exercise this right of first offer within 30 days following the notice from GasLog that the vessel has been acquired or has become a Five Year Vessel. The three newbuildings to be chartered beginning in 2018 under the agreement signed with Methane Services on April 21, 2015, as well as the additional six newbuildings which may be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 xml:space="preserve">chartered at Methane Services' election, will each qualify as a Five Year Vessel upon commencement of its charter, and GasLog will be required to offer to us an opportunity to purchase each vessel at fair market value within 30 days of the commencement of its charter. Following completion of the acquisition by GasLog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from a subsidiary of BG Group, GasLog has granted us the option, exercisable at any time within</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36 months after March 31, 2015, the date that GasLog completed the acquisition to purchase both of the aforementioned vessels at their fair market value, as determined under the omnibus agreement under the same terms that apply to the 10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199"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options, with the addition of three future firm charters agreed with Methane Services as of April 21, 2015, brings the current pipeline of vessels that we have, or may have, the right to acquire from GasLog to 15 LNG carriers. We believe that such options and acquisition rights provide us with significant built-in growth opportunities. We may also acquire vessels from shipyards or other owners.</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equity and debt financing.</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equity and/or debt financing to fund all or a portion of the acquisition costs of these vessels. As of June 1, 2015,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May 12, 2014, we completed an initial public offering of our Common Units (the "IPO"). On September 29, 2014, we completed a follow-on public offering of our Common Units.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6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make cash distributions and lower the trading price of our Common Units. The risks referred to above are not the only ones that may exist. Additional risks not currently known by us or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right="100" w:firstLine="8"/>
        <w:spacing w:after="0" w:line="255"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LP, reference is made to the registration statement.</w:t>
      </w:r>
    </w:p>
    <w:p>
      <w:pPr>
        <w:spacing w:after="0" w:line="17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Report on Form 6-K, filed with the SEC on April 30,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2014, filed with the SEC on February 17, 2015; and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Common Units which is contained in our registration statement on Form 8-A (File No. 001-36433), filed with the SEC on April 30, 2014, including any amendment or report filed for the purpose of updating such description.</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ind w:right="44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www.gaslogmlp.com.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 sets forth our ratio of earnings to fixed charges for the periods indicated, computed using amounts derived from our financial statements prepared in accordance with International Financial Reporting Standards as issued by the International Accounting Standards Board.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940" w:type="dxa"/>
            <w:vAlign w:val="bottom"/>
            <w:gridSpan w:val="6"/>
            <w:vMerge w:val="restart"/>
          </w:tcPr>
          <w:p>
            <w:pPr>
              <w:jc w:val="right"/>
              <w:ind w:right="636"/>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940" w:type="dxa"/>
            <w:vAlign w:val="bottom"/>
            <w:tcBorders>
              <w:bottom w:val="single" w:sz="8" w:color="auto"/>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ended March 31,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6"/>
          </w:tcPr>
          <w:p>
            <w:pPr>
              <w:jc w:val="right"/>
              <w:ind w:right="821"/>
              <w:spacing w:after="0" w:line="142" w:lineRule="exact"/>
              <w:rPr>
                <w:sz w:val="20"/>
                <w:szCs w:val="20"/>
                <w:color w:val="auto"/>
              </w:rPr>
            </w:pPr>
            <w:r>
              <w:rPr>
                <w:rFonts w:ascii="Arial" w:cs="Arial" w:eastAsia="Arial" w:hAnsi="Arial"/>
                <w:sz w:val="14"/>
                <w:szCs w:val="14"/>
                <w:b w:val="1"/>
                <w:bCs w:val="1"/>
                <w:color w:val="auto"/>
                <w:w w:val="85"/>
              </w:rPr>
              <w:t>(in thousands of U.S. dollars, except ratios)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(861,061)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26,218,242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29,168,698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12,897,430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12,075,948</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25,999,008</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3,924,546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(861,061)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38,294,190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55,167,706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16,821,976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10,378,044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14,651,242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3,547,840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5"/>
              </w:rPr>
              <w:t>Amortization of capitalized expenses relating to indebtedness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1,697,904</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11,347,766</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12,075,948</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25,999,008</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3,924,546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gridSpan w:val="3"/>
          </w:tcPr>
          <w:p>
            <w:pPr>
              <w:spacing w:after="0" w:line="250" w:lineRule="exact"/>
              <w:rPr>
                <w:sz w:val="20"/>
                <w:szCs w:val="20"/>
                <w:color w:val="auto"/>
              </w:rPr>
            </w:pPr>
            <w:r>
              <w:rPr>
                <w:rFonts w:ascii="Arial" w:cs="Arial" w:eastAsia="Arial" w:hAnsi="Arial"/>
                <w:sz w:val="17"/>
                <w:szCs w:val="17"/>
                <w:b w:val="1"/>
                <w:bCs w:val="1"/>
                <w:color w:val="auto"/>
              </w:rPr>
              <w:t>Ratio of Earnings to Fixed Charges</w:t>
            </w:r>
            <w:r>
              <w:rPr>
                <w:rFonts w:ascii="Arial" w:cs="Arial" w:eastAsia="Arial" w:hAnsi="Arial"/>
                <w:sz w:val="28"/>
                <w:szCs w:val="28"/>
                <w:b w:val="1"/>
                <w:bCs w:val="1"/>
                <w:color w:val="auto"/>
                <w:vertAlign w:val="superscript"/>
              </w:rPr>
              <w:t>(1)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n/m</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 of the Coverage Deficiency</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861,061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n/a</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n/a</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20"/>
              <w:spacing w:after="0" w:line="196" w:lineRule="exact"/>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80" w:hanging="531"/>
        <w:spacing w:after="0"/>
        <w:tabs>
          <w:tab w:leader="none" w:pos="1680" w:val="left"/>
        </w:tabs>
        <w:numPr>
          <w:ilvl w:val="0"/>
          <w:numId w:val="50"/>
        </w:numPr>
        <w:rPr>
          <w:rFonts w:ascii="Arial" w:cs="Arial" w:eastAsia="Arial" w:hAnsi="Arial"/>
          <w:sz w:val="27"/>
          <w:szCs w:val="27"/>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7"/>
          <w:szCs w:val="27"/>
          <w:color w:val="auto"/>
          <w:vertAlign w:val="superscript"/>
        </w:rPr>
      </w:pPr>
    </w:p>
    <w:p>
      <w:pPr>
        <w:spacing w:after="0" w:line="248" w:lineRule="exact"/>
        <w:rPr>
          <w:rFonts w:ascii="Arial" w:cs="Arial" w:eastAsia="Arial" w:hAnsi="Arial"/>
          <w:sz w:val="27"/>
          <w:szCs w:val="27"/>
          <w:color w:val="auto"/>
          <w:vertAlign w:val="superscript"/>
        </w:rPr>
      </w:pPr>
    </w:p>
    <w:p>
      <w:pPr>
        <w:ind w:left="2220" w:right="300" w:hanging="531"/>
        <w:spacing w:after="0" w:line="209" w:lineRule="auto"/>
        <w:tabs>
          <w:tab w:leader="none" w:pos="2220" w:val="left"/>
        </w:tabs>
        <w:numPr>
          <w:ilvl w:val="1"/>
          <w:numId w:val="50"/>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185" w:lineRule="exact"/>
        <w:rPr>
          <w:rFonts w:ascii="Arial" w:cs="Arial" w:eastAsia="Arial" w:hAnsi="Arial"/>
          <w:sz w:val="18"/>
          <w:szCs w:val="18"/>
          <w:color w:val="auto"/>
        </w:rPr>
      </w:pPr>
    </w:p>
    <w:p>
      <w:pPr>
        <w:ind w:left="2220" w:hanging="531"/>
        <w:spacing w:after="0"/>
        <w:tabs>
          <w:tab w:leader="none" w:pos="2220" w:val="left"/>
        </w:tabs>
        <w:numPr>
          <w:ilvl w:val="1"/>
          <w:numId w:val="50"/>
        </w:numPr>
        <w:rPr>
          <w:rFonts w:ascii="Arial" w:cs="Arial" w:eastAsia="Arial" w:hAnsi="Arial"/>
          <w:sz w:val="18"/>
          <w:szCs w:val="18"/>
          <w:color w:val="auto"/>
        </w:rPr>
      </w:pPr>
      <w:r>
        <w:rPr>
          <w:rFonts w:ascii="Arial" w:cs="Arial" w:eastAsia="Arial" w:hAnsi="Arial"/>
          <w:sz w:val="14"/>
          <w:szCs w:val="14"/>
          <w:color w:val="auto"/>
        </w:rPr>
        <w:t>"fixed charges" represent (i) interest incurred and (ii) amortization of capitalized expenses related to indebtedness.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otherwise set forth in the applicable prospectus supplement, we intend to use the net proceeds received from the sale of the securities we offer by this prospectus for general corporate purposes.</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description of our Common Units can be found in our registration statement on the description of our Common Units which is contained in our registration statement on Form 8-A (File No.001-36433), filed with the SEC on April 30, 2014, including any amendment or report filed for the purpose of updating such description.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As of June 1, 2015, no classes of limited partnership interests were outstanding other than the Common Units and subordinated units.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130"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 to share in partnership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upon our dissolution and liquidation;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1"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Other Units are issued with the privilege of conversion or exchange and, if so, the terms and conditions of such conversion or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7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Holders may present debt securities for exchange, and holders of registered debt securities may present these securities for transfer, in the manner, at the places and subject to the restrictions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60" w:hanging="532"/>
        <w:spacing w:after="0" w:line="29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187"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21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color w:val="auto"/>
        </w:rPr>
        <w:t>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160" w:hanging="532"/>
        <w:spacing w:after="0" w:line="30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212" w:lineRule="exact"/>
        <w:rPr>
          <w:rFonts w:ascii="Arial" w:cs="Arial" w:eastAsia="Arial" w:hAnsi="Arial"/>
          <w:sz w:val="18"/>
          <w:szCs w:val="18"/>
          <w:color w:val="auto"/>
        </w:rPr>
      </w:pPr>
    </w:p>
    <w:p>
      <w:pPr>
        <w:ind w:left="1620" w:right="260" w:hanging="532"/>
        <w:spacing w:after="0" w:line="332" w:lineRule="auto"/>
        <w:tabs>
          <w:tab w:leader="none" w:pos="16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38" w:lineRule="exact"/>
        <w:rPr>
          <w:rFonts w:ascii="Arial" w:cs="Arial" w:eastAsia="Arial" w:hAnsi="Arial"/>
          <w:sz w:val="18"/>
          <w:szCs w:val="18"/>
          <w:color w:val="auto"/>
        </w:rPr>
      </w:pPr>
    </w:p>
    <w:p>
      <w:pPr>
        <w:ind w:left="1080" w:right="60" w:hanging="532"/>
        <w:spacing w:after="0" w:line="370" w:lineRule="auto"/>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Modification with Consent of Holders. </w:t>
      </w:r>
      <w:r>
        <w:rPr>
          <w:rFonts w:ascii="Arial" w:cs="Arial" w:eastAsia="Arial" w:hAnsi="Arial"/>
          <w:sz w:val="18"/>
          <w:szCs w:val="18"/>
          <w:color w:val="auto"/>
        </w:rPr>
        <w:t>We and the trustee, with the consent of the holders of not less than a majority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affected series of outstanding debt securities, voting as one class, may add any provisions to, or change in any manner or eliminate any of the provisions of, the indenture or modify in any manner the rights of the holders of those debt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securities. However, we and the trustee may not make any of the following changes to any outstanding debt security without the consent of each holder that would be affected by the change:</w:t>
      </w:r>
    </w:p>
    <w:p>
      <w:pPr>
        <w:spacing w:after="0" w:line="19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52"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66"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security will be described in the prospectus supplement relating to those securities. We anticipate that the following provisions will apply to all depositary arrangements: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97" w:lineRule="exact"/>
        <w:rPr>
          <w:sz w:val="20"/>
          <w:szCs w:val="20"/>
          <w:color w:val="auto"/>
        </w:rPr>
      </w:pPr>
    </w:p>
    <w:p>
      <w:pPr>
        <w:jc w:val="both"/>
        <w:ind w:right="3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may issue Combination Units consisting of any combination of Common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pacing w:after="0" w:line="199" w:lineRule="exact"/>
        <w:rPr>
          <w:sz w:val="20"/>
          <w:szCs w:val="20"/>
          <w:color w:val="auto"/>
        </w:rPr>
      </w:pPr>
    </w:p>
    <w:p>
      <w:pPr>
        <w:ind w:left="1080" w:right="26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560" w:firstLine="341"/>
        <w:spacing w:after="0" w:line="298" w:lineRule="auto"/>
        <w:rPr>
          <w:sz w:val="20"/>
          <w:szCs w:val="20"/>
          <w:color w:val="auto"/>
        </w:rPr>
      </w:pPr>
      <w:r>
        <w:rPr>
          <w:rFonts w:ascii="Arial" w:cs="Arial" w:eastAsia="Arial" w:hAnsi="Arial"/>
          <w:sz w:val="16"/>
          <w:szCs w:val="16"/>
          <w:color w:val="auto"/>
        </w:rPr>
        <w:t>A copy of our partnership agreement is filed as an exhibit to the registration statement of which this prospectus is a part. A summary of the important provisions of our partnership agreement and the rights and privileges of our unitholders is included in our Annual Report on Form 20-F for the year ended December 31, 2014 and our registration statement on Form 8-A (File No. 001-36433), filed with the SEC on April 30, 2014, including any subsequent amendments or reports filed for the purpose of updating such description. Please read "Where You Can Find More Information".</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jc w:val="both"/>
        <w:ind w:left="1080" w:right="44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21"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9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201" w:lineRule="exact"/>
        <w:rPr>
          <w:rFonts w:ascii="Arial" w:cs="Arial" w:eastAsia="Arial" w:hAnsi="Arial"/>
          <w:sz w:val="16"/>
          <w:szCs w:val="16"/>
          <w:color w:val="auto"/>
        </w:rPr>
      </w:pPr>
    </w:p>
    <w:p>
      <w:pPr>
        <w:ind w:left="1080" w:right="140" w:hanging="532"/>
        <w:spacing w:after="0" w:line="294"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Although our partnership agreement requires us to distribute all of our available cash, our partnership agreement, including provisions contained therein requiring us to make cash distributions, may be amended. During the subordination period, with certain exceptions, our partnership agreement may not be amended without the approval of non-affiliated common unitholders. After the subordination period has ended, our partnership agreement can be amended with the approval of a majority of the outstanding Common Units. GasLog owns approximately 0.66% of our Common Units, all of our subordinated units and indirectly 2.0% of our general partnership units outstanding as of June 1, 2015.</w:t>
      </w:r>
    </w:p>
    <w:p>
      <w:pPr>
        <w:spacing w:after="0" w:line="183" w:lineRule="exact"/>
        <w:rPr>
          <w:rFonts w:ascii="Arial" w:cs="Arial" w:eastAsia="Arial" w:hAnsi="Arial"/>
          <w:sz w:val="16"/>
          <w:szCs w:val="16"/>
          <w:color w:val="auto"/>
        </w:rPr>
      </w:pPr>
    </w:p>
    <w:p>
      <w:pPr>
        <w:ind w:left="1080" w:right="44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212" w:lineRule="exact"/>
        <w:rPr>
          <w:rFonts w:ascii="Arial" w:cs="Arial" w:eastAsia="Arial" w:hAnsi="Arial"/>
          <w:sz w:val="18"/>
          <w:szCs w:val="18"/>
          <w:color w:val="auto"/>
        </w:rPr>
      </w:pPr>
    </w:p>
    <w:p>
      <w:pPr>
        <w:ind w:left="1080" w:right="40" w:hanging="532"/>
        <w:spacing w:after="0" w:line="335" w:lineRule="auto"/>
        <w:tabs>
          <w:tab w:leader="none" w:pos="10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Within 45 days after the end of each quarter we will distribute all of our available cash (defined below) to unitholders of record on the applicable record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99" w:lineRule="exact"/>
        <w:rPr>
          <w:sz w:val="20"/>
          <w:szCs w:val="20"/>
          <w:color w:val="auto"/>
        </w:rPr>
      </w:pPr>
    </w:p>
    <w:p>
      <w:pPr>
        <w:ind w:left="1080" w:right="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subsidiaries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 and/or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20" w:right="260" w:hanging="532"/>
        <w:spacing w:after="0" w:line="259"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plus</w:t>
      </w:r>
      <w:r>
        <w:rPr>
          <w:rFonts w:ascii="Arial" w:cs="Arial" w:eastAsia="Arial" w:hAnsi="Arial"/>
          <w:sz w:val="16"/>
          <w:szCs w:val="16"/>
          <w:color w:val="auto"/>
        </w:rPr>
        <w:t>, all cash on hand (including our proportionate share of cash on hand of any subsidiaries we do not wholly own) on the date of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Distribute the Minimum Quarterly Distribution</w:t>
      </w:r>
    </w:p>
    <w:p>
      <w:pPr>
        <w:spacing w:after="0" w:line="225"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We intend to distribute to the holders of Common Units and subordinated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116"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There is no guarantee that we will pay the minimum quarterly distribution on the Common Units and subordinated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surplus for any period generally means:</w:t>
      </w:r>
    </w:p>
    <w:p>
      <w:pPr>
        <w:spacing w:after="0" w:line="23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$19.0 million; </w:t>
      </w:r>
      <w:r>
        <w:rPr>
          <w:rFonts w:ascii="Arial" w:cs="Arial" w:eastAsia="Arial" w:hAnsi="Arial"/>
          <w:sz w:val="18"/>
          <w:szCs w:val="18"/>
          <w:i w:val="1"/>
          <w:iCs w:val="1"/>
          <w:color w:val="auto"/>
        </w:rPr>
        <w:t>plus</w:t>
      </w:r>
    </w:p>
    <w:p>
      <w:pPr>
        <w:spacing w:after="0" w:line="238" w:lineRule="exact"/>
        <w:rPr>
          <w:rFonts w:ascii="Arial" w:cs="Arial" w:eastAsia="Arial" w:hAnsi="Arial"/>
          <w:sz w:val="18"/>
          <w:szCs w:val="18"/>
          <w:color w:val="auto"/>
        </w:rPr>
      </w:pPr>
    </w:p>
    <w:p>
      <w:pPr>
        <w:ind w:left="1080" w:right="40" w:hanging="532"/>
        <w:spacing w:after="0" w:line="302" w:lineRule="auto"/>
        <w:tabs>
          <w:tab w:leader="none" w:pos="10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 (1) borrowings, other than working capital borrowings, (2) sales of equity and debt securities, (3) sales or other dispositions of assets outside the ordinary course of business,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 xml:space="preserve">(4) capital contributions or (5) corporate reorganizations or restructurings; </w:t>
      </w:r>
      <w:r>
        <w:rPr>
          <w:rFonts w:ascii="Arial" w:cs="Arial" w:eastAsia="Arial" w:hAnsi="Arial"/>
          <w:sz w:val="18"/>
          <w:szCs w:val="18"/>
          <w:i w:val="1"/>
          <w:iCs w:val="1"/>
          <w:color w:val="auto"/>
        </w:rPr>
        <w:t>plus</w:t>
      </w:r>
    </w:p>
    <w:p>
      <w:pPr>
        <w:spacing w:after="0" w:line="245"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4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finance all or any portion of the construction, replacement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 xml:space="preserve">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8"/>
          <w:szCs w:val="18"/>
          <w:i w:val="1"/>
          <w:iCs w:val="1"/>
          <w:color w:val="auto"/>
        </w:rPr>
        <w:t>plus</w:t>
      </w:r>
    </w:p>
    <w:p>
      <w:pPr>
        <w:spacing w:after="0" w:line="199" w:lineRule="exact"/>
        <w:rPr>
          <w:sz w:val="20"/>
          <w:szCs w:val="20"/>
          <w:color w:val="auto"/>
        </w:rPr>
      </w:pPr>
    </w:p>
    <w:p>
      <w:pPr>
        <w:ind w:left="1080" w:hanging="532"/>
        <w:spacing w:after="0" w:line="294"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6"/>
          <w:szCs w:val="16"/>
          <w:i w:val="1"/>
          <w:iCs w:val="1"/>
          <w:color w:val="auto"/>
        </w:rPr>
        <w:t>less</w:t>
      </w:r>
    </w:p>
    <w:p>
      <w:pPr>
        <w:spacing w:after="0" w:line="19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any cash loss realized on dispositions of assets acquired using investment capital expenditures; </w:t>
      </w:r>
      <w:r>
        <w:rPr>
          <w:rFonts w:ascii="Arial" w:cs="Arial" w:eastAsia="Arial" w:hAnsi="Arial"/>
          <w:sz w:val="18"/>
          <w:szCs w:val="18"/>
          <w:i w:val="1"/>
          <w:iCs w:val="1"/>
          <w:color w:val="auto"/>
        </w:rPr>
        <w:t>less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working capital borrowings (including our proportionate share of working capital borrowings by any subsidiaries we do not wholly own) not repaid within twelve months after having been incurred.</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provided that operating expenditures will not include:</w:t>
      </w:r>
    </w:p>
    <w:p>
      <w:pPr>
        <w:spacing w:after="0" w:line="210" w:lineRule="exact"/>
        <w:rPr>
          <w:sz w:val="20"/>
          <w:szCs w:val="20"/>
          <w:color w:val="auto"/>
        </w:rPr>
      </w:pPr>
    </w:p>
    <w:p>
      <w:pPr>
        <w:ind w:left="1080" w:right="1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deemed repayments of working capital borrowings deducted from operating surplus pursuant to the last bullet point of the definition of operating surplus above when such repayment actually occurs;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payments (including prepayments and payment penalties) of principal of and premium on indebtedness, other than working capital borrowings;</w:t>
      </w:r>
    </w:p>
    <w:p>
      <w:pPr>
        <w:spacing w:after="0" w:line="275"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expansion capital expenditures, investment capital expenditures or actual maintenance and replacement capital expenditures (which are discussed in further detail under "—Capital Expenditures"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 of transaction expenses (including taxes) relating to interim capital transactions;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to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194" w:lineRule="exact"/>
        <w:rPr>
          <w:sz w:val="20"/>
          <w:szCs w:val="20"/>
          <w:color w:val="auto"/>
        </w:rPr>
      </w:pPr>
    </w:p>
    <w:p>
      <w:pPr>
        <w:ind w:right="340" w:firstLine="351"/>
        <w:spacing w:after="0" w:line="323" w:lineRule="auto"/>
        <w:rPr>
          <w:sz w:val="20"/>
          <w:szCs w:val="20"/>
          <w:color w:val="auto"/>
        </w:rPr>
      </w:pPr>
      <w:r>
        <w:rPr>
          <w:rFonts w:ascii="Arial" w:cs="Arial" w:eastAsia="Arial" w:hAnsi="Arial"/>
          <w:sz w:val="15"/>
          <w:szCs w:val="15"/>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152" w:lineRule="exact"/>
        <w:rPr>
          <w:sz w:val="20"/>
          <w:szCs w:val="20"/>
          <w:color w:val="auto"/>
        </w:rPr>
      </w:pPr>
    </w:p>
    <w:p>
      <w:pPr>
        <w:ind w:right="100" w:firstLine="351"/>
        <w:spacing w:after="0" w:line="310" w:lineRule="auto"/>
        <w:rPr>
          <w:sz w:val="20"/>
          <w:szCs w:val="20"/>
          <w:color w:val="auto"/>
        </w:rPr>
      </w:pPr>
      <w:r>
        <w:rPr>
          <w:rFonts w:ascii="Arial" w:cs="Arial" w:eastAsia="Arial" w:hAnsi="Arial"/>
          <w:sz w:val="15"/>
          <w:szCs w:val="15"/>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discussion of the amounts we have allocated toward estimated maintenance and replacement capital expenditures, see "Our Cash Distribution Policy and Restrictions on Distributions".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239" w:lineRule="exact"/>
        <w:rPr>
          <w:sz w:val="20"/>
          <w:szCs w:val="20"/>
          <w:color w:val="auto"/>
        </w:rPr>
      </w:pPr>
    </w:p>
    <w:p>
      <w:pPr>
        <w:ind w:left="1080" w:right="32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may reduce the need for us to borrow to pay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it will be more difficult for us to raise our distribution above the minimum quarterly distribution and pay incentive distributions to GasLog; and</w:t>
      </w:r>
    </w:p>
    <w:p>
      <w:pPr>
        <w:spacing w:after="0" w:line="261" w:lineRule="exact"/>
        <w:rPr>
          <w:rFonts w:ascii="Arial" w:cs="Arial" w:eastAsia="Arial" w:hAnsi="Arial"/>
          <w:sz w:val="16"/>
          <w:szCs w:val="16"/>
          <w:color w:val="auto"/>
        </w:rPr>
      </w:pPr>
    </w:p>
    <w:p>
      <w:pPr>
        <w:jc w:val="both"/>
        <w:ind w:left="1080" w:right="340" w:hanging="532"/>
        <w:spacing w:after="0" w:line="306"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surplus generally will be generated only by:</w:t>
      </w:r>
    </w:p>
    <w:p>
      <w:pPr>
        <w:spacing w:after="0" w:line="252"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Period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subordination period, which we define below, the Common Units will have the right to receive distributions of available cash from operating surplus in an amount equal to the minimum quarterly distribution of $0.375 per unit, plus any arrearages in the payment of the minimum quarterly distribution on the Common Units from prior quarters, before any distributions of available cash from operating surplus may be made on the subordinated units. Distribution arrearages do not accrue on the subordinated units. The purpose of the subordinated units is to increase the likelihood that during the subordination period there will be available cash from operating surplus to be distributed on the Common Units.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Subordination Period</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subordination period will extend until the second business day following the distribution of available cash from operating surplus in respect of any quarter, ending on or after March 31, 2017, that each of the following tests are met:</w:t>
      </w:r>
    </w:p>
    <w:p>
      <w:pPr>
        <w:spacing w:after="0" w:line="199" w:lineRule="exact"/>
        <w:rPr>
          <w:sz w:val="20"/>
          <w:szCs w:val="20"/>
          <w:color w:val="auto"/>
        </w:rPr>
      </w:pPr>
    </w:p>
    <w:p>
      <w:pPr>
        <w:ind w:left="1080" w:right="140" w:hanging="532"/>
        <w:spacing w:after="0" w:line="33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distributions of available cash from operating surplus on each of the outstanding Common Units and subordinated units equaled or exceeded the sum of the minimum quarterly distribution for each of the three consecutive four-quarter periods immediately preceding that date;</w:t>
      </w:r>
    </w:p>
    <w:p>
      <w:pPr>
        <w:spacing w:after="0" w:line="166"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"adjusted operating surplus" (as defined below) generated during each of the three consecutive, non-overlapping four-quarter periods immediately preceding that date equaled or exceeded the sum of the minimum quarterly distributions on all of the outstanding Common Units and subordinated units during those periods on a fully diluted weighted average basis and the related distribution on the 2.0% general partner interest during those periods; and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are no outstanding arrearages in payment of the minimum quarterly distribution on the Common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unitholders remove our general partner without cause, the subordination period will end before March 31, 2017.</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For purposes of determining whether the tests in the bullets above have been met, the three consecutive, non-overlapping four-quarter periods for which the determination is being made may include one or more quarters with respect to which arrearages in the payment of the minimum quarterly distribution on the Common Units have accrued, provided that all such arrearages have been repaid prior to the end of each such four-quarter period.</w:t>
      </w:r>
    </w:p>
    <w:p>
      <w:pPr>
        <w:spacing w:after="0" w:line="16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If the expiration of the subordination period occurs as a result of us having met the tests described above, each outstanding subordinated unit will convert into one Common Unit and will then participate pro rata with the other Common Units in distributions of available cash.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Adjusted Operating Surplus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operating surplus for any period generally means:</w:t>
      </w:r>
    </w:p>
    <w:p>
      <w:pPr>
        <w:spacing w:after="0" w:line="239" w:lineRule="exact"/>
        <w:rPr>
          <w:sz w:val="20"/>
          <w:szCs w:val="20"/>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operating surplus generated with respect to that period (excluding any amounts attributable to the item described in the first bullet point under "— Operating Surplus and Capital Surplus—Definition of Operating Surplus" above); </w:t>
      </w:r>
      <w:r>
        <w:rPr>
          <w:rFonts w:ascii="Arial" w:cs="Arial" w:eastAsia="Arial" w:hAnsi="Arial"/>
          <w:sz w:val="18"/>
          <w:szCs w:val="18"/>
          <w:i w:val="1"/>
          <w:iCs w:val="1"/>
          <w:color w:val="auto"/>
        </w:rPr>
        <w:t>less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13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Removal of Our General Partner on the Subordination Period</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If the unitholders remove our general partner other than for cause and units held by our general partner and its affiliates are not voted in favor of such removal:</w:t>
      </w:r>
    </w:p>
    <w:p>
      <w:pPr>
        <w:spacing w:after="0" w:line="199" w:lineRule="exact"/>
        <w:rPr>
          <w:sz w:val="20"/>
          <w:szCs w:val="20"/>
          <w:color w:val="auto"/>
        </w:rPr>
      </w:pPr>
    </w:p>
    <w:p>
      <w:pPr>
        <w:ind w:left="1080" w:right="2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subordination period will end and each subordinated unit will immediately convert into one Common Unit and will then participate pro rata with the other Common Units in distributions of available cash;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 During the Subordination Period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during the subordination period in the following manner:</w:t>
      </w:r>
    </w:p>
    <w:p>
      <w:pPr>
        <w:spacing w:after="0" w:line="239" w:lineRule="exact"/>
        <w:rPr>
          <w:sz w:val="20"/>
          <w:szCs w:val="20"/>
          <w:color w:val="auto"/>
        </w:rPr>
      </w:pPr>
    </w:p>
    <w:p>
      <w:pPr>
        <w:ind w:left="1080" w:right="5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minimum quarterly distribution for that quarter;</w:t>
      </w:r>
    </w:p>
    <w:p>
      <w:pPr>
        <w:spacing w:after="0" w:line="212"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w:t>
      </w:r>
    </w:p>
    <w:p>
      <w:pPr>
        <w:spacing w:after="0" w:line="207"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98.0% to the subordinated unitholders, pro rata, and 2.0% to our general partner, until we distribute for each subordinated unit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minimum quarterly distribution for that quarter;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 After the Subordination Period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after the subordination period in the following manner:</w:t>
      </w:r>
    </w:p>
    <w:p>
      <w:pPr>
        <w:spacing w:after="0" w:line="252" w:lineRule="exact"/>
        <w:rPr>
          <w:sz w:val="20"/>
          <w:szCs w:val="20"/>
          <w:color w:val="auto"/>
        </w:rPr>
      </w:pPr>
    </w:p>
    <w:p>
      <w:pPr>
        <w:ind w:left="1080" w:right="5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all unitholders, pro rata, and 2.0% to our general partner, until we distribute for each outstanding unit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quarterly distribution for that quarter;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contribution to us of Common Units based on the current market value of the contributed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5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and subordinated unitholders in an amount equal to the minimum quarterly distribution; and</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then, we will distribute any additional available cash from operating surplus for that quarter among the unitholders and our general partner in the following manner:</w:t>
      </w:r>
    </w:p>
    <w:p>
      <w:pPr>
        <w:spacing w:after="0" w:line="199" w:lineRule="exact"/>
        <w:rPr>
          <w:sz w:val="20"/>
          <w:szCs w:val="20"/>
          <w:color w:val="auto"/>
        </w:rPr>
      </w:pPr>
    </w:p>
    <w:p>
      <w:pPr>
        <w:ind w:left="1080" w:right="1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all unitholders, pro rata, and 2.0% to our general partner, until each unitholder receives a total of $0.43125 per unit for that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target distribution");</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85.0% to all unitholders, pro rata, 2.0% to our general partner and 13.0% to the holders of the incentive distribution rights, pro rata, until</w:t>
      </w:r>
      <w:r>
        <w:rPr>
          <w:rFonts w:ascii="Arial" w:cs="Arial" w:eastAsia="Arial" w:hAnsi="Arial"/>
          <w:sz w:val="18"/>
          <w:szCs w:val="18"/>
          <w:i w:val="1"/>
          <w:iCs w:val="1"/>
          <w:color w:val="auto"/>
        </w:rPr>
        <w:t xml:space="preserve"> </w:t>
      </w:r>
      <w:r>
        <w:rPr>
          <w:rFonts w:ascii="Arial" w:cs="Arial" w:eastAsia="Arial" w:hAnsi="Arial"/>
          <w:sz w:val="18"/>
          <w:szCs w:val="18"/>
          <w:color w:val="auto"/>
        </w:rPr>
        <w:t>each unitholder receives a total of $0.46875 per unit for that quarter (the "second target distribution");</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75.0% to all unitholders, pro rata, 2.0% to our general partner and 23.0% to the holders of the incentive distribution rights, pro rata, until</w:t>
      </w:r>
      <w:r>
        <w:rPr>
          <w:rFonts w:ascii="Arial" w:cs="Arial" w:eastAsia="Arial" w:hAnsi="Arial"/>
          <w:sz w:val="18"/>
          <w:szCs w:val="18"/>
          <w:i w:val="1"/>
          <w:iCs w:val="1"/>
          <w:color w:val="auto"/>
        </w:rPr>
        <w:t xml:space="preserve"> </w:t>
      </w:r>
      <w:r>
        <w:rPr>
          <w:rFonts w:ascii="Arial" w:cs="Arial" w:eastAsia="Arial" w:hAnsi="Arial"/>
          <w:sz w:val="18"/>
          <w:szCs w:val="18"/>
          <w:color w:val="auto"/>
        </w:rPr>
        <w:t>each unitholder receives a total of $0.5625 per unit for that quarter (the "third target distribution");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all unitholders, pro rata, 2.0% to our general partner and 48.0% to the holders of the incentive distribution rights, pro rata.</w:t>
      </w:r>
    </w:p>
    <w:p>
      <w:pPr>
        <w:spacing w:after="0" w:line="24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231" w:lineRule="exact"/>
        <w:rPr>
          <w:sz w:val="20"/>
          <w:szCs w:val="20"/>
          <w:color w:val="auto"/>
        </w:rPr>
      </w:pPr>
    </w:p>
    <w:p>
      <w:pPr>
        <w:ind w:right="160" w:firstLine="348"/>
        <w:spacing w:after="0" w:line="253"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our general partner and the holders of the incentive distribution rights up to the various target distribution levels. The amounts set forth under "Marginal Percentage Interest in Distributions" are the percentage interests of the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our general partner and the holders of the incentive distribution rights for the minimum quarterly distribution are also applicable to quarterly distribution amounts that are less than the minimum quarterly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distribution. The percentage interests shown for our general partner include its 2.0% general partner interest only and assume that our general partner has contributed any capital necessary to maintain its 2.0% general partner interest.</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Marginal Percentage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rPr>
              <w:t>Interest in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Total Quarterly</w:t>
            </w: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Distributions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General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Holders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Unitholders</w:t>
            </w:r>
          </w:p>
        </w:tc>
        <w:tc>
          <w:tcPr>
            <w:tcW w:w="160" w:type="dxa"/>
            <w:vAlign w:val="bottom"/>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$0.375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98.0%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up to $0.43125</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98.0%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above $0.43125</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up to $0.46875</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85.0%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above $0.46875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up to $0.5625</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75.0%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above $0.5625</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50.0%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GasLog's Right to Reset Incentive Distribution Levels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there are no subordinated units outstanding and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18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Units by the national securities exchange on which the Common Units are then listed or admitted for trading.</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211" w:lineRule="exact"/>
        <w:rPr>
          <w:sz w:val="20"/>
          <w:szCs w:val="20"/>
          <w:color w:val="auto"/>
        </w:rPr>
      </w:pPr>
    </w:p>
    <w:p>
      <w:pPr>
        <w:ind w:left="1080" w:right="4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all unitholders, pro rata, and 2.0% to our general partner, until each unitholder receives an amount equal to 115.0% of the reset</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quarterly distribution for that quarter;</w:t>
      </w:r>
    </w:p>
    <w:p>
      <w:pPr>
        <w:spacing w:after="0" w:line="212"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all unitholders, pro rata, 2.0% to our general partner and 13.0% to the holders of the incentive distribution rights, pro rata, until</w:t>
      </w:r>
      <w:r>
        <w:rPr>
          <w:rFonts w:ascii="Arial" w:cs="Arial" w:eastAsia="Arial" w:hAnsi="Arial"/>
          <w:sz w:val="16"/>
          <w:szCs w:val="16"/>
          <w:i w:val="1"/>
          <w:iCs w:val="1"/>
          <w:color w:val="auto"/>
        </w:rPr>
        <w:t xml:space="preserve"> </w:t>
      </w:r>
      <w:r>
        <w:rPr>
          <w:rFonts w:ascii="Arial" w:cs="Arial" w:eastAsia="Arial" w:hAnsi="Arial"/>
          <w:sz w:val="16"/>
          <w:szCs w:val="16"/>
          <w:color w:val="auto"/>
        </w:rPr>
        <w:t>each unitholder receives an amount per unit equal to 125.0% of the reset minimum quarterly distribution for that quarter;</w:t>
      </w:r>
    </w:p>
    <w:p>
      <w:pPr>
        <w:spacing w:after="0" w:line="152" w:lineRule="exact"/>
        <w:rPr>
          <w:rFonts w:ascii="Arial" w:cs="Arial" w:eastAsia="Arial" w:hAnsi="Arial"/>
          <w:sz w:val="16"/>
          <w:szCs w:val="16"/>
          <w:color w:val="auto"/>
        </w:rPr>
      </w:pPr>
    </w:p>
    <w:p>
      <w:pPr>
        <w:ind w:left="1080" w:right="32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all unitholders, pro rata, 2.0% to our general partner and 23.0% to the holders of the incentive distribution rights, pro rata, until</w:t>
      </w:r>
      <w:r>
        <w:rPr>
          <w:rFonts w:ascii="Arial" w:cs="Arial" w:eastAsia="Arial" w:hAnsi="Arial"/>
          <w:sz w:val="16"/>
          <w:szCs w:val="16"/>
          <w:i w:val="1"/>
          <w:iCs w:val="1"/>
          <w:color w:val="auto"/>
        </w:rPr>
        <w:t xml:space="preserve"> </w:t>
      </w:r>
      <w:r>
        <w:rPr>
          <w:rFonts w:ascii="Arial" w:cs="Arial" w:eastAsia="Arial" w:hAnsi="Arial"/>
          <w:sz w:val="16"/>
          <w:szCs w:val="16"/>
          <w:color w:val="auto"/>
        </w:rPr>
        <w:t>each unitholder receives an amount per unit equal to 150.0% of the reset minimum quarterly distribution for that quarter;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all unitholders, pro rata, 2.0% to our general partner and 48.0% to the holders of the incentive distribution rights, pro rata.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capital surplus, if any, in the following manner:</w:t>
      </w:r>
    </w:p>
    <w:p>
      <w:pPr>
        <w:spacing w:after="0" w:line="252" w:lineRule="exact"/>
        <w:rPr>
          <w:sz w:val="20"/>
          <w:szCs w:val="20"/>
          <w:color w:val="auto"/>
        </w:rPr>
      </w:pPr>
    </w:p>
    <w:p>
      <w:pPr>
        <w:ind w:left="1080" w:right="1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all unitholders, pro rata, and 2.0% to our general partner, until the minimum quarterly distribution is reduced to zero,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99"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98.0% to the common unitholders, pro rata, and 2.0% to our general partner, until we distribute for each Common Unit an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from capital surplus equal to any unpaid arrearages in payment of the minimum quarterly distribution on the Common Units;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and for the subordinated units to convert into Common Units. However, any distribution of capital surplus before the minimum quarterly distribution is reduced to zero cannot be applied to the payment of the minimum quarterly distribution or any arrearages.</w:t>
      </w:r>
    </w:p>
    <w:p>
      <w:pPr>
        <w:spacing w:after="0" w:line="17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Once we reduce the minimum quarterly distribution and the cash target distribution levels to zero, we will then make all future distributions 50.0% to the holders of units, 2.0% to our general partner and 48.0% to the holders of the incentive distribution rights (currently, GasLog). The 2.0%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interests shown for our general partner assumes that our general partner maintains its 2.0% general partner interest.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19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cash target distribution levels;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initial unit price.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example, if a two-for-one split of the Common Units and subordinated units should occur, the minimum quarterly distribution, the cash target distribution levels and the initial unit price would each be reduced to 50.0% of its initial level. If we combine our Common Units into a lesser number of units or subdivide our Common Units into a greater number of units, we will combine our subordinated units or subdivide our subordinated units, using the same ratio applied to the Common Units. We will not make any adjustment by reason of the issuance of additional units for cash or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99" w:lineRule="exact"/>
        <w:rPr>
          <w:sz w:val="20"/>
          <w:szCs w:val="20"/>
          <w:color w:val="auto"/>
        </w:rPr>
      </w:pPr>
    </w:p>
    <w:p>
      <w:pPr>
        <w:ind w:left="1080" w:right="2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right="300" w:firstLine="548"/>
        <w:spacing w:after="0" w:line="501"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current market price of our common units;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subordinated unitholders, pro rata, and 2.0% to our general partner, until we distribute for each subordinated unit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current market price of our common units;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all unitholders, pro rata, 48.0% to holders of incentive distribution rights and 2.0% to our general partner.</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199" w:lineRule="exact"/>
        <w:rPr>
          <w:sz w:val="20"/>
          <w:szCs w:val="20"/>
          <w:color w:val="auto"/>
        </w:rPr>
      </w:pPr>
    </w:p>
    <w:p>
      <w:pPr>
        <w:ind w:left="1080" w:right="2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right="300" w:firstLine="548"/>
        <w:spacing w:after="0" w:line="501"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27"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initial unit price (less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prior capital surplus distributions and any prior cash distributions made in connection with a partial liquidation);</w:t>
      </w:r>
    </w:p>
    <w:p>
      <w:pPr>
        <w:spacing w:after="0" w:line="239" w:lineRule="exact"/>
        <w:rPr>
          <w:sz w:val="20"/>
          <w:szCs w:val="20"/>
          <w:color w:val="auto"/>
        </w:rPr>
      </w:pPr>
    </w:p>
    <w:p>
      <w:pPr>
        <w:ind w:left="1080" w:right="32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w:t>
      </w:r>
    </w:p>
    <w:p>
      <w:pPr>
        <w:spacing w:after="0" w:line="221"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98.0% to the subordinated unitholders, pro rata, and 2.0% to our general partner, until we distribute for each outstanding subordinated unit</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equal to the initial unit price (less any prior capital surplus distributions and any prior cash distributions made in connection with a partial liquidation);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all unitholders, pro rata, 48.0% to holders of incentive distribution rights and 2.0% to our general partner.</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immediately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8" w:lineRule="exact"/>
        <w:rPr>
          <w:sz w:val="20"/>
          <w:szCs w:val="20"/>
          <w:color w:val="auto"/>
        </w:rPr>
      </w:pPr>
    </w:p>
    <w:p>
      <w:pPr>
        <w:ind w:left="1080" w:right="3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ectPr>
          <w:pgSz w:w="11900" w:h="16838" w:orient="portrait"/>
          <w:cols w:equalWidth="0" w:num="1">
            <w:col w:w="11380"/>
          </w:cols>
          <w:pgMar w:left="240" w:top="131" w:right="279" w:bottom="481"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481"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7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Pursuant to a requirement by the Financial Industry Regulatory Authority, or "FINRA", the maximum commission or discount to be received by any FINRA member or independent broker-dealer may not be greater than 8.0% of the gross proceeds received by us for the sale of any securities being registered pursuant to SEC Rule 415 under the Securities Act of 1933, as amended.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NASD Conduct Rule 2720.</w:t>
      </w:r>
    </w:p>
    <w:p>
      <w:pPr>
        <w:spacing w:after="0" w:line="15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4"/>
              </w:rPr>
              <w:t>69,720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FINRA Fee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4"/>
              </w:rPr>
              <w:t>90,500</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5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260" w:hanging="540"/>
        <w:spacing w:after="0" w:line="268" w:lineRule="auto"/>
        <w:tabs>
          <w:tab w:leader="none" w:pos="2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combined and consolidated financial statements as of December 31, 2013 and for the two years in the period then ended, incorporated in this Prospectus by reference from the Company's Annual Report on Form 20-F, have been audited by Deloitte Hadjipavlou, Sofianos &amp; Cambanis S.A,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offices of Deloitte Hadjipavlou, Sofianos &amp; Cambanis S.A are located at Fragoklissias 3a &amp; Granikou Street, Maroussi, Athens 151 25, Greece.</w:t>
      </w:r>
    </w:p>
    <w:p>
      <w:pPr>
        <w:spacing w:after="0" w:line="248"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combined and consolidated financial statements as of and for the year ended December 31, 2014 incorporated in this Prospectus by reference from the Company's Annual Report on Form 20-F have been audited by Deloitte LLP,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$144,040,000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958215</wp:posOffset>
            </wp:positionV>
            <wp:extent cx="18954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152400</wp:posOffset>
            </wp:positionV>
            <wp:extent cx="1397635" cy="668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9763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PROSPECTUS SUPPLEMENT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2720" w:val="left"/>
          <w:tab w:leader="none" w:pos="640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19"/>
          <w:szCs w:val="19"/>
          <w:b w:val="1"/>
          <w:bCs w:val="1"/>
          <w:color w:val="auto"/>
        </w:rPr>
        <w:t>Credit Suisse Morgan Stanley 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decimal"/>
      <w:start w:val="3"/>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decimal"/>
      <w:start w:val="1"/>
    </w:lvl>
    <w:lvl w:ilvl="1">
      <w:lvlJc w:val="left"/>
      <w:lvlText w:val="**"/>
      <w:numFmt w:val="bullet"/>
      <w:start w:val="1"/>
    </w:lvl>
  </w:abstractNum>
  <w:abstractNum w:abstractNumId="11">
    <w:nsid w:val="79A1DEAA"/>
    <w:multiLevelType w:val="hybridMultilevel"/>
    <w:lvl w:ilvl="0">
      <w:lvlJc w:val="left"/>
      <w:lvlText w:val="(%1)"/>
      <w:numFmt w:val="decimal"/>
      <w:start w:val="5"/>
    </w:lvl>
    <w:lvl w:ilvl="1">
      <w:lvlJc w:val="left"/>
      <w:lvlText w:val="***"/>
      <w:numFmt w:val="bullet"/>
      <w:start w:val="1"/>
    </w:lvl>
  </w:abstractNum>
  <w:abstractNum w:abstractNumId="12">
    <w:nsid w:val="75C6C33A"/>
    <w:multiLevelType w:val="hybridMultilevel"/>
    <w:lvl w:ilvl="0">
      <w:lvlJc w:val="left"/>
      <w:lvlText w:val="(%1)"/>
      <w:numFmt w:val="decimal"/>
      <w:start w:val="10"/>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lvl w:ilvl="1">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1"/>
    </w:lvl>
    <w:lvl w:ilvl="1">
      <w:lvlJc w:val="left"/>
      <w:lvlText w:val="•"/>
      <w:numFmt w:val="bullet"/>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1)"/>
      <w:numFmt w:val="decimal"/>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lowerRoman"/>
      <w:start w:val="1"/>
    </w:lvl>
  </w:abstractNum>
  <w:abstractNum w:abstractNumId="34">
    <w:nsid w:val="77AE35EB"/>
    <w:multiLevelType w:val="hybridMultilevel"/>
    <w:lvl w:ilvl="0">
      <w:lvlJc w:val="left"/>
      <w:lvlText w:val="(%1)"/>
      <w:numFmt w:val="lowerRoman"/>
      <w:start w:val="1"/>
    </w:lvl>
  </w:abstractNum>
  <w:abstractNum w:abstractNumId="35">
    <w:nsid w:val="579BE4F1"/>
    <w:multiLevelType w:val="hybridMultilevel"/>
    <w:lvl w:ilvl="0">
      <w:lvlJc w:val="left"/>
      <w:lvlText w:val="%1"/>
      <w:numFmt w:val="lowerRoman"/>
      <w:start w:val="1"/>
    </w:lvl>
    <w:lvl w:ilvl="1">
      <w:lvlJc w:val="left"/>
      <w:lvlText w:val="(%2)"/>
      <w:numFmt w:val="lowerRoman"/>
      <w:start w:val="1"/>
    </w:lvl>
  </w:abstractNum>
  <w:abstractNum w:abstractNumId="36">
    <w:nsid w:val="310C50B3"/>
    <w:multiLevelType w:val="hybridMultilevel"/>
    <w:lvl w:ilvl="0">
      <w:lvlJc w:val="left"/>
      <w:lvlText w:val="(%1)"/>
      <w:numFmt w:val="lowerRoman"/>
      <w:start w:val="2"/>
    </w:lvl>
    <w:lvl w:ilvl="1">
      <w:lvlJc w:val="left"/>
      <w:lvlText w:val="%2"/>
      <w:numFmt w:val="lowerRoman"/>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lowerRoman"/>
      <w:start w:val="2"/>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1"/>
    </w:lvl>
    <w:lvl w:ilvl="1">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lvl w:ilvl="1">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lvl w:ilvl="1">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lvl w:ilvl="1">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lvl w:ilvl="1">
      <w:lvlJc w:val="left"/>
      <w:lvlText w:val="•"/>
      <w:numFmt w:val="bullet"/>
      <w:start w:val="1"/>
    </w:lvl>
  </w:abstractNum>
  <w:abstractNum w:abstractNumId="68">
    <w:nsid w:val="68EB2F63"/>
    <w:multiLevelType w:val="hybridMultilevel"/>
    <w:lvl w:ilvl="0">
      <w:lvlJc w:val="left"/>
      <w:lvlText w:val="•"/>
      <w:numFmt w:val="bullet"/>
      <w:start w:val="1"/>
    </w:lvl>
    <w:lvl w:ilvl="1">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2019-12-07T22:52:49Z</dcterms:created>
  <dcterms:modified xsi:type="dcterms:W3CDTF">2019-12-07T22:52:49Z</dcterms:modified>
</cp:coreProperties>
</file>