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For the month of November 2023</w:t>
            </w:r>
          </w:p>
        </w:tc>
        <w:tc>
          <w:tcPr>
            <w:tcW w:w="2100" w:type="dxa"/>
            <w:vAlign w:val="bottom"/>
          </w:tcPr>
          <w:p>
            <w:pPr>
              <w:spacing w:after="0"/>
              <w:rPr>
                <w:sz w:val="20"/>
                <w:szCs w:val="20"/>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100" w:type="dxa"/>
            <w:vAlign w:val="bottom"/>
          </w:tcPr>
          <w:p>
            <w:pPr>
              <w:spacing w:after="0"/>
              <w:rPr>
                <w:sz w:val="24"/>
                <w:szCs w:val="24"/>
                <w:color w:val="auto"/>
              </w:rPr>
            </w:pPr>
          </w:p>
        </w:tc>
      </w:tr>
      <w:tr>
        <w:trPr>
          <w:trHeight w:val="418"/>
        </w:trPr>
        <w:tc>
          <w:tcPr>
            <w:tcW w:w="9140" w:type="dxa"/>
            <w:vAlign w:val="bottom"/>
          </w:tcPr>
          <w:p>
            <w:pPr>
              <w:jc w:val="center"/>
              <w:ind w:left="2010"/>
              <w:spacing w:after="0"/>
              <w:rPr>
                <w:sz w:val="20"/>
                <w:szCs w:val="20"/>
                <w:color w:val="auto"/>
              </w:rPr>
            </w:pPr>
            <w:r>
              <w:rPr>
                <w:rFonts w:ascii="Arial" w:cs="Arial" w:eastAsia="Arial" w:hAnsi="Arial"/>
                <w:sz w:val="18"/>
                <w:szCs w:val="18"/>
                <w:b w:val="1"/>
                <w:bCs w:val="1"/>
                <w:color w:val="auto"/>
                <w:w w:val="92"/>
              </w:rPr>
              <w:t>GasLog Partners LP</w:t>
            </w:r>
          </w:p>
        </w:tc>
        <w:tc>
          <w:tcPr>
            <w:tcW w:w="2100" w:type="dxa"/>
            <w:vAlign w:val="bottom"/>
          </w:tcPr>
          <w:p>
            <w:pPr>
              <w:spacing w:after="0"/>
              <w:rPr>
                <w:sz w:val="24"/>
                <w:szCs w:val="24"/>
                <w:color w:val="auto"/>
              </w:rPr>
            </w:pPr>
          </w:p>
        </w:tc>
      </w:tr>
      <w:tr>
        <w:trPr>
          <w:trHeight w:val="230"/>
        </w:trPr>
        <w:tc>
          <w:tcPr>
            <w:tcW w:w="9140" w:type="dxa"/>
            <w:vAlign w:val="bottom"/>
          </w:tcPr>
          <w:p>
            <w:pPr>
              <w:jc w:val="center"/>
              <w:ind w:left="2010"/>
              <w:spacing w:after="0"/>
              <w:rPr>
                <w:sz w:val="20"/>
                <w:szCs w:val="20"/>
                <w:color w:val="auto"/>
              </w:rPr>
            </w:pPr>
            <w:r>
              <w:rPr>
                <w:rFonts w:ascii="Arial" w:cs="Arial" w:eastAsia="Arial" w:hAnsi="Arial"/>
                <w:sz w:val="18"/>
                <w:szCs w:val="18"/>
                <w:color w:val="auto"/>
                <w:w w:val="91"/>
              </w:rPr>
              <w:t>(Translation of registrant’s name into English)</w:t>
            </w:r>
          </w:p>
        </w:tc>
        <w:tc>
          <w:tcPr>
            <w:tcW w:w="2100" w:type="dxa"/>
            <w:vAlign w:val="bottom"/>
          </w:tcPr>
          <w:p>
            <w:pPr>
              <w:spacing w:after="0"/>
              <w:rPr>
                <w:sz w:val="20"/>
                <w:szCs w:val="20"/>
                <w:color w:val="auto"/>
              </w:rPr>
            </w:pPr>
          </w:p>
        </w:tc>
      </w:tr>
      <w:tr>
        <w:trPr>
          <w:trHeight w:val="418"/>
        </w:trPr>
        <w:tc>
          <w:tcPr>
            <w:tcW w:w="9140" w:type="dxa"/>
            <w:vAlign w:val="bottom"/>
          </w:tcPr>
          <w:p>
            <w:pPr>
              <w:jc w:val="center"/>
              <w:ind w:left="2010"/>
              <w:spacing w:after="0"/>
              <w:rPr>
                <w:sz w:val="20"/>
                <w:szCs w:val="20"/>
                <w:color w:val="auto"/>
              </w:rPr>
            </w:pPr>
            <w:r>
              <w:rPr>
                <w:rFonts w:ascii="Arial" w:cs="Arial" w:eastAsia="Arial" w:hAnsi="Arial"/>
                <w:sz w:val="18"/>
                <w:szCs w:val="18"/>
                <w:color w:val="auto"/>
                <w:w w:val="92"/>
              </w:rPr>
              <w:t>c/o GasLog LNG Services Ltd.</w:t>
            </w:r>
          </w:p>
        </w:tc>
        <w:tc>
          <w:tcPr>
            <w:tcW w:w="2100" w:type="dxa"/>
            <w:vAlign w:val="bottom"/>
          </w:tcPr>
          <w:p>
            <w:pPr>
              <w:spacing w:after="0"/>
              <w:rPr>
                <w:sz w:val="24"/>
                <w:szCs w:val="24"/>
                <w:color w:val="auto"/>
              </w:rPr>
            </w:pPr>
          </w:p>
        </w:tc>
      </w:tr>
      <w:tr>
        <w:trPr>
          <w:trHeight w:val="216"/>
        </w:trPr>
        <w:tc>
          <w:tcPr>
            <w:tcW w:w="9140" w:type="dxa"/>
            <w:vAlign w:val="bottom"/>
          </w:tcPr>
          <w:p>
            <w:pPr>
              <w:jc w:val="center"/>
              <w:ind w:left="2030"/>
              <w:spacing w:after="0"/>
              <w:rPr>
                <w:sz w:val="20"/>
                <w:szCs w:val="20"/>
                <w:color w:val="auto"/>
              </w:rPr>
            </w:pPr>
            <w:r>
              <w:rPr>
                <w:rFonts w:ascii="Arial" w:cs="Arial" w:eastAsia="Arial" w:hAnsi="Arial"/>
                <w:sz w:val="18"/>
                <w:szCs w:val="18"/>
                <w:color w:val="auto"/>
                <w:w w:val="95"/>
              </w:rPr>
              <w:t>69 Akti Miaouli, 18537</w:t>
            </w:r>
          </w:p>
        </w:tc>
        <w:tc>
          <w:tcPr>
            <w:tcW w:w="2100" w:type="dxa"/>
            <w:vAlign w:val="bottom"/>
          </w:tcPr>
          <w:p>
            <w:pPr>
              <w:spacing w:after="0"/>
              <w:rPr>
                <w:sz w:val="18"/>
                <w:szCs w:val="18"/>
                <w:color w:val="auto"/>
              </w:rPr>
            </w:pPr>
          </w:p>
        </w:tc>
      </w:tr>
      <w:tr>
        <w:trPr>
          <w:trHeight w:val="216"/>
        </w:trPr>
        <w:tc>
          <w:tcPr>
            <w:tcW w:w="9140" w:type="dxa"/>
            <w:vAlign w:val="bottom"/>
          </w:tcPr>
          <w:p>
            <w:pPr>
              <w:jc w:val="center"/>
              <w:ind w:left="2010"/>
              <w:spacing w:after="0"/>
              <w:rPr>
                <w:sz w:val="20"/>
                <w:szCs w:val="20"/>
                <w:color w:val="auto"/>
              </w:rPr>
            </w:pPr>
            <w:r>
              <w:rPr>
                <w:rFonts w:ascii="Arial" w:cs="Arial" w:eastAsia="Arial" w:hAnsi="Arial"/>
                <w:sz w:val="18"/>
                <w:szCs w:val="18"/>
                <w:color w:val="auto"/>
                <w:w w:val="86"/>
              </w:rPr>
              <w:t>Piraeus, Greece</w:t>
            </w:r>
          </w:p>
        </w:tc>
        <w:tc>
          <w:tcPr>
            <w:tcW w:w="2100" w:type="dxa"/>
            <w:vAlign w:val="bottom"/>
          </w:tcPr>
          <w:p>
            <w:pPr>
              <w:spacing w:after="0"/>
              <w:rPr>
                <w:sz w:val="18"/>
                <w:szCs w:val="18"/>
                <w:color w:val="auto"/>
              </w:rPr>
            </w:pPr>
          </w:p>
        </w:tc>
      </w:tr>
      <w:tr>
        <w:trPr>
          <w:trHeight w:val="230"/>
        </w:trPr>
        <w:tc>
          <w:tcPr>
            <w:tcW w:w="9140" w:type="dxa"/>
            <w:vAlign w:val="bottom"/>
          </w:tcPr>
          <w:p>
            <w:pPr>
              <w:jc w:val="center"/>
              <w:ind w:left="2030"/>
              <w:spacing w:after="0"/>
              <w:rPr>
                <w:sz w:val="20"/>
                <w:szCs w:val="20"/>
                <w:color w:val="auto"/>
              </w:rPr>
            </w:pPr>
            <w:r>
              <w:rPr>
                <w:rFonts w:ascii="Arial" w:cs="Arial" w:eastAsia="Arial" w:hAnsi="Arial"/>
                <w:sz w:val="18"/>
                <w:szCs w:val="18"/>
                <w:color w:val="auto"/>
                <w:w w:val="92"/>
              </w:rPr>
              <w:t>(Address of principal executive office)</w:t>
            </w:r>
          </w:p>
        </w:tc>
        <w:tc>
          <w:tcPr>
            <w:tcW w:w="2100" w:type="dxa"/>
            <w:vAlign w:val="bottom"/>
          </w:tcPr>
          <w:p>
            <w:pPr>
              <w:spacing w:after="0"/>
              <w:rPr>
                <w:sz w:val="20"/>
                <w:szCs w:val="20"/>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100" w:type="dxa"/>
            <w:vAlign w:val="bottom"/>
          </w:tcPr>
          <w:p>
            <w:pPr>
              <w:spacing w:after="0"/>
              <w:rPr>
                <w:sz w:val="24"/>
                <w:szCs w:val="24"/>
                <w:color w:val="auto"/>
              </w:rPr>
            </w:pPr>
          </w:p>
        </w:tc>
      </w:tr>
      <w:tr>
        <w:trPr>
          <w:trHeight w:val="460"/>
        </w:trPr>
        <w:tc>
          <w:tcPr>
            <w:tcW w:w="914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210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647"/>
        </w:trPr>
        <w:tc>
          <w:tcPr>
            <w:tcW w:w="9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ind w:right="120" w:firstLine="324"/>
        <w:spacing w:after="0" w:line="293" w:lineRule="auto"/>
        <w:rPr>
          <w:sz w:val="20"/>
          <w:szCs w:val="20"/>
          <w:color w:val="auto"/>
        </w:rPr>
      </w:pPr>
      <w:r>
        <w:rPr>
          <w:rFonts w:ascii="Arial" w:cs="Arial" w:eastAsia="Arial" w:hAnsi="Arial"/>
          <w:sz w:val="16"/>
          <w:szCs w:val="16"/>
          <w:color w:val="auto"/>
        </w:rPr>
        <w:t>The press release issued by GasLog Partners LP on November 16, 2023 relating to its results for the three-month period ended September 30, 2023 and announcement of the Series A, B and C Preference Unit distributions payable on December 15, 2023 is attached hereto as Exhibit 99.1.</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The financial results of GasLog Partners LP for the three-month period ended September 30, 2023 are included in the press release issued by its parent, GasLog Ltd., on November 16, 2023, relating to its results for the three-month period ended September 30, 2023 and attached hereto as Exhibit 99.2 (the “GasLog Ltd. Press Release”). The following sections of the GasLog Ltd. Press Release that relate to GasLog Partners are hereby incorporated by reference into, and furnished as part of, this Current Report on Form 6-K: Recent Developments (to the extent related to GasLog Partners), GasLog Partners Quarterly Financial Results, GasLog Partners Preference Unit Repurchase Programme, Fleet Update (to the extent related to the GasLog Partners’ owned or bareboat fleet) and Exhibit III containing the GasLog Partners’ unaudited consolidated statements of financial position and consolidated statements of profit or loss.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460" w:type="dxa"/>
            <w:vAlign w:val="bottom"/>
            <w:gridSpan w:val="2"/>
          </w:tcPr>
          <w:p>
            <w:pPr>
              <w:ind w:left="320"/>
              <w:spacing w:after="0"/>
              <w:rPr>
                <w:sz w:val="20"/>
                <w:szCs w:val="20"/>
                <w:color w:val="auto"/>
              </w:rPr>
            </w:pPr>
            <w:r>
              <w:rPr>
                <w:rFonts w:ascii="Arial" w:cs="Arial" w:eastAsia="Arial" w:hAnsi="Arial"/>
                <w:sz w:val="16"/>
                <w:szCs w:val="16"/>
                <w:color w:val="auto"/>
              </w:rPr>
              <w:t>EXHIBIT LIST</w:t>
            </w:r>
          </w:p>
        </w:tc>
      </w:tr>
      <w:tr>
        <w:trPr>
          <w:trHeight w:val="418"/>
        </w:trPr>
        <w:tc>
          <w:tcPr>
            <w:tcW w:w="114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1010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398"/>
        </w:trPr>
        <w:tc>
          <w:tcPr>
            <w:tcW w:w="300" w:type="dxa"/>
            <w:vAlign w:val="bottom"/>
          </w:tcPr>
          <w:p>
            <w:pPr>
              <w:spacing w:after="0"/>
              <w:rPr>
                <w:sz w:val="20"/>
                <w:szCs w:val="20"/>
                <w:color w:val="auto"/>
              </w:rPr>
            </w:pPr>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1</w:t>
            </w:r>
          </w:p>
        </w:tc>
        <w:tc>
          <w:tcPr>
            <w:tcW w:w="84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6"/>
                <w:szCs w:val="16"/>
                <w:color w:val="0000EE"/>
              </w:rPr>
              <w:t>Press Release of GasLog Partners LP dated November 16, 2023</w:t>
            </w:r>
          </w:p>
        </w:tc>
      </w:tr>
      <w:tr>
        <w:trPr>
          <w:trHeight w:val="412"/>
        </w:trPr>
        <w:tc>
          <w:tcPr>
            <w:tcW w:w="30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2</w:t>
            </w:r>
          </w:p>
        </w:tc>
        <w:tc>
          <w:tcPr>
            <w:tcW w:w="840" w:type="dxa"/>
            <w:vAlign w:val="bottom"/>
          </w:tcPr>
          <w:p>
            <w:pPr>
              <w:spacing w:after="0"/>
              <w:rPr>
                <w:sz w:val="24"/>
                <w:szCs w:val="24"/>
                <w:color w:val="auto"/>
              </w:rPr>
            </w:pPr>
          </w:p>
        </w:tc>
        <w:tc>
          <w:tcPr>
            <w:tcW w:w="414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Press Release of GasLog Ltd. dated November 16, 2023</w:t>
            </w:r>
          </w:p>
        </w:tc>
        <w:tc>
          <w:tcPr>
            <w:tcW w:w="5960" w:type="dxa"/>
            <w:vAlign w:val="bottom"/>
          </w:tcPr>
          <w:p>
            <w:pPr>
              <w:spacing w:after="0"/>
              <w:rPr>
                <w:sz w:val="24"/>
                <w:szCs w:val="24"/>
                <w:color w:val="auto"/>
              </w:rPr>
            </w:pPr>
          </w:p>
        </w:tc>
      </w:tr>
      <w:tr>
        <w:trPr>
          <w:trHeight w:val="709"/>
        </w:trPr>
        <w:tc>
          <w:tcPr>
            <w:tcW w:w="30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4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3"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16, 2023</w:t>
      </w:r>
    </w:p>
    <w:p>
      <w:pPr>
        <w:spacing w:after="0" w:line="2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GASLOG PARTNERS LP</w:t>
      </w:r>
    </w:p>
    <w:p>
      <w:pPr>
        <w:spacing w:after="0" w:line="248" w:lineRule="exact"/>
        <w:rPr>
          <w:sz w:val="20"/>
          <w:szCs w:val="20"/>
          <w:color w:val="auto"/>
        </w:rPr>
      </w:pPr>
    </w:p>
    <w:p>
      <w:pPr>
        <w:ind w:left="6420"/>
        <w:spacing w:after="0"/>
        <w:tabs>
          <w:tab w:leader="none" w:pos="6740" w:val="left"/>
        </w:tabs>
        <w:rPr>
          <w:sz w:val="20"/>
          <w:szCs w:val="20"/>
          <w:color w:val="auto"/>
        </w:rPr>
      </w:pPr>
      <w:r>
        <w:rPr>
          <w:rFonts w:ascii="Arial" w:cs="Arial" w:eastAsia="Arial" w:hAnsi="Arial"/>
          <w:sz w:val="16"/>
          <w:szCs w:val="16"/>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26670</wp:posOffset>
            </wp:positionV>
            <wp:extent cx="2425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Paolo Enoizi</w:t>
      </w:r>
    </w:p>
    <w:p>
      <w:pPr>
        <w:spacing w:after="0" w:line="2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13" w:right="479" w:bottom="1440" w:gutter="0" w:footer="0" w:header="0"/>
        </w:sectPr>
      </w:pPr>
    </w:p>
    <w:bookmarkStart w:id="3" w:name="page4"/>
    <w:bookmarkEnd w:id="3"/>
    <w:p>
      <w:pPr>
        <w:ind w:left="10400"/>
        <w:spacing w:after="0"/>
        <w:rPr>
          <w:sz w:val="20"/>
          <w:szCs w:val="20"/>
          <w:color w:val="auto"/>
        </w:rPr>
      </w:pPr>
      <w:r>
        <w:rPr>
          <w:rFonts w:ascii="Arial" w:cs="Arial" w:eastAsia="Arial" w:hAnsi="Arial"/>
          <w:sz w:val="15"/>
          <w:szCs w:val="15"/>
          <w:b w:val="1"/>
          <w:bCs w:val="1"/>
          <w:color w:val="auto"/>
        </w:rPr>
        <w:t>Exhibit 99.1</w:t>
      </w:r>
    </w:p>
    <w:p>
      <w:pPr>
        <w:spacing w:after="0" w:line="246" w:lineRule="exact"/>
        <w:rPr>
          <w:sz w:val="20"/>
          <w:szCs w:val="20"/>
          <w:color w:val="auto"/>
        </w:rPr>
      </w:pPr>
    </w:p>
    <w:p>
      <w:pPr>
        <w:jc w:val="center"/>
        <w:spacing w:after="0" w:line="298" w:lineRule="auto"/>
        <w:rPr>
          <w:sz w:val="20"/>
          <w:szCs w:val="20"/>
          <w:color w:val="auto"/>
        </w:rPr>
      </w:pPr>
      <w:r>
        <w:rPr>
          <w:rFonts w:ascii="Arial" w:cs="Arial" w:eastAsia="Arial" w:hAnsi="Arial"/>
          <w:sz w:val="16"/>
          <w:szCs w:val="16"/>
          <w:b w:val="1"/>
          <w:bCs w:val="1"/>
          <w:color w:val="auto"/>
        </w:rPr>
        <w:t>GasLog Partners LP Reports Financial Results for the Three-Month Period Ended September 30, 2023 and Declares Distributions on Series A, B and C Preference Units</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color w:val="auto"/>
        </w:rPr>
        <w:t xml:space="preserve">Majuro, Marshall Islands, November 16, 2023, GasLog Partners LP (“GasLog Partners” or the “Partnership”) (NYSE: GLOP), </w:t>
      </w:r>
      <w:r>
        <w:rPr>
          <w:rFonts w:ascii="Arial" w:cs="Arial" w:eastAsia="Arial" w:hAnsi="Arial"/>
          <w:sz w:val="16"/>
          <w:szCs w:val="16"/>
          <w:color w:val="auto"/>
        </w:rPr>
        <w:t>an international owner, operator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acquirer of liquefied natural gas (“LNG”) carriers, today reported its financial results for the three-month period ended September 30, 2023. The financial results of GasLog Partners for the period are included in the press release issued by its parent, GasLog Ltd., on November 16, 2023, relating to its results for the three-month period ended September 30, 2023 (the “GasLog Ltd. Press Release”). The sections in the GasLog Ltd. Press Release that relate to GasLog Partners are the following: Recent Developments, GasLog Partners’ Quarterly Financial Results, GasLog Partners Preference Unit Repurchase Programme, Fleet Update and Exhibit III, containing GasLog Partners’ unaudited consolidated statements of financial position and consolidated statements of profit or loss. The quarterly press release of GasLog Ltd. is available at </w:t>
      </w:r>
      <w:r>
        <w:rPr>
          <w:rFonts w:ascii="Arial" w:cs="Arial" w:eastAsia="Arial" w:hAnsi="Arial"/>
          <w:sz w:val="16"/>
          <w:szCs w:val="16"/>
          <w:u w:val="single" w:color="auto"/>
          <w:color w:val="0000FF"/>
        </w:rPr>
        <w:t>https://www.gaslogltd.com/investors/annual-quarterly-reports/</w:t>
      </w:r>
      <w:r>
        <w:rPr>
          <w:rFonts w:ascii="Arial" w:cs="Arial" w:eastAsia="Arial" w:hAnsi="Arial"/>
          <w:sz w:val="16"/>
          <w:szCs w:val="16"/>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GasLog Partners also today announced the quarterly distributions on its preference units as follows: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Series of Preference Units</w:t>
            </w:r>
          </w:p>
        </w:tc>
        <w:tc>
          <w:tcPr>
            <w:tcW w:w="24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Distribution</w:t>
            </w:r>
          </w:p>
        </w:tc>
        <w:tc>
          <w:tcPr>
            <w:tcW w:w="16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Record Date</w:t>
            </w:r>
          </w:p>
        </w:tc>
        <w:tc>
          <w:tcPr>
            <w:tcW w:w="1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Payment Date</w:t>
            </w:r>
          </w:p>
        </w:tc>
      </w:tr>
      <w:tr>
        <w:trPr>
          <w:trHeight w:val="186"/>
        </w:trPr>
        <w:tc>
          <w:tcPr>
            <w:tcW w:w="53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w w:val="92"/>
              </w:rPr>
              <w:t>Series A Cumulative Redeemable Perpetual Fixed to Floating Rate Preference</w:t>
            </w:r>
          </w:p>
        </w:tc>
        <w:tc>
          <w:tcPr>
            <w:tcW w:w="24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$0.5390625 per preference unit</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8, 2023</w:t>
            </w: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December 15, 2023</w:t>
            </w:r>
          </w:p>
        </w:tc>
      </w:tr>
      <w:tr>
        <w:trPr>
          <w:trHeight w:val="209"/>
        </w:trPr>
        <w:tc>
          <w:tcPr>
            <w:tcW w:w="53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Units</w:t>
            </w:r>
          </w:p>
        </w:tc>
        <w:tc>
          <w:tcPr>
            <w:tcW w:w="24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189"/>
        </w:trPr>
        <w:tc>
          <w:tcPr>
            <w:tcW w:w="53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w w:val="92"/>
              </w:rPr>
              <w:t>Series B Cumulative Redeemable Perpetual Fixed to Floating Rate Preference</w:t>
            </w:r>
          </w:p>
        </w:tc>
        <w:tc>
          <w:tcPr>
            <w:tcW w:w="24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$0.7274123 per preference unit</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8, 2023</w:t>
            </w: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December 15, 2023</w:t>
            </w:r>
          </w:p>
        </w:tc>
      </w:tr>
      <w:tr>
        <w:trPr>
          <w:trHeight w:val="209"/>
        </w:trPr>
        <w:tc>
          <w:tcPr>
            <w:tcW w:w="53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Units</w:t>
            </w:r>
          </w:p>
        </w:tc>
        <w:tc>
          <w:tcPr>
            <w:tcW w:w="24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189"/>
        </w:trPr>
        <w:tc>
          <w:tcPr>
            <w:tcW w:w="53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w w:val="92"/>
              </w:rPr>
              <w:t>Series C Cumulative Redeemable Perpetual Fixed to Floating Rate Preference</w:t>
            </w:r>
          </w:p>
        </w:tc>
        <w:tc>
          <w:tcPr>
            <w:tcW w:w="24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$0.53125 per preference unit</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8, 2023</w:t>
            </w: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December 15, 2023</w:t>
            </w:r>
          </w:p>
        </w:tc>
      </w:tr>
      <w:tr>
        <w:trPr>
          <w:trHeight w:val="209"/>
        </w:trPr>
        <w:tc>
          <w:tcPr>
            <w:tcW w:w="53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Units</w:t>
            </w:r>
          </w:p>
        </w:tc>
        <w:tc>
          <w:tcPr>
            <w:tcW w:w="24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375"/>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About GasLog Partners</w:t>
            </w:r>
          </w:p>
        </w:tc>
        <w:tc>
          <w:tcPr>
            <w:tcW w:w="2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1660" w:type="dxa"/>
            <w:vAlign w:val="bottom"/>
            <w:tcBorders>
              <w:left w:val="single" w:sz="8" w:color="auto"/>
            </w:tcBorders>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September 30, 2023</w:t>
      </w:r>
    </w:p>
    <w:p>
      <w:pPr>
        <w:spacing w:after="0" w:line="235" w:lineRule="exact"/>
        <w:rPr>
          <w:sz w:val="20"/>
          <w:szCs w:val="20"/>
          <w:color w:val="auto"/>
        </w:rPr>
      </w:pPr>
    </w:p>
    <w:p>
      <w:pPr>
        <w:ind w:right="500"/>
        <w:spacing w:after="0" w:line="334" w:lineRule="auto"/>
        <w:rPr>
          <w:sz w:val="20"/>
          <w:szCs w:val="20"/>
          <w:color w:val="auto"/>
        </w:rPr>
      </w:pPr>
      <w:r>
        <w:rPr>
          <w:rFonts w:ascii="Arial" w:cs="Arial" w:eastAsia="Arial" w:hAnsi="Arial"/>
          <w:sz w:val="15"/>
          <w:szCs w:val="15"/>
          <w:b w:val="1"/>
          <w:bCs w:val="1"/>
          <w:color w:val="auto"/>
        </w:rPr>
        <w:t>Hamilton, Bermuda, November 16, 2023, GasLog Ltd. and its subsidiaries (“GasLog”, “Group” or “Company”) (NYSE: GLOG-PA)</w:t>
      </w:r>
      <w:r>
        <w:rPr>
          <w:rFonts w:ascii="Arial" w:cs="Arial" w:eastAsia="Arial" w:hAnsi="Arial"/>
          <w:sz w:val="15"/>
          <w:szCs w:val="15"/>
          <w:color w:val="auto"/>
        </w:rPr>
        <w:t>, an international owner,</w:t>
      </w:r>
      <w:r>
        <w:rPr>
          <w:rFonts w:ascii="Arial" w:cs="Arial" w:eastAsia="Arial" w:hAnsi="Arial"/>
          <w:sz w:val="15"/>
          <w:szCs w:val="15"/>
          <w:b w:val="1"/>
          <w:bCs w:val="1"/>
          <w:color w:val="auto"/>
        </w:rPr>
        <w:t xml:space="preserve"> </w:t>
      </w:r>
      <w:r>
        <w:rPr>
          <w:rFonts w:ascii="Arial" w:cs="Arial" w:eastAsia="Arial" w:hAnsi="Arial"/>
          <w:sz w:val="15"/>
          <w:szCs w:val="15"/>
          <w:color w:val="auto"/>
        </w:rPr>
        <w:t>operator and manager of liquefied natural gas (“LNG”) carriers, today reported its financial results for the quarter ended September 30, 2023.</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Agreement with GasLog Partners</w:t>
      </w:r>
    </w:p>
    <w:p>
      <w:pPr>
        <w:spacing w:after="0" w:line="239" w:lineRule="exact"/>
        <w:rPr>
          <w:sz w:val="20"/>
          <w:szCs w:val="20"/>
          <w:color w:val="auto"/>
        </w:rPr>
      </w:pPr>
    </w:p>
    <w:p>
      <w:pPr>
        <w:ind w:right="500" w:firstLine="324"/>
        <w:spacing w:after="0" w:line="303" w:lineRule="auto"/>
        <w:rPr>
          <w:sz w:val="20"/>
          <w:szCs w:val="20"/>
          <w:color w:val="auto"/>
        </w:rPr>
      </w:pPr>
      <w:r>
        <w:rPr>
          <w:rFonts w:ascii="Arial" w:cs="Arial" w:eastAsia="Arial" w:hAnsi="Arial"/>
          <w:sz w:val="14"/>
          <w:szCs w:val="14"/>
          <w:color w:val="auto"/>
        </w:rPr>
        <w:t>On April 6, 2023, GasLog entered into an Agreement and Plan of Merger (the “Merger Agreement”) with GasLog Partners LP (“GasLog Partners” or the “Partnership”), GasLog Partners GP LLC, the general partner of the Partnership and Saturn Merger Sub LLC, a wholly owned subsidiary of GasLog (“Merger Sub”). Pursuant to the Merger Agreement, (i) Merger Sub would merge with and into the Partnership, with the Partnership surviving as a direct subsidiary of GasLog, and</w:t>
      </w:r>
    </w:p>
    <w:p>
      <w:pPr>
        <w:spacing w:after="0" w:line="2" w:lineRule="exact"/>
        <w:rPr>
          <w:sz w:val="20"/>
          <w:szCs w:val="20"/>
          <w:color w:val="auto"/>
        </w:rPr>
      </w:pPr>
    </w:p>
    <w:p>
      <w:pPr>
        <w:ind w:right="120" w:firstLine="8"/>
        <w:spacing w:after="0" w:line="272" w:lineRule="auto"/>
        <w:tabs>
          <w:tab w:leader="none" w:pos="238" w:val="left"/>
        </w:tabs>
        <w:numPr>
          <w:ilvl w:val="0"/>
          <w:numId w:val="1"/>
        </w:numPr>
        <w:rPr>
          <w:rFonts w:ascii="Arial" w:cs="Arial" w:eastAsia="Arial" w:hAnsi="Arial"/>
          <w:sz w:val="16"/>
          <w:szCs w:val="16"/>
          <w:color w:val="auto"/>
        </w:rPr>
      </w:pPr>
      <w:r>
        <w:rPr>
          <w:rFonts w:ascii="Arial" w:cs="Arial" w:eastAsia="Arial" w:hAnsi="Arial"/>
          <w:sz w:val="16"/>
          <w:szCs w:val="16"/>
          <w:color w:val="auto"/>
        </w:rPr>
        <w:t>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90" w:lineRule="exact"/>
        <w:rPr>
          <w:sz w:val="20"/>
          <w:szCs w:val="20"/>
          <w:color w:val="auto"/>
        </w:rPr>
      </w:pPr>
    </w:p>
    <w:p>
      <w:pPr>
        <w:ind w:right="20" w:firstLine="324"/>
        <w:spacing w:after="0" w:line="285" w:lineRule="auto"/>
        <w:rPr>
          <w:sz w:val="20"/>
          <w:szCs w:val="20"/>
          <w:color w:val="auto"/>
        </w:rPr>
      </w:pPr>
      <w:r>
        <w:rPr>
          <w:rFonts w:ascii="Arial" w:cs="Arial" w:eastAsia="Arial" w:hAnsi="Arial"/>
          <w:sz w:val="15"/>
          <w:szCs w:val="15"/>
          <w:color w:val="auto"/>
        </w:rPr>
        <w:t>The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Exchange Commission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spacing w:after="0" w:line="18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The merger consideration was partially financed by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39"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 xml:space="preserve">During the third quarter of 2023, GasLog Partners extended by one year the time charter agreement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 steam turbine propulsion (“Steam”) LNG carrier, with CNTIC VPower Energy Ltd. (“CNTIC VPower”), an independent Chinese energy company, with the contract now to expire in 2024. In addition, GasLog Partners signed a multi-year time charter agreement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 tri-fuel diesel electric engine propulsion (“TFDE”) LNG carrier, with KE Fuel International Co., Ltd. (“Kansai”) and a multi-year time charter agreement for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 Steam LNG carrier, with an Asian LNG buyer. Post-quarter end, GasLog extended by five years the time charter agreement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 TFDE LNG carrier, with New Fortress Energy Transport Partners LLC (“NFE Transport Partners LLC”), with the contract now due to expire in 2030. In addition, GasLog Partners signed a multi-year time charter agreement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 TFDE LNG carrier, with a major energy exploration company.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$2.8 billion Five-year Sustainability-linked Senior Secured Reducing Revolving Credit Facility</w:t>
      </w:r>
    </w:p>
    <w:p>
      <w:pPr>
        <w:spacing w:after="0" w:line="239" w:lineRule="exact"/>
        <w:rPr>
          <w:sz w:val="20"/>
          <w:szCs w:val="20"/>
          <w:color w:val="auto"/>
        </w:rPr>
      </w:pPr>
    </w:p>
    <w:p>
      <w:pPr>
        <w:ind w:right="240" w:firstLine="324"/>
        <w:spacing w:after="0" w:line="273" w:lineRule="auto"/>
        <w:rPr>
          <w:sz w:val="20"/>
          <w:szCs w:val="20"/>
          <w:color w:val="auto"/>
        </w:rPr>
      </w:pPr>
      <w:r>
        <w:rPr>
          <w:rFonts w:ascii="Arial" w:cs="Arial" w:eastAsia="Arial" w:hAnsi="Arial"/>
          <w:sz w:val="16"/>
          <w:szCs w:val="16"/>
          <w:color w:val="auto"/>
        </w:rPr>
        <w:t>On November 2, 2023, GasLog, signed a new Five-Year Sustainability-Linked Senior Secured Reducing Revolving Credit Facility in the amount of $2.8 billion (the “Facility”). This financing, involving 14 international banks, includes decarbonization and social key performance targets as a component of the Facility pricing. The Facility refinances all outstanding debt of $2.1 billion secured by 23 LNG carriers across both GasLog and GasLog Partners LP, following the acquisition by GasLog on July 13, 2023 of all the outstanding common units of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ind w:right="20"/>
        <w:spacing w:after="0" w:line="287" w:lineRule="auto"/>
        <w:rPr>
          <w:sz w:val="20"/>
          <w:szCs w:val="20"/>
          <w:color w:val="auto"/>
        </w:rPr>
      </w:pPr>
      <w:r>
        <w:rPr>
          <w:rFonts w:ascii="Arial" w:cs="Arial" w:eastAsia="Arial" w:hAnsi="Arial"/>
          <w:sz w:val="15"/>
          <w:szCs w:val="15"/>
          <w:color w:val="auto"/>
        </w:rPr>
        <w:t>not already beneficially owned by GasLog. The 23 LNG carriers (12 GasLog vessels and 11 GasLog Partners vessels) included in the Facility are comprised of ten dual-fuel two-stroke engine propulsion (“X-DF”) LNG carriers, ten TFDE LNG carriers and three Steam LNG carriers. The Facility has a five-year tenor, includes two one-year extension options and simplifies GasLog’s debt structure, providing incremental available liquidity to the company while reducing interest cost and debt service requirements. Citibank, N.A., London Branch and BNP Paribas acted as joint 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transaction was completed on November 13, 2023, with GasLog drawing down an amount of $2.1 billion and $672.0 million remaining available for general corporate purposes.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Dividend Declarations</w:t>
      </w:r>
    </w:p>
    <w:p>
      <w:pPr>
        <w:spacing w:after="0" w:line="23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November 15, 2023, the board of directors of GasLog declared a quarterly cash dividend of $0.25 per common share of GasLog, to GasLog’s shareholders of record as of November 16, 2023.</w:t>
      </w:r>
    </w:p>
    <w:p>
      <w:pPr>
        <w:spacing w:after="0" w:line="172"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On November 15, 2023, the board of directors of GasLog declared a dividend on GasLog’s 8.75% Series A Cumulative Redeemable Perpetual Preference Shares (“GasLog’s Preference Shares”) of $0.546875 per share, payable on January 2, 2024, to holders of record as of December 29,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Dividend Declarations</w:t>
      </w:r>
    </w:p>
    <w:p>
      <w:pPr>
        <w:spacing w:after="0" w:line="239" w:lineRule="exact"/>
        <w:rPr>
          <w:sz w:val="20"/>
          <w:szCs w:val="20"/>
          <w:color w:val="auto"/>
        </w:rPr>
      </w:pPr>
    </w:p>
    <w:p>
      <w:pPr>
        <w:ind w:firstLine="324"/>
        <w:spacing w:after="0" w:line="335" w:lineRule="auto"/>
        <w:rPr>
          <w:sz w:val="20"/>
          <w:szCs w:val="20"/>
          <w:color w:val="auto"/>
        </w:rPr>
      </w:pPr>
      <w:r>
        <w:rPr>
          <w:rFonts w:ascii="Arial" w:cs="Arial" w:eastAsia="Arial" w:hAnsi="Arial"/>
          <w:sz w:val="14"/>
          <w:szCs w:val="14"/>
          <w:color w:val="auto"/>
        </w:rPr>
        <w:t>On November 15, 2023, the board of directors of GasLog Partners approved and declared a distribution on the Partnership's Series A Preference Units of $0.5390625 per preference unit, a distribution on the Partnership's Series B Preference Units of $0.7274123 per preference unit and a distribution on the Partnership's Series C Preference Units of $0.53125 per preference unit. The cash distributions are payable on December 15, 2023 to all unitholders of record as of December 8,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GasLog Quarterly Financial Results</w:t>
            </w:r>
          </w:p>
        </w:tc>
        <w:tc>
          <w:tcPr>
            <w:tcW w:w="29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5"/>
        </w:trPr>
        <w:tc>
          <w:tcPr>
            <w:tcW w:w="54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ind w:left="30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25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252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9"/>
        </w:trPr>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241,918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229,018</w:t>
            </w:r>
          </w:p>
        </w:tc>
        <w:tc>
          <w:tcPr>
            <w:tcW w:w="100" w:type="dxa"/>
            <w:vAlign w:val="bottom"/>
            <w:shd w:val="clear" w:color="auto" w:fill="CCEEFF"/>
          </w:tcPr>
          <w:p>
            <w:pPr>
              <w:spacing w:after="0"/>
              <w:rPr>
                <w:sz w:val="17"/>
                <w:szCs w:val="17"/>
                <w:color w:val="auto"/>
              </w:rPr>
            </w:pPr>
          </w:p>
        </w:tc>
      </w:tr>
      <w:tr>
        <w:trPr>
          <w:trHeight w:val="203"/>
        </w:trPr>
        <w:tc>
          <w:tcPr>
            <w:tcW w:w="548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3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109,123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46,451</w:t>
            </w:r>
          </w:p>
        </w:tc>
      </w:tr>
      <w:tr>
        <w:trPr>
          <w:trHeight w:val="243"/>
        </w:trPr>
        <w:tc>
          <w:tcPr>
            <w:tcW w:w="5480" w:type="dxa"/>
            <w:vAlign w:val="bottom"/>
            <w:gridSpan w:val="2"/>
            <w:shd w:val="clear" w:color="auto" w:fill="CCEE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177,320</w:t>
            </w:r>
          </w:p>
        </w:tc>
      </w:tr>
      <w:tr>
        <w:trPr>
          <w:trHeight w:val="244"/>
        </w:trPr>
        <w:tc>
          <w:tcPr>
            <w:tcW w:w="5480" w:type="dxa"/>
            <w:vAlign w:val="bottom"/>
            <w:gridSpan w:val="2"/>
          </w:tcPr>
          <w:p>
            <w:pPr>
              <w:spacing w:after="0" w:line="245"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3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84,762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57,311</w:t>
            </w:r>
          </w:p>
        </w:tc>
      </w:tr>
    </w:tbl>
    <w:p>
      <w:pPr>
        <w:spacing w:after="0" w:line="66" w:lineRule="exact"/>
        <w:rPr>
          <w:sz w:val="20"/>
          <w:szCs w:val="20"/>
          <w:color w:val="auto"/>
        </w:rPr>
      </w:pPr>
    </w:p>
    <w:p>
      <w:pPr>
        <w:jc w:val="both"/>
        <w:ind w:firstLine="48"/>
        <w:spacing w:after="0" w:line="180" w:lineRule="auto"/>
        <w:tabs>
          <w:tab w:leader="none" w:pos="153" w:val="left"/>
        </w:tabs>
        <w:numPr>
          <w:ilvl w:val="0"/>
          <w:numId w:val="2"/>
        </w:numPr>
        <w:rPr>
          <w:rFonts w:ascii="Arial" w:cs="Arial" w:eastAsia="Arial" w:hAnsi="Arial"/>
          <w:sz w:val="27"/>
          <w:szCs w:val="27"/>
          <w:color w:val="auto"/>
          <w:vertAlign w:val="superscript"/>
        </w:rPr>
      </w:pPr>
      <w:r>
        <w:rPr>
          <w:rFonts w:ascii="Arial" w:cs="Arial" w:eastAsia="Arial" w:hAnsi="Arial"/>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5" w:lineRule="exact"/>
        <w:rPr>
          <w:sz w:val="20"/>
          <w:szCs w:val="20"/>
          <w:color w:val="auto"/>
        </w:rPr>
      </w:pPr>
    </w:p>
    <w:p>
      <w:pPr>
        <w:ind w:right="60" w:firstLine="324"/>
        <w:spacing w:after="0" w:line="291" w:lineRule="auto"/>
        <w:rPr>
          <w:sz w:val="20"/>
          <w:szCs w:val="20"/>
          <w:color w:val="auto"/>
        </w:rPr>
      </w:pPr>
      <w:r>
        <w:rPr>
          <w:rFonts w:ascii="Arial" w:cs="Arial" w:eastAsia="Arial" w:hAnsi="Arial"/>
          <w:sz w:val="15"/>
          <w:szCs w:val="15"/>
          <w:color w:val="auto"/>
        </w:rPr>
        <w:t xml:space="preserve">There were 2,865 available days for the quarter ended September 30, 2023, as compared to 3,199 available days for the quarter ended September 30, 2022. Available days represent total calendar days in the period after deducting off-hire days where vessels are undergoing dry-dockings and unavailable days (for example, days before and after a dry-docking where the vessel has limited practical ability for chartering opportunities). The decrease in available days was attributable to the Floating Storage Regasification Unit (“FSRU”) conversion of the </w:t>
      </w:r>
      <w:r>
        <w:rPr>
          <w:rFonts w:ascii="Arial" w:cs="Arial" w:eastAsia="Arial" w:hAnsi="Arial"/>
          <w:sz w:val="15"/>
          <w:szCs w:val="15"/>
          <w:i w:val="1"/>
          <w:iCs w:val="1"/>
          <w:color w:val="auto"/>
        </w:rPr>
        <w:t>Alexandroupolis</w:t>
      </w:r>
      <w:r>
        <w:rPr>
          <w:rFonts w:ascii="Arial" w:cs="Arial" w:eastAsia="Arial" w:hAnsi="Arial"/>
          <w:sz w:val="15"/>
          <w:szCs w:val="15"/>
          <w:color w:val="auto"/>
        </w:rPr>
        <w:t xml:space="preserve"> that started in February 2023, the increase in off-hire days for scheduled dry-dockings and repairs (nil dry-docking off-hire days in the three-month period ended September 30, 2022, compared to 79 scheduled dry-docking and repair off-hire days in the three-month period ended September 30, 2023), the sale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in September 2022 and the sale of the </w:t>
      </w:r>
      <w:r>
        <w:rPr>
          <w:rFonts w:ascii="Arial" w:cs="Arial" w:eastAsia="Arial" w:hAnsi="Arial"/>
          <w:sz w:val="15"/>
          <w:szCs w:val="15"/>
          <w:i w:val="1"/>
          <w:iCs w:val="1"/>
          <w:color w:val="auto"/>
        </w:rPr>
        <w:t>GasLog Athens</w:t>
      </w:r>
      <w:r>
        <w:rPr>
          <w:rFonts w:ascii="Arial" w:cs="Arial" w:eastAsia="Arial" w:hAnsi="Arial"/>
          <w:sz w:val="15"/>
          <w:szCs w:val="15"/>
          <w:color w:val="auto"/>
        </w:rPr>
        <w:t xml:space="preserve"> in July 2023.</w:t>
      </w:r>
    </w:p>
    <w:p>
      <w:pPr>
        <w:spacing w:after="0" w:line="176"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Revenues were $229.0 million for the quarter ended September 30, 2023 ($241.9 million for the quarter ended September 30, 2022). The decrease in revenues is mainly attributable to the decrease in available days explained above. This decrease was partially offset by a net increase in revenues from our vessels operating in the spot and short-term markets in the third quarter of 2023.</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Profit for the period was $46.5 million for the quarter ended September 30, 2023 ($109.1 million for the quarter ended September 30, 2022). The decrease in profit is mainly attributable to the decrease of $29.9 million in gain from the marked-to-market valuation of our derivative financial instruments carried at fair value through profit or loss due to changes in the forward yield curve, the increase of $17.2 million in financial costs, mainly attributable to the increase in interest expense on loans, all as a result of the increased interest rates in the third quarter of 2023 as compared to the same period in 2022 and the decrease of $12.9 million in revenues, as discussed above, partially offset by the decrease of $6.1 million in realized loss from derivatives held for trading.</w:t>
      </w:r>
    </w:p>
    <w:p>
      <w:pPr>
        <w:spacing w:after="0" w:line="19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Adjusted EBITDA was $177.3 million for the quarter ended September 30, 2023 ($192.9 million for the quarter ended September 30, 2022). The decrease in Adjusted EBITDA is mainly attributable to the decrease in revenues of $12.9 million, as discussed above, the increase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million in general and administrative expenses and the increase of $1.1 million in vessel operating and supervision costs.</w:t>
      </w:r>
    </w:p>
    <w:p>
      <w:pPr>
        <w:spacing w:after="0" w:line="235" w:lineRule="exact"/>
        <w:rPr>
          <w:sz w:val="20"/>
          <w:szCs w:val="20"/>
          <w:color w:val="auto"/>
        </w:rPr>
      </w:pPr>
    </w:p>
    <w:p>
      <w:pPr>
        <w:ind w:right="80" w:firstLine="324"/>
        <w:spacing w:after="0" w:line="305" w:lineRule="auto"/>
        <w:rPr>
          <w:sz w:val="20"/>
          <w:szCs w:val="20"/>
          <w:color w:val="auto"/>
        </w:rPr>
      </w:pPr>
      <w:r>
        <w:rPr>
          <w:rFonts w:ascii="Arial" w:cs="Arial" w:eastAsia="Arial" w:hAnsi="Arial"/>
          <w:sz w:val="15"/>
          <w:szCs w:val="15"/>
          <w:color w:val="auto"/>
        </w:rPr>
        <w:t>Adjusted Profit was $57.3 million for the quarter ended September 30, 2023 ($84.8 million for the quarter ended September 30, 2022). The decrease in Adjusted Profit is mainly attributable to the decrease in Adjusted EBITDA and the increase in financial costs, partially offset by the increase in financial income, all as a result of the increase in interest rates in the third quarter of 2023 as compared to the same period in 2022 and the decrease in realized loss from derivatives held for trading.</w:t>
      </w:r>
    </w:p>
    <w:p>
      <w:pPr>
        <w:spacing w:after="0" w:line="16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As of September 30, 2023, GasLog had $172.8 million of cash and cash equivalents. An additional amount of $38.6 million of time deposits with an original duration greater than three months was classified under short-term cash deposits.</w:t>
      </w:r>
    </w:p>
    <w:p>
      <w:pPr>
        <w:spacing w:after="0" w:line="17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5"/>
          <w:szCs w:val="15"/>
          <w:color w:val="auto"/>
        </w:rPr>
        <w:t>As of September 30, 2023, GasLog had an aggregate of $2.9 billion of indebtedness outstanding under its credit facilities and bond agreements, of which $332.3 million is repayable within one year. Current bank borrowings include an amount of $148.2 million with respect to the credit facility of up to $450.0 million of GAS-four Ltd., GAS-sixteen Ltd. and GAS-seventeen Ltd. with Credit Suisse AG, Nordea Bank Abp, filial I Norge, Iyo Bank Ltd., Singapore Branch and the Development Bank of Japan, Inc. (the “2019 GasLog Partners Facility”) which matures in February 2024 (and which was refinanced under the Facility). Furthermore, as of September 30, 2023, we also had an aggregate of $400.9 million of lease liabilities</w:t>
      </w:r>
      <w:r>
        <w:rPr>
          <w:rFonts w:ascii="Arial" w:cs="Arial" w:eastAsia="Arial" w:hAnsi="Arial"/>
          <w:sz w:val="15"/>
          <w:szCs w:val="15"/>
          <w:i w:val="1"/>
          <w:iCs w:val="1"/>
          <w:color w:val="auto"/>
        </w:rPr>
        <w:t>,</w:t>
      </w:r>
      <w:r>
        <w:rPr>
          <w:rFonts w:ascii="Arial" w:cs="Arial" w:eastAsia="Arial" w:hAnsi="Arial"/>
          <w:sz w:val="15"/>
          <w:szCs w:val="15"/>
          <w:color w:val="auto"/>
        </w:rPr>
        <w:t xml:space="preserve"> of which $70.8 million is payable within one year.</w:t>
      </w:r>
    </w:p>
    <w:p>
      <w:pPr>
        <w:spacing w:after="0" w:line="176" w:lineRule="exact"/>
        <w:rPr>
          <w:sz w:val="20"/>
          <w:szCs w:val="20"/>
          <w:color w:val="auto"/>
        </w:rPr>
      </w:pPr>
    </w:p>
    <w:p>
      <w:pPr>
        <w:ind w:right="400" w:firstLine="324"/>
        <w:spacing w:after="0" w:line="328" w:lineRule="auto"/>
        <w:rPr>
          <w:sz w:val="20"/>
          <w:szCs w:val="20"/>
          <w:color w:val="auto"/>
        </w:rPr>
      </w:pPr>
      <w:r>
        <w:rPr>
          <w:rFonts w:ascii="Arial" w:cs="Arial" w:eastAsia="Arial" w:hAnsi="Arial"/>
          <w:sz w:val="15"/>
          <w:szCs w:val="15"/>
          <w:color w:val="auto"/>
        </w:rPr>
        <w:t>As of September 30, 2023, the total remaining balance of the contract prices of the four LNG carriers on order was $597.6 million, of which $330.9 million is due within 12 months and will be funded by the four sale and leaseback agreements entered into on July 6, 2022 with CMB Financial Leasing Co., Ltd. (“CMBFL”).</w:t>
      </w:r>
    </w:p>
    <w:p>
      <w:pPr>
        <w:spacing w:after="0" w:line="150"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As of September 30, 2023, GasLog’s current assets totaled $263.3 million, while current liabilities totaled $588.1 million, resulting in a negative working capital position of $324.8 million. Current liabilities include $148.2 million relating to the 2019 GasLog Partners Facility which matures in February 2024, as mentioned above, and $66.6 million of unearned revenue in relation to hires received in advance of September 30, 2023 (which represents a non-cash liability that will be recognized as revenue in October 2023 as the services are rendered).</w:t>
      </w:r>
    </w:p>
    <w:p>
      <w:pPr>
        <w:spacing w:after="0" w:line="189" w:lineRule="exact"/>
        <w:rPr>
          <w:sz w:val="20"/>
          <w:szCs w:val="20"/>
          <w:color w:val="auto"/>
        </w:rPr>
      </w:pPr>
    </w:p>
    <w:p>
      <w:pPr>
        <w:ind w:right="60" w:firstLine="324"/>
        <w:spacing w:after="0" w:line="293"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existing and future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GasLog Partners Quarterly Financial Results</w:t>
            </w:r>
          </w:p>
        </w:tc>
        <w:tc>
          <w:tcPr>
            <w:tcW w:w="2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5"/>
        </w:trPr>
        <w:tc>
          <w:tcPr>
            <w:tcW w:w="5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ind w:left="30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3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316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9"/>
        </w:trPr>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100,747</w:t>
            </w:r>
          </w:p>
        </w:tc>
        <w:tc>
          <w:tcPr>
            <w:tcW w:w="100" w:type="dxa"/>
            <w:vAlign w:val="bottom"/>
            <w:shd w:val="clear" w:color="auto" w:fill="CCEEFF"/>
          </w:tcPr>
          <w:p>
            <w:pPr>
              <w:spacing w:after="0"/>
              <w:rPr>
                <w:sz w:val="17"/>
                <w:szCs w:val="17"/>
                <w:color w:val="auto"/>
              </w:rPr>
            </w:pPr>
          </w:p>
        </w:tc>
      </w:tr>
      <w:tr>
        <w:trPr>
          <w:trHeight w:val="206"/>
        </w:trPr>
        <w:tc>
          <w:tcPr>
            <w:tcW w:w="580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2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42,651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30,939</w:t>
            </w:r>
          </w:p>
        </w:tc>
      </w:tr>
    </w:tbl>
    <w:p>
      <w:pPr>
        <w:spacing w:after="0" w:line="20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6"/>
          <w:szCs w:val="16"/>
          <w:color w:val="auto"/>
        </w:rPr>
        <w:t xml:space="preserve">Revenues were $100.7 million for the third quarter of 2023 ($95.7 million for the same period in 2022). The increase of $5.0 million is mainly attributable to a net increase in revenues from our vessels operating in the spot market in the third quarter of 2023, partially offset by a decrease in revenues resulting from the 57 off-hire days due to the scheduled dry-dockings and repairs of two of our vessels in the third quarter of 2023 (compared to nil in the same period in 2022) and the sale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Shirley Elisabeth </w:t>
      </w:r>
      <w:r>
        <w:rPr>
          <w:rFonts w:ascii="Arial" w:cs="Arial" w:eastAsia="Arial" w:hAnsi="Arial"/>
          <w:sz w:val="16"/>
          <w:szCs w:val="16"/>
          <w:color w:val="auto"/>
        </w:rPr>
        <w:t>in September 2022.</w:t>
      </w:r>
    </w:p>
    <w:p>
      <w:pPr>
        <w:spacing w:after="0" w:line="189" w:lineRule="exact"/>
        <w:rPr>
          <w:sz w:val="20"/>
          <w:szCs w:val="20"/>
          <w:color w:val="auto"/>
        </w:rPr>
      </w:pPr>
    </w:p>
    <w:p>
      <w:pPr>
        <w:ind w:right="280" w:firstLine="324"/>
        <w:spacing w:after="0" w:line="278" w:lineRule="auto"/>
        <w:rPr>
          <w:sz w:val="20"/>
          <w:szCs w:val="20"/>
          <w:color w:val="auto"/>
        </w:rPr>
      </w:pPr>
      <w:r>
        <w:rPr>
          <w:rFonts w:ascii="Arial" w:cs="Arial" w:eastAsia="Arial" w:hAnsi="Arial"/>
          <w:sz w:val="16"/>
          <w:szCs w:val="16"/>
          <w:color w:val="auto"/>
        </w:rPr>
        <w:t>Profit was $30.9 million for the third quarter of 2023 ($42.7 million for the same period in 2022). The decrease in profit of $11.8 million is mainly attributable to an increase of $4.1 million in financial costs, a decrease of $3.1 million in gain on derivatives, an increase of $2.5 million in general and administrative expenses and an increase of $1.7 million in voyage expenses and commissions.</w:t>
      </w:r>
    </w:p>
    <w:p>
      <w:pPr>
        <w:spacing w:after="0" w:line="184"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As of September 30, 2023, GasLog Partners had $68.8 million of cash and cash equivalents. An additional amount of $9.0 million of time deposits with an original duration greater than three months was classified under short-term cash deposits.</w:t>
      </w:r>
    </w:p>
    <w:p>
      <w:pPr>
        <w:spacing w:after="0" w:line="17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As of September 30, 2023, GasLog Partners had an aggregate of $763.3 million of bank borrowings outstanding under its credit facilities, of which $216.0 million was repayable within one year.</w:t>
      </w:r>
    </w:p>
    <w:p>
      <w:pPr>
        <w:spacing w:after="0" w:line="172"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5"/>
          <w:szCs w:val="15"/>
          <w:color w:val="auto"/>
        </w:rPr>
        <w:t>As of September 30, 2023, GasLog Partners’ current assets totaled $109.6 million and current liabilities totaled $301.8 million, resulting in a negative working capital position of $192.2 million. Current liabilities include $26.4 million of unearned revenue in relation to hires received in advance (which represents a non-cash liability that will be recognized as revenues after September 30, 2023, as the services are rendered). Current liabilities also include $148.2 million of current bank borrowings related to the 2019 GasLog Partners Facility, which matures in February 2024 (and which was refinanced under the Facility).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Preference Unit Repurchase Programme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quarter ended September 30, 2023, there were no repurchases of preference units under GasLog Partners’ preference unit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programme.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8.75% Series A Cumulative Redeemable Perpetual Preference Shares Repurchase Programme</w:t>
      </w:r>
    </w:p>
    <w:p>
      <w:pPr>
        <w:spacing w:after="0" w:line="239" w:lineRule="exact"/>
        <w:rPr>
          <w:sz w:val="20"/>
          <w:szCs w:val="20"/>
          <w:color w:val="auto"/>
        </w:rPr>
      </w:pPr>
    </w:p>
    <w:p>
      <w:pPr>
        <w:ind w:right="80" w:firstLine="324"/>
        <w:spacing w:after="0" w:line="293" w:lineRule="auto"/>
        <w:rPr>
          <w:sz w:val="20"/>
          <w:szCs w:val="20"/>
          <w:color w:val="auto"/>
        </w:rPr>
      </w:pPr>
      <w:r>
        <w:rPr>
          <w:rFonts w:ascii="Arial" w:cs="Arial" w:eastAsia="Arial" w:hAnsi="Arial"/>
          <w:sz w:val="15"/>
          <w:szCs w:val="15"/>
          <w:color w:val="auto"/>
        </w:rPr>
        <w:t>On August 2, 2023, the board of directors of GasLog approved a preference share repurchase programme of up to $35.0 million of GasLog’s Preference Shares, effective immediately. Under the terms of the preference repurchase programme, GasLog may repurchase GasLog’s Preference Shares from time to time, at GasLog's discretion, on the open market, in privately negotiated transactions or through redemptions. Any repurchases are subject to market conditions, applicable legal requirements and other considerations. GasLog is not obligated under the preference repurchase programme to repurchase any specific dollar amount or number of GasLog’s Preference Shares, and the preference repurchase programme may be modified, suspended or discontinued at any time or never utilized.</w:t>
      </w:r>
    </w:p>
    <w:p>
      <w:pPr>
        <w:spacing w:after="0" w:line="176" w:lineRule="exact"/>
        <w:rPr>
          <w:sz w:val="20"/>
          <w:szCs w:val="20"/>
          <w:color w:val="auto"/>
        </w:rPr>
      </w:pPr>
    </w:p>
    <w:p>
      <w:pPr>
        <w:jc w:val="both"/>
        <w:ind w:right="120" w:firstLine="324"/>
        <w:spacing w:after="0" w:line="278" w:lineRule="auto"/>
        <w:rPr>
          <w:sz w:val="20"/>
          <w:szCs w:val="20"/>
          <w:color w:val="auto"/>
        </w:rPr>
      </w:pPr>
      <w:r>
        <w:rPr>
          <w:rFonts w:ascii="Arial" w:cs="Arial" w:eastAsia="Arial" w:hAnsi="Arial"/>
          <w:sz w:val="16"/>
          <w:szCs w:val="16"/>
          <w:color w:val="auto"/>
        </w:rPr>
        <w:t>In the third quarter of 2023, and since the inception of the repurchase programme, GasLog has repurchased an aggregate of 46,388 of GasLog’s Preference Shares at a weighted average price of $24.59 per preference share. The total amount paid during the quarter ended September 30, 2023 for repurchases of GasLog’s Preference Shares was $1.1 million, including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November 16, 2023, GasLog’s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Cargo</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Charter</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Optional</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40"/>
              <w:spacing w:after="0" w:line="163" w:lineRule="exact"/>
              <w:rPr>
                <w:sz w:val="20"/>
                <w:szCs w:val="20"/>
                <w:color w:val="auto"/>
              </w:rPr>
            </w:pPr>
            <w:r>
              <w:rPr>
                <w:rFonts w:ascii="Arial" w:cs="Arial" w:eastAsia="Arial" w:hAnsi="Arial"/>
                <w:sz w:val="16"/>
                <w:szCs w:val="16"/>
                <w:b w:val="1"/>
                <w:bCs w:val="1"/>
                <w:color w:val="auto"/>
              </w:rPr>
              <w:t>Year</w:t>
            </w:r>
          </w:p>
        </w:tc>
        <w:tc>
          <w:tcPr>
            <w:tcW w:w="1240" w:type="dxa"/>
            <w:vAlign w:val="bottom"/>
            <w:gridSpan w:val="2"/>
          </w:tcPr>
          <w:p>
            <w:pPr>
              <w:jc w:val="center"/>
              <w:ind w:right="140"/>
              <w:spacing w:after="0" w:line="163" w:lineRule="exact"/>
              <w:rPr>
                <w:sz w:val="20"/>
                <w:szCs w:val="20"/>
                <w:color w:val="auto"/>
              </w:rPr>
            </w:pPr>
            <w:r>
              <w:rPr>
                <w:rFonts w:ascii="Arial" w:cs="Arial" w:eastAsia="Arial" w:hAnsi="Arial"/>
                <w:sz w:val="16"/>
                <w:szCs w:val="16"/>
                <w:b w:val="1"/>
                <w:bCs w:val="1"/>
                <w:color w:val="auto"/>
                <w:w w:val="92"/>
              </w:rPr>
              <w:t>Capacity</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Built</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4"/>
              </w:rPr>
              <w:t>Period</w:t>
            </w:r>
            <w:r>
              <w:rPr>
                <w:rFonts w:ascii="Arial" w:cs="Arial" w:eastAsia="Arial" w:hAnsi="Arial"/>
                <w:sz w:val="26"/>
                <w:szCs w:val="26"/>
                <w:b w:val="1"/>
                <w:bCs w:val="1"/>
                <w:color w:val="auto"/>
                <w:w w:val="84"/>
                <w:vertAlign w:val="superscript"/>
              </w:rPr>
              <w:t>(2)</w:t>
            </w:r>
          </w:p>
        </w:tc>
        <w:tc>
          <w:tcPr>
            <w:tcW w:w="0" w:type="dxa"/>
            <w:vAlign w:val="bottom"/>
          </w:tcPr>
          <w:p>
            <w:pPr>
              <w:spacing w:after="0"/>
              <w:rPr>
                <w:sz w:val="1"/>
                <w:szCs w:val="1"/>
                <w:color w:val="auto"/>
              </w:rPr>
            </w:pPr>
          </w:p>
        </w:tc>
      </w:tr>
      <w:tr>
        <w:trPr>
          <w:trHeight w:val="237"/>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w:t>
            </w:r>
          </w:p>
        </w:tc>
        <w:tc>
          <w:tcPr>
            <w:tcW w:w="3020" w:type="dxa"/>
            <w:vAlign w:val="bottom"/>
            <w:shd w:val="clear" w:color="auto" w:fill="CCEEFF"/>
          </w:tcPr>
          <w:p>
            <w:pPr>
              <w:ind w:left="80"/>
              <w:spacing w:after="0" w:line="236" w:lineRule="exact"/>
              <w:rPr>
                <w:sz w:val="20"/>
                <w:szCs w:val="20"/>
                <w:color w:val="auto"/>
              </w:rPr>
            </w:pPr>
            <w:r>
              <w:rPr>
                <w:rFonts w:ascii="Arial" w:cs="Arial" w:eastAsia="Arial" w:hAnsi="Arial"/>
                <w:sz w:val="18"/>
                <w:szCs w:val="18"/>
                <w:i w:val="1"/>
                <w:iCs w:val="1"/>
                <w:color w:val="auto"/>
              </w:rPr>
              <w:t xml:space="preserve">Alexandroupolis </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153,600</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n/a</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n/a</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2</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Methane Jane Elizabeth*</w:t>
            </w:r>
          </w:p>
        </w:tc>
        <w:tc>
          <w:tcPr>
            <w:tcW w:w="800" w:type="dxa"/>
            <w:vAlign w:val="bottom"/>
          </w:tcPr>
          <w:p>
            <w:pPr>
              <w:ind w:left="24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(4)</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2024</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(4)</w:t>
            </w:r>
          </w:p>
        </w:tc>
        <w:tc>
          <w:tcPr>
            <w:tcW w:w="0" w:type="dxa"/>
            <w:vAlign w:val="bottom"/>
          </w:tcPr>
          <w:p>
            <w:pPr>
              <w:spacing w:after="0"/>
              <w:rPr>
                <w:sz w:val="1"/>
                <w:szCs w:val="1"/>
                <w:color w:val="auto"/>
              </w:rPr>
            </w:pPr>
          </w:p>
        </w:tc>
      </w:tr>
      <w:tr>
        <w:trPr>
          <w:trHeight w:val="192"/>
        </w:trPr>
        <w:tc>
          <w:tcPr>
            <w:tcW w:w="26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Energy Trading</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3</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Seattle*</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ind w:right="100"/>
              <w:spacing w:after="0" w:line="253" w:lineRule="exact"/>
              <w:rPr>
                <w:sz w:val="20"/>
                <w:szCs w:val="20"/>
                <w:color w:val="auto"/>
              </w:rPr>
            </w:pPr>
            <w:r>
              <w:rPr>
                <w:rFonts w:ascii="Arial" w:cs="Arial" w:eastAsia="Arial" w:hAnsi="Arial"/>
                <w:sz w:val="16"/>
                <w:szCs w:val="16"/>
                <w:color w:val="auto"/>
                <w:w w:val="87"/>
              </w:rPr>
              <w:t xml:space="preserve">Company </w:t>
            </w:r>
            <w:r>
              <w:rPr>
                <w:rFonts w:ascii="Arial" w:cs="Arial" w:eastAsia="Arial" w:hAnsi="Arial"/>
                <w:sz w:val="26"/>
                <w:szCs w:val="26"/>
                <w:color w:val="auto"/>
                <w:w w:val="87"/>
                <w:vertAlign w:val="superscript"/>
              </w:rPr>
              <w:t>(5)</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2024</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60" w:type="dxa"/>
            <w:vAlign w:val="bottom"/>
            <w:vMerge w:val="restart"/>
          </w:tcPr>
          <w:p>
            <w:pPr>
              <w:spacing w:after="0"/>
              <w:rPr>
                <w:sz w:val="20"/>
                <w:szCs w:val="20"/>
                <w:color w:val="auto"/>
              </w:rPr>
            </w:pPr>
            <w:r>
              <w:rPr>
                <w:rFonts w:ascii="Arial" w:cs="Arial" w:eastAsia="Arial" w:hAnsi="Arial"/>
                <w:sz w:val="16"/>
                <w:szCs w:val="16"/>
                <w:b w:val="1"/>
                <w:bCs w:val="1"/>
                <w:color w:val="auto"/>
              </w:rPr>
              <w:t>4</w:t>
            </w: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Multinational Oil</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r>
        <w:trPr>
          <w:trHeight w:val="212"/>
        </w:trPr>
        <w:tc>
          <w:tcPr>
            <w:tcW w:w="260" w:type="dxa"/>
            <w:vAlign w:val="bottom"/>
            <w:vMerge w:val="continue"/>
          </w:tcPr>
          <w:p>
            <w:pPr>
              <w:spacing w:after="0"/>
              <w:rPr>
                <w:sz w:val="18"/>
                <w:szCs w:val="18"/>
                <w:color w:val="auto"/>
              </w:rPr>
            </w:pP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Savannah</w:t>
            </w:r>
          </w:p>
        </w:tc>
        <w:tc>
          <w:tcPr>
            <w:tcW w:w="800" w:type="dxa"/>
            <w:vAlign w:val="bottom"/>
          </w:tcPr>
          <w:p>
            <w:pPr>
              <w:ind w:left="2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and Gas Company</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2024</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5</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Methane Alison Victoria*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CNTIC VPower</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Steam</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2024</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6</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Greece*</w:t>
            </w:r>
          </w:p>
        </w:tc>
        <w:tc>
          <w:tcPr>
            <w:tcW w:w="800" w:type="dxa"/>
            <w:vAlign w:val="bottom"/>
          </w:tcPr>
          <w:p>
            <w:pPr>
              <w:ind w:left="2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2026</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7</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Methane Rita Andrea*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Asian LNG buyer</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Steam</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2026</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r>
              <w:rPr>
                <w:rFonts w:ascii="Arial" w:cs="Arial" w:eastAsia="Arial" w:hAnsi="Arial"/>
                <w:sz w:val="16"/>
                <w:szCs w:val="16"/>
                <w:b w:val="1"/>
                <w:bCs w:val="1"/>
                <w:color w:val="auto"/>
              </w:rPr>
              <w:t>8</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Santiago*</w:t>
            </w:r>
          </w:p>
        </w:tc>
        <w:tc>
          <w:tcPr>
            <w:tcW w:w="800" w:type="dxa"/>
            <w:vAlign w:val="bottom"/>
          </w:tcPr>
          <w:p>
            <w:pPr>
              <w:ind w:left="24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line="233" w:lineRule="exact"/>
              <w:rPr>
                <w:sz w:val="20"/>
                <w:szCs w:val="20"/>
                <w:color w:val="auto"/>
              </w:rPr>
            </w:pPr>
            <w:r>
              <w:rPr>
                <w:rFonts w:ascii="Arial" w:cs="Arial" w:eastAsia="Arial" w:hAnsi="Arial"/>
                <w:sz w:val="16"/>
                <w:szCs w:val="16"/>
                <w:color w:val="auto"/>
                <w:w w:val="89"/>
              </w:rPr>
              <w:t xml:space="preserve">Trafigura </w:t>
            </w:r>
            <w:r>
              <w:rPr>
                <w:rFonts w:ascii="Arial" w:cs="Arial" w:eastAsia="Arial" w:hAnsi="Arial"/>
                <w:sz w:val="26"/>
                <w:szCs w:val="26"/>
                <w:color w:val="auto"/>
                <w:w w:val="89"/>
                <w:vertAlign w:val="superscript"/>
              </w:rPr>
              <w:t>(9)</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2023</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Major Energy</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Exploration</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84"/>
              </w:rPr>
              <w:t xml:space="preserve">2027 </w:t>
            </w:r>
            <w:r>
              <w:rPr>
                <w:rFonts w:ascii="Arial" w:cs="Arial" w:eastAsia="Arial" w:hAnsi="Arial"/>
                <w:sz w:val="26"/>
                <w:szCs w:val="26"/>
                <w:color w:val="auto"/>
                <w:w w:val="84"/>
                <w:vertAlign w:val="superscript"/>
              </w:rPr>
              <w:t>(10)</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Company</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2026</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9</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Glasgow*</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2026</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Genoa</w:t>
            </w:r>
          </w:p>
        </w:tc>
        <w:tc>
          <w:tcPr>
            <w:tcW w:w="800" w:type="dxa"/>
            <w:vAlign w:val="bottom"/>
          </w:tcPr>
          <w:p>
            <w:pPr>
              <w:ind w:left="2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2027</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2030-2033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11</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Windsor</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20"/>
              <w:spacing w:after="0" w:line="243" w:lineRule="exact"/>
              <w:rPr>
                <w:sz w:val="20"/>
                <w:szCs w:val="20"/>
                <w:color w:val="auto"/>
              </w:rPr>
            </w:pPr>
            <w:r>
              <w:rPr>
                <w:rFonts w:ascii="Arial" w:cs="Arial" w:eastAsia="Arial" w:hAnsi="Arial"/>
                <w:sz w:val="16"/>
                <w:szCs w:val="16"/>
                <w:color w:val="auto"/>
                <w:w w:val="84"/>
              </w:rPr>
              <w:t xml:space="preserve">Centrica </w:t>
            </w:r>
            <w:r>
              <w:rPr>
                <w:rFonts w:ascii="Arial" w:cs="Arial" w:eastAsia="Arial" w:hAnsi="Arial"/>
                <w:sz w:val="26"/>
                <w:szCs w:val="26"/>
                <w:color w:val="auto"/>
                <w:w w:val="84"/>
                <w:vertAlign w:val="superscript"/>
              </w:rPr>
              <w:t>(11)</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April 2027</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5"/>
              </w:rPr>
              <w:t xml:space="preserve">2029-2033 </w:t>
            </w:r>
            <w:r>
              <w:rPr>
                <w:rFonts w:ascii="Arial" w:cs="Arial" w:eastAsia="Arial" w:hAnsi="Arial"/>
                <w:sz w:val="26"/>
                <w:szCs w:val="26"/>
                <w:color w:val="auto"/>
                <w:w w:val="85"/>
                <w:vertAlign w:val="superscript"/>
              </w:rPr>
              <w:t>(11)</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12</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Westminster</w:t>
            </w:r>
          </w:p>
        </w:tc>
        <w:tc>
          <w:tcPr>
            <w:tcW w:w="800" w:type="dxa"/>
            <w:vAlign w:val="bottom"/>
          </w:tcPr>
          <w:p>
            <w:pPr>
              <w:ind w:left="2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Centrica</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2027</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5"/>
              </w:rPr>
              <w:t xml:space="preserve">2029-2033 </w:t>
            </w:r>
            <w:r>
              <w:rPr>
                <w:rFonts w:ascii="Arial" w:cs="Arial" w:eastAsia="Arial" w:hAnsi="Arial"/>
                <w:sz w:val="26"/>
                <w:szCs w:val="26"/>
                <w:color w:val="auto"/>
                <w:w w:val="85"/>
                <w:vertAlign w:val="superscript"/>
              </w:rPr>
              <w:t>(11)</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13</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Georgetown</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November 2027</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8"/>
              </w:rPr>
              <w:t xml:space="preserve">2030-2034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14</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Galveston</w:t>
            </w:r>
          </w:p>
        </w:tc>
        <w:tc>
          <w:tcPr>
            <w:tcW w:w="800" w:type="dxa"/>
            <w:vAlign w:val="bottom"/>
          </w:tcPr>
          <w:p>
            <w:pPr>
              <w:ind w:left="2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2028</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15</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Wellington</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2028</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16</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Winchester</w:t>
            </w:r>
          </w:p>
        </w:tc>
        <w:tc>
          <w:tcPr>
            <w:tcW w:w="800" w:type="dxa"/>
            <w:vAlign w:val="bottom"/>
          </w:tcPr>
          <w:p>
            <w:pPr>
              <w:ind w:left="2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August 2028</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17</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Geneva*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2028</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18</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Gibraltar*</w:t>
            </w:r>
          </w:p>
        </w:tc>
        <w:tc>
          <w:tcPr>
            <w:tcW w:w="800" w:type="dxa"/>
            <w:vAlign w:val="bottom"/>
          </w:tcPr>
          <w:p>
            <w:pPr>
              <w:ind w:left="2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2028</w:t>
            </w:r>
          </w:p>
        </w:tc>
        <w:tc>
          <w:tcPr>
            <w:tcW w:w="112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19</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Gladstone</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8"/>
              </w:rPr>
              <w:t>January 2029</w:t>
            </w:r>
          </w:p>
        </w:tc>
        <w:tc>
          <w:tcPr>
            <w:tcW w:w="112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8"/>
              </w:rPr>
              <w:t xml:space="preserve">2032-2035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6"/>
                <w:szCs w:val="16"/>
                <w:b w:val="1"/>
                <w:bCs w:val="1"/>
                <w:color w:val="auto"/>
              </w:rPr>
              <w:t>20</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Methane Becki Anne*</w:t>
            </w:r>
          </w:p>
        </w:tc>
        <w:tc>
          <w:tcPr>
            <w:tcW w:w="800" w:type="dxa"/>
            <w:vAlign w:val="bottom"/>
          </w:tcPr>
          <w:p>
            <w:pPr>
              <w:ind w:left="2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2029</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6"/>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21</w:t>
            </w: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Warsaw</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line="246" w:lineRule="exact"/>
              <w:rPr>
                <w:sz w:val="20"/>
                <w:szCs w:val="20"/>
                <w:color w:val="auto"/>
              </w:rPr>
            </w:pPr>
            <w:r>
              <w:rPr>
                <w:rFonts w:ascii="Arial" w:cs="Arial" w:eastAsia="Arial" w:hAnsi="Arial"/>
                <w:sz w:val="16"/>
                <w:szCs w:val="16"/>
                <w:color w:val="auto"/>
                <w:w w:val="82"/>
              </w:rPr>
              <w:t xml:space="preserve">Endesa </w:t>
            </w:r>
            <w:r>
              <w:rPr>
                <w:rFonts w:ascii="Arial" w:cs="Arial" w:eastAsia="Arial" w:hAnsi="Arial"/>
                <w:sz w:val="26"/>
                <w:szCs w:val="26"/>
                <w:color w:val="auto"/>
                <w:w w:val="82"/>
                <w:vertAlign w:val="superscript"/>
              </w:rPr>
              <w:t>(12)</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2029</w:t>
            </w:r>
          </w:p>
        </w:tc>
        <w:tc>
          <w:tcPr>
            <w:tcW w:w="1120" w:type="dxa"/>
            <w:vAlign w:val="bottom"/>
            <w:shd w:val="clear" w:color="auto" w:fill="CCEEFF"/>
          </w:tcPr>
          <w:p>
            <w:pPr>
              <w:jc w:val="center"/>
              <w:spacing w:after="0" w:line="246" w:lineRule="exact"/>
              <w:rPr>
                <w:sz w:val="20"/>
                <w:szCs w:val="20"/>
                <w:color w:val="auto"/>
              </w:rPr>
            </w:pPr>
            <w:r>
              <w:rPr>
                <w:rFonts w:ascii="Arial" w:cs="Arial" w:eastAsia="Arial" w:hAnsi="Arial"/>
                <w:sz w:val="16"/>
                <w:szCs w:val="16"/>
                <w:color w:val="auto"/>
                <w:w w:val="85"/>
              </w:rPr>
              <w:t xml:space="preserve">2035-2041 </w:t>
            </w:r>
            <w:r>
              <w:rPr>
                <w:rFonts w:ascii="Arial" w:cs="Arial" w:eastAsia="Arial" w:hAnsi="Arial"/>
                <w:sz w:val="26"/>
                <w:szCs w:val="26"/>
                <w:color w:val="auto"/>
                <w:w w:val="85"/>
                <w:vertAlign w:val="superscript"/>
              </w:rPr>
              <w:t>(12)</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6"/>
                <w:szCs w:val="16"/>
                <w:b w:val="1"/>
                <w:bCs w:val="1"/>
                <w:color w:val="auto"/>
              </w:rPr>
              <w:t>22</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Solaris*</w:t>
            </w:r>
          </w:p>
        </w:tc>
        <w:tc>
          <w:tcPr>
            <w:tcW w:w="800" w:type="dxa"/>
            <w:vAlign w:val="bottom"/>
          </w:tcPr>
          <w:p>
            <w:pPr>
              <w:ind w:left="2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Kansai</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2030</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5"/>
        </w:trPr>
        <w:tc>
          <w:tcPr>
            <w:tcW w:w="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23</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NFE Transport</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 w:type="dxa"/>
            <w:vAlign w:val="bottom"/>
            <w:vMerge w:val="continue"/>
            <w:shd w:val="clear" w:color="auto" w:fill="CCEEFF"/>
          </w:tcPr>
          <w:p>
            <w:pPr>
              <w:spacing w:after="0"/>
              <w:rPr>
                <w:sz w:val="18"/>
                <w:szCs w:val="18"/>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6"/>
                <w:szCs w:val="16"/>
                <w:i w:val="1"/>
                <w:iCs w:val="1"/>
                <w:color w:val="auto"/>
              </w:rPr>
              <w:t>GasLog Singapore</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Partners LLC</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2030</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53"/>
        </w:trPr>
        <w:tc>
          <w:tcPr>
            <w:tcW w:w="260" w:type="dxa"/>
            <w:vAlign w:val="bottom"/>
          </w:tcPr>
          <w:p>
            <w:pPr>
              <w:spacing w:after="0"/>
              <w:rPr>
                <w:sz w:val="20"/>
                <w:szCs w:val="20"/>
                <w:color w:val="auto"/>
              </w:rPr>
            </w:pPr>
            <w:r>
              <w:rPr>
                <w:rFonts w:ascii="Arial" w:cs="Arial" w:eastAsia="Arial" w:hAnsi="Arial"/>
                <w:sz w:val="16"/>
                <w:szCs w:val="16"/>
                <w:b w:val="1"/>
                <w:bCs w:val="1"/>
                <w:color w:val="auto"/>
              </w:rPr>
              <w:t>24</w:t>
            </w:r>
          </w:p>
        </w:tc>
        <w:tc>
          <w:tcPr>
            <w:tcW w:w="314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Wales</w:t>
            </w:r>
          </w:p>
        </w:tc>
        <w:tc>
          <w:tcPr>
            <w:tcW w:w="800" w:type="dxa"/>
            <w:vAlign w:val="bottom"/>
          </w:tcPr>
          <w:p>
            <w:pPr>
              <w:ind w:left="2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78"/>
              </w:rPr>
              <w:t xml:space="preserve">Jera </w:t>
            </w:r>
            <w:r>
              <w:rPr>
                <w:rFonts w:ascii="Arial" w:cs="Arial" w:eastAsia="Arial" w:hAnsi="Arial"/>
                <w:sz w:val="26"/>
                <w:szCs w:val="26"/>
                <w:color w:val="auto"/>
                <w:w w:val="78"/>
                <w:vertAlign w:val="superscript"/>
              </w:rPr>
              <w:t>(13)</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2032</w:t>
            </w:r>
          </w:p>
        </w:tc>
        <w:tc>
          <w:tcPr>
            <w:tcW w:w="1120" w:type="dxa"/>
            <w:vAlign w:val="bottom"/>
          </w:tcPr>
          <w:p>
            <w:pPr>
              <w:jc w:val="center"/>
              <w:spacing w:after="0"/>
              <w:rPr>
                <w:sz w:val="20"/>
                <w:szCs w:val="20"/>
                <w:color w:val="auto"/>
              </w:rPr>
            </w:pPr>
            <w:r>
              <w:rPr>
                <w:rFonts w:ascii="Arial" w:cs="Arial" w:eastAsia="Arial" w:hAnsi="Arial"/>
                <w:sz w:val="16"/>
                <w:szCs w:val="16"/>
                <w:color w:val="auto"/>
                <w:w w:val="85"/>
              </w:rPr>
              <w:t xml:space="preserve">2035-2038 </w:t>
            </w:r>
            <w:r>
              <w:rPr>
                <w:rFonts w:ascii="Arial" w:cs="Arial" w:eastAsia="Arial" w:hAnsi="Arial"/>
                <w:sz w:val="26"/>
                <w:szCs w:val="26"/>
                <w:color w:val="auto"/>
                <w:w w:val="85"/>
                <w:vertAlign w:val="superscript"/>
              </w:rPr>
              <w:t>(13)</w:t>
            </w:r>
          </w:p>
        </w:tc>
        <w:tc>
          <w:tcPr>
            <w:tcW w:w="0" w:type="dxa"/>
            <w:vAlign w:val="bottom"/>
          </w:tcPr>
          <w:p>
            <w:pPr>
              <w:spacing w:after="0"/>
              <w:rPr>
                <w:sz w:val="1"/>
                <w:szCs w:val="1"/>
                <w:color w:val="auto"/>
              </w:rPr>
            </w:pPr>
          </w:p>
        </w:tc>
      </w:tr>
      <w:tr>
        <w:trPr>
          <w:trHeight w:val="565"/>
        </w:trPr>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200" w:type="dxa"/>
            <w:vAlign w:val="bottom"/>
          </w:tcPr>
          <w:p>
            <w:pPr>
              <w:spacing w:after="0"/>
              <w:rPr>
                <w:sz w:val="24"/>
                <w:szCs w:val="24"/>
                <w:color w:val="auto"/>
              </w:rPr>
            </w:pPr>
          </w:p>
        </w:tc>
        <w:tc>
          <w:tcPr>
            <w:tcW w:w="6800" w:type="dxa"/>
            <w:vAlign w:val="bottom"/>
            <w:gridSpan w:val="8"/>
          </w:tcPr>
          <w:p>
            <w:pPr>
              <w:ind w:left="140"/>
              <w:spacing w:after="0"/>
              <w:rPr>
                <w:sz w:val="20"/>
                <w:szCs w:val="20"/>
                <w:color w:val="auto"/>
              </w:rPr>
            </w:pPr>
            <w:r>
              <w:rPr>
                <w:rFonts w:ascii="Arial" w:cs="Arial" w:eastAsia="Arial" w:hAnsi="Arial"/>
                <w:sz w:val="16"/>
                <w:szCs w:val="16"/>
                <w:color w:val="auto"/>
              </w:rPr>
              <w:t>As of November 16, 2023, GasLog’s bareboat fleet consisted of the following vessels: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Cargo</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24"/>
                <w:szCs w:val="24"/>
                <w:color w:val="auto"/>
              </w:rPr>
            </w:pPr>
          </w:p>
        </w:tc>
        <w:tc>
          <w:tcPr>
            <w:tcW w:w="11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Year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vMerge w:val="restart"/>
          </w:tcPr>
          <w:p>
            <w:pPr>
              <w:jc w:val="center"/>
              <w:spacing w:after="0" w:line="248"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4"/>
                <w:szCs w:val="4"/>
                <w:color w:val="auto"/>
              </w:rPr>
            </w:pPr>
          </w:p>
        </w:tc>
        <w:tc>
          <w:tcPr>
            <w:tcW w:w="1120" w:type="dxa"/>
            <w:vAlign w:val="bottom"/>
            <w:vMerge w:val="restart"/>
          </w:tcPr>
          <w:p>
            <w:pPr>
              <w:ind w:left="260"/>
              <w:spacing w:after="0" w:line="248"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200" w:type="dxa"/>
            <w:vAlign w:val="bottom"/>
            <w:gridSpan w:val="2"/>
          </w:tcPr>
          <w:p>
            <w:pPr>
              <w:ind w:left="1020"/>
              <w:spacing w:after="0"/>
              <w:rPr>
                <w:sz w:val="20"/>
                <w:szCs w:val="20"/>
                <w:color w:val="auto"/>
              </w:rPr>
            </w:pPr>
            <w:r>
              <w:rPr>
                <w:rFonts w:ascii="Arial" w:cs="Arial" w:eastAsia="Arial" w:hAnsi="Arial"/>
                <w:sz w:val="16"/>
                <w:szCs w:val="16"/>
                <w:b w:val="1"/>
                <w:bCs w:val="1"/>
                <w:color w:val="auto"/>
              </w:rPr>
              <w:t>Vessel Name</w:t>
            </w:r>
          </w:p>
        </w:tc>
        <w:tc>
          <w:tcPr>
            <w:tcW w:w="920" w:type="dxa"/>
            <w:vAlign w:val="bottom"/>
            <w:gridSpan w:val="2"/>
          </w:tcPr>
          <w:p>
            <w:pPr>
              <w:ind w:left="220"/>
              <w:spacing w:after="0"/>
              <w:rPr>
                <w:sz w:val="20"/>
                <w:szCs w:val="20"/>
                <w:color w:val="auto"/>
              </w:rPr>
            </w:pPr>
            <w:r>
              <w:rPr>
                <w:rFonts w:ascii="Arial" w:cs="Arial" w:eastAsia="Arial" w:hAnsi="Arial"/>
                <w:sz w:val="16"/>
                <w:szCs w:val="16"/>
                <w:b w:val="1"/>
                <w:bCs w:val="1"/>
                <w:color w:val="auto"/>
              </w:rPr>
              <w:t>Built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Charterer</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Propulsion</w:t>
            </w: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GasLog Sydney*</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2013</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Centrica</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2024</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20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Skagen</w:t>
            </w:r>
          </w:p>
        </w:tc>
        <w:tc>
          <w:tcPr>
            <w:tcW w:w="800" w:type="dxa"/>
            <w:vAlign w:val="bottom"/>
          </w:tcPr>
          <w:p>
            <w:pPr>
              <w:ind w:left="24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440" w:type="dxa"/>
            <w:vAlign w:val="bottom"/>
            <w:gridSpan w:val="2"/>
          </w:tcPr>
          <w:p>
            <w:pPr>
              <w:jc w:val="center"/>
              <w:ind w:right="40"/>
              <w:spacing w:after="0" w:line="243" w:lineRule="exact"/>
              <w:rPr>
                <w:sz w:val="20"/>
                <w:szCs w:val="20"/>
                <w:color w:val="auto"/>
              </w:rPr>
            </w:pPr>
            <w:r>
              <w:rPr>
                <w:rFonts w:ascii="Arial" w:cs="Arial" w:eastAsia="Arial" w:hAnsi="Arial"/>
                <w:sz w:val="16"/>
                <w:szCs w:val="16"/>
                <w:color w:val="auto"/>
                <w:w w:val="89"/>
              </w:rPr>
              <w:t xml:space="preserve">Tokyo LNG </w:t>
            </w:r>
            <w:r>
              <w:rPr>
                <w:rFonts w:ascii="Arial" w:cs="Arial" w:eastAsia="Arial" w:hAnsi="Arial"/>
                <w:sz w:val="26"/>
                <w:szCs w:val="26"/>
                <w:color w:val="auto"/>
                <w:w w:val="89"/>
                <w:vertAlign w:val="superscript"/>
              </w:rPr>
              <w:t>(14)</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Saratoga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40"/>
              <w:spacing w:after="0" w:line="243" w:lineRule="exact"/>
              <w:rPr>
                <w:sz w:val="20"/>
                <w:szCs w:val="20"/>
                <w:color w:val="auto"/>
              </w:rPr>
            </w:pPr>
            <w:r>
              <w:rPr>
                <w:rFonts w:ascii="Arial" w:cs="Arial" w:eastAsia="Arial" w:hAnsi="Arial"/>
                <w:sz w:val="16"/>
                <w:szCs w:val="16"/>
                <w:color w:val="auto"/>
                <w:w w:val="88"/>
              </w:rPr>
              <w:t xml:space="preserve">Mitsui </w:t>
            </w:r>
            <w:r>
              <w:rPr>
                <w:rFonts w:ascii="Arial" w:cs="Arial" w:eastAsia="Arial" w:hAnsi="Arial"/>
                <w:sz w:val="26"/>
                <w:szCs w:val="26"/>
                <w:color w:val="auto"/>
                <w:w w:val="88"/>
                <w:vertAlign w:val="superscript"/>
              </w:rPr>
              <w:t>(15)</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20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Shanghai*</w:t>
            </w:r>
          </w:p>
        </w:tc>
        <w:tc>
          <w:tcPr>
            <w:tcW w:w="800" w:type="dxa"/>
            <w:vAlign w:val="bottom"/>
          </w:tcPr>
          <w:p>
            <w:pPr>
              <w:ind w:left="24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440" w:type="dxa"/>
            <w:vAlign w:val="bottom"/>
            <w:gridSpan w:val="2"/>
          </w:tcPr>
          <w:p>
            <w:pPr>
              <w:jc w:val="center"/>
              <w:ind w:right="40"/>
              <w:spacing w:after="0" w:line="243" w:lineRule="exact"/>
              <w:rPr>
                <w:sz w:val="20"/>
                <w:szCs w:val="20"/>
                <w:color w:val="auto"/>
              </w:rPr>
            </w:pPr>
            <w:r>
              <w:rPr>
                <w:rFonts w:ascii="Arial" w:cs="Arial" w:eastAsia="Arial" w:hAnsi="Arial"/>
                <w:sz w:val="16"/>
                <w:szCs w:val="16"/>
                <w:color w:val="auto"/>
                <w:w w:val="86"/>
              </w:rPr>
              <w:t xml:space="preserve">Woodside </w:t>
            </w:r>
            <w:r>
              <w:rPr>
                <w:rFonts w:ascii="Arial" w:cs="Arial" w:eastAsia="Arial" w:hAnsi="Arial"/>
                <w:sz w:val="26"/>
                <w:szCs w:val="26"/>
                <w:color w:val="auto"/>
                <w:w w:val="86"/>
                <w:vertAlign w:val="superscript"/>
              </w:rPr>
              <w:t>(16)</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March 2025</w:t>
            </w:r>
          </w:p>
        </w:tc>
        <w:tc>
          <w:tcPr>
            <w:tcW w:w="12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4"/>
              </w:rPr>
              <w:t xml:space="preserve">2026 </w:t>
            </w:r>
            <w:r>
              <w:rPr>
                <w:rFonts w:ascii="Arial" w:cs="Arial" w:eastAsia="Arial" w:hAnsi="Arial"/>
                <w:sz w:val="26"/>
                <w:szCs w:val="26"/>
                <w:color w:val="auto"/>
                <w:w w:val="84"/>
                <w:vertAlign w:val="superscript"/>
              </w:rPr>
              <w:t>(16)</w:t>
            </w: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Methane Heather Sally*</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60"/>
              <w:spacing w:after="0" w:line="243" w:lineRule="exact"/>
              <w:rPr>
                <w:sz w:val="20"/>
                <w:szCs w:val="20"/>
                <w:color w:val="auto"/>
              </w:rPr>
            </w:pPr>
            <w:r>
              <w:rPr>
                <w:rFonts w:ascii="Arial" w:cs="Arial" w:eastAsia="Arial" w:hAnsi="Arial"/>
                <w:sz w:val="16"/>
                <w:szCs w:val="16"/>
                <w:color w:val="auto"/>
                <w:w w:val="87"/>
              </w:rPr>
              <w:t xml:space="preserve">SEA Charterer </w:t>
            </w:r>
            <w:r>
              <w:rPr>
                <w:rFonts w:ascii="Arial" w:cs="Arial" w:eastAsia="Arial" w:hAnsi="Arial"/>
                <w:sz w:val="26"/>
                <w:szCs w:val="26"/>
                <w:color w:val="auto"/>
                <w:w w:val="87"/>
                <w:vertAlign w:val="superscript"/>
              </w:rPr>
              <w:t>(17)</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Steam</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2025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20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Hong Kong</w:t>
            </w:r>
          </w:p>
        </w:tc>
        <w:tc>
          <w:tcPr>
            <w:tcW w:w="800" w:type="dxa"/>
            <w:vAlign w:val="bottom"/>
          </w:tcPr>
          <w:p>
            <w:pPr>
              <w:ind w:left="2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440" w:type="dxa"/>
            <w:vAlign w:val="bottom"/>
            <w:gridSpan w:val="2"/>
          </w:tcPr>
          <w:p>
            <w:pPr>
              <w:jc w:val="center"/>
              <w:ind w:right="40"/>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(18)</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2025</w:t>
            </w:r>
          </w:p>
        </w:tc>
        <w:tc>
          <w:tcPr>
            <w:tcW w:w="12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4"/>
              </w:rPr>
              <w:t xml:space="preserve">2028 </w:t>
            </w:r>
            <w:r>
              <w:rPr>
                <w:rFonts w:ascii="Arial" w:cs="Arial" w:eastAsia="Arial" w:hAnsi="Arial"/>
                <w:sz w:val="26"/>
                <w:szCs w:val="26"/>
                <w:color w:val="auto"/>
                <w:w w:val="84"/>
                <w:vertAlign w:val="superscript"/>
              </w:rPr>
              <w:t>(18)</w:t>
            </w: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Salem</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40"/>
              <w:spacing w:after="0" w:line="243" w:lineRule="exact"/>
              <w:rPr>
                <w:sz w:val="20"/>
                <w:szCs w:val="20"/>
                <w:color w:val="auto"/>
              </w:rPr>
            </w:pPr>
            <w:r>
              <w:rPr>
                <w:rFonts w:ascii="Arial" w:cs="Arial" w:eastAsia="Arial" w:hAnsi="Arial"/>
                <w:sz w:val="16"/>
                <w:szCs w:val="16"/>
                <w:color w:val="auto"/>
                <w:w w:val="86"/>
              </w:rPr>
              <w:t xml:space="preserve">Gunvor </w:t>
            </w:r>
            <w:r>
              <w:rPr>
                <w:rFonts w:ascii="Arial" w:cs="Arial" w:eastAsia="Arial" w:hAnsi="Arial"/>
                <w:sz w:val="26"/>
                <w:szCs w:val="26"/>
                <w:color w:val="auto"/>
                <w:w w:val="86"/>
                <w:vertAlign w:val="superscript"/>
              </w:rPr>
              <w:t>(19)</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TFDE</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20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Julia Louise</w:t>
            </w:r>
          </w:p>
        </w:tc>
        <w:tc>
          <w:tcPr>
            <w:tcW w:w="800" w:type="dxa"/>
            <w:vAlign w:val="bottom"/>
          </w:tcPr>
          <w:p>
            <w:pPr>
              <w:ind w:left="2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Pr>
          <w:p>
            <w:pPr>
              <w:spacing w:after="0"/>
              <w:rPr>
                <w:sz w:val="21"/>
                <w:szCs w:val="21"/>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March 2026</w:t>
            </w:r>
          </w:p>
        </w:tc>
        <w:tc>
          <w:tcPr>
            <w:tcW w:w="122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8"/>
              </w:rPr>
              <w:t xml:space="preserve">2029-2031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Houston</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Shell</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X-DF</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May 2028</w:t>
            </w:r>
          </w:p>
        </w:tc>
        <w:tc>
          <w:tcPr>
            <w:tcW w:w="1220" w:type="dxa"/>
            <w:vAlign w:val="bottom"/>
            <w:gridSpan w:val="2"/>
            <w:shd w:val="clear" w:color="auto" w:fill="CCEEFF"/>
          </w:tcPr>
          <w:p>
            <w:pPr>
              <w:jc w:val="center"/>
              <w:spacing w:after="0" w:line="243" w:lineRule="exact"/>
              <w:rPr>
                <w:sz w:val="20"/>
                <w:szCs w:val="20"/>
                <w:color w:val="auto"/>
              </w:rPr>
            </w:pPr>
            <w:r>
              <w:rPr>
                <w:rFonts w:ascii="Arial" w:cs="Arial" w:eastAsia="Arial" w:hAnsi="Arial"/>
                <w:sz w:val="16"/>
                <w:szCs w:val="16"/>
                <w:color w:val="auto"/>
                <w:w w:val="88"/>
              </w:rPr>
              <w:t xml:space="preserve">2031-2034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4"/>
          <w:szCs w:val="14"/>
          <w:color w:val="auto"/>
        </w:rPr>
        <w:t>Indicates the Partnership’s owned and bareboat fleet as of November 16, 2023.</w:t>
      </w:r>
    </w:p>
    <w:p>
      <w:pPr>
        <w:spacing w:after="0" w:line="23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21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21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 xml:space="preserve">The vessel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was renamed to </w:t>
      </w:r>
      <w:r>
        <w:rPr>
          <w:rFonts w:ascii="Arial" w:cs="Arial" w:eastAsia="Arial" w:hAnsi="Arial"/>
          <w:sz w:val="14"/>
          <w:szCs w:val="14"/>
          <w:i w:val="1"/>
          <w:iCs w:val="1"/>
          <w:color w:val="auto"/>
        </w:rPr>
        <w:t>Alexandroupolis</w:t>
      </w:r>
      <w:r>
        <w:rPr>
          <w:rFonts w:ascii="Arial" w:cs="Arial" w:eastAsia="Arial" w:hAnsi="Arial"/>
          <w:sz w:val="14"/>
          <w:szCs w:val="14"/>
          <w:color w:val="auto"/>
        </w:rPr>
        <w:t xml:space="preserve"> in 2023. The vessel is currently undergoing conversion into an FSRU.</w:t>
      </w:r>
    </w:p>
    <w:p>
      <w:pPr>
        <w:spacing w:after="0" w:line="217" w:lineRule="exact"/>
        <w:rPr>
          <w:rFonts w:ascii="Arial" w:cs="Arial" w:eastAsia="Arial" w:hAnsi="Arial"/>
          <w:sz w:val="12"/>
          <w:szCs w:val="12"/>
          <w:color w:val="auto"/>
        </w:rPr>
      </w:pPr>
    </w:p>
    <w:p>
      <w:pPr>
        <w:jc w:val="both"/>
        <w:ind w:left="340" w:right="180" w:hanging="332"/>
        <w:spacing w:after="0" w:line="23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 xml:space="preserve">The vessel is chartered to Cheniere Marketing International LLP, a wholly owned subsidiary of Cheniere Energy, Inc. (“Cheniere”). Cheniere has the right to extend the charters of (a) the </w:t>
      </w:r>
      <w:r>
        <w:rPr>
          <w:rFonts w:ascii="Arial" w:cs="Arial" w:eastAsia="Arial" w:hAnsi="Arial"/>
          <w:sz w:val="14"/>
          <w:szCs w:val="14"/>
          <w:i w:val="1"/>
          <w:iCs w:val="1"/>
          <w:color w:val="auto"/>
        </w:rPr>
        <w:t>GasLog Georgetown</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Galveston, </w:t>
      </w:r>
      <w:r>
        <w:rPr>
          <w:rFonts w:ascii="Arial" w:cs="Arial" w:eastAsia="Arial" w:hAnsi="Arial"/>
          <w:sz w:val="14"/>
          <w:szCs w:val="14"/>
          <w:color w:val="auto"/>
        </w:rPr>
        <w:t>the</w:t>
      </w:r>
      <w:r>
        <w:rPr>
          <w:rFonts w:ascii="Arial" w:cs="Arial" w:eastAsia="Arial" w:hAnsi="Arial"/>
          <w:sz w:val="14"/>
          <w:szCs w:val="14"/>
          <w:i w:val="1"/>
          <w:iCs w:val="1"/>
          <w:color w:val="auto"/>
        </w:rPr>
        <w:t xml:space="preserve"> GasLog Wellington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Winchester </w:t>
      </w:r>
      <w:r>
        <w:rPr>
          <w:rFonts w:ascii="Arial" w:cs="Arial" w:eastAsia="Arial" w:hAnsi="Arial"/>
          <w:sz w:val="14"/>
          <w:szCs w:val="14"/>
          <w:color w:val="auto"/>
        </w:rPr>
        <w:t>by three consecutive periods of three years, two years and two years and (b) the</w:t>
      </w:r>
      <w:r>
        <w:rPr>
          <w:rFonts w:ascii="Arial" w:cs="Arial" w:eastAsia="Arial" w:hAnsi="Arial"/>
          <w:sz w:val="14"/>
          <w:szCs w:val="14"/>
          <w:i w:val="1"/>
          <w:iCs w:val="1"/>
          <w:color w:val="auto"/>
        </w:rPr>
        <w:t xml:space="preserve"> Methane Jane Elizabeth </w:t>
      </w:r>
      <w:r>
        <w:rPr>
          <w:rFonts w:ascii="Arial" w:cs="Arial" w:eastAsia="Arial" w:hAnsi="Arial"/>
          <w:sz w:val="14"/>
          <w:szCs w:val="14"/>
          <w:color w:val="auto"/>
        </w:rPr>
        <w:t>by an additional period of one year, provided that Cheniere gives us advance notice of the declarations.</w:t>
      </w:r>
    </w:p>
    <w:p>
      <w:pPr>
        <w:spacing w:after="0" w:line="182"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a Swiss-headquartered energy trading company.</w:t>
      </w:r>
    </w:p>
    <w:p>
      <w:pPr>
        <w:spacing w:after="0" w:line="21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charterer has the right to extend the charter by an additional period of one year, provided that the charterer gives us advance notice of the declaration.</w:t>
      </w:r>
    </w:p>
    <w:p>
      <w:pPr>
        <w:spacing w:after="0" w:line="21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CNTIC VPower may extend the term of the related charter by an additional period of one year, provided that the charterer gives us advance notice of declaration.</w:t>
      </w:r>
    </w:p>
    <w:p>
      <w:pPr>
        <w:spacing w:after="0" w:line="217" w:lineRule="exact"/>
        <w:rPr>
          <w:rFonts w:ascii="Arial" w:cs="Arial" w:eastAsia="Arial" w:hAnsi="Arial"/>
          <w:sz w:val="12"/>
          <w:szCs w:val="12"/>
          <w:color w:val="auto"/>
        </w:rPr>
      </w:pPr>
    </w:p>
    <w:p>
      <w:pPr>
        <w:ind w:left="340" w:right="220" w:hanging="332"/>
        <w:spacing w:after="0" w:line="264" w:lineRule="auto"/>
        <w:tabs>
          <w:tab w:leader="none" w:pos="340" w:val="left"/>
        </w:tabs>
        <w:numPr>
          <w:ilvl w:val="0"/>
          <w:numId w:val="4"/>
        </w:numPr>
        <w:rPr>
          <w:rFonts w:ascii="Arial" w:cs="Arial" w:eastAsia="Arial" w:hAnsi="Arial"/>
          <w:sz w:val="11"/>
          <w:szCs w:val="11"/>
          <w:color w:val="auto"/>
        </w:rPr>
      </w:pPr>
      <w:r>
        <w:rPr>
          <w:rFonts w:ascii="Arial" w:cs="Arial" w:eastAsia="Arial" w:hAnsi="Arial"/>
          <w:sz w:val="13"/>
          <w:szCs w:val="13"/>
          <w:color w:val="auto"/>
        </w:rPr>
        <w:t xml:space="preserve">The vessel is chartered to a wholly owned subsidiary of Shell plc (“Shell”). Shell has the right to extend the charters of (a)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Gladstone </w:t>
      </w:r>
      <w:r>
        <w:rPr>
          <w:rFonts w:ascii="Arial" w:cs="Arial" w:eastAsia="Arial" w:hAnsi="Arial"/>
          <w:sz w:val="13"/>
          <w:szCs w:val="13"/>
          <w:color w:val="auto"/>
        </w:rPr>
        <w:t>by two additional periods of three years, (b)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for a period of either three or five years, (c) the</w:t>
      </w:r>
      <w:r>
        <w:rPr>
          <w:rFonts w:ascii="Arial" w:cs="Arial" w:eastAsia="Arial" w:hAnsi="Arial"/>
          <w:sz w:val="13"/>
          <w:szCs w:val="13"/>
          <w:i w:val="1"/>
          <w:iCs w:val="1"/>
          <w:color w:val="auto"/>
        </w:rPr>
        <w:t xml:space="preserve"> GasLog Greece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for a period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five years and (d)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for a period of three years, provided that Shell gives us advance notice of the declarations.</w:t>
      </w:r>
    </w:p>
    <w:p>
      <w:pPr>
        <w:spacing w:after="0" w:line="168" w:lineRule="exact"/>
        <w:rPr>
          <w:rFonts w:ascii="Arial" w:cs="Arial" w:eastAsia="Arial" w:hAnsi="Arial"/>
          <w:sz w:val="11"/>
          <w:szCs w:val="11"/>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Trafigura Maritime Logistics PTE Ltd. (“Trafigura”).</w:t>
      </w:r>
    </w:p>
    <w:p>
      <w:pPr>
        <w:spacing w:after="0" w:line="21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charterer has the right to extend the charter by an additional period of one year, provided that the charterer gives us advance notice of the declaration.</w:t>
      </w:r>
    </w:p>
    <w:p>
      <w:pPr>
        <w:spacing w:after="0" w:line="217"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Pioneer Shipping Limited, a wholly owned subsidiary of Centrica plc (“Centrica”). Centrica has the right to extend the charter by three additional periods of two years, provided that Centrica gives us advance notice of declaration.</w:t>
      </w:r>
    </w:p>
    <w:p>
      <w:pPr>
        <w:spacing w:after="0" w:line="173" w:lineRule="exact"/>
        <w:rPr>
          <w:rFonts w:ascii="Arial" w:cs="Arial" w:eastAsia="Arial" w:hAnsi="Arial"/>
          <w:sz w:val="12"/>
          <w:szCs w:val="12"/>
          <w:color w:val="auto"/>
        </w:rPr>
      </w:pPr>
    </w:p>
    <w:p>
      <w:pPr>
        <w:ind w:left="340" w:right="30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173"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Tokyo LNG Tanker Co. Ltd. (“Tokyo LNG”).</w:t>
      </w:r>
    </w:p>
    <w:p>
      <w:pPr>
        <w:spacing w:after="0" w:line="21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Mitsui &amp; Co., Ltd. (“Mitsui”).</w:t>
      </w:r>
    </w:p>
    <w:p>
      <w:pPr>
        <w:spacing w:after="0" w:line="217" w:lineRule="exact"/>
        <w:rPr>
          <w:rFonts w:ascii="Arial" w:cs="Arial" w:eastAsia="Arial" w:hAnsi="Arial"/>
          <w:sz w:val="12"/>
          <w:szCs w:val="12"/>
          <w:color w:val="auto"/>
        </w:rPr>
      </w:pPr>
    </w:p>
    <w:p>
      <w:pPr>
        <w:ind w:left="340" w:right="18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Woodside Energy Shipping Singapore Pte. Ltd. (“Woodside”). The charterer has the right to extend the charter by an additional period of one year, provided that the charterer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a Southeast Asian charterer (“SEA Charterer”).</w:t>
      </w:r>
    </w:p>
    <w:p>
      <w:pPr>
        <w:spacing w:after="0" w:line="217" w:lineRule="exact"/>
        <w:rPr>
          <w:rFonts w:ascii="Arial" w:cs="Arial" w:eastAsia="Arial" w:hAnsi="Arial"/>
          <w:sz w:val="12"/>
          <w:szCs w:val="12"/>
          <w:color w:val="auto"/>
        </w:rPr>
      </w:pPr>
    </w:p>
    <w:p>
      <w:pPr>
        <w:ind w:left="340" w:right="320" w:hanging="332"/>
        <w:spacing w:after="0" w:line="25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vessel is chartered to Clearlake Shipping Pte. Ltd., a wholly owned subsidiary of Gunvor Group Ltd. (“Gunvor”).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Deliveries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 w:name="page10"/>
    <w:bookmarkEnd w:id="9"/>
    <w:p>
      <w:pPr>
        <w:ind w:right="100" w:firstLine="324"/>
        <w:spacing w:after="0" w:line="293" w:lineRule="auto"/>
        <w:rPr>
          <w:sz w:val="20"/>
          <w:szCs w:val="20"/>
          <w:color w:val="auto"/>
        </w:rPr>
      </w:pPr>
      <w:r>
        <w:rPr>
          <w:rFonts w:ascii="Arial" w:cs="Arial" w:eastAsia="Arial" w:hAnsi="Arial"/>
          <w:sz w:val="16"/>
          <w:szCs w:val="16"/>
          <w:color w:val="auto"/>
        </w:rPr>
        <w:t>As of November 16, 2023, GasLog has four newbuildings on order at Daewoo Shipbuilding and Marine Engineering Co., Ltd., which was acquired by Hanwha Ocean Co. Ltd., an affiliate of the Hanwha Group: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Cargo</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Estimated Charter</w:t>
            </w:r>
          </w:p>
        </w:tc>
        <w:tc>
          <w:tcPr>
            <w:tcW w:w="0" w:type="dxa"/>
            <w:vAlign w:val="bottom"/>
          </w:tcPr>
          <w:p>
            <w:pPr>
              <w:spacing w:after="0"/>
              <w:rPr>
                <w:sz w:val="1"/>
                <w:szCs w:val="1"/>
                <w:color w:val="auto"/>
              </w:rPr>
            </w:pPr>
          </w:p>
        </w:tc>
      </w:tr>
      <w:tr>
        <w:trPr>
          <w:trHeight w:val="163"/>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60"/>
              <w:spacing w:after="0" w:line="163" w:lineRule="exact"/>
              <w:rPr>
                <w:sz w:val="20"/>
                <w:szCs w:val="20"/>
                <w:color w:val="auto"/>
              </w:rPr>
            </w:pPr>
            <w:r>
              <w:rPr>
                <w:rFonts w:ascii="Arial" w:cs="Arial" w:eastAsia="Arial" w:hAnsi="Arial"/>
                <w:sz w:val="16"/>
                <w:szCs w:val="16"/>
                <w:b w:val="1"/>
                <w:bCs w:val="1"/>
                <w:color w:val="auto"/>
                <w:w w:val="92"/>
              </w:rPr>
              <w:t>Capacity</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9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Expected Delivery</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900" w:type="dxa"/>
            <w:vAlign w:val="bottom"/>
            <w:gridSpan w:val="2"/>
          </w:tcPr>
          <w:p>
            <w:pPr>
              <w:jc w:val="center"/>
              <w:ind w:right="100"/>
              <w:spacing w:after="0" w:line="256"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6"/>
                <w:szCs w:val="26"/>
                <w:b w:val="1"/>
                <w:bCs w:val="1"/>
                <w:color w:val="auto"/>
                <w:w w:val="87"/>
                <w:vertAlign w:val="superscript"/>
              </w:rPr>
              <w:t>(1)</w:t>
            </w:r>
          </w:p>
        </w:tc>
        <w:tc>
          <w:tcPr>
            <w:tcW w:w="1680" w:type="dxa"/>
            <w:vAlign w:val="bottom"/>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(2)</w:t>
            </w:r>
          </w:p>
        </w:tc>
        <w:tc>
          <w:tcPr>
            <w:tcW w:w="0" w:type="dxa"/>
            <w:vAlign w:val="bottom"/>
          </w:tcPr>
          <w:p>
            <w:pPr>
              <w:spacing w:after="0"/>
              <w:rPr>
                <w:sz w:val="1"/>
                <w:szCs w:val="1"/>
                <w:color w:val="auto"/>
              </w:rPr>
            </w:pPr>
          </w:p>
        </w:tc>
      </w:tr>
      <w:tr>
        <w:trPr>
          <w:trHeight w:val="186"/>
        </w:trPr>
        <w:tc>
          <w:tcPr>
            <w:tcW w:w="1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Multinational Oil and Gas</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Hull No. 2532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Q3 2024</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Company</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MEGI</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Hull No. 2533</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Q3 2024</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Mitsui</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MEGI</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Hull No. 2534</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Q3 2025</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Woodside</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MEGI</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c>
          <w:tcPr>
            <w:tcW w:w="0" w:type="dxa"/>
            <w:vAlign w:val="bottom"/>
          </w:tcPr>
          <w:p>
            <w:pPr>
              <w:spacing w:after="0"/>
              <w:rPr>
                <w:sz w:val="1"/>
                <w:szCs w:val="1"/>
                <w:color w:val="auto"/>
              </w:rPr>
            </w:pPr>
          </w:p>
        </w:tc>
      </w:tr>
      <w:tr>
        <w:trPr>
          <w:trHeight w:val="206"/>
        </w:trPr>
        <w:tc>
          <w:tcPr>
            <w:tcW w:w="1940" w:type="dxa"/>
            <w:vAlign w:val="bottom"/>
            <w:gridSpan w:val="2"/>
          </w:tcPr>
          <w:p>
            <w:pPr>
              <w:spacing w:after="0"/>
              <w:rPr>
                <w:sz w:val="20"/>
                <w:szCs w:val="20"/>
                <w:color w:val="auto"/>
              </w:rPr>
            </w:pPr>
            <w:r>
              <w:rPr>
                <w:rFonts w:ascii="Arial" w:cs="Arial" w:eastAsia="Arial" w:hAnsi="Arial"/>
                <w:sz w:val="16"/>
                <w:szCs w:val="16"/>
                <w:color w:val="auto"/>
              </w:rPr>
              <w:t>Hull No. 2535</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Q4 2025</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Woodside</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MEGI</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M-type, Electronically controlled Gas Injection (“MEGI”) engine.</w:t>
      </w:r>
    </w:p>
    <w:p>
      <w:pPr>
        <w:spacing w:after="0" w:line="13"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Charter expiration to be determined based upon actual date of delivery.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20" w:firstLine="324"/>
        <w:spacing w:after="0" w:line="287"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the Partnership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3, 2023 and the Partnership's Annual Report on Form 20-F filed with the SEC on March 6, 2023, each available at http://www.sec.gov. Accordingly, you should not unduly rely on any forward-looking statements.</w:t>
      </w:r>
    </w:p>
    <w:p>
      <w:pPr>
        <w:spacing w:after="0" w:line="182" w:lineRule="exact"/>
        <w:rPr>
          <w:sz w:val="20"/>
          <w:szCs w:val="20"/>
          <w:color w:val="auto"/>
        </w:rPr>
      </w:pPr>
    </w:p>
    <w:p>
      <w:pPr>
        <w:jc w:val="both"/>
        <w:ind w:right="14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 of GasLog Ltd. and its Subsidiaries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56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5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b w:val="1"/>
                <w:bCs w:val="1"/>
                <w:color w:val="auto"/>
              </w:rPr>
              <w:t>As of December 31, 2022 and September 30, 2023</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7560" w:type="dxa"/>
            <w:vAlign w:val="bottom"/>
          </w:tcPr>
          <w:p>
            <w:pPr>
              <w:spacing w:after="0"/>
              <w:rPr>
                <w:sz w:val="24"/>
                <w:szCs w:val="24"/>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2022</w:t>
            </w: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2"/>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9,511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28,823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43,209</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8,778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8,273</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2,092</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13,225</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Tangible fixed assets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4,514,663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3,945,404</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Vessels under construction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210,099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476,560</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Right-of-use assets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416,485</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494,056</w:t>
            </w:r>
          </w:p>
        </w:tc>
        <w:tc>
          <w:tcPr>
            <w:tcW w:w="0" w:type="dxa"/>
            <w:vAlign w:val="bottom"/>
          </w:tcPr>
          <w:p>
            <w:pPr>
              <w:spacing w:after="0"/>
              <w:rPr>
                <w:sz w:val="1"/>
                <w:szCs w:val="1"/>
                <w:color w:val="auto"/>
              </w:rPr>
            </w:pPr>
          </w:p>
        </w:tc>
      </w:tr>
      <w:tr>
        <w:trPr>
          <w:trHeight w:val="19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5,203,676</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4,980,780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22,897</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31,705</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61</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25,383</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Inventories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8,483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8,509</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7,262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11,014</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Short-term cash deposits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36,000</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38,582</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368,286</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172,828</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468,372</w:t>
            </w:r>
          </w:p>
        </w:tc>
        <w:tc>
          <w:tcPr>
            <w:tcW w:w="22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263,252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5,672,048</w:t>
            </w: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5,244,032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6"/>
                <w:szCs w:val="16"/>
                <w:color w:val="auto"/>
              </w:rPr>
              <w:t>Preference shares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46</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954</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Contributed surplus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658,888</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1,038,226</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16,464</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14,494</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Retained earnings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108,685</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162,579</w:t>
            </w:r>
          </w:p>
        </w:tc>
        <w:tc>
          <w:tcPr>
            <w:tcW w:w="0" w:type="dxa"/>
            <w:vAlign w:val="bottom"/>
          </w:tcPr>
          <w:p>
            <w:pPr>
              <w:spacing w:after="0"/>
              <w:rPr>
                <w:sz w:val="1"/>
                <w:szCs w:val="1"/>
                <w:color w:val="auto"/>
              </w:rPr>
            </w:pPr>
          </w:p>
        </w:tc>
      </w:tr>
      <w:tr>
        <w:trPr>
          <w:trHeight w:val="19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785,037</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1,216,299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936,741</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280,045</w:t>
            </w:r>
          </w:p>
        </w:tc>
        <w:tc>
          <w:tcPr>
            <w:tcW w:w="0" w:type="dxa"/>
            <w:vAlign w:val="bottom"/>
          </w:tcPr>
          <w:p>
            <w:pPr>
              <w:spacing w:after="0"/>
              <w:rPr>
                <w:sz w:val="1"/>
                <w:szCs w:val="1"/>
                <w:color w:val="auto"/>
              </w:rPr>
            </w:pPr>
          </w:p>
        </w:tc>
      </w:tr>
      <w:tr>
        <w:trPr>
          <w:trHeight w:val="19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1,721,778</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1,496,344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Trade accounts payable</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19,725</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12,562</w:t>
            </w: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6"/>
                <w:szCs w:val="16"/>
                <w:color w:val="auto"/>
              </w:rPr>
              <w:t>Ship management creditors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related parties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2,834</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10,380</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accruals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166,932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161,749</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Borrowings, 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294,977</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332,305</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48,548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70,837</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533,056</w:t>
            </w:r>
          </w:p>
        </w:tc>
        <w:tc>
          <w:tcPr>
            <w:tcW w:w="22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588,119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5,498</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8,656</w:t>
            </w:r>
          </w:p>
        </w:tc>
        <w:tc>
          <w:tcPr>
            <w:tcW w:w="0" w:type="dxa"/>
            <w:vAlign w:val="bottom"/>
          </w:tcPr>
          <w:p>
            <w:pPr>
              <w:spacing w:after="0"/>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Borrowings, non-current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3,004,767</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2,590,309</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Lease liabilities, non-current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287,828</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330,061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119,121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230,543</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3,417,214</w:t>
            </w:r>
          </w:p>
        </w:tc>
        <w:tc>
          <w:tcPr>
            <w:tcW w:w="22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3,159,569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5,672,048</w:t>
            </w: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5,244,032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7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55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b w:val="1"/>
                <w:bCs w:val="1"/>
                <w:color w:val="auto"/>
              </w:rPr>
              <w:t>For the three and nine months ended September 30, 2022 and 2023</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4"/>
        </w:trPr>
        <w:tc>
          <w:tcPr>
            <w:tcW w:w="5520" w:type="dxa"/>
            <w:vAlign w:val="bottom"/>
          </w:tcPr>
          <w:p>
            <w:pPr>
              <w:spacing w:after="0"/>
              <w:rPr>
                <w:sz w:val="24"/>
                <w:szCs w:val="24"/>
                <w:color w:val="auto"/>
              </w:rPr>
            </w:pP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September</w:t>
            </w:r>
          </w:p>
        </w:tc>
        <w:tc>
          <w:tcPr>
            <w:tcW w:w="14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September</w:t>
            </w:r>
          </w:p>
        </w:tc>
        <w:tc>
          <w:tcPr>
            <w:tcW w:w="14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September</w:t>
            </w:r>
          </w:p>
        </w:tc>
        <w:tc>
          <w:tcPr>
            <w:tcW w:w="13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September</w:t>
            </w: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30, 2022</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30, 2023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30, 2022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30, 2023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241,918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229,018</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671,737</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(3,757)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(4,500)</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(11,084)</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(14,218)</w:t>
            </w:r>
          </w:p>
        </w:tc>
      </w:tr>
      <w:tr>
        <w:trPr>
          <w:trHeight w:val="202"/>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and supervision costs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(39,091)</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(40,180)</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(125,174)</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(118,591)</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(57,233)</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(61,355)</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(170,074)</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(177,489)</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(56,911)</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(11,740)</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(167)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(749)</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(744)</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(2,058)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(5,706)</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(10,667)</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(22,608)</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(27,873)</w:t>
            </w: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135,964</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111,567</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285,142</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336,114</w:t>
            </w:r>
          </w:p>
        </w:tc>
        <w:tc>
          <w:tcPr>
            <w:tcW w:w="100" w:type="dxa"/>
            <w:vAlign w:val="bottom"/>
            <w:tcBorders>
              <w:bottom w:val="single" w:sz="8" w:color="CCEEFF"/>
            </w:tcBorders>
            <w:gridSpan w:val="2"/>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(66,500)</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(126,173)</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(194,554)</w:t>
            </w:r>
          </w:p>
        </w:tc>
        <w:tc>
          <w:tcPr>
            <w:tcW w:w="100" w:type="dxa"/>
            <w:vAlign w:val="bottom"/>
            <w:gridSpan w:val="2"/>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1,081</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2,815</w:t>
            </w:r>
          </w:p>
        </w:tc>
        <w:tc>
          <w:tcPr>
            <w:tcW w:w="1220" w:type="dxa"/>
            <w:vAlign w:val="bottom"/>
          </w:tcPr>
          <w:p>
            <w:pPr>
              <w:jc w:val="right"/>
              <w:spacing w:after="0"/>
              <w:rPr>
                <w:sz w:val="20"/>
                <w:szCs w:val="20"/>
                <w:color w:val="auto"/>
              </w:rPr>
            </w:pPr>
            <w:r>
              <w:rPr>
                <w:rFonts w:ascii="Arial" w:cs="Arial" w:eastAsia="Arial" w:hAnsi="Arial"/>
                <w:sz w:val="16"/>
                <w:szCs w:val="16"/>
                <w:color w:val="auto"/>
              </w:rPr>
              <w:t>1,493</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12,740</w:t>
            </w:r>
          </w:p>
        </w:tc>
        <w:tc>
          <w:tcPr>
            <w:tcW w:w="80" w:type="dxa"/>
            <w:vAlign w:val="bottom"/>
          </w:tcPr>
          <w:p>
            <w:pPr>
              <w:spacing w:after="0"/>
              <w:rPr>
                <w:sz w:val="17"/>
                <w:szCs w:val="17"/>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21,611</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(2,090)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8,383</w:t>
            </w:r>
          </w:p>
        </w:tc>
        <w:tc>
          <w:tcPr>
            <w:tcW w:w="80" w:type="dxa"/>
            <w:vAlign w:val="bottom"/>
            <w:shd w:val="clear" w:color="auto" w:fill="CCEEFF"/>
          </w:tcPr>
          <w:p>
            <w:pPr>
              <w:spacing w:after="0"/>
              <w:rPr>
                <w:sz w:val="17"/>
                <w:szCs w:val="17"/>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Share of (loss)/profit of associates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(195)</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659</w:t>
            </w:r>
          </w:p>
        </w:tc>
        <w:tc>
          <w:tcPr>
            <w:tcW w:w="1220" w:type="dxa"/>
            <w:vAlign w:val="bottom"/>
          </w:tcPr>
          <w:p>
            <w:pPr>
              <w:jc w:val="right"/>
              <w:spacing w:after="0"/>
              <w:rPr>
                <w:sz w:val="20"/>
                <w:szCs w:val="20"/>
                <w:color w:val="auto"/>
              </w:rPr>
            </w:pPr>
            <w:r>
              <w:rPr>
                <w:rFonts w:ascii="Arial" w:cs="Arial" w:eastAsia="Arial" w:hAnsi="Arial"/>
                <w:sz w:val="16"/>
                <w:szCs w:val="16"/>
                <w:color w:val="auto"/>
              </w:rPr>
              <w:t>740</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2,184</w:t>
            </w:r>
          </w:p>
        </w:tc>
        <w:tc>
          <w:tcPr>
            <w:tcW w:w="80" w:type="dxa"/>
            <w:vAlign w:val="bottom"/>
          </w:tcPr>
          <w:p>
            <w:pPr>
              <w:spacing w:after="0"/>
              <w:rPr>
                <w:sz w:val="18"/>
                <w:szCs w:val="18"/>
                <w:color w:val="auto"/>
              </w:rPr>
            </w:pPr>
          </w:p>
        </w:tc>
      </w:tr>
      <w:tr>
        <w:trPr>
          <w:trHeight w:val="19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(26,841</w:t>
            </w:r>
          </w:p>
        </w:tc>
        <w:tc>
          <w:tcPr>
            <w:tcW w:w="24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(65,116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(56,598</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(171,247</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47"/>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109,123</w:t>
            </w: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46,451</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228,544</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164,867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Attributable to: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Owners of the Group</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77,917</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39,513</w:t>
            </w:r>
          </w:p>
        </w:tc>
        <w:tc>
          <w:tcPr>
            <w:tcW w:w="1220" w:type="dxa"/>
            <w:vAlign w:val="bottom"/>
          </w:tcPr>
          <w:p>
            <w:pPr>
              <w:jc w:val="right"/>
              <w:spacing w:after="0"/>
              <w:rPr>
                <w:sz w:val="20"/>
                <w:szCs w:val="20"/>
                <w:color w:val="auto"/>
              </w:rPr>
            </w:pPr>
            <w:r>
              <w:rPr>
                <w:rFonts w:ascii="Arial" w:cs="Arial" w:eastAsia="Arial" w:hAnsi="Arial"/>
                <w:sz w:val="16"/>
                <w:szCs w:val="16"/>
                <w:color w:val="auto"/>
              </w:rPr>
              <w:t>168,441</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104,341</w:t>
            </w:r>
          </w:p>
        </w:tc>
        <w:tc>
          <w:tcPr>
            <w:tcW w:w="80" w:type="dxa"/>
            <w:vAlign w:val="bottom"/>
          </w:tcPr>
          <w:p>
            <w:pPr>
              <w:spacing w:after="0"/>
              <w:rPr>
                <w:sz w:val="17"/>
                <w:szCs w:val="17"/>
                <w:color w:val="auto"/>
              </w:rPr>
            </w:pPr>
          </w:p>
        </w:tc>
      </w:tr>
      <w:tr>
        <w:trPr>
          <w:trHeight w:val="21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31,206</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6,938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60,526</w:t>
            </w:r>
          </w:p>
        </w:tc>
        <w:tc>
          <w:tcPr>
            <w:tcW w:w="8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520" w:type="dxa"/>
            <w:vAlign w:val="bottom"/>
          </w:tcPr>
          <w:p>
            <w:pPr>
              <w:spacing w:after="0"/>
              <w:rPr>
                <w:sz w:val="19"/>
                <w:szCs w:val="19"/>
                <w:color w:val="auto"/>
              </w:rPr>
            </w:pPr>
          </w:p>
        </w:tc>
        <w:tc>
          <w:tcPr>
            <w:tcW w:w="15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109,123</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46,451</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228,544</w:t>
            </w: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164,867</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9"/>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4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For the nine months ended September 30, 2022 and 2023</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8440" w:type="dxa"/>
            <w:vAlign w:val="bottom"/>
          </w:tcPr>
          <w:p>
            <w:pPr>
              <w:spacing w:after="0"/>
              <w:rPr>
                <w:sz w:val="24"/>
                <w:szCs w:val="24"/>
                <w:color w:val="auto"/>
              </w:rPr>
            </w:pPr>
          </w:p>
        </w:tc>
        <w:tc>
          <w:tcPr>
            <w:tcW w:w="280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8440" w:type="dxa"/>
            <w:vAlign w:val="bottom"/>
          </w:tcPr>
          <w:p>
            <w:pPr>
              <w:spacing w:after="0"/>
              <w:rPr>
                <w:sz w:val="17"/>
                <w:szCs w:val="17"/>
                <w:color w:val="auto"/>
              </w:rPr>
            </w:pPr>
          </w:p>
        </w:tc>
        <w:tc>
          <w:tcPr>
            <w:tcW w:w="14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8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3"/>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tcPr>
          <w:p>
            <w:pPr>
              <w:jc w:val="right"/>
              <w:spacing w:after="0"/>
              <w:rPr>
                <w:sz w:val="20"/>
                <w:szCs w:val="20"/>
                <w:color w:val="auto"/>
              </w:rPr>
            </w:pPr>
            <w:r>
              <w:rPr>
                <w:rFonts w:ascii="Arial" w:cs="Arial" w:eastAsia="Arial" w:hAnsi="Arial"/>
                <w:sz w:val="16"/>
                <w:szCs w:val="16"/>
                <w:color w:val="auto"/>
              </w:rPr>
              <w:t>228,544</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164,867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170,074</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177,489</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56,911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11,740</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744</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2,058</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Share of profit of associates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(740)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(2,184)</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Financial income</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(1,493)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(12,740)</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194,554</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Gain on derivatives (excluding realized loss/gain on forward foreign exchange contracts held for trading)</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(71,218)</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(5,621)</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Unrealized foreign exchange losses on short-term cash deposits</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r>
      <w:tr>
        <w:trPr>
          <w:trHeight w:val="213"/>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Share-based compensation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CEEFF"/>
            </w:tcBorders>
          </w:tcPr>
          <w:p>
            <w:pPr>
              <w:spacing w:after="0"/>
              <w:rPr>
                <w:sz w:val="18"/>
                <w:szCs w:val="18"/>
                <w:color w:val="auto"/>
              </w:rPr>
            </w:pPr>
          </w:p>
        </w:tc>
      </w:tr>
      <w:tr>
        <w:trPr>
          <w:trHeight w:val="213"/>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509,607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531,582</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Movements in working capital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(37,361</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(28,624</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472,246</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502,958</w:t>
            </w:r>
          </w:p>
        </w:tc>
        <w:tc>
          <w:tcPr>
            <w:tcW w:w="100" w:type="dxa"/>
            <w:vAlign w:val="bottom"/>
            <w:shd w:val="clear" w:color="auto" w:fill="CCEEFF"/>
          </w:tcPr>
          <w:p>
            <w:pPr>
              <w:spacing w:after="0"/>
              <w:rPr>
                <w:sz w:val="17"/>
                <w:szCs w:val="17"/>
                <w:color w:val="auto"/>
              </w:rPr>
            </w:pPr>
          </w:p>
        </w:tc>
      </w:tr>
      <w:tr>
        <w:trPr>
          <w:trHeight w:val="207"/>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(125,847)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(171,416)</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Proceeds from sale and sale and leasebacks of tangible fixed assets, net</w:t>
            </w:r>
          </w:p>
        </w:tc>
        <w:tc>
          <w:tcPr>
            <w:tcW w:w="1240" w:type="dxa"/>
            <w:vAlign w:val="bottom"/>
          </w:tcPr>
          <w:p>
            <w:pPr>
              <w:jc w:val="right"/>
              <w:spacing w:after="0"/>
              <w:rPr>
                <w:sz w:val="20"/>
                <w:szCs w:val="20"/>
                <w:color w:val="auto"/>
              </w:rPr>
            </w:pPr>
            <w:r>
              <w:rPr>
                <w:rFonts w:ascii="Arial" w:cs="Arial" w:eastAsia="Arial" w:hAnsi="Arial"/>
                <w:sz w:val="16"/>
                <w:szCs w:val="16"/>
                <w:color w:val="auto"/>
              </w:rPr>
              <w:t>177,032</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331,998</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FSRU forthcoming sale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92,780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107,088</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Other investments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(579)</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(13,377)</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Payments for right-of-use assets</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(8,998)</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750</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Purchase of short-term cash deposits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(25,000)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(117,144)</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Maturity of short-term cash deposits</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114,500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received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12,489</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investing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119,390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255,890</w:t>
            </w:r>
          </w:p>
        </w:tc>
        <w:tc>
          <w:tcPr>
            <w:tcW w:w="100" w:type="dxa"/>
            <w:vAlign w:val="bottom"/>
            <w:tcBorders>
              <w:bottom w:val="single" w:sz="8" w:color="CCEEFF"/>
            </w:tcBorders>
          </w:tcPr>
          <w:p>
            <w:pPr>
              <w:spacing w:after="0"/>
              <w:rPr>
                <w:sz w:val="17"/>
                <w:szCs w:val="17"/>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Proceeds from loans and bonds, net of discount</w:t>
            </w:r>
          </w:p>
        </w:tc>
        <w:tc>
          <w:tcPr>
            <w:tcW w:w="1240" w:type="dxa"/>
            <w:vAlign w:val="bottom"/>
          </w:tcPr>
          <w:p>
            <w:pPr>
              <w:jc w:val="right"/>
              <w:spacing w:after="0"/>
              <w:rPr>
                <w:sz w:val="20"/>
                <w:szCs w:val="20"/>
                <w:color w:val="auto"/>
              </w:rPr>
            </w:pPr>
            <w:r>
              <w:rPr>
                <w:rFonts w:ascii="Arial" w:cs="Arial" w:eastAsia="Arial" w:hAnsi="Arial"/>
                <w:sz w:val="16"/>
                <w:szCs w:val="16"/>
                <w:color w:val="auto"/>
              </w:rPr>
              <w:t>333,248</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152,960</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(648,553)</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(533,207)</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Principal elements of lease payments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(29,835)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(45,689)</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(122,105)</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(175,978)</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Release of cash collaterals for swaps</w:t>
            </w:r>
          </w:p>
        </w:tc>
        <w:tc>
          <w:tcPr>
            <w:tcW w:w="1240" w:type="dxa"/>
            <w:vAlign w:val="bottom"/>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Payment of loan and bond issuance costs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(4,652)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(2,612)</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Proceeds from interest rate swaps termination</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35,789</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Payment of equity raising costs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Merger consideration – Transaction</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(197,528)</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(common and preference)</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(79,362)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(187,170)</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Repurchase of GasLog’s and GasLog Partners’ preference shares/units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(38,740)</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(1,142)</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(589,029</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(954,577</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7"/>
                <w:szCs w:val="17"/>
                <w:color w:val="auto"/>
              </w:rPr>
            </w:pP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(195,458</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282,246</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368,286</w:t>
            </w:r>
          </w:p>
        </w:tc>
        <w:tc>
          <w:tcPr>
            <w:tcW w:w="100" w:type="dxa"/>
            <w:vAlign w:val="bottom"/>
            <w:tcBorders>
              <w:bottom w:val="single" w:sz="8" w:color="CCEEFF"/>
            </w:tcBorders>
          </w:tcPr>
          <w:p>
            <w:pPr>
              <w:spacing w:after="0"/>
              <w:rPr>
                <w:sz w:val="17"/>
                <w:szCs w:val="17"/>
                <w:color w:val="auto"/>
              </w:rPr>
            </w:pPr>
          </w:p>
        </w:tc>
      </w:tr>
      <w:tr>
        <w:trPr>
          <w:trHeight w:val="207"/>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283,997</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172,828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Profit</w:t>
      </w:r>
    </w:p>
    <w:p>
      <w:pPr>
        <w:spacing w:after="0" w:line="239"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2021 take-private transaction with BlackRock’s Global Energy &amp; Power Infrastructure team and the Transaction (collectively such costs, the “Transaction Costs”). Adjusted Profit represents earnings before write-off and accelerated amortization of unamortized loan fees/bond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w:t>
      </w:r>
    </w:p>
    <w:p>
      <w:pPr>
        <w:spacing w:after="0" w:line="3" w:lineRule="exact"/>
        <w:rPr>
          <w:sz w:val="20"/>
          <w:szCs w:val="20"/>
          <w:color w:val="auto"/>
        </w:rPr>
      </w:pPr>
    </w:p>
    <w:p>
      <w:pPr>
        <w:ind w:right="20" w:firstLine="8"/>
        <w:spacing w:after="0" w:line="285" w:lineRule="auto"/>
        <w:tabs>
          <w:tab w:leader="none" w:pos="229" w:val="left"/>
        </w:tabs>
        <w:numPr>
          <w:ilvl w:val="0"/>
          <w:numId w:val="6"/>
        </w:numPr>
        <w:rPr>
          <w:rFonts w:ascii="Arial" w:cs="Arial" w:eastAsia="Arial" w:hAnsi="Arial"/>
          <w:sz w:val="15"/>
          <w:szCs w:val="15"/>
          <w:color w:val="auto"/>
        </w:rPr>
      </w:pPr>
      <w:r>
        <w:rPr>
          <w:rFonts w:ascii="Arial" w:cs="Arial" w:eastAsia="Arial" w:hAnsi="Arial"/>
          <w:sz w:val="15"/>
          <w:szCs w:val="15"/>
          <w:color w:val="auto"/>
        </w:rPr>
        <w:t>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EBITDA, Adjusted EBITDA and Adjusted Profit have limitations as analytical tools and should not be considered as alternatives to, or as substitutes for, or superior to, profit, profit from operations,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552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 and Adjusted EBITDA:</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109,123</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46,451</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228,544</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164,867</w:t>
            </w:r>
          </w:p>
        </w:tc>
        <w:tc>
          <w:tcPr>
            <w:tcW w:w="100" w:type="dxa"/>
            <w:vAlign w:val="bottom"/>
            <w:shd w:val="clear" w:color="auto" w:fill="CCEEFF"/>
          </w:tcPr>
          <w:p>
            <w:pPr>
              <w:spacing w:after="0"/>
              <w:rPr>
                <w:sz w:val="17"/>
                <w:szCs w:val="17"/>
                <w:color w:val="auto"/>
              </w:rPr>
            </w:pPr>
          </w:p>
        </w:tc>
      </w:tr>
      <w:tr>
        <w:trPr>
          <w:trHeight w:val="202"/>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57,233</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61,355</w:t>
            </w:r>
          </w:p>
        </w:tc>
        <w:tc>
          <w:tcPr>
            <w:tcW w:w="1220" w:type="dxa"/>
            <w:vAlign w:val="bottom"/>
          </w:tcPr>
          <w:p>
            <w:pPr>
              <w:jc w:val="right"/>
              <w:spacing w:after="0"/>
              <w:rPr>
                <w:sz w:val="20"/>
                <w:szCs w:val="20"/>
                <w:color w:val="auto"/>
              </w:rPr>
            </w:pPr>
            <w:r>
              <w:rPr>
                <w:rFonts w:ascii="Arial" w:cs="Arial" w:eastAsia="Arial" w:hAnsi="Arial"/>
                <w:sz w:val="16"/>
                <w:szCs w:val="16"/>
                <w:color w:val="auto"/>
              </w:rPr>
              <w:t>170,074</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177,489</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49,338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66,500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194,554</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(1,081)</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(2,815)</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(1,493)</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(12,740)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(21,611)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(67,342)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(8,383)</w:t>
            </w: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193,002</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173,581</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455,956</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515,787</w:t>
            </w:r>
          </w:p>
        </w:tc>
        <w:tc>
          <w:tcPr>
            <w:tcW w:w="100" w:type="dxa"/>
            <w:vAlign w:val="bottom"/>
            <w:tcBorders>
              <w:bottom w:val="single" w:sz="8" w:color="CCEEFF"/>
            </w:tcBorders>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(gains)/losses, net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Restructuring costs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220" w:type="dxa"/>
            <w:vAlign w:val="bottom"/>
          </w:tcPr>
          <w:p>
            <w:pPr>
              <w:jc w:val="right"/>
              <w:spacing w:after="0"/>
              <w:rPr>
                <w:sz w:val="20"/>
                <w:szCs w:val="20"/>
                <w:color w:val="auto"/>
              </w:rPr>
            </w:pPr>
            <w:r>
              <w:rPr>
                <w:rFonts w:ascii="Arial" w:cs="Arial" w:eastAsia="Arial" w:hAnsi="Arial"/>
                <w:sz w:val="16"/>
                <w:szCs w:val="16"/>
                <w:color w:val="auto"/>
              </w:rPr>
              <w:t>1,685</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4,607</w:t>
            </w:r>
          </w:p>
        </w:tc>
      </w:tr>
      <w:tr>
        <w:trPr>
          <w:trHeight w:val="206"/>
        </w:trPr>
        <w:tc>
          <w:tcPr>
            <w:tcW w:w="5520" w:type="dxa"/>
            <w:vAlign w:val="bottom"/>
          </w:tcPr>
          <w:p>
            <w:pPr>
              <w:spacing w:after="0"/>
              <w:rPr>
                <w:sz w:val="20"/>
                <w:szCs w:val="20"/>
                <w:color w:val="auto"/>
              </w:rPr>
            </w:pPr>
            <w:r>
              <w:rPr>
                <w:rFonts w:ascii="Arial" w:cs="Arial" w:eastAsia="Arial" w:hAnsi="Arial"/>
                <w:sz w:val="16"/>
                <w:szCs w:val="16"/>
                <w:color w:val="auto"/>
              </w:rPr>
              <w:t>Impairment loss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56,911</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11,740</w:t>
            </w:r>
          </w:p>
        </w:tc>
      </w:tr>
      <w:tr>
        <w:trPr>
          <w:trHeight w:val="69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Loss on disposal of non-current assets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192,861</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177,320</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515,904</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535,931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52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109,123</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46,451</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228,544</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(24,890)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4,896</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(85,544)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5,666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Write-off of unamortized loan fees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Foreign exchange (gains)/losses, net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(304)</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725</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(232)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1,613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Transaction Costs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2,275</w:t>
            </w:r>
          </w:p>
        </w:tc>
        <w:tc>
          <w:tcPr>
            <w:tcW w:w="1220" w:type="dxa"/>
            <w:vAlign w:val="bottom"/>
          </w:tcPr>
          <w:p>
            <w:pPr>
              <w:jc w:val="right"/>
              <w:spacing w:after="0"/>
              <w:rPr>
                <w:sz w:val="20"/>
                <w:szCs w:val="20"/>
                <w:color w:val="auto"/>
              </w:rPr>
            </w:pPr>
            <w:r>
              <w:rPr>
                <w:rFonts w:ascii="Arial" w:cs="Arial" w:eastAsia="Arial" w:hAnsi="Arial"/>
                <w:sz w:val="16"/>
                <w:szCs w:val="16"/>
                <w:color w:val="auto"/>
              </w:rPr>
              <w:t>840</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4,607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56,911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11,740</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167</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749</w:t>
            </w:r>
          </w:p>
        </w:tc>
        <w:tc>
          <w:tcPr>
            <w:tcW w:w="1220" w:type="dxa"/>
            <w:vAlign w:val="bottom"/>
          </w:tcPr>
          <w:p>
            <w:pPr>
              <w:jc w:val="right"/>
              <w:spacing w:after="0"/>
              <w:rPr>
                <w:sz w:val="20"/>
                <w:szCs w:val="20"/>
                <w:color w:val="auto"/>
              </w:rPr>
            </w:pPr>
            <w:r>
              <w:rPr>
                <w:rFonts w:ascii="Arial" w:cs="Arial" w:eastAsia="Arial" w:hAnsi="Arial"/>
                <w:sz w:val="16"/>
                <w:szCs w:val="16"/>
                <w:color w:val="auto"/>
              </w:rPr>
              <w:t>744</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2,058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Unrealized foreign exchange losses/(gains), net on cash</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84,762</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57,311</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205,248</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193,930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20"/>
                <w:szCs w:val="20"/>
                <w:color w:val="auto"/>
              </w:rPr>
            </w:pPr>
            <w:r>
              <w:rPr>
                <w:rFonts w:ascii="Arial" w:cs="Arial" w:eastAsia="Arial" w:hAnsi="Arial"/>
                <w:sz w:val="16"/>
                <w:szCs w:val="16"/>
                <w:b w:val="1"/>
                <w:bCs w:val="1"/>
                <w:color w:val="auto"/>
              </w:rPr>
              <w:t>EXHIBIT III –Unaudited Interim Financial Information of GasLog Partners 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56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5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b w:val="1"/>
                <w:bCs w:val="1"/>
                <w:color w:val="auto"/>
              </w:rPr>
              <w:t>As of December 31, 2022 and September 30, 2023</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7560" w:type="dxa"/>
            <w:vAlign w:val="bottom"/>
          </w:tcPr>
          <w:p>
            <w:pPr>
              <w:spacing w:after="0"/>
              <w:rPr>
                <w:sz w:val="24"/>
                <w:szCs w:val="24"/>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2022</w:t>
            </w: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1,136</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Tangible fixed assets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1,677,771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1,490,672</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Right-of-use assets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93,325</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137,331</w:t>
            </w:r>
          </w:p>
        </w:tc>
        <w:tc>
          <w:tcPr>
            <w:tcW w:w="0" w:type="dxa"/>
            <w:vAlign w:val="bottom"/>
          </w:tcPr>
          <w:p>
            <w:pPr>
              <w:spacing w:after="0"/>
              <w:rPr>
                <w:sz w:val="1"/>
                <w:szCs w:val="1"/>
                <w:color w:val="auto"/>
              </w:rPr>
            </w:pPr>
          </w:p>
        </w:tc>
      </w:tr>
      <w:tr>
        <w:trPr>
          <w:trHeight w:val="19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1,772,401</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1,629,791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11,185</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19,663</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Inventories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2,894</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Due from related parties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3,392</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6,394</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2,440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Short-term cash deposits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25,000</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198,122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68,808</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243,033</w:t>
            </w:r>
          </w:p>
        </w:tc>
        <w:tc>
          <w:tcPr>
            <w:tcW w:w="22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109,556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2,015,434</w:t>
            </w: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1,739,347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Partners’ equity</w:t>
            </w: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Common unitholders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668,953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528,645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12,608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8,519</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Preference unitholders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279,349</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280,048</w:t>
            </w:r>
          </w:p>
        </w:tc>
        <w:tc>
          <w:tcPr>
            <w:tcW w:w="0" w:type="dxa"/>
            <w:vAlign w:val="bottom"/>
          </w:tcPr>
          <w:p>
            <w:pPr>
              <w:spacing w:after="0"/>
              <w:rPr>
                <w:sz w:val="1"/>
                <w:szCs w:val="1"/>
                <w:color w:val="auto"/>
              </w:rPr>
            </w:pPr>
          </w:p>
        </w:tc>
      </w:tr>
      <w:tr>
        <w:trPr>
          <w:trHeight w:val="19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partners’ equity</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960,910</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817,212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Trade accounts payable</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9,300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2,873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57,266</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50,795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Borrowings—current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90,358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216,047</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17,433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28,420</w:t>
            </w:r>
          </w:p>
        </w:tc>
        <w:tc>
          <w:tcPr>
            <w:tcW w:w="0" w:type="dxa"/>
            <w:vAlign w:val="bottom"/>
          </w:tcPr>
          <w:p>
            <w:pPr>
              <w:spacing w:after="0"/>
              <w:rPr>
                <w:sz w:val="1"/>
                <w:szCs w:val="1"/>
                <w:color w:val="auto"/>
              </w:rPr>
            </w:pPr>
          </w:p>
        </w:tc>
      </w:tr>
      <w:tr>
        <w:trPr>
          <w:trHeight w:val="19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177,230</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301,817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Borrowings—non-current portion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831,588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547,263</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45,136</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72,634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877,294</w:t>
            </w:r>
          </w:p>
        </w:tc>
        <w:tc>
          <w:tcPr>
            <w:tcW w:w="22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620,318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2,015,434</w:t>
            </w: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1,739,347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7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55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b w:val="1"/>
                <w:bCs w:val="1"/>
                <w:color w:val="auto"/>
              </w:rPr>
              <w:t>For the three and nine months ended September 30, 2022 and 2023</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520" w:type="dxa"/>
            <w:vAlign w:val="bottom"/>
          </w:tcPr>
          <w:p>
            <w:pPr>
              <w:spacing w:after="0"/>
              <w:rPr>
                <w:sz w:val="24"/>
                <w:szCs w:val="24"/>
                <w:color w:val="auto"/>
              </w:rPr>
            </w:pP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95,679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100,747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266,060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296,777</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(1,383)</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(3,128)</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(5,016)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(7,766)</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(16,744)</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(17,969)</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(54,365)</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(49,649)</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(20,696)</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(25,625)</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(64,907)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(73,152)</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(4,263)</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(6,843)</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(13,334)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(18,709)</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vessel</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(166)</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(166)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(1,033)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(28,027)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52,427</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47,182</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100,245</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146,326</w:t>
            </w:r>
          </w:p>
        </w:tc>
        <w:tc>
          <w:tcPr>
            <w:tcW w:w="100" w:type="dxa"/>
            <w:vAlign w:val="bottom"/>
            <w:tcBorders>
              <w:bottom w:val="single" w:sz="8" w:color="CCEEFF"/>
            </w:tcBorders>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(13,381)</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(17,450)</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(51,847)</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612</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1,287</w:t>
            </w: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7,079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2,993</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1,459</w:t>
            </w: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(9,776</w:t>
            </w:r>
          </w:p>
        </w:tc>
        <w:tc>
          <w:tcPr>
            <w:tcW w:w="24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(16,243</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(21,852</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(43,309</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42,651</w:t>
            </w: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30,939</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78,393</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103,017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2"/>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2023-11-16T05:48:15Z</dcterms:created>
  <dcterms:modified xsi:type="dcterms:W3CDTF">2023-11-16T05:48:15Z</dcterms:modified>
</cp:coreProperties>
</file>