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53" w:lineRule="exact"/>
        <w:rPr>
          <w:sz w:val="24"/>
          <w:szCs w:val="24"/>
          <w:color w:val="auto"/>
        </w:rPr>
      </w:pPr>
    </w:p>
    <w:p>
      <w:pPr>
        <w:jc w:val="center"/>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95" w:lineRule="exact"/>
        <w:rPr>
          <w:sz w:val="24"/>
          <w:szCs w:val="24"/>
          <w:color w:val="auto"/>
        </w:rPr>
      </w:pPr>
    </w:p>
    <w:p>
      <w:pPr>
        <w:spacing w:after="0"/>
        <w:rPr>
          <w:sz w:val="20"/>
          <w:szCs w:val="20"/>
          <w:color w:val="auto"/>
        </w:rPr>
      </w:pPr>
      <w:r>
        <w:rPr>
          <w:rFonts w:ascii="Arial" w:cs="Arial" w:eastAsia="Arial" w:hAnsi="Arial"/>
          <w:sz w:val="22"/>
          <w:szCs w:val="22"/>
          <w:color w:val="auto"/>
        </w:rPr>
        <w:t>For the month of June 2023</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Commission File Number 001-36433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GasLog Partners LP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 GasLog LNG Services Ltd.</w:t>
      </w:r>
    </w:p>
    <w:p>
      <w:pPr>
        <w:jc w:val="center"/>
        <w:spacing w:after="0" w:line="238" w:lineRule="auto"/>
        <w:rPr>
          <w:sz w:val="20"/>
          <w:szCs w:val="20"/>
          <w:color w:val="auto"/>
        </w:rPr>
      </w:pPr>
      <w:r>
        <w:rPr>
          <w:rFonts w:ascii="Arial" w:cs="Arial" w:eastAsia="Arial" w:hAnsi="Arial"/>
          <w:sz w:val="22"/>
          <w:szCs w:val="22"/>
          <w:color w:val="auto"/>
        </w:rPr>
        <w:t>69 Akti Miaouli, 18537</w:t>
      </w:r>
    </w:p>
    <w:p>
      <w:pPr>
        <w:jc w:val="center"/>
        <w:spacing w:after="0" w:line="230" w:lineRule="auto"/>
        <w:rPr>
          <w:sz w:val="20"/>
          <w:szCs w:val="20"/>
          <w:color w:val="auto"/>
        </w:rPr>
      </w:pPr>
      <w:r>
        <w:rPr>
          <w:rFonts w:ascii="Arial" w:cs="Arial" w:eastAsia="Arial" w:hAnsi="Arial"/>
          <w:sz w:val="22"/>
          <w:szCs w:val="22"/>
          <w:color w:val="auto"/>
        </w:rPr>
        <w:t>Piraeus, Greece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w:t>
      </w:r>
    </w:p>
    <w:p>
      <w:pPr>
        <w:spacing w:after="0" w:line="215" w:lineRule="exact"/>
        <w:rPr>
          <w:sz w:val="24"/>
          <w:szCs w:val="24"/>
          <w:color w:val="auto"/>
        </w:rPr>
      </w:pPr>
    </w:p>
    <w:p>
      <w:pPr>
        <w:ind w:right="1040"/>
        <w:spacing w:after="0" w:line="404" w:lineRule="exact"/>
        <w:rPr>
          <w:sz w:val="20"/>
          <w:szCs w:val="20"/>
          <w:color w:val="auto"/>
        </w:rPr>
      </w:pPr>
      <w:r>
        <w:rPr>
          <w:rFonts w:ascii="Arial" w:cs="Arial" w:eastAsia="Arial" w:hAnsi="Arial"/>
          <w:sz w:val="22"/>
          <w:szCs w:val="22"/>
          <w:color w:val="auto"/>
        </w:rPr>
        <w:t xml:space="preserve">Indicate by check mark whether the registrant files or will file annual reports under cover of Form 20-F or Form 40-F. 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00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00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3"/>
        </w:trPr>
        <w:tc>
          <w:tcPr>
            <w:tcW w:w="10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63"/>
        </w:trPr>
        <w:tc>
          <w:tcPr>
            <w:tcW w:w="100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83"/>
        </w:trPr>
        <w:tc>
          <w:tcPr>
            <w:tcW w:w="10000" w:type="dxa"/>
            <w:vAlign w:val="bottom"/>
            <w:tcBorders>
              <w:bottom w:val="single" w:sz="8" w:color="BFBFBF"/>
            </w:tcBorders>
          </w:tcPr>
          <w:p>
            <w:pPr>
              <w:spacing w:after="0"/>
              <w:rPr>
                <w:sz w:val="15"/>
                <w:szCs w:val="15"/>
                <w:color w:val="auto"/>
              </w:rPr>
            </w:pPr>
          </w:p>
        </w:tc>
        <w:tc>
          <w:tcPr>
            <w:tcW w:w="1240" w:type="dxa"/>
            <w:vAlign w:val="bottom"/>
            <w:tcBorders>
              <w:bottom w:val="single" w:sz="8" w:color="BFBFBF"/>
            </w:tcBorders>
          </w:tcPr>
          <w:p>
            <w:pPr>
              <w:spacing w:after="0"/>
              <w:rPr>
                <w:sz w:val="15"/>
                <w:szCs w:val="15"/>
                <w:color w:val="auto"/>
              </w:rPr>
            </w:pPr>
          </w:p>
        </w:tc>
      </w:tr>
    </w:tbl>
    <w:p>
      <w:pPr>
        <w:sectPr>
          <w:pgSz w:w="11900" w:h="16838" w:orient="portrait"/>
          <w:cols w:equalWidth="0" w:num="1">
            <w:col w:w="11240"/>
          </w:cols>
          <w:pgMar w:left="320" w:top="1125" w:right="339" w:bottom="1440" w:gutter="0" w:footer="0" w:header="0"/>
        </w:sectPr>
      </w:pPr>
    </w:p>
    <w:bookmarkStart w:id="1" w:name="page2"/>
    <w:bookmarkEnd w:id="1"/>
    <w:p>
      <w:pPr>
        <w:ind w:left="420"/>
        <w:spacing w:after="0"/>
        <w:rPr>
          <w:sz w:val="20"/>
          <w:szCs w:val="20"/>
          <w:color w:val="auto"/>
        </w:rPr>
      </w:pPr>
      <w:r>
        <w:rPr>
          <w:rFonts w:ascii="Arial" w:cs="Arial" w:eastAsia="Arial" w:hAnsi="Arial"/>
          <w:sz w:val="22"/>
          <w:szCs w:val="22"/>
          <w:color w:val="auto"/>
        </w:rPr>
        <w:t>The press release issued by GasLog Partners LP on June 28, 2023, is attached hereto as Exhibit 99.1.</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INCORPORATION BY REFERENCE</w:t>
      </w:r>
    </w:p>
    <w:p>
      <w:pPr>
        <w:spacing w:after="0" w:line="233" w:lineRule="exact"/>
        <w:rPr>
          <w:sz w:val="20"/>
          <w:szCs w:val="20"/>
          <w:color w:val="auto"/>
        </w:rPr>
      </w:pPr>
    </w:p>
    <w:p>
      <w:pPr>
        <w:ind w:firstLine="376"/>
        <w:spacing w:after="0" w:line="282" w:lineRule="auto"/>
        <w:rPr>
          <w:sz w:val="20"/>
          <w:szCs w:val="20"/>
          <w:color w:val="auto"/>
        </w:rPr>
      </w:pPr>
      <w:r>
        <w:rPr>
          <w:rFonts w:ascii="Arial" w:cs="Arial" w:eastAsia="Arial" w:hAnsi="Arial"/>
          <w:sz w:val="19"/>
          <w:szCs w:val="19"/>
          <w:color w:val="auto"/>
        </w:rPr>
        <w:t>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EXHIBIT LIST</w:t>
      </w:r>
    </w:p>
    <w:p>
      <w:pPr>
        <w:spacing w:after="0" w:line="2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June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June 28, 2023</w:t>
      </w:r>
    </w:p>
    <w:p>
      <w:pPr>
        <w:spacing w:after="0" w:line="24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GASLOG PARTNERS LP</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594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ectPr>
          <w:pgSz w:w="11900" w:h="16838" w:orient="portrait"/>
          <w:cols w:equalWidth="0" w:num="1">
            <w:col w:w="11240"/>
          </w:cols>
          <w:pgMar w:left="320" w:top="3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Press Release</w:t>
      </w:r>
    </w:p>
    <w:p>
      <w:pPr>
        <w:spacing w:after="0" w:line="227" w:lineRule="exact"/>
        <w:rPr>
          <w:sz w:val="20"/>
          <w:szCs w:val="20"/>
          <w:color w:val="auto"/>
        </w:rPr>
      </w:pPr>
    </w:p>
    <w:p>
      <w:pPr>
        <w:jc w:val="center"/>
        <w:spacing w:after="0" w:line="334" w:lineRule="auto"/>
        <w:rPr>
          <w:sz w:val="20"/>
          <w:szCs w:val="20"/>
          <w:color w:val="auto"/>
        </w:rPr>
      </w:pPr>
      <w:r>
        <w:rPr>
          <w:rFonts w:ascii="Arial" w:cs="Arial" w:eastAsia="Arial" w:hAnsi="Arial"/>
          <w:sz w:val="19"/>
          <w:szCs w:val="19"/>
          <w:b w:val="1"/>
          <w:bCs w:val="1"/>
          <w:color w:val="auto"/>
        </w:rPr>
        <w:t>GasLog Partners LP Announces Proxy Advisory Firms Institutional Shareholder Services Inc. and Glass, Lewis &amp; Co. Recommend Common Unitholders Vote “FOR” Proposed Transaction</w:t>
      </w:r>
    </w:p>
    <w:p>
      <w:pPr>
        <w:spacing w:after="0" w:line="121"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b w:val="1"/>
          <w:bCs w:val="1"/>
          <w:color w:val="auto"/>
        </w:rPr>
        <w:t>Majuro, Marshall Islands, June 28, 2023, GasLog Partners LP (“GasLog Partners” or the “Partnership”) (NYSE: GLOP)</w:t>
      </w:r>
      <w:r>
        <w:rPr>
          <w:rFonts w:ascii="Arial" w:cs="Arial" w:eastAsia="Arial" w:hAnsi="Arial"/>
          <w:sz w:val="19"/>
          <w:szCs w:val="19"/>
          <w:color w:val="auto"/>
        </w:rPr>
        <w:t>, an international owner, operator and acquirer of liquefied natural gas (“LNG”) carriers, today announced that proxy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advisory firms Institutional Shareholders Services Inc. and Glass, Lewis &amp; Co. issued reports on June 27, 2023, recommending that the Partnership’s common unitholders vote </w:t>
      </w:r>
      <w:r>
        <w:rPr>
          <w:rFonts w:ascii="Arial" w:cs="Arial" w:eastAsia="Arial" w:hAnsi="Arial"/>
          <w:sz w:val="19"/>
          <w:szCs w:val="19"/>
          <w:b w:val="1"/>
          <w:bCs w:val="1"/>
          <w:color w:val="auto"/>
        </w:rPr>
        <w:t>“FOR”</w:t>
      </w:r>
      <w:r>
        <w:rPr>
          <w:rFonts w:ascii="Arial" w:cs="Arial" w:eastAsia="Arial" w:hAnsi="Arial"/>
          <w:sz w:val="19"/>
          <w:szCs w:val="19"/>
          <w:color w:val="auto"/>
        </w:rPr>
        <w:t xml:space="preserve"> the previously announced merger pursuant to which GasLog Ltd. (“GasLog”) will acquire all of the outstanding common units of the Partnership not beneficially owned by GasLog (the “Transaction”), such vote to be held at the Partnership’s upcoming special meeting of common unitholders (the “Special Meeting”) scheduled to take place on July 7, 2023, at 10:00 a.m. Eastern Time. If the merger is approved, each common unit will be entitled to receive overall consideration of $8.65 in cash, consisting in part of a special distribution by the Partnership of $3.28 per common unit in cash that will be distributed to the Partnership’s common unitholders in connection with the closing of the Transaction and the remainder to be paid by GasLog as merger consideration at the closing of the Transaction.</w:t>
      </w:r>
    </w:p>
    <w:p>
      <w:pPr>
        <w:spacing w:after="0" w:line="185"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 xml:space="preserve">The Special Meeting will be held virtually via webcast at </w:t>
      </w:r>
      <w:r>
        <w:rPr>
          <w:rFonts w:ascii="Arial" w:cs="Arial" w:eastAsia="Arial" w:hAnsi="Arial"/>
          <w:sz w:val="22"/>
          <w:szCs w:val="22"/>
          <w:u w:val="single" w:color="auto"/>
          <w:color w:val="auto"/>
        </w:rPr>
        <w:t>www.virtualshareholdermeeting.com/GLOP2023SM</w:t>
      </w:r>
      <w:r>
        <w:rPr>
          <w:rFonts w:ascii="Arial" w:cs="Arial" w:eastAsia="Arial" w:hAnsi="Arial"/>
          <w:sz w:val="22"/>
          <w:szCs w:val="22"/>
          <w:color w:val="auto"/>
        </w:rPr>
        <w:t xml:space="preserve">. The Partnership’s Board of Directors (acting upon the recommendation of the Conflicts Committee of the Board of Directors) recommends that the Partnership’s common unitholders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the Transaction.</w:t>
      </w:r>
    </w:p>
    <w:p>
      <w:pPr>
        <w:spacing w:after="0" w:line="207" w:lineRule="exact"/>
        <w:rPr>
          <w:sz w:val="20"/>
          <w:szCs w:val="20"/>
          <w:color w:val="auto"/>
        </w:rPr>
      </w:pPr>
    </w:p>
    <w:p>
      <w:pPr>
        <w:ind w:right="160"/>
        <w:spacing w:after="0" w:line="243" w:lineRule="auto"/>
        <w:rPr>
          <w:sz w:val="20"/>
          <w:szCs w:val="20"/>
          <w:color w:val="auto"/>
        </w:rPr>
      </w:pPr>
      <w:r>
        <w:rPr>
          <w:rFonts w:ascii="Arial" w:cs="Arial" w:eastAsia="Arial" w:hAnsi="Arial"/>
          <w:sz w:val="22"/>
          <w:szCs w:val="22"/>
          <w:b w:val="1"/>
          <w:bCs w:val="1"/>
          <w:color w:val="auto"/>
        </w:rPr>
        <w:t>Your vote is important. Please submit your proxy by telephone or electronically through the Internet before 11:59 p.m. Eastern Time on July 6, 2023 (or, in the event of an adjournment of the Special Meeting, such later date and time as may be determined by the Partnership’s Board of Directors).</w:t>
      </w:r>
    </w:p>
    <w:p>
      <w:pPr>
        <w:spacing w:after="0" w:line="210"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If you need assistance with voting procedures or have questions regarding the Special Meeting, please contact D.F. King toll-free at (866) 342-4883 (banks and brokers call collect at (212) 269-5550).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 xml:space="preserve">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such as the closing of the Transaction,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including the closing of this Transaction could materially affect future results of operations and the ultimate accuracy of the forward-looking statements. Other factors that might cause future results and outcomes to differ include, but are not limited to, the other risks and uncertainties described in the Partnership’s Annual Report on Form 20-F filed with the SEC on March 6, 2023, available at </w:t>
      </w:r>
      <w:r>
        <w:rPr>
          <w:rFonts w:ascii="Arial" w:cs="Arial" w:eastAsia="Arial" w:hAnsi="Arial"/>
          <w:sz w:val="19"/>
          <w:szCs w:val="19"/>
          <w:u w:val="single" w:color="auto"/>
          <w:color w:val="auto"/>
        </w:rPr>
        <w:t>http://www.sec.gov</w:t>
      </w:r>
      <w:r>
        <w:rPr>
          <w:rFonts w:ascii="Arial" w:cs="Arial" w:eastAsia="Arial" w:hAnsi="Arial"/>
          <w:sz w:val="19"/>
          <w:szCs w:val="19"/>
          <w:color w:val="auto"/>
        </w:rPr>
        <w:t>. Accordingly, you should not unduly rely on any forward-looking statements.</w:t>
      </w:r>
    </w:p>
    <w:p>
      <w:pPr>
        <w:spacing w:after="0" w:line="188"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GasLog Partners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Robert Brinberg</w:t>
      </w:r>
    </w:p>
    <w:p>
      <w:pPr>
        <w:spacing w:after="0" w:line="230" w:lineRule="auto"/>
        <w:rPr>
          <w:sz w:val="20"/>
          <w:szCs w:val="20"/>
          <w:color w:val="auto"/>
        </w:rPr>
      </w:pPr>
      <w:r>
        <w:rPr>
          <w:rFonts w:ascii="Arial" w:cs="Arial" w:eastAsia="Arial" w:hAnsi="Arial"/>
          <w:sz w:val="22"/>
          <w:szCs w:val="22"/>
          <w:color w:val="auto"/>
        </w:rPr>
        <w:t>Rose &amp; Company</w:t>
      </w:r>
    </w:p>
    <w:p>
      <w:pPr>
        <w:spacing w:after="0" w:line="231" w:lineRule="auto"/>
        <w:rPr>
          <w:sz w:val="20"/>
          <w:szCs w:val="20"/>
          <w:color w:val="auto"/>
        </w:rPr>
      </w:pPr>
      <w:r>
        <w:rPr>
          <w:rFonts w:ascii="Arial" w:cs="Arial" w:eastAsia="Arial" w:hAnsi="Arial"/>
          <w:sz w:val="22"/>
          <w:szCs w:val="22"/>
          <w:color w:val="auto"/>
        </w:rPr>
        <w:t>Phone: +1 212-517-0810</w:t>
      </w:r>
    </w:p>
    <w:p>
      <w:pPr>
        <w:spacing w:after="0"/>
        <w:rPr>
          <w:sz w:val="20"/>
          <w:szCs w:val="20"/>
          <w:color w:val="auto"/>
        </w:rPr>
      </w:pPr>
      <w:r>
        <w:rPr>
          <w:rFonts w:ascii="Arial" w:cs="Arial" w:eastAsia="Arial" w:hAnsi="Arial"/>
          <w:sz w:val="22"/>
          <w:szCs w:val="22"/>
          <w:color w:val="auto"/>
        </w:rPr>
        <w:t>Email: gaslog@roseandco.com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GasLog Partners</w:t>
      </w:r>
    </w:p>
    <w:p>
      <w:pPr>
        <w:spacing w:after="0" w:line="239"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 xml:space="preserve">GasLog Partners is an owner, operator and acquirer of LNG carriers. The Partnership’s fleet consists of eleven wholly-owned LNG carriers as well as three vessels on bareboat charters, with an average carrying capacity of approximately 159,000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w:t>
      </w:r>
      <w:r>
        <w:rPr>
          <w:rFonts w:ascii="Arial" w:cs="Arial" w:eastAsia="Arial" w:hAnsi="Arial"/>
          <w:sz w:val="19"/>
          <w:szCs w:val="19"/>
          <w:u w:val="single" w:color="auto"/>
          <w:color w:val="auto"/>
        </w:rPr>
        <w:t>http://www.gaslogmlp.com</w:t>
      </w:r>
      <w:r>
        <w:rPr>
          <w:rFonts w:ascii="Arial" w:cs="Arial" w:eastAsia="Arial" w:hAnsi="Arial"/>
          <w:sz w:val="19"/>
          <w:szCs w:val="19"/>
          <w:color w:val="auto"/>
        </w:rPr>
        <w:t>.</w:t>
      </w:r>
    </w:p>
    <w:sectPr>
      <w:pgSz w:w="11900" w:h="16838" w:orient="portrait"/>
      <w:cols w:equalWidth="0" w:num="1">
        <w:col w:w="11240"/>
      </w:cols>
      <w:pgMar w:left="320" w:top="126" w:right="339" w:bottom="37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2023-06-28T15:59:26Z</dcterms:created>
  <dcterms:modified xsi:type="dcterms:W3CDTF">2023-06-28T15:59:26Z</dcterms:modified>
</cp:coreProperties>
</file>