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2,365,723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2,365,723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2,365,723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780" w:hanging="587"/>
        <w:spacing w:after="0" w:line="334" w:lineRule="auto"/>
        <w:tabs>
          <w:tab w:leader="none" w:pos="15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GasLog Partners LP</w:t>
      </w:r>
    </w:p>
    <w:p>
      <w:pPr>
        <w:spacing w:after="0" w:line="12" w:lineRule="exact"/>
        <w:rPr>
          <w:rFonts w:ascii="Arial" w:cs="Arial" w:eastAsia="Arial" w:hAnsi="Arial"/>
          <w:sz w:val="19"/>
          <w:szCs w:val="19"/>
          <w:b w:val="1"/>
          <w:bCs w:val="1"/>
          <w:color w:val="auto"/>
        </w:rPr>
      </w:pPr>
    </w:p>
    <w:p>
      <w:pPr>
        <w:ind w:left="1500" w:right="5220" w:hanging="587"/>
        <w:spacing w:after="0" w:line="280" w:lineRule="auto"/>
        <w:tabs>
          <w:tab w:leader="none" w:pos="15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Issuer's Principal Executive Offices </w:t>
      </w:r>
      <w:r>
        <w:rPr>
          <w:rFonts w:ascii="Arial" w:cs="Arial" w:eastAsia="Arial" w:hAnsi="Arial"/>
          <w:sz w:val="21"/>
          <w:szCs w:val="21"/>
          <w:color w:val="auto"/>
        </w:rPr>
        <w:t>69, Akti, Miaouli, Piraeus 330 53, GR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Y2687W108</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2,365,723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5.0%</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2,365,723</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2,365,723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April 12, 2021</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2021-04-12T12:44:44Z</dcterms:created>
  <dcterms:modified xsi:type="dcterms:W3CDTF">2021-04-12T12:44:44Z</dcterms:modified>
</cp:coreProperties>
</file>