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4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GASLOG PARTNERS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17145</wp:posOffset>
            </wp:positionV>
            <wp:extent cx="42862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UNITS REPRESENTING LIMITED PARTNER INTERESTS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17145</wp:posOffset>
            </wp:positionV>
            <wp:extent cx="42862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86250" cy="8890"/>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Y2687W108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17145</wp:posOffset>
            </wp:positionV>
            <wp:extent cx="42862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APRIL 28,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17145</wp:posOffset>
            </wp:positionV>
            <wp:extent cx="42862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8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85" w:lineRule="exact"/>
        <w:rPr>
          <w:sz w:val="24"/>
          <w:szCs w:val="24"/>
          <w:color w:val="auto"/>
        </w:rPr>
      </w:pPr>
    </w:p>
    <w:p>
      <w:pPr>
        <w:ind w:left="220"/>
        <w:spacing w:after="0"/>
        <w:rPr>
          <w:sz w:val="20"/>
          <w:szCs w:val="20"/>
          <w:color w:val="auto"/>
        </w:rPr>
      </w:pPr>
      <w:r>
        <w:rPr>
          <w:rFonts w:ascii="Arial" w:cs="Arial" w:eastAsia="Arial" w:hAnsi="Arial"/>
          <w:sz w:val="18"/>
          <w:szCs w:val="18"/>
          <w:color w:val="auto"/>
        </w:rPr>
        <w:t>o Rule 13d-1(b)</w:t>
      </w:r>
    </w:p>
    <w:p>
      <w:pPr>
        <w:spacing w:after="0" w:line="198" w:lineRule="exact"/>
        <w:rPr>
          <w:sz w:val="24"/>
          <w:szCs w:val="24"/>
          <w:color w:val="auto"/>
        </w:rPr>
      </w:pPr>
    </w:p>
    <w:p>
      <w:pPr>
        <w:ind w:left="220" w:right="9800" w:firstLine="7"/>
        <w:spacing w:after="0" w:line="510" w:lineRule="auto"/>
        <w:tabs>
          <w:tab w:leader="none" w:pos="426"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Rule 13d-1(c) o Rule 13d-1(d)</w:t>
      </w:r>
    </w:p>
    <w:p>
      <w:pPr>
        <w:spacing w:after="0" w:line="1" w:lineRule="exact"/>
        <w:rPr>
          <w:rFonts w:ascii="MS PGothic" w:cs="MS PGothic" w:eastAsia="MS PGothic" w:hAnsi="MS PGothic"/>
          <w:sz w:val="16"/>
          <w:szCs w:val="16"/>
          <w:color w:val="auto"/>
        </w:rPr>
      </w:pPr>
    </w:p>
    <w:p>
      <w:pPr>
        <w:spacing w:after="0" w:line="268" w:lineRule="auto"/>
        <w:rPr>
          <w:rFonts w:ascii="MS PGothic" w:cs="MS PGothic" w:eastAsia="MS PGothic" w:hAnsi="MS PGothic"/>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5" w:lineRule="exact"/>
        <w:rPr>
          <w:sz w:val="24"/>
          <w:szCs w:val="24"/>
          <w:color w:val="auto"/>
        </w:rPr>
      </w:pPr>
    </w:p>
    <w:p>
      <w:pPr>
        <w:spacing w:after="0" w:line="331"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20"/>
          </w:cols>
          <w:pgMar w:left="320" w:top="233" w:right="359" w:bottom="144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Y2687W108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-121285</wp:posOffset>
            </wp:positionV>
            <wp:extent cx="1298575" cy="1758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8575" cy="175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440" w:val="left"/>
        </w:tabs>
        <w:rPr>
          <w:sz w:val="20"/>
          <w:szCs w:val="20"/>
          <w:color w:val="auto"/>
        </w:rPr>
      </w:pP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21"/>
          <w:szCs w:val="21"/>
          <w:color w:val="auto"/>
          <w:vertAlign w:val="superscript"/>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-3234690</wp:posOffset>
            </wp:positionH>
            <wp:positionV relativeFrom="paragraph">
              <wp:posOffset>158750</wp:posOffset>
            </wp:positionV>
            <wp:extent cx="7136130" cy="50272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-121285</wp:posOffset>
            </wp:positionV>
            <wp:extent cx="570230" cy="158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-117475</wp:posOffset>
            </wp:positionV>
            <wp:extent cx="578485" cy="1587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8485" cy="158750"/>
                    </a:xfrm>
                    <a:prstGeom prst="rect">
                      <a:avLst/>
                    </a:prstGeom>
                    <a:noFill/>
                  </pic:spPr>
                </pic:pic>
              </a:graphicData>
            </a:graphic>
          </wp:anchor>
        </w:drawing>
      </w:r>
    </w:p>
    <w:p>
      <w:pPr>
        <w:spacing w:after="0" w:line="249" w:lineRule="exact"/>
        <w:rPr>
          <w:sz w:val="20"/>
          <w:szCs w:val="20"/>
          <w:color w:val="auto"/>
        </w:rPr>
      </w:pPr>
    </w:p>
    <w:p>
      <w:pPr>
        <w:sectPr>
          <w:pgSz w:w="11900" w:h="16838" w:orient="portrait"/>
          <w:cols w:equalWidth="0" w:num="6">
            <w:col w:w="800" w:space="680"/>
            <w:col w:w="2900" w:space="720"/>
            <w:col w:w="3800" w:space="520"/>
            <w:col w:w="100" w:space="500"/>
            <w:col w:w="160" w:space="520"/>
            <w:col w:w="540"/>
          </w:cols>
          <w:pgMar w:left="320" w:top="563" w:right="339" w:bottom="1440" w:gutter="0" w:footer="0" w:header="0"/>
        </w:sectPr>
      </w:pPr>
    </w:p>
    <w:p>
      <w:pPr>
        <w:spacing w:after="0" w:line="12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Integrated Assets, Ltd.</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405"/>
        <w:spacing w:after="0"/>
        <w:tabs>
          <w:tab w:leader="none" w:pos="68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00" w:hanging="327"/>
        <w:spacing w:after="0" w:line="207" w:lineRule="exact"/>
        <w:tabs>
          <w:tab w:leader="none" w:pos="100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0" w:lineRule="exact"/>
        <w:rPr>
          <w:sz w:val="20"/>
          <w:szCs w:val="20"/>
          <w:color w:val="auto"/>
        </w:rPr>
      </w:pPr>
    </w:p>
    <w:p>
      <w:pPr>
        <w:ind w:left="680" w:hanging="405"/>
        <w:spacing w:after="0"/>
        <w:tabs>
          <w:tab w:leader="none" w:pos="6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Cayman Islands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196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60" w:type="dxa"/>
            <w:vAlign w:val="bottom"/>
            <w:tcBorders>
              <w:top w:val="single" w:sz="8" w:color="auto"/>
              <w:bottom w:val="single" w:sz="8" w:color="auto"/>
            </w:tcBorders>
          </w:tcPr>
          <w:p>
            <w:pPr>
              <w:spacing w:after="0"/>
              <w:rPr>
                <w:sz w:val="6"/>
                <w:szCs w:val="6"/>
                <w:color w:val="auto"/>
              </w:rPr>
            </w:pPr>
          </w:p>
        </w:tc>
        <w:tc>
          <w:tcPr>
            <w:tcW w:w="850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196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vMerge w:val="restart"/>
          </w:tcPr>
          <w:p>
            <w:pPr>
              <w:jc w:val="right"/>
              <w:ind w:right="272"/>
              <w:spacing w:after="0"/>
              <w:rPr>
                <w:sz w:val="20"/>
                <w:szCs w:val="20"/>
                <w:color w:val="auto"/>
              </w:rPr>
            </w:pPr>
            <w:r>
              <w:rPr>
                <w:rFonts w:ascii="Arial" w:cs="Arial" w:eastAsia="Arial" w:hAnsi="Arial"/>
                <w:sz w:val="18"/>
                <w:szCs w:val="18"/>
                <w:b w:val="1"/>
                <w:bCs w:val="1"/>
                <w:color w:val="auto"/>
              </w:rPr>
              <w:t>5</w:t>
            </w:r>
          </w:p>
        </w:tc>
        <w:tc>
          <w:tcPr>
            <w:tcW w:w="85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196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vMerge w:val="continue"/>
          </w:tcPr>
          <w:p>
            <w:pPr>
              <w:spacing w:after="0"/>
              <w:rPr>
                <w:sz w:val="17"/>
                <w:szCs w:val="17"/>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NUMBER OF</w:t>
            </w:r>
          </w:p>
        </w:tc>
        <w:tc>
          <w:tcPr>
            <w:tcW w:w="760" w:type="dxa"/>
            <w:vAlign w:val="bottom"/>
            <w:tcBorders>
              <w:bottom w:val="single" w:sz="8" w:color="auto"/>
              <w:right w:val="single" w:sz="8" w:color="auto"/>
            </w:tcBorders>
          </w:tcPr>
          <w:p>
            <w:pPr>
              <w:spacing w:after="0"/>
              <w:rPr>
                <w:sz w:val="19"/>
                <w:szCs w:val="19"/>
                <w:color w:val="auto"/>
              </w:rPr>
            </w:pPr>
          </w:p>
        </w:tc>
        <w:tc>
          <w:tcPr>
            <w:tcW w:w="850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96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60" w:type="dxa"/>
            <w:vAlign w:val="bottom"/>
            <w:tcBorders>
              <w:right w:val="single" w:sz="8" w:color="auto"/>
            </w:tcBorders>
            <w:vMerge w:val="restart"/>
          </w:tcPr>
          <w:p>
            <w:pPr>
              <w:jc w:val="right"/>
              <w:ind w:right="272"/>
              <w:spacing w:after="0"/>
              <w:rPr>
                <w:sz w:val="20"/>
                <w:szCs w:val="20"/>
                <w:color w:val="auto"/>
              </w:rPr>
            </w:pPr>
            <w:r>
              <w:rPr>
                <w:rFonts w:ascii="Arial" w:cs="Arial" w:eastAsia="Arial" w:hAnsi="Arial"/>
                <w:sz w:val="18"/>
                <w:szCs w:val="18"/>
                <w:b w:val="1"/>
                <w:bCs w:val="1"/>
                <w:color w:val="auto"/>
              </w:rPr>
              <w:t>6</w:t>
            </w:r>
          </w:p>
        </w:tc>
        <w:tc>
          <w:tcPr>
            <w:tcW w:w="850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96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vMerge w:val="continue"/>
          </w:tcPr>
          <w:p>
            <w:pPr>
              <w:spacing w:after="0"/>
              <w:rPr>
                <w:sz w:val="9"/>
                <w:szCs w:val="9"/>
                <w:color w:val="auto"/>
              </w:rPr>
            </w:pPr>
          </w:p>
        </w:tc>
        <w:tc>
          <w:tcPr>
            <w:tcW w:w="850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60" w:type="dxa"/>
            <w:vAlign w:val="bottom"/>
            <w:tcBorders>
              <w:right w:val="single" w:sz="8" w:color="auto"/>
            </w:tcBorders>
            <w:vMerge w:val="continue"/>
          </w:tcPr>
          <w:p>
            <w:pPr>
              <w:spacing w:after="0"/>
              <w:rPr>
                <w:sz w:val="8"/>
                <w:szCs w:val="8"/>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17,264 (See Item 4(a))</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960" w:type="dxa"/>
            <w:vAlign w:val="bottom"/>
            <w:tcBorders>
              <w:right w:val="single" w:sz="8" w:color="auto"/>
            </w:tcBorders>
            <w:vMerge w:val="continue"/>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850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760" w:type="dxa"/>
            <w:vAlign w:val="bottom"/>
            <w:tcBorders>
              <w:bottom w:val="single" w:sz="8" w:color="auto"/>
              <w:right w:val="single" w:sz="8" w:color="auto"/>
            </w:tcBorders>
          </w:tcPr>
          <w:p>
            <w:pPr>
              <w:spacing w:after="0"/>
              <w:rPr>
                <w:sz w:val="9"/>
                <w:szCs w:val="9"/>
                <w:color w:val="auto"/>
              </w:rPr>
            </w:pPr>
          </w:p>
        </w:tc>
        <w:tc>
          <w:tcPr>
            <w:tcW w:w="850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960" w:type="dxa"/>
            <w:vAlign w:val="bottom"/>
            <w:tcBorders>
              <w:right w:val="single" w:sz="8" w:color="auto"/>
            </w:tcBorders>
            <w:vMerge w:val="continue"/>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60" w:type="dxa"/>
            <w:vAlign w:val="bottom"/>
            <w:tcBorders>
              <w:right w:val="single" w:sz="8" w:color="auto"/>
            </w:tcBorders>
            <w:vMerge w:val="restart"/>
          </w:tcPr>
          <w:p>
            <w:pPr>
              <w:jc w:val="right"/>
              <w:ind w:right="272"/>
              <w:spacing w:after="0"/>
              <w:rPr>
                <w:sz w:val="20"/>
                <w:szCs w:val="20"/>
                <w:color w:val="auto"/>
              </w:rPr>
            </w:pPr>
            <w:r>
              <w:rPr>
                <w:rFonts w:ascii="Arial" w:cs="Arial" w:eastAsia="Arial" w:hAnsi="Arial"/>
                <w:sz w:val="18"/>
                <w:szCs w:val="18"/>
                <w:b w:val="1"/>
                <w:bCs w:val="1"/>
                <w:color w:val="auto"/>
              </w:rPr>
              <w:t>7</w:t>
            </w:r>
          </w:p>
        </w:tc>
        <w:tc>
          <w:tcPr>
            <w:tcW w:w="850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1960" w:type="dxa"/>
            <w:vAlign w:val="bottom"/>
            <w:tcBorders>
              <w:right w:val="single" w:sz="8" w:color="auto"/>
            </w:tcBorders>
            <w:vMerge w:val="continue"/>
          </w:tcPr>
          <w:p>
            <w:pPr>
              <w:spacing w:after="0"/>
              <w:rPr>
                <w:sz w:val="6"/>
                <w:szCs w:val="6"/>
                <w:color w:val="auto"/>
              </w:rPr>
            </w:pPr>
          </w:p>
        </w:tc>
        <w:tc>
          <w:tcPr>
            <w:tcW w:w="760" w:type="dxa"/>
            <w:vAlign w:val="bottom"/>
            <w:tcBorders>
              <w:right w:val="single" w:sz="8" w:color="auto"/>
            </w:tcBorders>
            <w:vMerge w:val="continue"/>
          </w:tcPr>
          <w:p>
            <w:pPr>
              <w:spacing w:after="0"/>
              <w:rPr>
                <w:sz w:val="6"/>
                <w:szCs w:val="6"/>
                <w:color w:val="auto"/>
              </w:rPr>
            </w:pPr>
          </w:p>
        </w:tc>
        <w:tc>
          <w:tcPr>
            <w:tcW w:w="850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REPORTING</w:t>
            </w:r>
          </w:p>
        </w:tc>
        <w:tc>
          <w:tcPr>
            <w:tcW w:w="760" w:type="dxa"/>
            <w:vAlign w:val="bottom"/>
            <w:tcBorders>
              <w:right w:val="single" w:sz="8" w:color="auto"/>
            </w:tcBorders>
            <w:vMerge w:val="continue"/>
          </w:tcPr>
          <w:p>
            <w:pPr>
              <w:spacing w:after="0"/>
              <w:rPr>
                <w:sz w:val="11"/>
                <w:szCs w:val="11"/>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1960" w:type="dxa"/>
            <w:vAlign w:val="bottom"/>
            <w:tcBorders>
              <w:right w:val="single" w:sz="8" w:color="auto"/>
            </w:tcBorders>
            <w:vMerge w:val="continue"/>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850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PERSON WITH</w:t>
            </w:r>
          </w:p>
        </w:tc>
        <w:tc>
          <w:tcPr>
            <w:tcW w:w="760" w:type="dxa"/>
            <w:vAlign w:val="bottom"/>
            <w:tcBorders>
              <w:bottom w:val="single" w:sz="8" w:color="auto"/>
              <w:right w:val="single" w:sz="8" w:color="auto"/>
            </w:tcBorders>
          </w:tcPr>
          <w:p>
            <w:pPr>
              <w:spacing w:after="0"/>
              <w:rPr>
                <w:sz w:val="12"/>
                <w:szCs w:val="12"/>
                <w:color w:val="auto"/>
              </w:rPr>
            </w:pPr>
          </w:p>
        </w:tc>
        <w:tc>
          <w:tcPr>
            <w:tcW w:w="850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1960" w:type="dxa"/>
            <w:vAlign w:val="bottom"/>
            <w:tcBorders>
              <w:right w:val="single" w:sz="8" w:color="auto"/>
            </w:tcBorders>
            <w:vMerge w:val="continue"/>
          </w:tcPr>
          <w:p>
            <w:pPr>
              <w:spacing w:after="0"/>
              <w:rPr>
                <w:sz w:val="5"/>
                <w:szCs w:val="5"/>
                <w:color w:val="auto"/>
              </w:rPr>
            </w:pPr>
          </w:p>
        </w:tc>
        <w:tc>
          <w:tcPr>
            <w:tcW w:w="760" w:type="dxa"/>
            <w:vAlign w:val="bottom"/>
            <w:tcBorders>
              <w:right w:val="single" w:sz="8" w:color="auto"/>
            </w:tcBorders>
            <w:vMerge w:val="restart"/>
          </w:tcPr>
          <w:p>
            <w:pPr>
              <w:jc w:val="right"/>
              <w:ind w:right="272"/>
              <w:spacing w:after="0"/>
              <w:rPr>
                <w:sz w:val="20"/>
                <w:szCs w:val="20"/>
                <w:color w:val="auto"/>
              </w:rPr>
            </w:pPr>
            <w:r>
              <w:rPr>
                <w:rFonts w:ascii="Arial" w:cs="Arial" w:eastAsia="Arial" w:hAnsi="Arial"/>
                <w:sz w:val="18"/>
                <w:szCs w:val="18"/>
                <w:b w:val="1"/>
                <w:bCs w:val="1"/>
                <w:color w:val="auto"/>
              </w:rPr>
              <w:t>8</w:t>
            </w:r>
          </w:p>
        </w:tc>
        <w:tc>
          <w:tcPr>
            <w:tcW w:w="8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196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vMerge w:val="continue"/>
          </w:tcPr>
          <w:p>
            <w:pPr>
              <w:spacing w:after="0"/>
              <w:rPr>
                <w:sz w:val="13"/>
                <w:szCs w:val="13"/>
                <w:color w:val="auto"/>
              </w:rPr>
            </w:pPr>
          </w:p>
        </w:tc>
        <w:tc>
          <w:tcPr>
            <w:tcW w:w="850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96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vMerge w:val="continue"/>
          </w:tcPr>
          <w:p>
            <w:pPr>
              <w:spacing w:after="0"/>
              <w:rPr>
                <w:sz w:val="17"/>
                <w:szCs w:val="17"/>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17,264 (See Item 4(a))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1960" w:type="dxa"/>
            <w:vAlign w:val="bottom"/>
            <w:tcBorders>
              <w:bottom w:val="single" w:sz="8" w:color="auto"/>
              <w:right w:val="single" w:sz="8" w:color="auto"/>
            </w:tcBorders>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850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17,264 (See Item 4(a))</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0.0%</w:t>
      </w:r>
    </w:p>
    <w:p>
      <w:pPr>
        <w:spacing w:after="0" w:line="3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w:t>
      </w:r>
    </w:p>
    <w:p>
      <w:pPr>
        <w:sectPr>
          <w:pgSz w:w="11900" w:h="16838" w:orient="portrait"/>
          <w:cols w:equalWidth="0" w:num="1">
            <w:col w:w="11240"/>
          </w:cols>
          <w:pgMar w:left="320" w:top="563" w:right="3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Y2687W108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-121285</wp:posOffset>
            </wp:positionV>
            <wp:extent cx="1298575" cy="1758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98575" cy="175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460" w:val="left"/>
        </w:tabs>
        <w:rPr>
          <w:sz w:val="20"/>
          <w:szCs w:val="20"/>
          <w:color w:val="auto"/>
        </w:rPr>
      </w:pP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21"/>
          <w:szCs w:val="21"/>
          <w:color w:val="auto"/>
          <w:vertAlign w:val="superscript"/>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-3247390</wp:posOffset>
            </wp:positionH>
            <wp:positionV relativeFrom="paragraph">
              <wp:posOffset>158750</wp:posOffset>
            </wp:positionV>
            <wp:extent cx="7136130" cy="50272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wp:posOffset>
            </wp:positionH>
            <wp:positionV relativeFrom="paragraph">
              <wp:posOffset>-121285</wp:posOffset>
            </wp:positionV>
            <wp:extent cx="561340" cy="1587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134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-117475</wp:posOffset>
            </wp:positionV>
            <wp:extent cx="570230" cy="1587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249" w:lineRule="exact"/>
        <w:rPr>
          <w:sz w:val="20"/>
          <w:szCs w:val="20"/>
          <w:color w:val="auto"/>
        </w:rPr>
      </w:pPr>
    </w:p>
    <w:p>
      <w:pPr>
        <w:sectPr>
          <w:pgSz w:w="11900" w:h="16838" w:orient="portrait"/>
          <w:cols w:equalWidth="0" w:num="6">
            <w:col w:w="800" w:space="680"/>
            <w:col w:w="2920" w:space="720"/>
            <w:col w:w="3820" w:space="500"/>
            <w:col w:w="100" w:space="500"/>
            <w:col w:w="140" w:space="520"/>
            <w:col w:w="540"/>
          </w:cols>
          <w:pgMar w:left="320" w:top="563" w:right="339" w:bottom="1440" w:gutter="0" w:footer="0" w:header="0"/>
        </w:sectPr>
      </w:pPr>
    </w:p>
    <w:p>
      <w:pPr>
        <w:spacing w:after="0" w:line="12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Millennium International Management LP</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405"/>
        <w:spacing w:after="0"/>
        <w:tabs>
          <w:tab w:leader="none" w:pos="6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00" w:hanging="327"/>
        <w:spacing w:after="0" w:line="207" w:lineRule="exact"/>
        <w:tabs>
          <w:tab w:leader="none" w:pos="100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0" w:lineRule="exact"/>
        <w:rPr>
          <w:sz w:val="20"/>
          <w:szCs w:val="20"/>
          <w:color w:val="auto"/>
        </w:rPr>
      </w:pPr>
    </w:p>
    <w:p>
      <w:pPr>
        <w:ind w:left="680" w:hanging="405"/>
        <w:spacing w:after="0"/>
        <w:tabs>
          <w:tab w:leader="none" w:pos="6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Delaware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78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00" w:type="dxa"/>
            <w:vAlign w:val="bottom"/>
            <w:tcBorders>
              <w:bottom w:val="single" w:sz="8" w:color="auto"/>
              <w:right w:val="single" w:sz="8" w:color="auto"/>
            </w:tcBorders>
          </w:tcPr>
          <w:p>
            <w:pPr>
              <w:spacing w:after="0"/>
              <w:rPr>
                <w:sz w:val="19"/>
                <w:szCs w:val="19"/>
                <w:color w:val="auto"/>
              </w:rPr>
            </w:pPr>
          </w:p>
        </w:tc>
        <w:tc>
          <w:tcPr>
            <w:tcW w:w="784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00" w:type="dxa"/>
            <w:vAlign w:val="bottom"/>
            <w:tcBorders>
              <w:right w:val="single" w:sz="8" w:color="auto"/>
            </w:tcBorders>
            <w:vMerge w:val="continue"/>
          </w:tcPr>
          <w:p>
            <w:pPr>
              <w:spacing w:after="0"/>
              <w:rPr>
                <w:sz w:val="8"/>
                <w:szCs w:val="8"/>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17,264 (See Item 4(a))</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68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00" w:type="dxa"/>
            <w:vAlign w:val="bottom"/>
            <w:tcBorders>
              <w:bottom w:val="single" w:sz="8" w:color="auto"/>
              <w:right w:val="single" w:sz="8" w:color="auto"/>
            </w:tcBorders>
          </w:tcPr>
          <w:p>
            <w:pPr>
              <w:spacing w:after="0"/>
              <w:rPr>
                <w:sz w:val="9"/>
                <w:szCs w:val="9"/>
                <w:color w:val="auto"/>
              </w:rPr>
            </w:pPr>
          </w:p>
        </w:tc>
        <w:tc>
          <w:tcPr>
            <w:tcW w:w="784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84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78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00" w:type="dxa"/>
            <w:vAlign w:val="bottom"/>
            <w:tcBorders>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17,264 (See Item 4(a))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17,264 (See Item 4(a))</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0.0%</w:t>
      </w:r>
    </w:p>
    <w:p>
      <w:pPr>
        <w:spacing w:after="0" w:line="3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PN</w:t>
      </w:r>
    </w:p>
    <w:p>
      <w:pPr>
        <w:sectPr>
          <w:pgSz w:w="11900" w:h="16838" w:orient="portrait"/>
          <w:cols w:equalWidth="0" w:num="1">
            <w:col w:w="11240"/>
          </w:cols>
          <w:pgMar w:left="320" w:top="563"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Y2687W108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-121285</wp:posOffset>
            </wp:positionV>
            <wp:extent cx="1298575" cy="1758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98575" cy="175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460" w:val="left"/>
        </w:tabs>
        <w:rPr>
          <w:sz w:val="20"/>
          <w:szCs w:val="20"/>
          <w:color w:val="auto"/>
        </w:rPr>
      </w:pP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21"/>
          <w:szCs w:val="21"/>
          <w:color w:val="auto"/>
          <w:vertAlign w:val="superscript"/>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-3247390</wp:posOffset>
            </wp:positionH>
            <wp:positionV relativeFrom="paragraph">
              <wp:posOffset>158750</wp:posOffset>
            </wp:positionV>
            <wp:extent cx="7136130" cy="50272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wp:posOffset>
            </wp:positionH>
            <wp:positionV relativeFrom="paragraph">
              <wp:posOffset>-121285</wp:posOffset>
            </wp:positionV>
            <wp:extent cx="561340" cy="1587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134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-117475</wp:posOffset>
            </wp:positionV>
            <wp:extent cx="570230" cy="1587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249" w:lineRule="exact"/>
        <w:rPr>
          <w:sz w:val="20"/>
          <w:szCs w:val="20"/>
          <w:color w:val="auto"/>
        </w:rPr>
      </w:pPr>
    </w:p>
    <w:p>
      <w:pPr>
        <w:sectPr>
          <w:pgSz w:w="11900" w:h="16838" w:orient="portrait"/>
          <w:cols w:equalWidth="0" w:num="6">
            <w:col w:w="800" w:space="680"/>
            <w:col w:w="2920" w:space="720"/>
            <w:col w:w="3820" w:space="500"/>
            <w:col w:w="100" w:space="500"/>
            <w:col w:w="140" w:space="520"/>
            <w:col w:w="540"/>
          </w:cols>
          <w:pgMar w:left="320" w:top="563" w:right="339" w:bottom="1440" w:gutter="0" w:footer="0" w:header="0"/>
        </w:sectPr>
      </w:pPr>
    </w:p>
    <w:p>
      <w:pPr>
        <w:spacing w:after="0" w:line="12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Millennium Management LLC</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405"/>
        <w:spacing w:after="0"/>
        <w:tabs>
          <w:tab w:leader="none" w:pos="6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00" w:hanging="327"/>
        <w:spacing w:after="0" w:line="207" w:lineRule="exact"/>
        <w:tabs>
          <w:tab w:leader="none" w:pos="1000" w:val="left"/>
        </w:tabs>
        <w:numPr>
          <w:ilvl w:val="1"/>
          <w:numId w:val="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0" w:lineRule="exact"/>
        <w:rPr>
          <w:sz w:val="20"/>
          <w:szCs w:val="20"/>
          <w:color w:val="auto"/>
        </w:rPr>
      </w:pPr>
    </w:p>
    <w:p>
      <w:pPr>
        <w:ind w:left="680" w:hanging="405"/>
        <w:spacing w:after="0"/>
        <w:tabs>
          <w:tab w:leader="none" w:pos="6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Delaware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78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00" w:type="dxa"/>
            <w:vAlign w:val="bottom"/>
            <w:tcBorders>
              <w:bottom w:val="single" w:sz="8" w:color="auto"/>
              <w:right w:val="single" w:sz="8" w:color="auto"/>
            </w:tcBorders>
          </w:tcPr>
          <w:p>
            <w:pPr>
              <w:spacing w:after="0"/>
              <w:rPr>
                <w:sz w:val="19"/>
                <w:szCs w:val="19"/>
                <w:color w:val="auto"/>
              </w:rPr>
            </w:pPr>
          </w:p>
        </w:tc>
        <w:tc>
          <w:tcPr>
            <w:tcW w:w="784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00" w:type="dxa"/>
            <w:vAlign w:val="bottom"/>
            <w:tcBorders>
              <w:right w:val="single" w:sz="8" w:color="auto"/>
            </w:tcBorders>
            <w:vMerge w:val="continue"/>
          </w:tcPr>
          <w:p>
            <w:pPr>
              <w:spacing w:after="0"/>
              <w:rPr>
                <w:sz w:val="8"/>
                <w:szCs w:val="8"/>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17,264 (See Item 4(a))</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68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00" w:type="dxa"/>
            <w:vAlign w:val="bottom"/>
            <w:tcBorders>
              <w:bottom w:val="single" w:sz="8" w:color="auto"/>
              <w:right w:val="single" w:sz="8" w:color="auto"/>
            </w:tcBorders>
          </w:tcPr>
          <w:p>
            <w:pPr>
              <w:spacing w:after="0"/>
              <w:rPr>
                <w:sz w:val="9"/>
                <w:szCs w:val="9"/>
                <w:color w:val="auto"/>
              </w:rPr>
            </w:pPr>
          </w:p>
        </w:tc>
        <w:tc>
          <w:tcPr>
            <w:tcW w:w="784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84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78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00" w:type="dxa"/>
            <w:vAlign w:val="bottom"/>
            <w:tcBorders>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17,264 (See Item 4(a))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17,264 (See Item 4(a))</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0.0%</w:t>
      </w:r>
    </w:p>
    <w:p>
      <w:pPr>
        <w:spacing w:after="0" w:line="3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OO</w:t>
      </w:r>
    </w:p>
    <w:p>
      <w:pPr>
        <w:sectPr>
          <w:pgSz w:w="11900" w:h="16838" w:orient="portrait"/>
          <w:cols w:equalWidth="0" w:num="1">
            <w:col w:w="11240"/>
          </w:cols>
          <w:pgMar w:left="320" w:top="563"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Y2687W108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-121285</wp:posOffset>
            </wp:positionV>
            <wp:extent cx="1298575" cy="1758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98575" cy="175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460" w:val="left"/>
        </w:tabs>
        <w:rPr>
          <w:sz w:val="20"/>
          <w:szCs w:val="20"/>
          <w:color w:val="auto"/>
        </w:rPr>
      </w:pP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21"/>
          <w:szCs w:val="21"/>
          <w:color w:val="auto"/>
          <w:vertAlign w:val="superscript"/>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-3247390</wp:posOffset>
            </wp:positionH>
            <wp:positionV relativeFrom="paragraph">
              <wp:posOffset>158750</wp:posOffset>
            </wp:positionV>
            <wp:extent cx="7136130" cy="50272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wp:posOffset>
            </wp:positionH>
            <wp:positionV relativeFrom="paragraph">
              <wp:posOffset>-121285</wp:posOffset>
            </wp:positionV>
            <wp:extent cx="561340" cy="1587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134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-117475</wp:posOffset>
            </wp:positionV>
            <wp:extent cx="570230" cy="1587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249" w:lineRule="exact"/>
        <w:rPr>
          <w:sz w:val="20"/>
          <w:szCs w:val="20"/>
          <w:color w:val="auto"/>
        </w:rPr>
      </w:pPr>
    </w:p>
    <w:p>
      <w:pPr>
        <w:sectPr>
          <w:pgSz w:w="11900" w:h="16838" w:orient="portrait"/>
          <w:cols w:equalWidth="0" w:num="6">
            <w:col w:w="800" w:space="680"/>
            <w:col w:w="2920" w:space="720"/>
            <w:col w:w="3820" w:space="500"/>
            <w:col w:w="100" w:space="500"/>
            <w:col w:w="140" w:space="520"/>
            <w:col w:w="540"/>
          </w:cols>
          <w:pgMar w:left="320" w:top="563" w:right="339" w:bottom="1440" w:gutter="0" w:footer="0" w:header="0"/>
        </w:sectPr>
      </w:pPr>
    </w:p>
    <w:p>
      <w:pPr>
        <w:spacing w:after="0" w:line="12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Millennium Group Management LLC</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405"/>
        <w:spacing w:after="0"/>
        <w:tabs>
          <w:tab w:leader="none" w:pos="6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00" w:hanging="327"/>
        <w:spacing w:after="0" w:line="207" w:lineRule="exact"/>
        <w:tabs>
          <w:tab w:leader="none" w:pos="1000" w:val="left"/>
        </w:tabs>
        <w:numPr>
          <w:ilvl w:val="1"/>
          <w:numId w:val="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0" w:lineRule="exact"/>
        <w:rPr>
          <w:sz w:val="20"/>
          <w:szCs w:val="20"/>
          <w:color w:val="auto"/>
        </w:rPr>
      </w:pPr>
    </w:p>
    <w:p>
      <w:pPr>
        <w:ind w:left="680" w:hanging="405"/>
        <w:spacing w:after="0"/>
        <w:tabs>
          <w:tab w:leader="none" w:pos="6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Delaware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78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00" w:type="dxa"/>
            <w:vAlign w:val="bottom"/>
            <w:tcBorders>
              <w:bottom w:val="single" w:sz="8" w:color="auto"/>
              <w:right w:val="single" w:sz="8" w:color="auto"/>
            </w:tcBorders>
          </w:tcPr>
          <w:p>
            <w:pPr>
              <w:spacing w:after="0"/>
              <w:rPr>
                <w:sz w:val="19"/>
                <w:szCs w:val="19"/>
                <w:color w:val="auto"/>
              </w:rPr>
            </w:pPr>
          </w:p>
        </w:tc>
        <w:tc>
          <w:tcPr>
            <w:tcW w:w="784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00" w:type="dxa"/>
            <w:vAlign w:val="bottom"/>
            <w:tcBorders>
              <w:right w:val="single" w:sz="8" w:color="auto"/>
            </w:tcBorders>
            <w:vMerge w:val="continue"/>
          </w:tcPr>
          <w:p>
            <w:pPr>
              <w:spacing w:after="0"/>
              <w:rPr>
                <w:sz w:val="8"/>
                <w:szCs w:val="8"/>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17,264 (See Item 4(a))</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68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00" w:type="dxa"/>
            <w:vAlign w:val="bottom"/>
            <w:tcBorders>
              <w:bottom w:val="single" w:sz="8" w:color="auto"/>
              <w:right w:val="single" w:sz="8" w:color="auto"/>
            </w:tcBorders>
          </w:tcPr>
          <w:p>
            <w:pPr>
              <w:spacing w:after="0"/>
              <w:rPr>
                <w:sz w:val="9"/>
                <w:szCs w:val="9"/>
                <w:color w:val="auto"/>
              </w:rPr>
            </w:pPr>
          </w:p>
        </w:tc>
        <w:tc>
          <w:tcPr>
            <w:tcW w:w="784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84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78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00" w:type="dxa"/>
            <w:vAlign w:val="bottom"/>
            <w:tcBorders>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17,264 (See Item 4(a))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17,264 (See Item 4(a))</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0.0%</w:t>
      </w:r>
    </w:p>
    <w:p>
      <w:pPr>
        <w:spacing w:after="0" w:line="3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OO</w:t>
      </w:r>
    </w:p>
    <w:p>
      <w:pPr>
        <w:sectPr>
          <w:pgSz w:w="11900" w:h="16838" w:orient="portrait"/>
          <w:cols w:equalWidth="0" w:num="1">
            <w:col w:w="11240"/>
          </w:cols>
          <w:pgMar w:left="320" w:top="563"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Y2687W108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-121285</wp:posOffset>
            </wp:positionV>
            <wp:extent cx="1298575" cy="1758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98575" cy="175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460" w:val="left"/>
        </w:tabs>
        <w:rPr>
          <w:sz w:val="20"/>
          <w:szCs w:val="20"/>
          <w:color w:val="auto"/>
        </w:rPr>
      </w:pP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21"/>
          <w:szCs w:val="21"/>
          <w:color w:val="auto"/>
          <w:vertAlign w:val="superscript"/>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-3247390</wp:posOffset>
            </wp:positionH>
            <wp:positionV relativeFrom="paragraph">
              <wp:posOffset>158750</wp:posOffset>
            </wp:positionV>
            <wp:extent cx="7136130" cy="50272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wp:posOffset>
            </wp:positionH>
            <wp:positionV relativeFrom="paragraph">
              <wp:posOffset>-121285</wp:posOffset>
            </wp:positionV>
            <wp:extent cx="561340" cy="1587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134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-117475</wp:posOffset>
            </wp:positionV>
            <wp:extent cx="570230" cy="1587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249" w:lineRule="exact"/>
        <w:rPr>
          <w:sz w:val="20"/>
          <w:szCs w:val="20"/>
          <w:color w:val="auto"/>
        </w:rPr>
      </w:pPr>
    </w:p>
    <w:p>
      <w:pPr>
        <w:sectPr>
          <w:pgSz w:w="11900" w:h="16838" w:orient="portrait"/>
          <w:cols w:equalWidth="0" w:num="6">
            <w:col w:w="800" w:space="680"/>
            <w:col w:w="2920" w:space="720"/>
            <w:col w:w="3820" w:space="500"/>
            <w:col w:w="100" w:space="500"/>
            <w:col w:w="140" w:space="520"/>
            <w:col w:w="540"/>
          </w:cols>
          <w:pgMar w:left="320" w:top="563" w:right="339" w:bottom="1440" w:gutter="0" w:footer="0" w:header="0"/>
        </w:sectPr>
      </w:pPr>
    </w:p>
    <w:p>
      <w:pPr>
        <w:spacing w:after="0" w:line="12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Israel A. Englander</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405"/>
        <w:spacing w:after="0"/>
        <w:tabs>
          <w:tab w:leader="none" w:pos="6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00" w:hanging="327"/>
        <w:spacing w:after="0" w:line="207" w:lineRule="exact"/>
        <w:tabs>
          <w:tab w:leader="none" w:pos="1000" w:val="left"/>
        </w:tabs>
        <w:numPr>
          <w:ilvl w:val="1"/>
          <w:numId w:val="10"/>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0" w:lineRule="exact"/>
        <w:rPr>
          <w:sz w:val="20"/>
          <w:szCs w:val="20"/>
          <w:color w:val="auto"/>
        </w:rPr>
      </w:pPr>
    </w:p>
    <w:p>
      <w:pPr>
        <w:ind w:left="680" w:hanging="405"/>
        <w:spacing w:after="0"/>
        <w:tabs>
          <w:tab w:leader="none" w:pos="68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United States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78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00" w:type="dxa"/>
            <w:vAlign w:val="bottom"/>
            <w:tcBorders>
              <w:bottom w:val="single" w:sz="8" w:color="auto"/>
              <w:right w:val="single" w:sz="8" w:color="auto"/>
            </w:tcBorders>
          </w:tcPr>
          <w:p>
            <w:pPr>
              <w:spacing w:after="0"/>
              <w:rPr>
                <w:sz w:val="19"/>
                <w:szCs w:val="19"/>
                <w:color w:val="auto"/>
              </w:rPr>
            </w:pPr>
          </w:p>
        </w:tc>
        <w:tc>
          <w:tcPr>
            <w:tcW w:w="784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00" w:type="dxa"/>
            <w:vAlign w:val="bottom"/>
            <w:tcBorders>
              <w:right w:val="single" w:sz="8" w:color="auto"/>
            </w:tcBorders>
            <w:vMerge w:val="continue"/>
          </w:tcPr>
          <w:p>
            <w:pPr>
              <w:spacing w:after="0"/>
              <w:rPr>
                <w:sz w:val="8"/>
                <w:szCs w:val="8"/>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17,264 (See Item 4(a))</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68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00" w:type="dxa"/>
            <w:vAlign w:val="bottom"/>
            <w:tcBorders>
              <w:bottom w:val="single" w:sz="8" w:color="auto"/>
              <w:right w:val="single" w:sz="8" w:color="auto"/>
            </w:tcBorders>
          </w:tcPr>
          <w:p>
            <w:pPr>
              <w:spacing w:after="0"/>
              <w:rPr>
                <w:sz w:val="9"/>
                <w:szCs w:val="9"/>
                <w:color w:val="auto"/>
              </w:rPr>
            </w:pPr>
          </w:p>
        </w:tc>
        <w:tc>
          <w:tcPr>
            <w:tcW w:w="784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84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78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00" w:type="dxa"/>
            <w:vAlign w:val="bottom"/>
            <w:tcBorders>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17,264 (See Item 4(a))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17,264 (See Item 4(a))</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0.0%</w:t>
      </w:r>
    </w:p>
    <w:p>
      <w:pPr>
        <w:spacing w:after="0" w:line="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IN</w:t>
      </w:r>
    </w:p>
    <w:p>
      <w:pPr>
        <w:sectPr>
          <w:pgSz w:w="11900" w:h="16838" w:orient="portrait"/>
          <w:cols w:equalWidth="0" w:num="1">
            <w:col w:w="11240"/>
          </w:cols>
          <w:pgMar w:left="320" w:top="563" w:right="3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Y2687W108</w:t>
            </w:r>
          </w:p>
        </w:tc>
        <w:tc>
          <w:tcPr>
            <w:tcW w:w="3500" w:type="dxa"/>
            <w:vAlign w:val="bottom"/>
          </w:tcPr>
          <w:p>
            <w:pPr>
              <w:ind w:left="2180"/>
              <w:spacing w:after="0"/>
              <w:rPr>
                <w:sz w:val="20"/>
                <w:szCs w:val="20"/>
                <w:color w:val="auto"/>
              </w:rPr>
            </w:pPr>
            <w:r>
              <w:rPr>
                <w:rFonts w:ascii="Arial" w:cs="Arial" w:eastAsia="Arial" w:hAnsi="Arial"/>
                <w:sz w:val="18"/>
                <w:szCs w:val="18"/>
                <w:b w:val="1"/>
                <w:bCs w:val="1"/>
                <w:color w:val="auto"/>
                <w:w w:val="94"/>
              </w:rPr>
              <w:t>SCHEDULE 13G</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w:t>
      </w:r>
    </w:p>
    <w:p>
      <w:pPr>
        <w:spacing w:after="0" w:line="15" w:lineRule="exact"/>
        <w:rPr>
          <w:sz w:val="20"/>
          <w:szCs w:val="20"/>
          <w:color w:val="auto"/>
        </w:rPr>
      </w:pPr>
    </w:p>
    <w:p>
      <w:pPr>
        <w:ind w:left="1320" w:hanging="394"/>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Name of Issuer</w:t>
      </w:r>
      <w:r>
        <w:rPr>
          <w:rFonts w:ascii="Arial" w:cs="Arial" w:eastAsia="Arial" w:hAnsi="Arial"/>
          <w:sz w:val="18"/>
          <w:szCs w:val="18"/>
          <w:color w:val="auto"/>
        </w:rPr>
        <w:t>:</w:t>
      </w:r>
    </w:p>
    <w:p>
      <w:pPr>
        <w:spacing w:after="0" w:line="226" w:lineRule="exact"/>
        <w:rPr>
          <w:rFonts w:ascii="Arial" w:cs="Arial" w:eastAsia="Arial" w:hAnsi="Arial"/>
          <w:sz w:val="18"/>
          <w:szCs w:val="18"/>
          <w:color w:val="auto"/>
        </w:rPr>
      </w:pPr>
    </w:p>
    <w:p>
      <w:pPr>
        <w:ind w:left="1320"/>
        <w:spacing w:after="0"/>
        <w:rPr>
          <w:rFonts w:ascii="Arial" w:cs="Arial" w:eastAsia="Arial" w:hAnsi="Arial"/>
          <w:sz w:val="18"/>
          <w:szCs w:val="18"/>
          <w:color w:val="auto"/>
        </w:rPr>
      </w:pPr>
      <w:r>
        <w:rPr>
          <w:rFonts w:ascii="Arial" w:cs="Arial" w:eastAsia="Arial" w:hAnsi="Arial"/>
          <w:sz w:val="16"/>
          <w:szCs w:val="16"/>
          <w:color w:val="auto"/>
        </w:rPr>
        <w:t>GasLog Partners LP, a Marshall Islands limited partnership (the "Issuer").</w:t>
      </w:r>
    </w:p>
    <w:p>
      <w:pPr>
        <w:spacing w:after="0" w:line="253" w:lineRule="exact"/>
        <w:rPr>
          <w:rFonts w:ascii="Arial" w:cs="Arial" w:eastAsia="Arial" w:hAnsi="Arial"/>
          <w:sz w:val="18"/>
          <w:szCs w:val="18"/>
          <w:color w:val="auto"/>
        </w:rPr>
      </w:pPr>
    </w:p>
    <w:p>
      <w:pPr>
        <w:ind w:left="1320" w:hanging="394"/>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Address of Issuer’s Principal Executive Offices</w:t>
      </w:r>
      <w:r>
        <w:rPr>
          <w:rFonts w:ascii="Arial" w:cs="Arial" w:eastAsia="Arial" w:hAnsi="Arial"/>
          <w:sz w:val="18"/>
          <w:szCs w:val="18"/>
          <w:color w:val="auto"/>
        </w:rPr>
        <w:t>:</w:t>
      </w:r>
    </w:p>
    <w:p>
      <w:pPr>
        <w:spacing w:after="0" w:line="21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c/o GasLong LNG Services Ltd.</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69 Akti Miaouli 18537</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Piraeus, Greece</w:t>
      </w:r>
    </w:p>
    <w:p>
      <w:pPr>
        <w:spacing w:after="0" w:line="217" w:lineRule="exact"/>
        <w:rPr>
          <w:sz w:val="20"/>
          <w:szCs w:val="20"/>
          <w:color w:val="auto"/>
        </w:rPr>
      </w:pPr>
    </w:p>
    <w:p>
      <w:pPr>
        <w:spacing w:after="0"/>
        <w:tabs>
          <w:tab w:leader="none" w:pos="900" w:val="left"/>
          <w:tab w:leader="none" w:pos="1300" w:val="left"/>
        </w:tabs>
        <w:rPr>
          <w:sz w:val="20"/>
          <w:szCs w:val="20"/>
          <w:color w:val="auto"/>
        </w:rPr>
      </w:pPr>
      <w:r>
        <w:rPr>
          <w:rFonts w:ascii="Arial" w:cs="Arial" w:eastAsia="Arial" w:hAnsi="Arial"/>
          <w:sz w:val="18"/>
          <w:szCs w:val="18"/>
          <w:u w:val="single" w:color="auto"/>
          <w:color w:val="auto"/>
        </w:rPr>
        <w:t>Item 2.</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6"/>
          <w:szCs w:val="16"/>
          <w:u w:val="single" w:color="auto"/>
          <w:color w:val="auto"/>
        </w:rPr>
        <w:t>Name of Person Filing</w:t>
      </w:r>
      <w:r>
        <w:rPr>
          <w:rFonts w:ascii="Arial" w:cs="Arial" w:eastAsia="Arial" w:hAnsi="Arial"/>
          <w:sz w:val="16"/>
          <w:szCs w:val="16"/>
          <w:color w:val="auto"/>
        </w:rPr>
        <w:t>:</w:t>
      </w:r>
    </w:p>
    <w:p>
      <w:pPr>
        <w:spacing w:after="0" w:line="15" w:lineRule="exact"/>
        <w:rPr>
          <w:sz w:val="20"/>
          <w:szCs w:val="20"/>
          <w:color w:val="auto"/>
        </w:rPr>
      </w:pPr>
    </w:p>
    <w:p>
      <w:pPr>
        <w:ind w:left="1320" w:hanging="394"/>
        <w:spacing w:after="0"/>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Address of Principal Business Office</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320" w:hanging="394"/>
        <w:spacing w:after="0"/>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Citizenship</w:t>
      </w:r>
      <w:r>
        <w:rPr>
          <w:rFonts w:ascii="Arial" w:cs="Arial" w:eastAsia="Arial" w:hAnsi="Arial"/>
          <w:sz w:val="18"/>
          <w:szCs w:val="18"/>
          <w:color w:val="auto"/>
        </w:rPr>
        <w:t>:</w:t>
      </w:r>
    </w:p>
    <w:p>
      <w:pPr>
        <w:spacing w:after="0" w:line="218" w:lineRule="exact"/>
        <w:rPr>
          <w:rFonts w:ascii="Arial" w:cs="Arial" w:eastAsia="Arial" w:hAnsi="Arial"/>
          <w:sz w:val="18"/>
          <w:szCs w:val="18"/>
          <w:color w:val="auto"/>
        </w:rPr>
      </w:pPr>
    </w:p>
    <w:p>
      <w:pPr>
        <w:ind w:left="1320"/>
        <w:spacing w:after="0"/>
        <w:rPr>
          <w:rFonts w:ascii="Arial" w:cs="Arial" w:eastAsia="Arial" w:hAnsi="Arial"/>
          <w:sz w:val="18"/>
          <w:szCs w:val="18"/>
          <w:color w:val="auto"/>
        </w:rPr>
      </w:pPr>
      <w:r>
        <w:rPr>
          <w:rFonts w:ascii="Arial" w:cs="Arial" w:eastAsia="Arial" w:hAnsi="Arial"/>
          <w:sz w:val="18"/>
          <w:szCs w:val="18"/>
          <w:color w:val="auto"/>
        </w:rPr>
        <w:t>Integrated Assets, Ltd.</w:t>
      </w:r>
    </w:p>
    <w:p>
      <w:pPr>
        <w:spacing w:after="0" w:line="15" w:lineRule="exact"/>
        <w:rPr>
          <w:rFonts w:ascii="Arial" w:cs="Arial" w:eastAsia="Arial" w:hAnsi="Arial"/>
          <w:sz w:val="18"/>
          <w:szCs w:val="18"/>
          <w:color w:val="auto"/>
        </w:rPr>
      </w:pPr>
    </w:p>
    <w:p>
      <w:pPr>
        <w:ind w:left="1320" w:right="3320"/>
        <w:spacing w:after="0" w:line="250" w:lineRule="auto"/>
        <w:rPr>
          <w:rFonts w:ascii="Arial" w:cs="Arial" w:eastAsia="Arial" w:hAnsi="Arial"/>
          <w:sz w:val="18"/>
          <w:szCs w:val="18"/>
          <w:color w:val="auto"/>
        </w:rPr>
      </w:pPr>
      <w:r>
        <w:rPr>
          <w:rFonts w:ascii="Arial" w:cs="Arial" w:eastAsia="Arial" w:hAnsi="Arial"/>
          <w:sz w:val="18"/>
          <w:szCs w:val="18"/>
          <w:color w:val="auto"/>
        </w:rPr>
        <w:t>c/o Millennium International Management LP 666 Fifth Avenue</w:t>
      </w:r>
    </w:p>
    <w:p>
      <w:pPr>
        <w:jc w:val="both"/>
        <w:ind w:left="1320" w:right="454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10103 Citizenship: Cayman Islands</w:t>
      </w:r>
    </w:p>
    <w:p>
      <w:pPr>
        <w:spacing w:after="0" w:line="146" w:lineRule="exact"/>
        <w:rPr>
          <w:rFonts w:ascii="Arial" w:cs="Arial" w:eastAsia="Arial" w:hAnsi="Arial"/>
          <w:sz w:val="18"/>
          <w:szCs w:val="18"/>
          <w:color w:val="auto"/>
        </w:rPr>
      </w:pPr>
    </w:p>
    <w:p>
      <w:pPr>
        <w:ind w:left="1320" w:right="3580"/>
        <w:spacing w:after="0" w:line="254" w:lineRule="auto"/>
        <w:rPr>
          <w:rFonts w:ascii="Arial" w:cs="Arial" w:eastAsia="Arial" w:hAnsi="Arial"/>
          <w:sz w:val="18"/>
          <w:szCs w:val="18"/>
          <w:color w:val="auto"/>
        </w:rPr>
      </w:pPr>
      <w:r>
        <w:rPr>
          <w:rFonts w:ascii="Arial" w:cs="Arial" w:eastAsia="Arial" w:hAnsi="Arial"/>
          <w:sz w:val="18"/>
          <w:szCs w:val="18"/>
          <w:color w:val="auto"/>
        </w:rPr>
        <w:t>Millennium International Management LP 666 Fifth Avenue</w:t>
      </w:r>
    </w:p>
    <w:p>
      <w:pPr>
        <w:ind w:left="1320" w:right="456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10103 Citizenship: Delaware</w:t>
      </w:r>
    </w:p>
    <w:p>
      <w:pPr>
        <w:spacing w:after="0" w:line="146" w:lineRule="exact"/>
        <w:rPr>
          <w:rFonts w:ascii="Arial" w:cs="Arial" w:eastAsia="Arial" w:hAnsi="Arial"/>
          <w:sz w:val="18"/>
          <w:szCs w:val="18"/>
          <w:color w:val="auto"/>
        </w:rPr>
      </w:pPr>
    </w:p>
    <w:p>
      <w:pPr>
        <w:ind w:left="1320" w:right="4400"/>
        <w:spacing w:after="0" w:line="254" w:lineRule="auto"/>
        <w:rPr>
          <w:rFonts w:ascii="Arial" w:cs="Arial" w:eastAsia="Arial" w:hAnsi="Arial"/>
          <w:sz w:val="18"/>
          <w:szCs w:val="18"/>
          <w:color w:val="auto"/>
        </w:rPr>
      </w:pPr>
      <w:r>
        <w:rPr>
          <w:rFonts w:ascii="Arial" w:cs="Arial" w:eastAsia="Arial" w:hAnsi="Arial"/>
          <w:sz w:val="18"/>
          <w:szCs w:val="18"/>
          <w:color w:val="auto"/>
        </w:rPr>
        <w:t>Millennium Management LLC 666 Fifth Avenue</w:t>
      </w:r>
    </w:p>
    <w:p>
      <w:pPr>
        <w:ind w:left="1320" w:right="456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10103 Citizenship: Delaware</w:t>
      </w:r>
    </w:p>
    <w:p>
      <w:pPr>
        <w:spacing w:after="0" w:line="146" w:lineRule="exact"/>
        <w:rPr>
          <w:rFonts w:ascii="Arial" w:cs="Arial" w:eastAsia="Arial" w:hAnsi="Arial"/>
          <w:sz w:val="18"/>
          <w:szCs w:val="18"/>
          <w:color w:val="auto"/>
        </w:rPr>
      </w:pPr>
    </w:p>
    <w:p>
      <w:pPr>
        <w:ind w:left="1320" w:right="3900"/>
        <w:spacing w:after="0" w:line="254" w:lineRule="auto"/>
        <w:rPr>
          <w:rFonts w:ascii="Arial" w:cs="Arial" w:eastAsia="Arial" w:hAnsi="Arial"/>
          <w:sz w:val="18"/>
          <w:szCs w:val="18"/>
          <w:color w:val="auto"/>
        </w:rPr>
      </w:pPr>
      <w:r>
        <w:rPr>
          <w:rFonts w:ascii="Arial" w:cs="Arial" w:eastAsia="Arial" w:hAnsi="Arial"/>
          <w:sz w:val="18"/>
          <w:szCs w:val="18"/>
          <w:color w:val="auto"/>
        </w:rPr>
        <w:t>Millennium Group Management LLC 666 Fifth Avenue</w:t>
      </w:r>
    </w:p>
    <w:p>
      <w:pPr>
        <w:ind w:left="1320" w:right="456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10103 Citizenship: Delaware</w:t>
      </w:r>
    </w:p>
    <w:p>
      <w:pPr>
        <w:spacing w:after="0" w:line="146" w:lineRule="exact"/>
        <w:rPr>
          <w:rFonts w:ascii="Arial" w:cs="Arial" w:eastAsia="Arial" w:hAnsi="Arial"/>
          <w:sz w:val="18"/>
          <w:szCs w:val="18"/>
          <w:color w:val="auto"/>
        </w:rPr>
      </w:pPr>
    </w:p>
    <w:p>
      <w:pPr>
        <w:ind w:left="1320"/>
        <w:spacing w:after="0"/>
        <w:rPr>
          <w:rFonts w:ascii="Arial" w:cs="Arial" w:eastAsia="Arial" w:hAnsi="Arial"/>
          <w:sz w:val="18"/>
          <w:szCs w:val="18"/>
          <w:color w:val="auto"/>
        </w:rPr>
      </w:pPr>
      <w:r>
        <w:rPr>
          <w:rFonts w:ascii="Arial" w:cs="Arial" w:eastAsia="Arial" w:hAnsi="Arial"/>
          <w:sz w:val="18"/>
          <w:szCs w:val="18"/>
          <w:color w:val="auto"/>
        </w:rPr>
        <w:t>Israel A. Englander</w:t>
      </w:r>
    </w:p>
    <w:p>
      <w:pPr>
        <w:spacing w:after="0" w:line="15" w:lineRule="exact"/>
        <w:rPr>
          <w:rFonts w:ascii="Arial" w:cs="Arial" w:eastAsia="Arial" w:hAnsi="Arial"/>
          <w:sz w:val="18"/>
          <w:szCs w:val="18"/>
          <w:color w:val="auto"/>
        </w:rPr>
      </w:pPr>
    </w:p>
    <w:p>
      <w:pPr>
        <w:ind w:left="1320" w:right="4140"/>
        <w:spacing w:after="0" w:line="250" w:lineRule="auto"/>
        <w:rPr>
          <w:rFonts w:ascii="Arial" w:cs="Arial" w:eastAsia="Arial" w:hAnsi="Arial"/>
          <w:sz w:val="18"/>
          <w:szCs w:val="18"/>
          <w:color w:val="auto"/>
        </w:rPr>
      </w:pPr>
      <w:r>
        <w:rPr>
          <w:rFonts w:ascii="Arial" w:cs="Arial" w:eastAsia="Arial" w:hAnsi="Arial"/>
          <w:sz w:val="18"/>
          <w:szCs w:val="18"/>
          <w:color w:val="auto"/>
        </w:rPr>
        <w:t>c/o Millennium Management LLC 666 Fifth Avenue</w:t>
      </w:r>
    </w:p>
    <w:p>
      <w:pPr>
        <w:ind w:left="1320" w:right="456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10103 Citizenship: United States</w:t>
      </w:r>
    </w:p>
    <w:p>
      <w:pPr>
        <w:spacing w:after="0" w:line="146" w:lineRule="exact"/>
        <w:rPr>
          <w:rFonts w:ascii="Arial" w:cs="Arial" w:eastAsia="Arial" w:hAnsi="Arial"/>
          <w:sz w:val="18"/>
          <w:szCs w:val="18"/>
          <w:color w:val="auto"/>
        </w:rPr>
      </w:pPr>
    </w:p>
    <w:p>
      <w:pPr>
        <w:ind w:left="1320" w:hanging="394"/>
        <w:spacing w:after="0"/>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Title of Class of Securities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320"/>
        <w:spacing w:after="0"/>
        <w:rPr>
          <w:rFonts w:ascii="Arial" w:cs="Arial" w:eastAsia="Arial" w:hAnsi="Arial"/>
          <w:sz w:val="18"/>
          <w:szCs w:val="18"/>
          <w:color w:val="auto"/>
        </w:rPr>
      </w:pPr>
      <w:r>
        <w:rPr>
          <w:rFonts w:ascii="Arial" w:cs="Arial" w:eastAsia="Arial" w:hAnsi="Arial"/>
          <w:sz w:val="16"/>
          <w:szCs w:val="16"/>
          <w:color w:val="auto"/>
        </w:rPr>
        <w:t>common units representing limited partner interests ("Common Units")</w:t>
      </w:r>
    </w:p>
    <w:p>
      <w:pPr>
        <w:spacing w:after="0" w:line="275" w:lineRule="exact"/>
        <w:rPr>
          <w:rFonts w:ascii="Arial" w:cs="Arial" w:eastAsia="Arial" w:hAnsi="Arial"/>
          <w:sz w:val="18"/>
          <w:szCs w:val="18"/>
          <w:color w:val="auto"/>
        </w:rPr>
      </w:pPr>
    </w:p>
    <w:p>
      <w:pPr>
        <w:ind w:left="1320" w:right="5400" w:hanging="394"/>
        <w:spacing w:after="0" w:line="613" w:lineRule="auto"/>
        <w:tabs>
          <w:tab w:leader="none" w:pos="1320"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 xml:space="preserve">CUSIP Number: </w:t>
      </w:r>
      <w:r>
        <w:rPr>
          <w:rFonts w:ascii="Arial" w:cs="Arial" w:eastAsia="Arial" w:hAnsi="Arial"/>
          <w:sz w:val="16"/>
          <w:szCs w:val="16"/>
          <w:color w:val="auto"/>
        </w:rPr>
        <w:t>Y2687W108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Page</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-106680</wp:posOffset>
            </wp:positionV>
            <wp:extent cx="552450" cy="1587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245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of</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-117475</wp:posOffset>
            </wp:positionV>
            <wp:extent cx="570230" cy="1587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ectPr>
          <w:pgSz w:w="11900" w:h="16838" w:orient="portrait"/>
          <w:cols w:equalWidth="0" w:num="5">
            <w:col w:w="7880" w:space="720"/>
            <w:col w:w="340" w:space="520"/>
            <w:col w:w="80" w:space="500"/>
            <w:col w:w="140" w:space="520"/>
            <w:col w:w="180"/>
          </w:cols>
          <w:pgMar w:left="320" w:top="332" w:right="6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Y2687W108</w:t>
            </w:r>
          </w:p>
        </w:tc>
        <w:tc>
          <w:tcPr>
            <w:tcW w:w="4540" w:type="dxa"/>
            <w:vAlign w:val="bottom"/>
          </w:tcPr>
          <w:p>
            <w:pPr>
              <w:ind w:left="2140"/>
              <w:spacing w:after="0"/>
              <w:rPr>
                <w:sz w:val="20"/>
                <w:szCs w:val="20"/>
                <w:color w:val="auto"/>
              </w:rPr>
            </w:pPr>
            <w:r>
              <w:rPr>
                <w:rFonts w:ascii="Arial" w:cs="Arial" w:eastAsia="Arial" w:hAnsi="Arial"/>
                <w:sz w:val="18"/>
                <w:szCs w:val="18"/>
                <w:b w:val="1"/>
                <w:bCs w:val="1"/>
                <w:color w:val="auto"/>
              </w:rPr>
              <w:t>SCHEDULE 13G</w:t>
            </w:r>
          </w:p>
        </w:tc>
        <w:tc>
          <w:tcPr>
            <w:tcW w:w="1400" w:type="dxa"/>
            <w:vAlign w:val="bottom"/>
          </w:tcPr>
          <w:p>
            <w:pPr>
              <w:ind w:left="1060"/>
              <w:spacing w:after="0"/>
              <w:rPr>
                <w:sz w:val="20"/>
                <w:szCs w:val="20"/>
                <w:color w:val="auto"/>
              </w:rPr>
            </w:pPr>
            <w:r>
              <w:rPr>
                <w:rFonts w:ascii="Arial" w:cs="Arial" w:eastAsia="Arial" w:hAnsi="Arial"/>
                <w:sz w:val="18"/>
                <w:szCs w:val="18"/>
                <w:color w:val="auto"/>
                <w:w w:val="76"/>
              </w:rPr>
              <w:t>Page</w:t>
            </w:r>
          </w:p>
        </w:tc>
      </w:tr>
    </w:tbl>
    <w:p>
      <w:pPr>
        <w:spacing w:after="0" w:line="3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If this statement is filed pursuant to Rule 13d-1(b), or 13d-2(b), check whether the person filing is a:</w:t>
      </w:r>
    </w:p>
    <w:p>
      <w:pPr>
        <w:spacing w:after="0" w:line="185" w:lineRule="exact"/>
        <w:rPr>
          <w:sz w:val="20"/>
          <w:szCs w:val="20"/>
          <w:color w:val="auto"/>
        </w:rPr>
      </w:pPr>
    </w:p>
    <w:p>
      <w:pPr>
        <w:ind w:left="920" w:hanging="453"/>
        <w:spacing w:after="0"/>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-121285</wp:posOffset>
            </wp:positionV>
            <wp:extent cx="570230" cy="1587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color w:val="auto"/>
        </w:rPr>
        <w:t>of</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-117475</wp:posOffset>
            </wp:positionV>
            <wp:extent cx="578485" cy="1587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8485" cy="158750"/>
                    </a:xfrm>
                    <a:prstGeom prst="rect">
                      <a:avLst/>
                    </a:prstGeom>
                    <a:noFill/>
                  </pic:spPr>
                </pic:pic>
              </a:graphicData>
            </a:graphic>
          </wp:anchor>
        </w:drawing>
      </w:r>
    </w:p>
    <w:p>
      <w:pPr>
        <w:sectPr>
          <w:pgSz w:w="11900" w:h="16838" w:orient="portrait"/>
          <w:cols w:equalWidth="0" w:num="4">
            <w:col w:w="8900" w:space="520"/>
            <w:col w:w="100" w:space="500"/>
            <w:col w:w="160" w:space="520"/>
            <w:col w:w="180"/>
          </w:cols>
          <w:pgMar w:left="320" w:top="548" w:right="699" w:bottom="1440" w:gutter="0" w:footer="0" w:header="0"/>
        </w:sectPr>
      </w:pPr>
    </w:p>
    <w:bookmarkStart w:id="8" w:name="page9"/>
    <w:bookmarkEnd w:id="8"/>
    <w:p>
      <w:pPr>
        <w:spacing w:after="0"/>
        <w:rPr>
          <w:sz w:val="20"/>
          <w:szCs w:val="20"/>
          <w:color w:val="auto"/>
        </w:rPr>
      </w:pPr>
      <w:r>
        <w:rPr>
          <w:rFonts w:ascii="Arial" w:cs="Arial" w:eastAsia="Arial" w:hAnsi="Arial"/>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Y2687W108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-121285</wp:posOffset>
            </wp:positionV>
            <wp:extent cx="1298575" cy="1758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98575" cy="175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440" w:val="left"/>
        </w:tabs>
        <w:rPr>
          <w:sz w:val="20"/>
          <w:szCs w:val="20"/>
          <w:color w:val="auto"/>
        </w:rPr>
      </w:pP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21"/>
          <w:szCs w:val="21"/>
          <w:color w:val="auto"/>
          <w:vertAlign w:val="superscript"/>
        </w:rPr>
        <w:t>Page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-106680</wp:posOffset>
            </wp:positionV>
            <wp:extent cx="552450" cy="1587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245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-117475</wp:posOffset>
            </wp:positionV>
            <wp:extent cx="570230" cy="1587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249" w:lineRule="exact"/>
        <w:rPr>
          <w:sz w:val="20"/>
          <w:szCs w:val="20"/>
          <w:color w:val="auto"/>
        </w:rPr>
      </w:pPr>
    </w:p>
    <w:p>
      <w:pPr>
        <w:sectPr>
          <w:pgSz w:w="11900" w:h="16838" w:orient="portrait"/>
          <w:cols w:equalWidth="0" w:num="6">
            <w:col w:w="800" w:space="680"/>
            <w:col w:w="2940" w:space="720"/>
            <w:col w:w="3800" w:space="520"/>
            <w:col w:w="80" w:space="500"/>
            <w:col w:w="140" w:space="520"/>
            <w:col w:w="540"/>
          </w:cols>
          <w:pgMar w:left="320" w:top="347" w:right="339" w:bottom="1440" w:gutter="0" w:footer="0" w:header="0"/>
        </w:sectPr>
      </w:pPr>
    </w:p>
    <w:p>
      <w:pPr>
        <w:spacing w:after="0" w:line="45" w:lineRule="exact"/>
        <w:rPr>
          <w:sz w:val="20"/>
          <w:szCs w:val="20"/>
          <w:color w:val="auto"/>
        </w:rPr>
      </w:pPr>
    </w:p>
    <w:p>
      <w:pPr>
        <w:ind w:left="920" w:hanging="453"/>
        <w:spacing w:after="0"/>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§240.13d-1(b)(1)(ii)(G);</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A savings association as defined in Section 3(b) of the Federal Deposit Insurance Act (12 U.S.C. 1813);</w:t>
      </w:r>
    </w:p>
    <w:p>
      <w:pPr>
        <w:spacing w:after="0" w:line="225" w:lineRule="exact"/>
        <w:rPr>
          <w:rFonts w:ascii="Arial" w:cs="Arial" w:eastAsia="Arial" w:hAnsi="Arial"/>
          <w:sz w:val="18"/>
          <w:szCs w:val="18"/>
          <w:color w:val="auto"/>
        </w:rPr>
      </w:pPr>
    </w:p>
    <w:p>
      <w:pPr>
        <w:ind w:left="1360" w:right="380" w:hanging="893"/>
        <w:spacing w:after="0" w:line="268" w:lineRule="auto"/>
        <w:tabs>
          <w:tab w:leader="none" w:pos="928" w:val="left"/>
        </w:tabs>
        <w:numPr>
          <w:ilvl w:val="0"/>
          <w:numId w:val="15"/>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85" w:lineRule="exact"/>
        <w:rPr>
          <w:rFonts w:ascii="Arial" w:cs="Arial" w:eastAsia="Arial" w:hAnsi="Arial"/>
          <w:sz w:val="18"/>
          <w:szCs w:val="18"/>
          <w:color w:val="auto"/>
        </w:rPr>
      </w:pPr>
    </w:p>
    <w:p>
      <w:pPr>
        <w:ind w:left="920" w:hanging="453"/>
        <w:spacing w:after="0"/>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§240.13d-1(b)(1)(ii)(J).</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Ownership</w:t>
      </w:r>
    </w:p>
    <w:p>
      <w:pPr>
        <w:spacing w:after="0" w:line="18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 Amount Beneficially Owned:</w:t>
      </w:r>
    </w:p>
    <w:p>
      <w:pPr>
        <w:spacing w:after="0" w:line="185" w:lineRule="exact"/>
        <w:rPr>
          <w:sz w:val="20"/>
          <w:szCs w:val="20"/>
          <w:color w:val="auto"/>
        </w:rPr>
      </w:pPr>
    </w:p>
    <w:p>
      <w:pPr>
        <w:jc w:val="both"/>
        <w:ind w:right="20" w:firstLine="126"/>
        <w:spacing w:after="0" w:line="268" w:lineRule="auto"/>
        <w:rPr>
          <w:sz w:val="20"/>
          <w:szCs w:val="20"/>
          <w:color w:val="auto"/>
        </w:rPr>
      </w:pPr>
      <w:r>
        <w:rPr>
          <w:rFonts w:ascii="Arial" w:cs="Arial" w:eastAsia="Arial" w:hAnsi="Arial"/>
          <w:sz w:val="18"/>
          <w:szCs w:val="18"/>
          <w:color w:val="auto"/>
        </w:rPr>
        <w:t>As of the close of business on April 28, 2020, an affiliate of the reporting persons beneficially owned 2,729,604 of the Issuer’s Common Units or 5.8% of the Issuer’s Common Units outstanding.</w:t>
      </w:r>
    </w:p>
    <w:p>
      <w:pPr>
        <w:spacing w:after="0" w:line="145" w:lineRule="exact"/>
        <w:rPr>
          <w:sz w:val="20"/>
          <w:szCs w:val="20"/>
          <w:color w:val="auto"/>
        </w:rPr>
      </w:pPr>
    </w:p>
    <w:p>
      <w:pPr>
        <w:jc w:val="both"/>
        <w:ind w:firstLine="188"/>
        <w:spacing w:after="0" w:line="331" w:lineRule="auto"/>
        <w:rPr>
          <w:sz w:val="20"/>
          <w:szCs w:val="20"/>
          <w:color w:val="auto"/>
        </w:rPr>
      </w:pPr>
      <w:r>
        <w:rPr>
          <w:rFonts w:ascii="Arial" w:cs="Arial" w:eastAsia="Arial" w:hAnsi="Arial"/>
          <w:sz w:val="16"/>
          <w:szCs w:val="16"/>
          <w:color w:val="auto"/>
        </w:rPr>
        <w:t>Thereafter, as of the close of business on May 5, 2020, Integrated Assets, Ltd., an exempted company organized under the laws of the Cayman Islands ("Integrated Assets"), beneficially owned 17,264 of the Issuer’s Common Units or 0.0% of the Issuer’s Common Units outstanding.</w:t>
      </w:r>
    </w:p>
    <w:p>
      <w:pPr>
        <w:spacing w:after="0" w:line="100" w:lineRule="exact"/>
        <w:rPr>
          <w:sz w:val="20"/>
          <w:szCs w:val="20"/>
          <w:color w:val="auto"/>
        </w:rPr>
      </w:pPr>
    </w:p>
    <w:p>
      <w:pPr>
        <w:jc w:val="both"/>
        <w:ind w:firstLine="255"/>
        <w:spacing w:after="0" w:line="331" w:lineRule="auto"/>
        <w:rPr>
          <w:sz w:val="20"/>
          <w:szCs w:val="20"/>
          <w:color w:val="auto"/>
        </w:rPr>
      </w:pPr>
      <w:r>
        <w:rPr>
          <w:rFonts w:ascii="Arial" w:cs="Arial" w:eastAsia="Arial" w:hAnsi="Arial"/>
          <w:sz w:val="16"/>
          <w:szCs w:val="16"/>
          <w:color w:val="auto"/>
        </w:rPr>
        <w:t>Millennium International Management LP, a Delaware limited partnership ("Millennium International Management"), is the investment manager to Integrated Assets and may be deemed to have shared voting control and investment discretion over securities owned by Integrated Assets.</w:t>
      </w:r>
    </w:p>
    <w:p>
      <w:pPr>
        <w:spacing w:after="0" w:line="100" w:lineRule="exact"/>
        <w:rPr>
          <w:sz w:val="20"/>
          <w:szCs w:val="20"/>
          <w:color w:val="auto"/>
        </w:rPr>
      </w:pPr>
    </w:p>
    <w:p>
      <w:pPr>
        <w:jc w:val="both"/>
        <w:ind w:firstLine="165"/>
        <w:spacing w:after="0" w:line="331" w:lineRule="auto"/>
        <w:rPr>
          <w:sz w:val="20"/>
          <w:szCs w:val="20"/>
          <w:color w:val="auto"/>
        </w:rPr>
      </w:pPr>
      <w:r>
        <w:rPr>
          <w:rFonts w:ascii="Arial" w:cs="Arial" w:eastAsia="Arial" w:hAnsi="Arial"/>
          <w:sz w:val="16"/>
          <w:szCs w:val="16"/>
          <w:color w:val="auto"/>
        </w:rPr>
        <w:t>Millennium Management LLC, a Delaware limited liability company ("Millennium Management"), is the general partner of the 100% owner of Integrated Assets and may also be deemed to have shared voting control and investment discretion over securities owned by Integrated Assets.</w:t>
      </w:r>
    </w:p>
    <w:p>
      <w:pPr>
        <w:spacing w:after="0" w:line="100" w:lineRule="exact"/>
        <w:rPr>
          <w:sz w:val="20"/>
          <w:szCs w:val="20"/>
          <w:color w:val="auto"/>
        </w:rPr>
      </w:pPr>
    </w:p>
    <w:p>
      <w:pPr>
        <w:jc w:val="both"/>
        <w:ind w:firstLine="211"/>
        <w:spacing w:after="0" w:line="331" w:lineRule="auto"/>
        <w:rPr>
          <w:sz w:val="20"/>
          <w:szCs w:val="20"/>
          <w:color w:val="auto"/>
        </w:rPr>
      </w:pPr>
      <w:r>
        <w:rPr>
          <w:rFonts w:ascii="Arial" w:cs="Arial" w:eastAsia="Arial" w:hAnsi="Arial"/>
          <w:sz w:val="16"/>
          <w:szCs w:val="16"/>
          <w:color w:val="auto"/>
        </w:rPr>
        <w:t>Millennium Group Management LLC, a Delaware limited liability company ("Millennium Group Management"), is the general partner of Millennium International Management and may also be deemed to have shared voting control and investment discretion over securities owned by Integrated Assets.</w:t>
      </w:r>
    </w:p>
    <w:p>
      <w:pPr>
        <w:spacing w:after="0" w:line="100" w:lineRule="exact"/>
        <w:rPr>
          <w:sz w:val="20"/>
          <w:szCs w:val="20"/>
          <w:color w:val="auto"/>
        </w:rPr>
      </w:pPr>
    </w:p>
    <w:p>
      <w:pPr>
        <w:jc w:val="both"/>
        <w:ind w:firstLine="137"/>
        <w:spacing w:after="0" w:line="259" w:lineRule="auto"/>
        <w:rPr>
          <w:sz w:val="20"/>
          <w:szCs w:val="20"/>
          <w:color w:val="auto"/>
        </w:rPr>
      </w:pPr>
      <w:r>
        <w:rPr>
          <w:rFonts w:ascii="Arial" w:cs="Arial" w:eastAsia="Arial" w:hAnsi="Arial"/>
          <w:sz w:val="18"/>
          <w:szCs w:val="18"/>
          <w:color w:val="auto"/>
        </w:rPr>
        <w:t>The managing member of Millennium Group Management is a trust of which Israel A. Englander, a United States citizen ("Mr. Englander"), currently serves as the sole voting trustee. Therefore, Mr. Englander may also be deemed to have shared voting control and investment discretion over securities owned by Integrated Assets.</w:t>
      </w:r>
    </w:p>
    <w:p>
      <w:pPr>
        <w:spacing w:after="0" w:line="153" w:lineRule="exact"/>
        <w:rPr>
          <w:sz w:val="20"/>
          <w:szCs w:val="20"/>
          <w:color w:val="auto"/>
        </w:rPr>
      </w:pPr>
    </w:p>
    <w:p>
      <w:pPr>
        <w:jc w:val="both"/>
        <w:ind w:firstLine="180"/>
        <w:spacing w:after="0" w:line="268" w:lineRule="auto"/>
        <w:rPr>
          <w:sz w:val="20"/>
          <w:szCs w:val="20"/>
          <w:color w:val="auto"/>
        </w:rPr>
      </w:pPr>
      <w:r>
        <w:rPr>
          <w:rFonts w:ascii="Arial" w:cs="Arial" w:eastAsia="Arial" w:hAnsi="Arial"/>
          <w:sz w:val="18"/>
          <w:szCs w:val="18"/>
          <w:color w:val="auto"/>
        </w:rPr>
        <w:t>The foregoing should not be construed in and of itself as an admission by Millennium International Management, Millennium Management, Millennium Group Management or Mr. Englander as to beneficial ownership of the securities owned by Integrated Assets.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 Percent of Class:</w:t>
      </w:r>
    </w:p>
    <w:p>
      <w:pPr>
        <w:spacing w:after="0" w:line="185" w:lineRule="exact"/>
        <w:rPr>
          <w:sz w:val="20"/>
          <w:szCs w:val="20"/>
          <w:color w:val="auto"/>
        </w:rPr>
      </w:pPr>
    </w:p>
    <w:p>
      <w:pPr>
        <w:jc w:val="both"/>
        <w:ind w:firstLine="216"/>
        <w:spacing w:after="0" w:line="298" w:lineRule="auto"/>
        <w:rPr>
          <w:sz w:val="20"/>
          <w:szCs w:val="20"/>
          <w:color w:val="auto"/>
        </w:rPr>
      </w:pPr>
      <w:r>
        <w:rPr>
          <w:rFonts w:ascii="Arial" w:cs="Arial" w:eastAsia="Arial" w:hAnsi="Arial"/>
          <w:sz w:val="16"/>
          <w:szCs w:val="16"/>
          <w:color w:val="auto"/>
        </w:rPr>
        <w:t>As of the close of business on May 5, 2020, Integrated Assets, Millennium International Management, Millennium Management, Millennium Group Management and Mr. Englander beneficially owned or may be deemed to have beneficially owned, as the case may be, 17,264 of the Issuer’s Common Units or 0.0% of the Issuer’s Common Units outstanding (see Item 4(a) above), which percentage was calculated based on 46,668,692 of the Issuer’s Common Units outstanding as of March 16, 2020, as per the Issuer’s Proxy Statement dated March 23, 2020.</w:t>
      </w:r>
    </w:p>
    <w:p>
      <w:pPr>
        <w:sectPr>
          <w:pgSz w:w="11900" w:h="16838" w:orient="portrait"/>
          <w:cols w:equalWidth="0" w:num="1">
            <w:col w:w="11240"/>
          </w:cols>
          <w:pgMar w:left="320" w:top="347"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Y2687W108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-121285</wp:posOffset>
            </wp:positionV>
            <wp:extent cx="1298575" cy="1758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98575" cy="175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440" w:val="left"/>
        </w:tabs>
        <w:rPr>
          <w:sz w:val="20"/>
          <w:szCs w:val="20"/>
          <w:color w:val="auto"/>
        </w:rPr>
      </w:pP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21"/>
          <w:szCs w:val="21"/>
          <w:color w:val="auto"/>
          <w:vertAlign w:val="superscript"/>
        </w:rPr>
        <w:t>Page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-121285</wp:posOffset>
            </wp:positionV>
            <wp:extent cx="561340" cy="1587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134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-117475</wp:posOffset>
            </wp:positionV>
            <wp:extent cx="570230" cy="1587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249" w:lineRule="exact"/>
        <w:rPr>
          <w:sz w:val="20"/>
          <w:szCs w:val="20"/>
          <w:color w:val="auto"/>
        </w:rPr>
      </w:pPr>
    </w:p>
    <w:p>
      <w:pPr>
        <w:sectPr>
          <w:pgSz w:w="11900" w:h="16838" w:orient="portrait"/>
          <w:cols w:equalWidth="0" w:num="6">
            <w:col w:w="800" w:space="680"/>
            <w:col w:w="2940" w:space="720"/>
            <w:col w:w="3800" w:space="460"/>
            <w:col w:w="180" w:space="460"/>
            <w:col w:w="140" w:space="520"/>
            <w:col w:w="540"/>
          </w:cols>
          <w:pgMar w:left="320" w:top="347" w:right="339" w:bottom="1440" w:gutter="0" w:footer="0" w:header="0"/>
        </w:sectPr>
      </w:pPr>
    </w:p>
    <w:p>
      <w:pPr>
        <w:spacing w:after="0" w:line="15" w:lineRule="exact"/>
        <w:rPr>
          <w:sz w:val="20"/>
          <w:szCs w:val="20"/>
          <w:color w:val="auto"/>
        </w:rPr>
      </w:pPr>
    </w:p>
    <w:p>
      <w:pPr>
        <w:ind w:left="300" w:hanging="248"/>
        <w:spacing w:after="0"/>
        <w:tabs>
          <w:tab w:leader="none" w:pos="300" w:val="left"/>
        </w:tabs>
        <w:numPr>
          <w:ilvl w:val="0"/>
          <w:numId w:val="16"/>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Number of shares as to which such person has:</w:t>
      </w:r>
    </w:p>
    <w:p>
      <w:pPr>
        <w:spacing w:after="0" w:line="173" w:lineRule="exact"/>
        <w:rPr>
          <w:rFonts w:ascii="Arial" w:cs="Arial" w:eastAsia="Arial" w:hAnsi="Arial"/>
          <w:sz w:val="18"/>
          <w:szCs w:val="18"/>
          <w:u w:val="single" w:color="auto"/>
          <w:color w:val="auto"/>
        </w:rPr>
      </w:pPr>
    </w:p>
    <w:p>
      <w:pPr>
        <w:ind w:left="680" w:right="7740" w:hanging="132"/>
        <w:spacing w:after="0" w:line="453" w:lineRule="auto"/>
        <w:tabs>
          <w:tab w:leader="none" w:pos="758" w:val="left"/>
        </w:tabs>
        <w:numPr>
          <w:ilvl w:val="1"/>
          <w:numId w:val="16"/>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1" w:lineRule="exact"/>
        <w:rPr>
          <w:rFonts w:ascii="Arial" w:cs="Arial" w:eastAsia="Arial" w:hAnsi="Arial"/>
          <w:sz w:val="18"/>
          <w:szCs w:val="18"/>
          <w:color w:val="auto"/>
        </w:rPr>
      </w:pPr>
    </w:p>
    <w:p>
      <w:pPr>
        <w:ind w:left="680" w:right="7520" w:hanging="132"/>
        <w:spacing w:after="0" w:line="453" w:lineRule="auto"/>
        <w:tabs>
          <w:tab w:leader="none" w:pos="807" w:val="left"/>
        </w:tabs>
        <w:numPr>
          <w:ilvl w:val="1"/>
          <w:numId w:val="16"/>
        </w:numPr>
        <w:rPr>
          <w:rFonts w:ascii="Arial" w:cs="Arial" w:eastAsia="Arial" w:hAnsi="Arial"/>
          <w:sz w:val="18"/>
          <w:szCs w:val="18"/>
          <w:color w:val="auto"/>
        </w:rPr>
      </w:pPr>
      <w:r>
        <w:rPr>
          <w:rFonts w:ascii="Arial" w:cs="Arial" w:eastAsia="Arial" w:hAnsi="Arial"/>
          <w:sz w:val="18"/>
          <w:szCs w:val="18"/>
          <w:color w:val="auto"/>
        </w:rPr>
        <w:t>Shared power to vote or to direct the vote 17,264 (See Item 4(b))</w:t>
      </w:r>
    </w:p>
    <w:p>
      <w:pPr>
        <w:spacing w:after="0" w:line="2" w:lineRule="exact"/>
        <w:rPr>
          <w:sz w:val="20"/>
          <w:szCs w:val="20"/>
          <w:color w:val="auto"/>
        </w:rPr>
      </w:pPr>
    </w:p>
    <w:p>
      <w:pPr>
        <w:ind w:left="900" w:hanging="308"/>
        <w:spacing w:after="0"/>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184"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-0-</w:t>
      </w:r>
    </w:p>
    <w:p>
      <w:pPr>
        <w:spacing w:after="0" w:line="184" w:lineRule="exact"/>
        <w:rPr>
          <w:rFonts w:ascii="Arial" w:cs="Arial" w:eastAsia="Arial" w:hAnsi="Arial"/>
          <w:sz w:val="18"/>
          <w:szCs w:val="18"/>
          <w:color w:val="auto"/>
        </w:rPr>
      </w:pPr>
    </w:p>
    <w:p>
      <w:pPr>
        <w:ind w:left="680" w:right="6600" w:hanging="132"/>
        <w:spacing w:after="0" w:line="453" w:lineRule="auto"/>
        <w:tabs>
          <w:tab w:leader="none" w:pos="846" w:val="left"/>
        </w:tabs>
        <w:numPr>
          <w:ilvl w:val="0"/>
          <w:numId w:val="18"/>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17,264 (See Item 4(b))</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Ownership of Five Percent or Less of a Class</w:t>
      </w:r>
    </w:p>
    <w:p>
      <w:pPr>
        <w:spacing w:after="0" w:line="185" w:lineRule="exact"/>
        <w:rPr>
          <w:sz w:val="20"/>
          <w:szCs w:val="20"/>
          <w:color w:val="auto"/>
        </w:rPr>
      </w:pPr>
    </w:p>
    <w:p>
      <w:pPr>
        <w:jc w:val="both"/>
        <w:ind w:firstLine="140"/>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þ .</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Ownership of More than Five Percent on Behalf of Another Person.</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Identification and Classification of the Subsidiary Which Acquired the Security Being Reported on By the Parent Holding Company.</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Identification and Classification of Members of the Group</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See Exhibit 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Notice of Dissolution of Group</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Certification</w:t>
      </w:r>
    </w:p>
    <w:p>
      <w:pPr>
        <w:spacing w:after="0" w:line="185" w:lineRule="exact"/>
        <w:rPr>
          <w:sz w:val="20"/>
          <w:szCs w:val="20"/>
          <w:color w:val="auto"/>
        </w:rPr>
      </w:pPr>
    </w:p>
    <w:p>
      <w:pPr>
        <w:jc w:val="both"/>
        <w:ind w:right="20" w:firstLine="140"/>
        <w:spacing w:after="0" w:line="259" w:lineRule="auto"/>
        <w:rPr>
          <w:sz w:val="20"/>
          <w:szCs w:val="20"/>
          <w:color w:val="auto"/>
        </w:rPr>
      </w:pPr>
      <w:r>
        <w:rPr>
          <w:rFonts w:ascii="Arial" w:cs="Arial" w:eastAsia="Arial" w:hAnsi="Arial"/>
          <w:sz w:val="18"/>
          <w:szCs w:val="18"/>
          <w:color w:val="auto"/>
        </w:rPr>
        <w:t>By signing below each of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347"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Y2687W108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-121285</wp:posOffset>
            </wp:positionV>
            <wp:extent cx="1298575" cy="1758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98575" cy="175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460" w:val="left"/>
        </w:tabs>
        <w:rPr>
          <w:sz w:val="20"/>
          <w:szCs w:val="20"/>
          <w:color w:val="auto"/>
        </w:rPr>
      </w:pP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21"/>
          <w:szCs w:val="21"/>
          <w:color w:val="auto"/>
          <w:vertAlign w:val="superscript"/>
        </w:rPr>
        <w:t>Page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-106680</wp:posOffset>
            </wp:positionV>
            <wp:extent cx="570230" cy="1587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-117475</wp:posOffset>
            </wp:positionV>
            <wp:extent cx="570230" cy="1587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249" w:lineRule="exact"/>
        <w:rPr>
          <w:sz w:val="20"/>
          <w:szCs w:val="20"/>
          <w:color w:val="auto"/>
        </w:rPr>
      </w:pPr>
    </w:p>
    <w:p>
      <w:pPr>
        <w:sectPr>
          <w:pgSz w:w="11900" w:h="16838" w:orient="portrait"/>
          <w:cols w:equalWidth="0" w:num="6">
            <w:col w:w="800" w:space="680"/>
            <w:col w:w="2900" w:space="720"/>
            <w:col w:w="3820" w:space="480"/>
            <w:col w:w="160" w:space="480"/>
            <w:col w:w="140" w:space="520"/>
            <w:col w:w="520"/>
          </w:cols>
          <w:pgMar w:left="320" w:top="347" w:right="359" w:bottom="1440" w:gutter="0" w:footer="0" w:header="0"/>
        </w:sectPr>
      </w:pP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17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Exhibit I: Joint Filing Agreement, dated as of May 5, 2020, by and among Integrated Assets, Ltd., Millennium International Management LP, Millennium Management LLC, Millennium Group Management LLC and Israel A. Englander.</w:t>
      </w:r>
    </w:p>
    <w:p>
      <w:pPr>
        <w:sectPr>
          <w:pgSz w:w="11900" w:h="16838" w:orient="portrait"/>
          <w:cols w:equalWidth="0" w:num="1">
            <w:col w:w="11220"/>
          </w:cols>
          <w:pgMar w:left="320" w:top="347" w:right="35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Y2687W108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-121285</wp:posOffset>
            </wp:positionV>
            <wp:extent cx="1298575" cy="1758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98575" cy="175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460" w:val="left"/>
        </w:tabs>
        <w:rPr>
          <w:sz w:val="20"/>
          <w:szCs w:val="20"/>
          <w:color w:val="auto"/>
        </w:rPr>
      </w:pP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21"/>
          <w:szCs w:val="21"/>
          <w:color w:val="auto"/>
          <w:vertAlign w:val="superscript"/>
        </w:rPr>
        <w:t>Page</w:t>
      </w:r>
    </w:p>
    <w:p>
      <w:pPr>
        <w:spacing w:after="0" w:line="235" w:lineRule="exact"/>
        <w:rPr>
          <w:sz w:val="20"/>
          <w:szCs w:val="20"/>
          <w:color w:val="auto"/>
        </w:rPr>
      </w:pPr>
    </w:p>
    <w:p>
      <w:pPr>
        <w:jc w:val="center"/>
        <w:ind w:right="2500"/>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-121285</wp:posOffset>
            </wp:positionV>
            <wp:extent cx="561340" cy="1587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134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-117475</wp:posOffset>
            </wp:positionV>
            <wp:extent cx="570230" cy="1587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685" w:lineRule="exact"/>
        <w:rPr>
          <w:sz w:val="20"/>
          <w:szCs w:val="20"/>
          <w:color w:val="auto"/>
        </w:rPr>
      </w:pPr>
    </w:p>
    <w:p>
      <w:pPr>
        <w:sectPr>
          <w:pgSz w:w="11900" w:h="16838" w:orient="portrait"/>
          <w:cols w:equalWidth="0" w:num="6">
            <w:col w:w="800" w:space="680"/>
            <w:col w:w="2920" w:space="720"/>
            <w:col w:w="3820" w:space="460"/>
            <w:col w:w="180" w:space="460"/>
            <w:col w:w="140" w:space="520"/>
            <w:col w:w="540"/>
          </w:cols>
          <w:pgMar w:left="320" w:top="347" w:right="339" w:bottom="1440" w:gutter="0" w:footer="0" w:header="0"/>
        </w:sectPr>
      </w:pPr>
    </w:p>
    <w:p>
      <w:pPr>
        <w:spacing w:after="0" w:line="268" w:lineRule="auto"/>
        <w:rPr>
          <w:sz w:val="20"/>
          <w:szCs w:val="20"/>
          <w:color w:val="auto"/>
        </w:rPr>
      </w:pPr>
      <w:r>
        <w:rPr>
          <w:rFonts w:ascii="Arial" w:cs="Arial" w:eastAsia="Arial" w:hAnsi="Arial"/>
          <w:sz w:val="18"/>
          <w:szCs w:val="18"/>
          <w:color w:val="auto"/>
        </w:rPr>
        <w:t>After reasonable inquiry and to the best of its knowledge and belief, each of the undersigned certifies that the information with respect to it set forth in this statement is true, complete, and correct.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Dated: May 5, 2020</w:t>
      </w:r>
    </w:p>
    <w:p>
      <w:pPr>
        <w:spacing w:after="0" w:line="21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INTEGRATED ASSETS, LTD.</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International Management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Investment Manager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INTERNATIONAL MANAGEMENT LP</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MANAGEMENT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GROUP MANAGEMENT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/s/ 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Israel A. Englander</w:t>
      </w:r>
    </w:p>
    <w:p>
      <w:pPr>
        <w:sectPr>
          <w:pgSz w:w="11900" w:h="16838" w:orient="portrait"/>
          <w:cols w:equalWidth="0" w:num="1">
            <w:col w:w="11240"/>
          </w:cols>
          <w:pgMar w:left="320" w:top="347"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Y2687W108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-121285</wp:posOffset>
            </wp:positionV>
            <wp:extent cx="1298575" cy="1758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98575" cy="175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tabs>
          <w:tab w:leader="none" w:pos="320" w:val="left"/>
        </w:tabs>
        <w:rPr>
          <w:sz w:val="20"/>
          <w:szCs w:val="20"/>
          <w:color w:val="auto"/>
        </w:rPr>
      </w:pP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21"/>
          <w:szCs w:val="21"/>
          <w:color w:val="auto"/>
          <w:vertAlign w:val="superscript"/>
        </w:rPr>
        <w:t>Page</w:t>
      </w:r>
    </w:p>
    <w:p>
      <w:pPr>
        <w:spacing w:after="0" w:line="235" w:lineRule="exact"/>
        <w:rPr>
          <w:sz w:val="20"/>
          <w:szCs w:val="20"/>
          <w:color w:val="auto"/>
        </w:rPr>
      </w:pPr>
    </w:p>
    <w:p>
      <w:pPr>
        <w:jc w:val="center"/>
        <w:ind w:right="1960"/>
        <w:spacing w:after="0"/>
        <w:rPr>
          <w:sz w:val="20"/>
          <w:szCs w:val="20"/>
          <w:color w:val="auto"/>
        </w:rPr>
      </w:pPr>
      <w:r>
        <w:rPr>
          <w:rFonts w:ascii="Arial" w:cs="Arial" w:eastAsia="Arial" w:hAnsi="Arial"/>
          <w:sz w:val="18"/>
          <w:szCs w:val="18"/>
          <w:b w:val="1"/>
          <w:bCs w:val="1"/>
          <w:color w:val="auto"/>
        </w:rPr>
        <w:t>EXHIBIT 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FILING AGREEMENT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-121285</wp:posOffset>
            </wp:positionV>
            <wp:extent cx="561340" cy="1587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134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-117475</wp:posOffset>
            </wp:positionV>
            <wp:extent cx="570230" cy="1587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1127" w:lineRule="exact"/>
        <w:rPr>
          <w:sz w:val="20"/>
          <w:szCs w:val="20"/>
          <w:color w:val="auto"/>
        </w:rPr>
      </w:pPr>
    </w:p>
    <w:p>
      <w:pPr>
        <w:sectPr>
          <w:pgSz w:w="11900" w:h="16838" w:orient="portrait"/>
          <w:cols w:equalWidth="0" w:num="6">
            <w:col w:w="800" w:space="680"/>
            <w:col w:w="2380" w:space="720"/>
            <w:col w:w="4360" w:space="460"/>
            <w:col w:w="180" w:space="460"/>
            <w:col w:w="140" w:space="520"/>
            <w:col w:w="540"/>
          </w:cols>
          <w:pgMar w:left="320" w:top="347" w:right="339" w:bottom="1440" w:gutter="0" w:footer="0" w:header="0"/>
        </w:sectPr>
      </w:pPr>
    </w:p>
    <w:p>
      <w:pPr>
        <w:spacing w:after="0" w:line="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will confirm the agreement by and among the undersigned that the Schedule 13G filed with the Securities and Exchange Commission on or about the date hereof with respect to the beneficial ownership by the undersigned of the Common Units representing limited partner interests, of GasLog Partners LP, a Marshall Islands limited partnership,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Dated: May 5, 2020</w:t>
      </w:r>
    </w:p>
    <w:p>
      <w:pPr>
        <w:spacing w:after="0" w:line="217"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INTEGRATED ASSETS, LTD.</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International Management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Investment Manager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INTERNATIONAL MANAGEMENT LP</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MANAGEMENT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GROUP MANAGEMENT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/s/ 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Israel A. Englander</w:t>
      </w:r>
    </w:p>
    <w:sectPr>
      <w:pgSz w:w="11900" w:h="16838" w:orient="portrait"/>
      <w:cols w:equalWidth="0" w:num="1">
        <w:col w:w="11240"/>
      </w:cols>
      <w:pgMar w:left="320" w:top="347"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lvl w:ilvl="1">
      <w:lvlJc w:val="left"/>
      <w:lvlText w:val="☑"/>
      <w:numFmt w:val="bullet"/>
      <w:start w:val="1"/>
    </w:lvl>
  </w:abstractNum>
  <w:abstractNum w:abstractNumId="1">
    <w:nsid w:val="4DB127F8"/>
    <w:multiLevelType w:val="hybridMultilevel"/>
    <w:lvl w:ilvl="0">
      <w:lvlJc w:val="left"/>
      <w:lvlText w:val="2"/>
      <w:numFmt w:val="bullet"/>
      <w:start w:val="1"/>
    </w:lvl>
    <w:lvl w:ilvl="1">
      <w:lvlJc w:val="left"/>
      <w:lvlText w:val="(%2)"/>
      <w:numFmt w:val="lowerLetter"/>
      <w:start w:val="2"/>
    </w:lvl>
  </w:abstractNum>
  <w:abstractNum w:abstractNumId="2">
    <w:nsid w:val="216231B"/>
    <w:multiLevelType w:val="hybridMultilevel"/>
    <w:lvl w:ilvl="0">
      <w:lvlJc w:val="left"/>
      <w:lvlText w:val="3"/>
      <w:numFmt w:val="bullet"/>
      <w:start w:val="1"/>
    </w:lvl>
  </w:abstractNum>
  <w:abstractNum w:abstractNumId="3">
    <w:nsid w:val="1F16E9E8"/>
    <w:multiLevelType w:val="hybridMultilevel"/>
    <w:lvl w:ilvl="0">
      <w:lvlJc w:val="left"/>
      <w:lvlText w:val="2"/>
      <w:numFmt w:val="bullet"/>
      <w:start w:val="1"/>
    </w:lvl>
    <w:lvl w:ilvl="1">
      <w:lvlJc w:val="left"/>
      <w:lvlText w:val="(%2)"/>
      <w:numFmt w:val="lowerLetter"/>
      <w:start w:val="2"/>
    </w:lvl>
  </w:abstractNum>
  <w:abstractNum w:abstractNumId="4">
    <w:nsid w:val="1190CDE7"/>
    <w:multiLevelType w:val="hybridMultilevel"/>
    <w:lvl w:ilvl="0">
      <w:lvlJc w:val="left"/>
      <w:lvlText w:val="3"/>
      <w:numFmt w:val="bullet"/>
      <w:start w:val="1"/>
    </w:lvl>
  </w:abstractNum>
  <w:abstractNum w:abstractNumId="5">
    <w:nsid w:val="66EF438D"/>
    <w:multiLevelType w:val="hybridMultilevel"/>
    <w:lvl w:ilvl="0">
      <w:lvlJc w:val="left"/>
      <w:lvlText w:val="2"/>
      <w:numFmt w:val="bullet"/>
      <w:start w:val="1"/>
    </w:lvl>
    <w:lvl w:ilvl="1">
      <w:lvlJc w:val="left"/>
      <w:lvlText w:val="(%2)"/>
      <w:numFmt w:val="lowerLetter"/>
      <w:start w:val="2"/>
    </w:lvl>
  </w:abstractNum>
  <w:abstractNum w:abstractNumId="6">
    <w:nsid w:val="140E0F76"/>
    <w:multiLevelType w:val="hybridMultilevel"/>
    <w:lvl w:ilvl="0">
      <w:lvlJc w:val="left"/>
      <w:lvlText w:val="3"/>
      <w:numFmt w:val="bullet"/>
      <w:start w:val="1"/>
    </w:lvl>
  </w:abstractNum>
  <w:abstractNum w:abstractNumId="7">
    <w:nsid w:val="3352255A"/>
    <w:multiLevelType w:val="hybridMultilevel"/>
    <w:lvl w:ilvl="0">
      <w:lvlJc w:val="left"/>
      <w:lvlText w:val="2"/>
      <w:numFmt w:val="bullet"/>
      <w:start w:val="1"/>
    </w:lvl>
    <w:lvl w:ilvl="1">
      <w:lvlJc w:val="left"/>
      <w:lvlText w:val="(%2)"/>
      <w:numFmt w:val="lowerLetter"/>
      <w:start w:val="2"/>
    </w:lvl>
  </w:abstractNum>
  <w:abstractNum w:abstractNumId="8">
    <w:nsid w:val="109CF92E"/>
    <w:multiLevelType w:val="hybridMultilevel"/>
    <w:lvl w:ilvl="0">
      <w:lvlJc w:val="left"/>
      <w:lvlText w:val="3"/>
      <w:numFmt w:val="bullet"/>
      <w:start w:val="1"/>
    </w:lvl>
  </w:abstractNum>
  <w:abstractNum w:abstractNumId="9">
    <w:nsid w:val="DED7263"/>
    <w:multiLevelType w:val="hybridMultilevel"/>
    <w:lvl w:ilvl="0">
      <w:lvlJc w:val="left"/>
      <w:lvlText w:val="2"/>
      <w:numFmt w:val="bullet"/>
      <w:start w:val="1"/>
    </w:lvl>
    <w:lvl w:ilvl="1">
      <w:lvlJc w:val="left"/>
      <w:lvlText w:val="(%2)"/>
      <w:numFmt w:val="lowerLetter"/>
      <w:start w:val="2"/>
    </w:lvl>
  </w:abstractNum>
  <w:abstractNum w:abstractNumId="10">
    <w:nsid w:val="7FDCC233"/>
    <w:multiLevelType w:val="hybridMultilevel"/>
    <w:lvl w:ilvl="0">
      <w:lvlJc w:val="left"/>
      <w:lvlText w:val="3"/>
      <w:numFmt w:val="bullet"/>
      <w:start w:val="1"/>
    </w:lvl>
  </w:abstractNum>
  <w:abstractNum w:abstractNumId="11">
    <w:nsid w:val="1BEFD79F"/>
    <w:multiLevelType w:val="hybridMultilevel"/>
    <w:lvl w:ilvl="0">
      <w:lvlJc w:val="left"/>
      <w:lvlText w:val="(%1)"/>
      <w:numFmt w:val="lowerLetter"/>
      <w:start w:val="1"/>
    </w:lvl>
  </w:abstractNum>
  <w:abstractNum w:abstractNumId="12">
    <w:nsid w:val="41A7C4C9"/>
    <w:multiLevelType w:val="hybridMultilevel"/>
    <w:lvl w:ilvl="0">
      <w:lvlJc w:val="left"/>
      <w:lvlText w:val="(%1)"/>
      <w:numFmt w:val="lowerLetter"/>
      <w:start w:val="2"/>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lowerLetter"/>
      <w:start w:val="7"/>
    </w:lvl>
  </w:abstractNum>
  <w:abstractNum w:abstractNumId="15">
    <w:nsid w:val="25E45D32"/>
    <w:multiLevelType w:val="hybridMultilevel"/>
    <w:lvl w:ilvl="0">
      <w:lvlJc w:val="left"/>
      <w:lvlText w:val="(%1)"/>
      <w:numFmt w:val="lowerLetter"/>
      <w:start w:val="3"/>
    </w:lvl>
    <w:lvl w:ilvl="1">
      <w:lvlJc w:val="left"/>
      <w:lvlText w:val="(%2)"/>
      <w:numFmt w:val="lowerRoman"/>
      <w:start w:val="1"/>
    </w:lvl>
  </w:abstractNum>
  <w:abstractNum w:abstractNumId="16">
    <w:nsid w:val="519B500D"/>
    <w:multiLevelType w:val="hybridMultilevel"/>
    <w:lvl w:ilvl="0">
      <w:lvlJc w:val="left"/>
      <w:lvlText w:val="%1"/>
      <w:numFmt w:val="lowerRoman"/>
      <w:start w:val="1"/>
    </w:lvl>
    <w:lvl w:ilvl="1">
      <w:lvlJc w:val="left"/>
      <w:lvlText w:val="(%2)"/>
      <w:numFmt w:val="lowerRoman"/>
      <w:start w:val="3"/>
    </w:lvl>
  </w:abstractNum>
  <w:abstractNum w:abstractNumId="17">
    <w:nsid w:val="431BD7B7"/>
    <w:multiLevelType w:val="hybridMultilevel"/>
    <w:lvl w:ilvl="0">
      <w:lvlJc w:val="left"/>
      <w:lvlText w:val="(%1)"/>
      <w:numFmt w:val="lowerRoman"/>
      <w:start w:val="4"/>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2020-05-06T16:08:35Z</dcterms:created>
  <dcterms:modified xsi:type="dcterms:W3CDTF">2020-05-06T16:08:35Z</dcterms:modified>
</cp:coreProperties>
</file>