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FF163D"/>
        </w:rPr>
        <w:t>As filed with the Securities and Exchange Commission on September 29, 2017.</w:t>
      </w:r>
    </w:p>
    <w:p>
      <w:pPr>
        <w:spacing w:after="0" w:line="119"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SECURITIES AND EXCHANGE COMMISSION</w:t>
      </w:r>
    </w:p>
    <w:p>
      <w:pPr>
        <w:jc w:val="center"/>
        <w:spacing w:after="0"/>
        <w:rPr>
          <w:sz w:val="20"/>
          <w:szCs w:val="20"/>
          <w:color w:val="auto"/>
        </w:rPr>
      </w:pPr>
      <w:r>
        <w:rPr>
          <w:rFonts w:ascii="Arial" w:cs="Arial" w:eastAsia="Arial" w:hAnsi="Arial"/>
          <w:sz w:val="30"/>
          <w:szCs w:val="3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F</w:t>
      </w:r>
      <w:r>
        <w:rPr>
          <w:rFonts w:ascii="Arial" w:cs="Arial" w:eastAsia="Arial" w:hAnsi="Arial"/>
          <w:sz w:val="26"/>
          <w:szCs w:val="26"/>
          <w:b w:val="1"/>
          <w:bCs w:val="1"/>
          <w:color w:val="auto"/>
        </w:rPr>
        <w:t>ORM</w:t>
      </w:r>
      <w:r>
        <w:rPr>
          <w:rFonts w:ascii="Arial" w:cs="Arial" w:eastAsia="Arial" w:hAnsi="Arial"/>
          <w:sz w:val="37"/>
          <w:szCs w:val="37"/>
          <w:b w:val="1"/>
          <w:bCs w:val="1"/>
          <w:color w:val="auto"/>
        </w:rPr>
        <w:t xml:space="preserve"> F-3</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THE SECURITIES ACT OF 1933</w:t>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GasLog Partners LP</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5" w:lineRule="exact"/>
        <w:rPr>
          <w:sz w:val="24"/>
          <w:szCs w:val="24"/>
          <w:color w:val="auto"/>
        </w:rPr>
      </w:pPr>
    </w:p>
    <w:p>
      <w:pPr>
        <w:ind w:left="1260"/>
        <w:spacing w:after="0"/>
        <w:tabs>
          <w:tab w:leader="none" w:pos="8160" w:val="left"/>
        </w:tabs>
        <w:rPr>
          <w:sz w:val="20"/>
          <w:szCs w:val="20"/>
          <w:color w:val="auto"/>
        </w:rPr>
      </w:pPr>
      <w:r>
        <w:rPr>
          <w:rFonts w:ascii="Arial" w:cs="Arial" w:eastAsia="Arial" w:hAnsi="Arial"/>
          <w:sz w:val="19"/>
          <w:szCs w:val="19"/>
          <w:b w:val="1"/>
          <w:bCs w:val="1"/>
          <w:color w:val="auto"/>
        </w:rPr>
        <w:t>The Republic of the Marshall Islands</w:t>
      </w:r>
      <w:r>
        <w:rPr>
          <w:sz w:val="20"/>
          <w:szCs w:val="20"/>
          <w:color w:val="auto"/>
        </w:rPr>
        <w:tab/>
      </w:r>
      <w:r>
        <w:rPr>
          <w:rFonts w:ascii="Arial" w:cs="Arial" w:eastAsia="Arial" w:hAnsi="Arial"/>
          <w:sz w:val="17"/>
          <w:szCs w:val="17"/>
          <w:b w:val="1"/>
          <w:bCs w:val="1"/>
          <w:color w:val="auto"/>
        </w:rPr>
        <w:t>98-1160877</w:t>
      </w:r>
    </w:p>
    <w:p>
      <w:pPr>
        <w:spacing w:after="0" w:line="24" w:lineRule="exact"/>
        <w:rPr>
          <w:sz w:val="24"/>
          <w:szCs w:val="24"/>
          <w:color w:val="auto"/>
        </w:rPr>
      </w:pPr>
    </w:p>
    <w:p>
      <w:pPr>
        <w:ind w:left="720"/>
        <w:spacing w:after="0"/>
        <w:tabs>
          <w:tab w:leader="none" w:pos="7420" w:val="left"/>
        </w:tabs>
        <w:rPr>
          <w:sz w:val="20"/>
          <w:szCs w:val="20"/>
          <w:color w:val="auto"/>
        </w:rPr>
      </w:pPr>
      <w:r>
        <w:rPr>
          <w:rFonts w:ascii="Arial" w:cs="Arial" w:eastAsia="Arial" w:hAnsi="Arial"/>
          <w:sz w:val="16"/>
          <w:szCs w:val="16"/>
          <w:b w:val="1"/>
          <w:bCs w:val="1"/>
          <w:color w:val="auto"/>
        </w:rPr>
        <w:t>(State or other Jurisdiction of Incorporation or Organization)</w:t>
      </w:r>
      <w:r>
        <w:rPr>
          <w:sz w:val="20"/>
          <w:szCs w:val="20"/>
          <w:color w:val="auto"/>
        </w:rPr>
        <w:tab/>
      </w:r>
      <w:r>
        <w:rPr>
          <w:rFonts w:ascii="Arial" w:cs="Arial" w:eastAsia="Arial" w:hAnsi="Arial"/>
          <w:sz w:val="14"/>
          <w:szCs w:val="14"/>
          <w:b w:val="1"/>
          <w:bCs w:val="1"/>
          <w:color w:val="auto"/>
        </w:rPr>
        <w:t>(I.R.S. Employer Identification No.)</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Gildo Pastor Center</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7 Rue du Gabian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MC 98000, Monaco</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+377 97 97 51 15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and telephone number of Registrant’s principal executive offices)</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Puglisi &amp; Associates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850 Library Avenue, Suite 204</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Newark, Delaware 19711</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(302) 738-6680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101600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9"/>
          <w:szCs w:val="19"/>
          <w:b w:val="1"/>
          <w:bCs w:val="1"/>
          <w:i w:val="1"/>
          <w:iCs w:val="1"/>
          <w:color w:val="auto"/>
        </w:rPr>
        <w:t>With 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 Scott Bennett, Esq.</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Cravath, Swaine &amp; Moore LLP</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Worldwide Plaza</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825 Eighth Avenue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New York, New York 10019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99695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9" w:lineRule="exact"/>
        <w:rPr>
          <w:sz w:val="24"/>
          <w:szCs w:val="24"/>
          <w:color w:val="auto"/>
        </w:rPr>
      </w:pPr>
    </w:p>
    <w:p>
      <w:pPr>
        <w:ind w:right="400" w:firstLine="357"/>
        <w:spacing w:after="0" w:line="283" w:lineRule="auto"/>
        <w:rPr>
          <w:sz w:val="20"/>
          <w:szCs w:val="20"/>
          <w:color w:val="auto"/>
        </w:rPr>
      </w:pPr>
      <w:r>
        <w:rPr>
          <w:rFonts w:ascii="Arial" w:cs="Arial" w:eastAsia="Arial" w:hAnsi="Arial"/>
          <w:sz w:val="19"/>
          <w:szCs w:val="19"/>
          <w:b w:val="1"/>
          <w:bCs w:val="1"/>
          <w:i w:val="1"/>
          <w:iCs w:val="1"/>
          <w:color w:val="auto"/>
        </w:rPr>
        <w:t xml:space="preserve">Approximate Date of Commencement of Proposed Sale of the Securities to the Public: </w:t>
      </w:r>
      <w:r>
        <w:rPr>
          <w:rFonts w:ascii="Arial" w:cs="Arial" w:eastAsia="Arial" w:hAnsi="Arial"/>
          <w:sz w:val="19"/>
          <w:szCs w:val="19"/>
          <w:color w:val="auto"/>
        </w:rPr>
        <w:t>From time to time after the effective date of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Registration Statement.</w:t>
      </w:r>
    </w:p>
    <w:p>
      <w:pPr>
        <w:spacing w:after="0" w:line="52" w:lineRule="exact"/>
        <w:rPr>
          <w:sz w:val="24"/>
          <w:szCs w:val="24"/>
          <w:color w:val="auto"/>
        </w:rPr>
      </w:pPr>
    </w:p>
    <w:p>
      <w:pPr>
        <w:ind w:right="700" w:firstLine="357"/>
        <w:spacing w:after="0" w:line="283" w:lineRule="auto"/>
        <w:rPr>
          <w:sz w:val="20"/>
          <w:szCs w:val="20"/>
          <w:color w:val="auto"/>
        </w:rPr>
      </w:pPr>
      <w:r>
        <w:rPr>
          <w:rFonts w:ascii="Arial" w:cs="Arial" w:eastAsia="Arial" w:hAnsi="Arial"/>
          <w:sz w:val="19"/>
          <w:szCs w:val="19"/>
          <w:color w:val="auto"/>
        </w:rPr>
        <w:t>If only securities being registered on this Form are being offered pursuant to dividend or interest reinvestment plans, please check the following box. o</w:t>
      </w:r>
    </w:p>
    <w:p>
      <w:pPr>
        <w:spacing w:after="0" w:line="52" w:lineRule="exact"/>
        <w:rPr>
          <w:sz w:val="24"/>
          <w:szCs w:val="24"/>
          <w:color w:val="auto"/>
        </w:rPr>
      </w:pPr>
    </w:p>
    <w:p>
      <w:pPr>
        <w:ind w:right="640" w:firstLine="357"/>
        <w:spacing w:after="0" w:line="283" w:lineRule="auto"/>
        <w:rPr>
          <w:sz w:val="20"/>
          <w:szCs w:val="20"/>
          <w:color w:val="auto"/>
        </w:rPr>
      </w:pPr>
      <w:r>
        <w:rPr>
          <w:rFonts w:ascii="Arial" w:cs="Arial" w:eastAsia="Arial" w:hAnsi="Arial"/>
          <w:sz w:val="19"/>
          <w:szCs w:val="19"/>
          <w:color w:val="auto"/>
        </w:rPr>
        <w:t>If any of the securities being registered on this Form are to be offered on a delayed or continuous basis pursuant to Rule 415 under the Securities Act of 1933, check the following box. x</w:t>
      </w:r>
    </w:p>
    <w:p>
      <w:pPr>
        <w:spacing w:after="0" w:line="52" w:lineRule="exact"/>
        <w:rPr>
          <w:sz w:val="24"/>
          <w:szCs w:val="24"/>
          <w:color w:val="auto"/>
        </w:rPr>
      </w:pPr>
    </w:p>
    <w:p>
      <w:pPr>
        <w:ind w:right="560" w:firstLine="357"/>
        <w:spacing w:after="0" w:line="344"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7" w:lineRule="exact"/>
        <w:rPr>
          <w:sz w:val="24"/>
          <w:szCs w:val="24"/>
          <w:color w:val="auto"/>
        </w:rPr>
      </w:pPr>
    </w:p>
    <w:p>
      <w:pPr>
        <w:ind w:right="660" w:firstLine="357"/>
        <w:spacing w:after="0" w:line="283" w:lineRule="auto"/>
        <w:rPr>
          <w:sz w:val="20"/>
          <w:szCs w:val="20"/>
          <w:color w:val="auto"/>
        </w:rPr>
      </w:pPr>
      <w:r>
        <w:rPr>
          <w:rFonts w:ascii="Arial" w:cs="Arial" w:eastAsia="Arial" w:hAnsi="Arial"/>
          <w:sz w:val="19"/>
          <w:szCs w:val="19"/>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38" w:lineRule="exact"/>
        <w:rPr>
          <w:sz w:val="24"/>
          <w:szCs w:val="24"/>
          <w:color w:val="auto"/>
        </w:rPr>
      </w:pPr>
    </w:p>
    <w:p>
      <w:pPr>
        <w:ind w:right="160" w:firstLine="357"/>
        <w:spacing w:after="0" w:line="283" w:lineRule="auto"/>
        <w:rPr>
          <w:sz w:val="20"/>
          <w:szCs w:val="20"/>
          <w:color w:val="auto"/>
        </w:rPr>
      </w:pPr>
      <w:r>
        <w:rPr>
          <w:rFonts w:ascii="Arial" w:cs="Arial" w:eastAsia="Arial" w:hAnsi="Arial"/>
          <w:sz w:val="19"/>
          <w:szCs w:val="19"/>
          <w:color w:val="auto"/>
        </w:rPr>
        <w:t>If this Form is a registration statement pursuant to General Instruction I.C. or a post-effective amendment thereto that shall become effective upon filing with the Commission pursuant to Rule 462(e) under the Securities Act, check the following box. o</w:t>
      </w:r>
    </w:p>
    <w:p>
      <w:pPr>
        <w:spacing w:after="0" w:line="52" w:lineRule="exact"/>
        <w:rPr>
          <w:sz w:val="24"/>
          <w:szCs w:val="24"/>
          <w:color w:val="auto"/>
        </w:rPr>
      </w:pPr>
    </w:p>
    <w:p>
      <w:pPr>
        <w:ind w:right="420" w:firstLine="357"/>
        <w:spacing w:after="0" w:line="283" w:lineRule="auto"/>
        <w:rPr>
          <w:sz w:val="20"/>
          <w:szCs w:val="20"/>
          <w:color w:val="auto"/>
        </w:rPr>
      </w:pPr>
      <w:r>
        <w:rPr>
          <w:rFonts w:ascii="Arial" w:cs="Arial" w:eastAsia="Arial" w:hAnsi="Arial"/>
          <w:sz w:val="19"/>
          <w:szCs w:val="19"/>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o</w:t>
      </w:r>
    </w:p>
    <w:p>
      <w:pPr>
        <w:sectPr>
          <w:pgSz w:w="11900" w:h="16838" w:orient="portrait"/>
          <w:cols w:equalWidth="0" w:num="1">
            <w:col w:w="11420"/>
          </w:cols>
          <w:pgMar w:left="240" w:top="336" w:right="239" w:bottom="1440" w:gutter="0" w:footer="0" w:header="0"/>
        </w:sectPr>
      </w:pPr>
    </w:p>
    <w:p>
      <w:pPr>
        <w:spacing w:after="0" w:line="52" w:lineRule="exact"/>
        <w:rPr>
          <w:sz w:val="24"/>
          <w:szCs w:val="24"/>
          <w:color w:val="auto"/>
        </w:rPr>
      </w:pPr>
    </w:p>
    <w:p>
      <w:pPr>
        <w:ind w:left="8960"/>
        <w:spacing w:after="0"/>
        <w:rPr>
          <w:sz w:val="20"/>
          <w:szCs w:val="20"/>
          <w:color w:val="auto"/>
        </w:rPr>
      </w:pPr>
      <w:r>
        <w:rPr>
          <w:rFonts w:ascii="Arial" w:cs="Arial" w:eastAsia="Arial" w:hAnsi="Arial"/>
          <w:sz w:val="17"/>
          <w:szCs w:val="17"/>
          <w:i w:val="1"/>
          <w:iCs w:val="1"/>
          <w:color w:val="auto"/>
        </w:rPr>
        <w:t>(Cover continued on next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345440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9"/>
          <w:szCs w:val="19"/>
          <w:i w:val="1"/>
          <w:iCs w:val="1"/>
          <w:color w:val="auto"/>
        </w:rPr>
        <w:t>(Cover continued from previous page)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CALCULATION OF REGISTRATION FEE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r>
      <w:tr>
        <w:trPr>
          <w:trHeight w:val="146"/>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Arial" w:cs="Arial" w:eastAsia="Arial" w:hAnsi="Arial"/>
                <w:sz w:val="16"/>
                <w:szCs w:val="16"/>
                <w:b w:val="1"/>
                <w:bCs w:val="1"/>
                <w:color w:val="auto"/>
                <w:w w:val="86"/>
              </w:rPr>
              <w:t>Proposed</w:t>
            </w:r>
          </w:p>
        </w:tc>
        <w:tc>
          <w:tcPr>
            <w:tcW w:w="1800" w:type="dxa"/>
            <w:vAlign w:val="bottom"/>
          </w:tcPr>
          <w:p>
            <w:pPr>
              <w:jc w:val="center"/>
              <w:spacing w:after="0" w:line="146" w:lineRule="exact"/>
              <w:rPr>
                <w:sz w:val="20"/>
                <w:szCs w:val="20"/>
                <w:color w:val="auto"/>
              </w:rPr>
            </w:pPr>
            <w:r>
              <w:rPr>
                <w:rFonts w:ascii="Arial" w:cs="Arial" w:eastAsia="Arial" w:hAnsi="Arial"/>
                <w:sz w:val="16"/>
                <w:szCs w:val="16"/>
                <w:b w:val="1"/>
                <w:bCs w:val="1"/>
                <w:color w:val="auto"/>
                <w:w w:val="83"/>
              </w:rPr>
              <w:t>Proposed</w:t>
            </w:r>
          </w:p>
        </w:tc>
        <w:tc>
          <w:tcPr>
            <w:tcW w:w="1000" w:type="dxa"/>
            <w:vAlign w:val="bottom"/>
          </w:tcPr>
          <w:p>
            <w:pPr>
              <w:jc w:val="center"/>
              <w:ind w:left="82"/>
              <w:spacing w:after="0" w:line="146" w:lineRule="exact"/>
              <w:rPr>
                <w:sz w:val="20"/>
                <w:szCs w:val="20"/>
                <w:color w:val="auto"/>
              </w:rPr>
            </w:pPr>
            <w:r>
              <w:rPr>
                <w:rFonts w:ascii="Arial" w:cs="Arial" w:eastAsia="Arial" w:hAnsi="Arial"/>
                <w:sz w:val="16"/>
                <w:szCs w:val="16"/>
                <w:b w:val="1"/>
                <w:bCs w:val="1"/>
                <w:color w:val="auto"/>
                <w:w w:val="89"/>
              </w:rPr>
              <w:t>Amount of</w:t>
            </w:r>
          </w:p>
        </w:tc>
      </w:tr>
      <w:tr>
        <w:trPr>
          <w:trHeight w:val="176"/>
        </w:trPr>
        <w:tc>
          <w:tcPr>
            <w:tcW w:w="20" w:type="dxa"/>
            <w:vAlign w:val="bottom"/>
          </w:tcPr>
          <w:p>
            <w:pPr>
              <w:spacing w:after="0"/>
              <w:rPr>
                <w:sz w:val="15"/>
                <w:szCs w:val="15"/>
                <w:color w:val="auto"/>
              </w:rPr>
            </w:pPr>
          </w:p>
        </w:tc>
        <w:tc>
          <w:tcPr>
            <w:tcW w:w="5040" w:type="dxa"/>
            <w:vAlign w:val="bottom"/>
          </w:tcPr>
          <w:p>
            <w:pPr>
              <w:ind w:left="1880"/>
              <w:spacing w:after="0" w:line="176" w:lineRule="exact"/>
              <w:rPr>
                <w:sz w:val="20"/>
                <w:szCs w:val="20"/>
                <w:color w:val="auto"/>
              </w:rPr>
            </w:pPr>
            <w:r>
              <w:rPr>
                <w:rFonts w:ascii="Arial" w:cs="Arial" w:eastAsia="Arial" w:hAnsi="Arial"/>
                <w:sz w:val="16"/>
                <w:szCs w:val="16"/>
                <w:b w:val="1"/>
                <w:bCs w:val="1"/>
                <w:color w:val="auto"/>
              </w:rPr>
              <w:t>Title of Each Class of</w:t>
            </w:r>
          </w:p>
        </w:tc>
        <w:tc>
          <w:tcPr>
            <w:tcW w:w="1760" w:type="dxa"/>
            <w:vAlign w:val="bottom"/>
          </w:tcPr>
          <w:p>
            <w:pPr>
              <w:jc w:val="center"/>
              <w:ind w:left="235"/>
              <w:spacing w:after="0" w:line="176" w:lineRule="exact"/>
              <w:rPr>
                <w:sz w:val="20"/>
                <w:szCs w:val="20"/>
                <w:color w:val="auto"/>
              </w:rPr>
            </w:pPr>
            <w:r>
              <w:rPr>
                <w:rFonts w:ascii="Arial" w:cs="Arial" w:eastAsia="Arial" w:hAnsi="Arial"/>
                <w:sz w:val="16"/>
                <w:szCs w:val="16"/>
                <w:b w:val="1"/>
                <w:bCs w:val="1"/>
                <w:color w:val="auto"/>
                <w:w w:val="89"/>
              </w:rPr>
              <w:t>Amount to be</w:t>
            </w:r>
          </w:p>
        </w:tc>
        <w:tc>
          <w:tcPr>
            <w:tcW w:w="18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Maximum Aggregate</w:t>
            </w:r>
          </w:p>
        </w:tc>
        <w:tc>
          <w:tcPr>
            <w:tcW w:w="18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Maximum Aggregate</w:t>
            </w:r>
          </w:p>
        </w:tc>
        <w:tc>
          <w:tcPr>
            <w:tcW w:w="1000" w:type="dxa"/>
            <w:vAlign w:val="bottom"/>
          </w:tcPr>
          <w:p>
            <w:pPr>
              <w:jc w:val="center"/>
              <w:ind w:left="82"/>
              <w:spacing w:after="0" w:line="176" w:lineRule="exact"/>
              <w:rPr>
                <w:sz w:val="20"/>
                <w:szCs w:val="20"/>
                <w:color w:val="auto"/>
              </w:rPr>
            </w:pPr>
            <w:r>
              <w:rPr>
                <w:rFonts w:ascii="Arial" w:cs="Arial" w:eastAsia="Arial" w:hAnsi="Arial"/>
                <w:sz w:val="16"/>
                <w:szCs w:val="16"/>
                <w:b w:val="1"/>
                <w:bCs w:val="1"/>
                <w:color w:val="auto"/>
                <w:w w:val="89"/>
              </w:rPr>
              <w:t>Registration</w:t>
            </w:r>
          </w:p>
        </w:tc>
      </w:tr>
      <w:tr>
        <w:trPr>
          <w:trHeight w:val="206"/>
        </w:trPr>
        <w:tc>
          <w:tcPr>
            <w:tcW w:w="20" w:type="dxa"/>
            <w:vAlign w:val="bottom"/>
          </w:tcPr>
          <w:p>
            <w:pPr>
              <w:spacing w:after="0"/>
              <w:rPr>
                <w:sz w:val="17"/>
                <w:szCs w:val="17"/>
                <w:color w:val="auto"/>
              </w:rPr>
            </w:pPr>
          </w:p>
        </w:tc>
        <w:tc>
          <w:tcPr>
            <w:tcW w:w="504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Securities to be Registered</w:t>
            </w:r>
          </w:p>
        </w:tc>
        <w:tc>
          <w:tcPr>
            <w:tcW w:w="1760" w:type="dxa"/>
            <w:vAlign w:val="bottom"/>
            <w:tcBorders>
              <w:bottom w:val="single" w:sz="8" w:color="auto"/>
            </w:tcBorders>
          </w:tcPr>
          <w:p>
            <w:pPr>
              <w:jc w:val="center"/>
              <w:ind w:left="215"/>
              <w:spacing w:after="0"/>
              <w:rPr>
                <w:sz w:val="20"/>
                <w:szCs w:val="20"/>
                <w:color w:val="auto"/>
              </w:rPr>
            </w:pPr>
            <w:r>
              <w:rPr>
                <w:rFonts w:ascii="Arial" w:cs="Arial" w:eastAsia="Arial" w:hAnsi="Arial"/>
                <w:sz w:val="16"/>
                <w:szCs w:val="16"/>
                <w:b w:val="1"/>
                <w:bCs w:val="1"/>
                <w:color w:val="auto"/>
                <w:w w:val="88"/>
              </w:rPr>
              <w:t>Registered</w:t>
            </w:r>
            <w:r>
              <w:rPr>
                <w:rFonts w:ascii="Arial" w:cs="Arial" w:eastAsia="Arial" w:hAnsi="Arial"/>
                <w:sz w:val="8"/>
                <w:szCs w:val="8"/>
                <w:b w:val="1"/>
                <w:bCs w:val="1"/>
                <w:color w:val="auto"/>
                <w:w w:val="88"/>
              </w:rPr>
              <w:t>(1)</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Price Per Unit</w:t>
            </w:r>
            <w:r>
              <w:rPr>
                <w:rFonts w:ascii="Arial" w:cs="Arial" w:eastAsia="Arial" w:hAnsi="Arial"/>
                <w:sz w:val="8"/>
                <w:szCs w:val="8"/>
                <w:b w:val="1"/>
                <w:bCs w:val="1"/>
                <w:color w:val="auto"/>
                <w:w w:val="94"/>
              </w:rPr>
              <w:t>(2)</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Offering Price</w:t>
            </w:r>
            <w:r>
              <w:rPr>
                <w:rFonts w:ascii="Arial" w:cs="Arial" w:eastAsia="Arial" w:hAnsi="Arial"/>
                <w:sz w:val="8"/>
                <w:szCs w:val="8"/>
                <w:b w:val="1"/>
                <w:bCs w:val="1"/>
                <w:color w:val="auto"/>
                <w:w w:val="91"/>
              </w:rPr>
              <w:t>(3)</w:t>
            </w:r>
          </w:p>
        </w:tc>
        <w:tc>
          <w:tcPr>
            <w:tcW w:w="1000" w:type="dxa"/>
            <w:vAlign w:val="bottom"/>
            <w:tcBorders>
              <w:bottom w:val="single" w:sz="8" w:color="auto"/>
            </w:tcBorders>
          </w:tcPr>
          <w:p>
            <w:pPr>
              <w:jc w:val="center"/>
              <w:ind w:left="102"/>
              <w:spacing w:after="0" w:line="199" w:lineRule="exact"/>
              <w:rPr>
                <w:sz w:val="20"/>
                <w:szCs w:val="20"/>
                <w:color w:val="auto"/>
              </w:rPr>
            </w:pPr>
            <w:r>
              <w:rPr>
                <w:rFonts w:ascii="Arial" w:cs="Arial" w:eastAsia="Arial" w:hAnsi="Arial"/>
                <w:sz w:val="23"/>
                <w:szCs w:val="23"/>
                <w:b w:val="1"/>
                <w:bCs w:val="1"/>
                <w:color w:val="auto"/>
                <w:w w:val="93"/>
                <w:vertAlign w:val="subscript"/>
              </w:rPr>
              <w:t>Fee</w:t>
            </w:r>
            <w:r>
              <w:rPr>
                <w:rFonts w:ascii="Arial" w:cs="Arial" w:eastAsia="Arial" w:hAnsi="Arial"/>
                <w:sz w:val="8"/>
                <w:szCs w:val="8"/>
                <w:b w:val="1"/>
                <w:bCs w:val="1"/>
                <w:color w:val="auto"/>
                <w:w w:val="93"/>
              </w:rPr>
              <w:t>(3)</w:t>
            </w:r>
          </w:p>
        </w:tc>
      </w:tr>
      <w:tr>
        <w:trPr>
          <w:trHeight w:val="230"/>
        </w:trPr>
        <w:tc>
          <w:tcPr>
            <w:tcW w:w="20" w:type="dxa"/>
            <w:vAlign w:val="bottom"/>
          </w:tcPr>
          <w:p>
            <w:pPr>
              <w:spacing w:after="0"/>
              <w:rPr>
                <w:sz w:val="19"/>
                <w:szCs w:val="19"/>
                <w:color w:val="auto"/>
              </w:rPr>
            </w:pPr>
          </w:p>
        </w:tc>
        <w:tc>
          <w:tcPr>
            <w:tcW w:w="504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9"/>
                <w:szCs w:val="19"/>
                <w:color w:val="auto"/>
              </w:rPr>
              <w:t>Common Units representing limited partner interests</w:t>
            </w:r>
          </w:p>
        </w:tc>
        <w:tc>
          <w:tcPr>
            <w:tcW w:w="1760" w:type="dxa"/>
            <w:vAlign w:val="bottom"/>
            <w:tcBorders>
              <w:bottom w:val="single" w:sz="8" w:color="auto"/>
            </w:tcBorders>
            <w:shd w:val="clear" w:color="auto" w:fill="E5FFFF"/>
          </w:tcPr>
          <w:p>
            <w:pPr>
              <w:spacing w:after="0"/>
              <w:rPr>
                <w:sz w:val="19"/>
                <w:szCs w:val="19"/>
                <w:color w:val="auto"/>
              </w:rPr>
            </w:pPr>
          </w:p>
        </w:tc>
        <w:tc>
          <w:tcPr>
            <w:tcW w:w="1800" w:type="dxa"/>
            <w:vAlign w:val="bottom"/>
            <w:tcBorders>
              <w:bottom w:val="single" w:sz="8" w:color="auto"/>
            </w:tcBorders>
            <w:shd w:val="clear" w:color="auto" w:fill="E5FFFF"/>
          </w:tcPr>
          <w:p>
            <w:pPr>
              <w:spacing w:after="0"/>
              <w:rPr>
                <w:sz w:val="19"/>
                <w:szCs w:val="19"/>
                <w:color w:val="auto"/>
              </w:rPr>
            </w:pPr>
          </w:p>
        </w:tc>
        <w:tc>
          <w:tcPr>
            <w:tcW w:w="1800" w:type="dxa"/>
            <w:vAlign w:val="bottom"/>
            <w:tcBorders>
              <w:bottom w:val="single" w:sz="8" w:color="auto"/>
            </w:tcBorders>
            <w:shd w:val="clear" w:color="auto" w:fill="E5FFFF"/>
          </w:tcPr>
          <w:p>
            <w:pPr>
              <w:spacing w:after="0"/>
              <w:rPr>
                <w:sz w:val="19"/>
                <w:szCs w:val="19"/>
                <w:color w:val="auto"/>
              </w:rPr>
            </w:pPr>
          </w:p>
        </w:tc>
        <w:tc>
          <w:tcPr>
            <w:tcW w:w="1000" w:type="dxa"/>
            <w:vAlign w:val="bottom"/>
            <w:tcBorders>
              <w:bottom w:val="single" w:sz="8" w:color="auto"/>
            </w:tcBorders>
            <w:shd w:val="clear" w:color="auto" w:fill="E5FFFF"/>
          </w:tcPr>
          <w:p>
            <w:pPr>
              <w:spacing w:after="0"/>
              <w:rPr>
                <w:sz w:val="19"/>
                <w:szCs w:val="19"/>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9"/>
                <w:szCs w:val="19"/>
                <w:color w:val="auto"/>
              </w:rPr>
              <w:t>Series A Preference Units representing limited</w:t>
            </w:r>
          </w:p>
        </w:tc>
        <w:tc>
          <w:tcPr>
            <w:tcW w:w="1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auto"/>
            </w:tcBorders>
          </w:tcPr>
          <w:p>
            <w:pPr>
              <w:ind w:left="160"/>
              <w:spacing w:after="0"/>
              <w:rPr>
                <w:sz w:val="20"/>
                <w:szCs w:val="20"/>
                <w:color w:val="auto"/>
              </w:rPr>
            </w:pPr>
            <w:r>
              <w:rPr>
                <w:rFonts w:ascii="Arial" w:cs="Arial" w:eastAsia="Arial" w:hAnsi="Arial"/>
                <w:sz w:val="19"/>
                <w:szCs w:val="19"/>
                <w:color w:val="auto"/>
              </w:rPr>
              <w:t>partner interests</w:t>
            </w:r>
          </w:p>
        </w:tc>
        <w:tc>
          <w:tcPr>
            <w:tcW w:w="17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9"/>
                <w:szCs w:val="19"/>
                <w:color w:val="auto"/>
              </w:rPr>
              <w:t>Other classes of units representing limited partner interests</w:t>
            </w:r>
          </w:p>
        </w:tc>
        <w:tc>
          <w:tcPr>
            <w:tcW w:w="1760" w:type="dxa"/>
            <w:vAlign w:val="bottom"/>
            <w:tcBorders>
              <w:bottom w:val="single" w:sz="8" w:color="auto"/>
            </w:tcBorders>
            <w:shd w:val="clear" w:color="auto" w:fill="E5FFFF"/>
          </w:tcPr>
          <w:p>
            <w:pPr>
              <w:spacing w:after="0"/>
              <w:rPr>
                <w:sz w:val="19"/>
                <w:szCs w:val="19"/>
                <w:color w:val="auto"/>
              </w:rPr>
            </w:pPr>
          </w:p>
        </w:tc>
        <w:tc>
          <w:tcPr>
            <w:tcW w:w="1800" w:type="dxa"/>
            <w:vAlign w:val="bottom"/>
            <w:tcBorders>
              <w:bottom w:val="single" w:sz="8" w:color="auto"/>
            </w:tcBorders>
            <w:shd w:val="clear" w:color="auto" w:fill="E5FFFF"/>
          </w:tcPr>
          <w:p>
            <w:pPr>
              <w:spacing w:after="0"/>
              <w:rPr>
                <w:sz w:val="19"/>
                <w:szCs w:val="19"/>
                <w:color w:val="auto"/>
              </w:rPr>
            </w:pPr>
          </w:p>
        </w:tc>
        <w:tc>
          <w:tcPr>
            <w:tcW w:w="1800" w:type="dxa"/>
            <w:vAlign w:val="bottom"/>
            <w:tcBorders>
              <w:bottom w:val="single" w:sz="8" w:color="auto"/>
            </w:tcBorders>
            <w:shd w:val="clear" w:color="auto" w:fill="E5FFFF"/>
          </w:tcPr>
          <w:p>
            <w:pPr>
              <w:spacing w:after="0"/>
              <w:rPr>
                <w:sz w:val="19"/>
                <w:szCs w:val="19"/>
                <w:color w:val="auto"/>
              </w:rPr>
            </w:pPr>
          </w:p>
        </w:tc>
        <w:tc>
          <w:tcPr>
            <w:tcW w:w="1000" w:type="dxa"/>
            <w:vAlign w:val="bottom"/>
            <w:tcBorders>
              <w:bottom w:val="single" w:sz="8" w:color="auto"/>
            </w:tcBorders>
            <w:shd w:val="clear" w:color="auto" w:fill="E5FFFF"/>
          </w:tcPr>
          <w:p>
            <w:pPr>
              <w:spacing w:after="0"/>
              <w:rPr>
                <w:sz w:val="19"/>
                <w:szCs w:val="19"/>
                <w:color w:val="auto"/>
              </w:rPr>
            </w:pPr>
          </w:p>
        </w:tc>
      </w:tr>
      <w:tr>
        <w:trPr>
          <w:trHeight w:val="244"/>
        </w:trPr>
        <w:tc>
          <w:tcPr>
            <w:tcW w:w="5060" w:type="dxa"/>
            <w:vAlign w:val="bottom"/>
            <w:gridSpan w:val="2"/>
          </w:tcPr>
          <w:p>
            <w:pPr>
              <w:spacing w:after="0"/>
              <w:rPr>
                <w:sz w:val="20"/>
                <w:szCs w:val="20"/>
                <w:color w:val="auto"/>
              </w:rPr>
            </w:pPr>
            <w:r>
              <w:rPr>
                <w:rFonts w:ascii="Arial" w:cs="Arial" w:eastAsia="Arial" w:hAnsi="Arial"/>
                <w:sz w:val="19"/>
                <w:szCs w:val="19"/>
                <w:color w:val="auto"/>
              </w:rPr>
              <w:t>Debt Securities</w:t>
            </w:r>
          </w:p>
        </w:tc>
        <w:tc>
          <w:tcPr>
            <w:tcW w:w="17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504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9"/>
                <w:szCs w:val="19"/>
                <w:color w:val="auto"/>
              </w:rPr>
              <w:t>Warrants</w:t>
            </w:r>
          </w:p>
        </w:tc>
        <w:tc>
          <w:tcPr>
            <w:tcW w:w="1760" w:type="dxa"/>
            <w:vAlign w:val="bottom"/>
            <w:tcBorders>
              <w:top w:val="single" w:sz="8" w:color="auto"/>
              <w:bottom w:val="single" w:sz="8" w:color="auto"/>
            </w:tcBorders>
            <w:shd w:val="clear" w:color="auto" w:fill="E5FFFF"/>
          </w:tcPr>
          <w:p>
            <w:pPr>
              <w:spacing w:after="0"/>
              <w:rPr>
                <w:sz w:val="19"/>
                <w:szCs w:val="19"/>
                <w:color w:val="auto"/>
              </w:rPr>
            </w:pPr>
          </w:p>
        </w:tc>
        <w:tc>
          <w:tcPr>
            <w:tcW w:w="1800" w:type="dxa"/>
            <w:vAlign w:val="bottom"/>
            <w:tcBorders>
              <w:top w:val="single" w:sz="8" w:color="auto"/>
              <w:bottom w:val="single" w:sz="8" w:color="auto"/>
            </w:tcBorders>
            <w:shd w:val="clear" w:color="auto" w:fill="E5FFFF"/>
          </w:tcPr>
          <w:p>
            <w:pPr>
              <w:spacing w:after="0"/>
              <w:rPr>
                <w:sz w:val="19"/>
                <w:szCs w:val="19"/>
                <w:color w:val="auto"/>
              </w:rPr>
            </w:pPr>
          </w:p>
        </w:tc>
        <w:tc>
          <w:tcPr>
            <w:tcW w:w="1800" w:type="dxa"/>
            <w:vAlign w:val="bottom"/>
            <w:tcBorders>
              <w:top w:val="single" w:sz="8" w:color="auto"/>
              <w:bottom w:val="single" w:sz="8" w:color="auto"/>
            </w:tcBorders>
            <w:shd w:val="clear" w:color="auto" w:fill="E5FFFF"/>
          </w:tcPr>
          <w:p>
            <w:pPr>
              <w:spacing w:after="0"/>
              <w:rPr>
                <w:sz w:val="19"/>
                <w:szCs w:val="19"/>
                <w:color w:val="auto"/>
              </w:rPr>
            </w:pPr>
          </w:p>
        </w:tc>
        <w:tc>
          <w:tcPr>
            <w:tcW w:w="1000" w:type="dxa"/>
            <w:vAlign w:val="bottom"/>
            <w:tcBorders>
              <w:top w:val="single" w:sz="8" w:color="auto"/>
              <w:bottom w:val="single" w:sz="8" w:color="auto"/>
            </w:tcBorders>
            <w:shd w:val="clear" w:color="auto" w:fill="E5FFFF"/>
          </w:tcPr>
          <w:p>
            <w:pPr>
              <w:spacing w:after="0"/>
              <w:rPr>
                <w:sz w:val="19"/>
                <w:szCs w:val="19"/>
                <w:color w:val="auto"/>
              </w:rPr>
            </w:pPr>
          </w:p>
        </w:tc>
      </w:tr>
      <w:tr>
        <w:trPr>
          <w:trHeight w:val="244"/>
        </w:trPr>
        <w:tc>
          <w:tcPr>
            <w:tcW w:w="5060" w:type="dxa"/>
            <w:vAlign w:val="bottom"/>
            <w:gridSpan w:val="2"/>
          </w:tcPr>
          <w:p>
            <w:pPr>
              <w:spacing w:after="0"/>
              <w:rPr>
                <w:sz w:val="20"/>
                <w:szCs w:val="20"/>
                <w:color w:val="auto"/>
              </w:rPr>
            </w:pPr>
            <w:r>
              <w:rPr>
                <w:rFonts w:ascii="Arial" w:cs="Arial" w:eastAsia="Arial" w:hAnsi="Arial"/>
                <w:sz w:val="19"/>
                <w:szCs w:val="19"/>
                <w:color w:val="auto"/>
              </w:rPr>
              <w:t>Rights</w:t>
            </w:r>
          </w:p>
        </w:tc>
        <w:tc>
          <w:tcPr>
            <w:tcW w:w="17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504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9"/>
                <w:szCs w:val="19"/>
                <w:color w:val="auto"/>
              </w:rPr>
              <w:t>Combination Units</w:t>
            </w:r>
          </w:p>
        </w:tc>
        <w:tc>
          <w:tcPr>
            <w:tcW w:w="1760" w:type="dxa"/>
            <w:vAlign w:val="bottom"/>
            <w:tcBorders>
              <w:top w:val="single" w:sz="8" w:color="auto"/>
              <w:bottom w:val="single" w:sz="8" w:color="auto"/>
            </w:tcBorders>
            <w:shd w:val="clear" w:color="auto" w:fill="E5FFFF"/>
          </w:tcPr>
          <w:p>
            <w:pPr>
              <w:spacing w:after="0"/>
              <w:rPr>
                <w:sz w:val="19"/>
                <w:szCs w:val="19"/>
                <w:color w:val="auto"/>
              </w:rPr>
            </w:pPr>
          </w:p>
        </w:tc>
        <w:tc>
          <w:tcPr>
            <w:tcW w:w="1800" w:type="dxa"/>
            <w:vAlign w:val="bottom"/>
            <w:tcBorders>
              <w:top w:val="single" w:sz="8" w:color="auto"/>
              <w:bottom w:val="single" w:sz="8" w:color="auto"/>
            </w:tcBorders>
            <w:shd w:val="clear" w:color="auto" w:fill="E5FFFF"/>
          </w:tcPr>
          <w:p>
            <w:pPr>
              <w:spacing w:after="0"/>
              <w:rPr>
                <w:sz w:val="19"/>
                <w:szCs w:val="19"/>
                <w:color w:val="auto"/>
              </w:rPr>
            </w:pPr>
          </w:p>
        </w:tc>
        <w:tc>
          <w:tcPr>
            <w:tcW w:w="1800" w:type="dxa"/>
            <w:vAlign w:val="bottom"/>
            <w:tcBorders>
              <w:top w:val="single" w:sz="8" w:color="auto"/>
              <w:bottom w:val="single" w:sz="8" w:color="auto"/>
            </w:tcBorders>
            <w:shd w:val="clear" w:color="auto" w:fill="E5FFFF"/>
          </w:tcPr>
          <w:p>
            <w:pPr>
              <w:spacing w:after="0"/>
              <w:rPr>
                <w:sz w:val="19"/>
                <w:szCs w:val="19"/>
                <w:color w:val="auto"/>
              </w:rPr>
            </w:pPr>
          </w:p>
        </w:tc>
        <w:tc>
          <w:tcPr>
            <w:tcW w:w="1000" w:type="dxa"/>
            <w:vAlign w:val="bottom"/>
            <w:tcBorders>
              <w:top w:val="single" w:sz="8" w:color="auto"/>
              <w:bottom w:val="single" w:sz="8" w:color="auto"/>
            </w:tcBorders>
            <w:shd w:val="clear" w:color="auto" w:fill="E5FFFF"/>
          </w:tcPr>
          <w:p>
            <w:pPr>
              <w:spacing w:after="0"/>
              <w:rPr>
                <w:sz w:val="19"/>
                <w:szCs w:val="19"/>
                <w:color w:val="auto"/>
              </w:rPr>
            </w:pPr>
          </w:p>
        </w:tc>
      </w:tr>
      <w:tr>
        <w:trPr>
          <w:trHeight w:val="257"/>
        </w:trPr>
        <w:tc>
          <w:tcPr>
            <w:tcW w:w="5060" w:type="dxa"/>
            <w:vAlign w:val="bottom"/>
            <w:gridSpan w:val="2"/>
          </w:tcPr>
          <w:p>
            <w:pPr>
              <w:spacing w:after="0"/>
              <w:rPr>
                <w:sz w:val="20"/>
                <w:szCs w:val="20"/>
                <w:color w:val="auto"/>
              </w:rPr>
            </w:pPr>
            <w:r>
              <w:rPr>
                <w:rFonts w:ascii="Arial" w:cs="Arial" w:eastAsia="Arial" w:hAnsi="Arial"/>
                <w:sz w:val="19"/>
                <w:szCs w:val="19"/>
                <w:b w:val="1"/>
                <w:bCs w:val="1"/>
                <w:color w:val="auto"/>
              </w:rPr>
              <w:t>Subtotal</w:t>
            </w:r>
          </w:p>
        </w:tc>
        <w:tc>
          <w:tcPr>
            <w:tcW w:w="1760" w:type="dxa"/>
            <w:vAlign w:val="bottom"/>
          </w:tcPr>
          <w:p>
            <w:pPr>
              <w:jc w:val="center"/>
              <w:ind w:left="235"/>
              <w:spacing w:after="0"/>
              <w:rPr>
                <w:sz w:val="20"/>
                <w:szCs w:val="20"/>
                <w:color w:val="auto"/>
              </w:rPr>
            </w:pPr>
            <w:r>
              <w:rPr>
                <w:rFonts w:ascii="Arial" w:cs="Arial" w:eastAsia="Arial" w:hAnsi="Arial"/>
                <w:sz w:val="19"/>
                <w:szCs w:val="19"/>
                <w:color w:val="auto"/>
                <w:w w:val="92"/>
              </w:rPr>
              <w:t>$750,000,000</w:t>
            </w:r>
          </w:p>
        </w:tc>
        <w:tc>
          <w:tcPr>
            <w:tcW w:w="18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w w:val="91"/>
              </w:rPr>
              <w:t>$750,000,000</w:t>
            </w:r>
          </w:p>
        </w:tc>
        <w:tc>
          <w:tcPr>
            <w:tcW w:w="1000" w:type="dxa"/>
            <w:vAlign w:val="bottom"/>
          </w:tcPr>
          <w:p>
            <w:pPr>
              <w:jc w:val="center"/>
              <w:ind w:left="82"/>
              <w:spacing w:after="0"/>
              <w:rPr>
                <w:sz w:val="20"/>
                <w:szCs w:val="20"/>
                <w:color w:val="auto"/>
              </w:rPr>
            </w:pPr>
            <w:r>
              <w:rPr>
                <w:rFonts w:ascii="Arial" w:cs="Arial" w:eastAsia="Arial" w:hAnsi="Arial"/>
                <w:sz w:val="19"/>
                <w:szCs w:val="19"/>
                <w:color w:val="auto"/>
                <w:w w:val="93"/>
              </w:rPr>
              <w:t>$86,925</w:t>
            </w:r>
          </w:p>
        </w:tc>
      </w:tr>
      <w:tr>
        <w:trPr>
          <w:trHeight w:val="243"/>
        </w:trPr>
        <w:tc>
          <w:tcPr>
            <w:tcW w:w="20" w:type="dxa"/>
            <w:vAlign w:val="bottom"/>
          </w:tcPr>
          <w:p>
            <w:pPr>
              <w:spacing w:after="0"/>
              <w:rPr>
                <w:sz w:val="21"/>
                <w:szCs w:val="21"/>
                <w:color w:val="auto"/>
              </w:rPr>
            </w:pPr>
          </w:p>
        </w:tc>
        <w:tc>
          <w:tcPr>
            <w:tcW w:w="504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9"/>
                <w:szCs w:val="19"/>
                <w:b w:val="1"/>
                <w:bCs w:val="1"/>
                <w:color w:val="auto"/>
              </w:rPr>
              <w:t>Total</w:t>
            </w:r>
          </w:p>
        </w:tc>
        <w:tc>
          <w:tcPr>
            <w:tcW w:w="1760" w:type="dxa"/>
            <w:vAlign w:val="bottom"/>
            <w:tcBorders>
              <w:top w:val="single" w:sz="8" w:color="auto"/>
              <w:bottom w:val="single" w:sz="8" w:color="auto"/>
            </w:tcBorders>
            <w:shd w:val="clear" w:color="auto" w:fill="E5FFFF"/>
          </w:tcPr>
          <w:p>
            <w:pPr>
              <w:spacing w:after="0"/>
              <w:rPr>
                <w:sz w:val="21"/>
                <w:szCs w:val="21"/>
                <w:color w:val="auto"/>
              </w:rPr>
            </w:pPr>
          </w:p>
        </w:tc>
        <w:tc>
          <w:tcPr>
            <w:tcW w:w="1800" w:type="dxa"/>
            <w:vAlign w:val="bottom"/>
            <w:tcBorders>
              <w:top w:val="single" w:sz="8" w:color="auto"/>
              <w:bottom w:val="single" w:sz="8" w:color="auto"/>
            </w:tcBorders>
            <w:shd w:val="clear" w:color="auto" w:fill="E5FFFF"/>
          </w:tcPr>
          <w:p>
            <w:pPr>
              <w:spacing w:after="0"/>
              <w:rPr>
                <w:sz w:val="21"/>
                <w:szCs w:val="21"/>
                <w:color w:val="auto"/>
              </w:rPr>
            </w:pPr>
          </w:p>
        </w:tc>
        <w:tc>
          <w:tcPr>
            <w:tcW w:w="180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1"/>
              </w:rPr>
              <w:t>$750,000,000</w:t>
            </w:r>
          </w:p>
        </w:tc>
        <w:tc>
          <w:tcPr>
            <w:tcW w:w="1000" w:type="dxa"/>
            <w:vAlign w:val="bottom"/>
            <w:tcBorders>
              <w:top w:val="single" w:sz="8" w:color="auto"/>
              <w:bottom w:val="single" w:sz="8" w:color="auto"/>
            </w:tcBorders>
            <w:shd w:val="clear" w:color="auto" w:fill="E5FFFF"/>
          </w:tcPr>
          <w:p>
            <w:pPr>
              <w:jc w:val="center"/>
              <w:ind w:left="82"/>
              <w:spacing w:after="0"/>
              <w:rPr>
                <w:sz w:val="20"/>
                <w:szCs w:val="20"/>
                <w:color w:val="auto"/>
              </w:rPr>
            </w:pPr>
            <w:r>
              <w:rPr>
                <w:rFonts w:ascii="Arial" w:cs="Arial" w:eastAsia="Arial" w:hAnsi="Arial"/>
                <w:sz w:val="19"/>
                <w:szCs w:val="19"/>
                <w:color w:val="auto"/>
                <w:w w:val="93"/>
              </w:rPr>
              <w:t>$86,925</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300" w:hanging="213"/>
        <w:spacing w:after="0" w:line="253" w:lineRule="auto"/>
        <w:tabs>
          <w:tab w:leader="none" w:pos="300" w:val="left"/>
        </w:tabs>
        <w:numPr>
          <w:ilvl w:val="0"/>
          <w:numId w:val="1"/>
        </w:numPr>
        <w:rPr>
          <w:rFonts w:ascii="Arial" w:cs="Arial" w:eastAsia="Arial" w:hAnsi="Arial"/>
          <w:sz w:val="21"/>
          <w:szCs w:val="21"/>
          <w:color w:val="auto"/>
          <w:vertAlign w:val="superscript"/>
        </w:rPr>
      </w:pPr>
      <w:r>
        <w:rPr>
          <w:rFonts w:ascii="Arial" w:cs="Arial" w:eastAsia="Arial" w:hAnsi="Arial"/>
          <w:sz w:val="19"/>
          <w:szCs w:val="19"/>
          <w:color w:val="auto"/>
        </w:rPr>
        <w:t>There are being registered hereunder such indeterminate number of the securities of each identified class being registered as may be sold from time to time at indeterminate prices, with any initial aggregate public offering price not to exceed $750,000,000. Separate consideration may or may not be received for units that are issuable on exercise, conversion or exchange of other securities or that are issued in units. If any debt securities are issued at an original issue discount, then the offering price of such debt securities shall be in such greater principal amount as shall result in a maximum aggregate offering price not to exceed $750,000,000, less the aggregate dollar amount of all securities previously issued hereunder.</w:t>
      </w:r>
    </w:p>
    <w:p>
      <w:pPr>
        <w:spacing w:after="0" w:line="65" w:lineRule="exact"/>
        <w:rPr>
          <w:rFonts w:ascii="Arial" w:cs="Arial" w:eastAsia="Arial" w:hAnsi="Arial"/>
          <w:sz w:val="21"/>
          <w:szCs w:val="21"/>
          <w:color w:val="auto"/>
          <w:vertAlign w:val="superscript"/>
        </w:rPr>
      </w:pPr>
    </w:p>
    <w:p>
      <w:pPr>
        <w:ind w:left="300" w:right="100" w:hanging="213"/>
        <w:spacing w:after="0" w:line="254" w:lineRule="auto"/>
        <w:tabs>
          <w:tab w:leader="none" w:pos="300" w:val="left"/>
        </w:tabs>
        <w:numPr>
          <w:ilvl w:val="0"/>
          <w:numId w:val="1"/>
        </w:numPr>
        <w:rPr>
          <w:rFonts w:ascii="Arial" w:cs="Arial" w:eastAsia="Arial" w:hAnsi="Arial"/>
          <w:sz w:val="21"/>
          <w:szCs w:val="21"/>
          <w:color w:val="auto"/>
          <w:vertAlign w:val="superscript"/>
        </w:rPr>
      </w:pPr>
      <w:r>
        <w:rPr>
          <w:rFonts w:ascii="Arial" w:cs="Arial" w:eastAsia="Arial" w:hAnsi="Arial"/>
          <w:sz w:val="19"/>
          <w:szCs w:val="19"/>
          <w:color w:val="auto"/>
        </w:rPr>
        <w:t>The proposed maximum aggregate offering price of each class of securities will be determined from time to time by the Registrant in connection with the issuance by the Registrant of the securities registered hereunder and is not specified as to each class of securities pursuant to the General Instruction II.C. of Form F-3 under the Securities Act of 1933.</w:t>
      </w:r>
    </w:p>
    <w:p>
      <w:pPr>
        <w:spacing w:after="0" w:line="65" w:lineRule="exact"/>
        <w:rPr>
          <w:rFonts w:ascii="Arial" w:cs="Arial" w:eastAsia="Arial" w:hAnsi="Arial"/>
          <w:sz w:val="21"/>
          <w:szCs w:val="21"/>
          <w:color w:val="auto"/>
          <w:vertAlign w:val="superscript"/>
        </w:rPr>
      </w:pPr>
    </w:p>
    <w:p>
      <w:pPr>
        <w:ind w:left="300" w:right="80" w:hanging="213"/>
        <w:spacing w:after="0" w:line="258" w:lineRule="auto"/>
        <w:tabs>
          <w:tab w:leader="none" w:pos="300" w:val="left"/>
        </w:tabs>
        <w:numPr>
          <w:ilvl w:val="0"/>
          <w:numId w:val="1"/>
        </w:numPr>
        <w:rPr>
          <w:rFonts w:ascii="Arial" w:cs="Arial" w:eastAsia="Arial" w:hAnsi="Arial"/>
          <w:sz w:val="21"/>
          <w:szCs w:val="21"/>
          <w:color w:val="auto"/>
          <w:vertAlign w:val="superscript"/>
        </w:rPr>
      </w:pPr>
      <w:r>
        <w:rPr>
          <w:rFonts w:ascii="Arial" w:cs="Arial" w:eastAsia="Arial" w:hAnsi="Arial"/>
          <w:sz w:val="19"/>
          <w:szCs w:val="19"/>
          <w:color w:val="auto"/>
        </w:rPr>
        <w:t>Estimated solely for the purpose of calculating the registration fee pursuant to Rule 457(o) under the Securities Act of 1933, as amended, with respect to the securities to be sold by the Registrant.</w:t>
      </w:r>
    </w:p>
    <w:p>
      <w:pPr>
        <w:spacing w:after="0" w:line="283" w:lineRule="exact"/>
        <w:rPr>
          <w:sz w:val="20"/>
          <w:szCs w:val="20"/>
          <w:color w:val="auto"/>
        </w:rPr>
      </w:pPr>
    </w:p>
    <w:p>
      <w:pPr>
        <w:ind w:right="20" w:firstLine="357"/>
        <w:spacing w:after="0" w:line="264" w:lineRule="auto"/>
        <w:rPr>
          <w:sz w:val="20"/>
          <w:szCs w:val="20"/>
          <w:color w:val="auto"/>
        </w:rPr>
      </w:pPr>
      <w:r>
        <w:rPr>
          <w:rFonts w:ascii="Arial" w:cs="Arial" w:eastAsia="Arial" w:hAnsi="Arial"/>
          <w:sz w:val="19"/>
          <w:szCs w:val="1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 w:name="page3"/>
    <w:bookmarkEnd w:id="2"/>
    <w:p>
      <w:pPr>
        <w:ind w:right="200"/>
        <w:spacing w:after="0" w:line="251" w:lineRule="auto"/>
        <w:rPr>
          <w:sz w:val="20"/>
          <w:szCs w:val="20"/>
          <w:color w:val="auto"/>
        </w:rPr>
      </w:pPr>
      <w:r>
        <w:rPr>
          <w:rFonts w:ascii="Arial" w:cs="Arial" w:eastAsia="Arial" w:hAnsi="Arial"/>
          <w:sz w:val="19"/>
          <w:szCs w:val="19"/>
          <w:b w:val="1"/>
          <w:bCs w:val="1"/>
          <w:color w:val="FF163D"/>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FF163D"/>
        </w:rPr>
        <w:t>SUBJECT TO COMPLETION, DATED SEPTEMBER 29, 2017.</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PROSPECTUS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$750,000,000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44"/>
          <w:szCs w:val="44"/>
          <w:b w:val="1"/>
          <w:bCs w:val="1"/>
          <w:color w:val="auto"/>
        </w:rPr>
        <w:t>GasLog Partners LP</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Common Units Representing Limited Partner Interests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8.625% Series A Cumulative Redeemable Perpetual Fixed to Floating</w:t>
      </w:r>
    </w:p>
    <w:p>
      <w:pPr>
        <w:jc w:val="center"/>
        <w:spacing w:after="0"/>
        <w:rPr>
          <w:sz w:val="20"/>
          <w:szCs w:val="20"/>
          <w:color w:val="auto"/>
        </w:rPr>
      </w:pPr>
      <w:r>
        <w:rPr>
          <w:rFonts w:ascii="Arial" w:cs="Arial" w:eastAsia="Arial" w:hAnsi="Arial"/>
          <w:sz w:val="27"/>
          <w:szCs w:val="27"/>
          <w:b w:val="1"/>
          <w:bCs w:val="1"/>
          <w:color w:val="auto"/>
        </w:rPr>
        <w:t>Rate Preference Units Representing Limited Partner Interests</w:t>
      </w:r>
    </w:p>
    <w:p>
      <w:pPr>
        <w:jc w:val="center"/>
        <w:spacing w:after="0"/>
        <w:rPr>
          <w:sz w:val="20"/>
          <w:szCs w:val="20"/>
          <w:color w:val="auto"/>
        </w:rPr>
      </w:pPr>
      <w:r>
        <w:rPr>
          <w:rFonts w:ascii="Arial" w:cs="Arial" w:eastAsia="Arial" w:hAnsi="Arial"/>
          <w:sz w:val="27"/>
          <w:szCs w:val="27"/>
          <w:b w:val="1"/>
          <w:bCs w:val="1"/>
          <w:color w:val="auto"/>
        </w:rPr>
        <w:t>Other Classes of Units Representing Limited Partner Interests</w:t>
      </w:r>
    </w:p>
    <w:p>
      <w:pPr>
        <w:jc w:val="center"/>
        <w:spacing w:after="0"/>
        <w:rPr>
          <w:sz w:val="20"/>
          <w:szCs w:val="20"/>
          <w:color w:val="auto"/>
        </w:rPr>
      </w:pPr>
      <w:r>
        <w:rPr>
          <w:rFonts w:ascii="Arial" w:cs="Arial" w:eastAsia="Arial" w:hAnsi="Arial"/>
          <w:sz w:val="27"/>
          <w:szCs w:val="27"/>
          <w:b w:val="1"/>
          <w:bCs w:val="1"/>
          <w:color w:val="auto"/>
        </w:rPr>
        <w:t>Debt Securities</w:t>
      </w:r>
    </w:p>
    <w:p>
      <w:pPr>
        <w:jc w:val="center"/>
        <w:spacing w:after="0"/>
        <w:rPr>
          <w:sz w:val="20"/>
          <w:szCs w:val="20"/>
          <w:color w:val="auto"/>
        </w:rPr>
      </w:pPr>
      <w:r>
        <w:rPr>
          <w:rFonts w:ascii="Arial" w:cs="Arial" w:eastAsia="Arial" w:hAnsi="Arial"/>
          <w:sz w:val="27"/>
          <w:szCs w:val="27"/>
          <w:b w:val="1"/>
          <w:bCs w:val="1"/>
          <w:color w:val="auto"/>
        </w:rPr>
        <w:t>Warrants</w:t>
      </w:r>
    </w:p>
    <w:p>
      <w:pPr>
        <w:jc w:val="center"/>
        <w:spacing w:after="0"/>
        <w:rPr>
          <w:sz w:val="20"/>
          <w:szCs w:val="20"/>
          <w:color w:val="auto"/>
        </w:rPr>
      </w:pPr>
      <w:r>
        <w:rPr>
          <w:rFonts w:ascii="Arial" w:cs="Arial" w:eastAsia="Arial" w:hAnsi="Arial"/>
          <w:sz w:val="27"/>
          <w:szCs w:val="27"/>
          <w:b w:val="1"/>
          <w:bCs w:val="1"/>
          <w:color w:val="auto"/>
        </w:rPr>
        <w:t>Rights</w:t>
      </w:r>
    </w:p>
    <w:p>
      <w:pPr>
        <w:jc w:val="center"/>
        <w:spacing w:after="0"/>
        <w:rPr>
          <w:sz w:val="20"/>
          <w:szCs w:val="20"/>
          <w:color w:val="auto"/>
        </w:rPr>
      </w:pPr>
      <w:r>
        <w:rPr>
          <w:rFonts w:ascii="Arial" w:cs="Arial" w:eastAsia="Arial" w:hAnsi="Arial"/>
          <w:sz w:val="27"/>
          <w:szCs w:val="27"/>
          <w:b w:val="1"/>
          <w:bCs w:val="1"/>
          <w:color w:val="auto"/>
        </w:rPr>
        <w:t>Combination Units</w:t>
      </w:r>
    </w:p>
    <w:p>
      <w:pPr>
        <w:spacing w:after="0" w:line="88" w:lineRule="exact"/>
        <w:rPr>
          <w:sz w:val="20"/>
          <w:szCs w:val="20"/>
          <w:color w:val="auto"/>
        </w:rPr>
      </w:pPr>
    </w:p>
    <w:p>
      <w:pPr>
        <w:ind w:right="40" w:firstLine="357"/>
        <w:spacing w:after="0" w:line="272" w:lineRule="auto"/>
        <w:rPr>
          <w:sz w:val="20"/>
          <w:szCs w:val="20"/>
          <w:color w:val="auto"/>
        </w:rPr>
      </w:pPr>
      <w:r>
        <w:rPr>
          <w:rFonts w:ascii="Arial" w:cs="Arial" w:eastAsia="Arial" w:hAnsi="Arial"/>
          <w:sz w:val="18"/>
          <w:szCs w:val="18"/>
          <w:color w:val="auto"/>
        </w:rPr>
        <w:t>Through this prospectus, we may offer common units representing limited partner interests (the “Common Units”), 8.625% Series A Cumulative Redeemable Perpetual Fixed to Floating Rate Preference Units representing limited partner interests (the “Series A Preference Units”) and other classes of units representing limited partner interests (the “Other Units”), debt securities, warrants to purchase Common Units, Series A Preference Units, Other Units or other rights (the “Warrants”), rights to purchase Common Units, Series A Preference Units and Other Units (the “Rights”), and units consisting of any combination of the Common Units, Series A Preference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68"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54" w:lineRule="exact"/>
        <w:rPr>
          <w:sz w:val="20"/>
          <w:szCs w:val="20"/>
          <w:color w:val="auto"/>
        </w:rPr>
      </w:pPr>
    </w:p>
    <w:p>
      <w:pPr>
        <w:ind w:right="140" w:firstLine="357"/>
        <w:spacing w:after="0" w:line="28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Common Units are traded on the New York Stock Exchange under the symbol “GLOP”.</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Series A Preference Units are traded on the New York Stock Exchange under the symbol “GLOP PR A”.</w:t>
      </w:r>
    </w:p>
    <w:p>
      <w:pPr>
        <w:spacing w:after="0" w:line="119"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Our principal executive offices are located at Gildo Pastor Center, 7 Rue du Gabian, MC 98000, Monaco. Our telephone number at such address is +377 97 97 51 15.</w:t>
      </w:r>
    </w:p>
    <w:p>
      <w:pPr>
        <w:spacing w:after="0" w:line="37" w:lineRule="exact"/>
        <w:rPr>
          <w:sz w:val="20"/>
          <w:szCs w:val="20"/>
          <w:color w:val="auto"/>
        </w:rPr>
      </w:pPr>
    </w:p>
    <w:p>
      <w:pPr>
        <w:ind w:right="540" w:firstLine="429"/>
        <w:spacing w:after="0" w:line="276" w:lineRule="auto"/>
        <w:rPr>
          <w:sz w:val="20"/>
          <w:szCs w:val="20"/>
          <w:color w:val="auto"/>
        </w:rPr>
      </w:pPr>
      <w:r>
        <w:rPr>
          <w:rFonts w:ascii="Arial" w:cs="Arial" w:eastAsia="Arial" w:hAnsi="Arial"/>
          <w:sz w:val="23"/>
          <w:szCs w:val="23"/>
          <w:b w:val="1"/>
          <w:bCs w:val="1"/>
          <w:color w:val="auto"/>
        </w:rPr>
        <w:t>Investing in our securities involves risks. Before buying any securities you should carefully read the section entitled “Risk Factors” on page 5 of this prospectus.</w:t>
      </w:r>
    </w:p>
    <w:p>
      <w:pPr>
        <w:spacing w:after="0" w:line="49" w:lineRule="exact"/>
        <w:rPr>
          <w:sz w:val="20"/>
          <w:szCs w:val="20"/>
          <w:color w:val="auto"/>
        </w:rPr>
      </w:pPr>
    </w:p>
    <w:p>
      <w:pPr>
        <w:ind w:right="140" w:firstLine="357"/>
        <w:spacing w:after="0" w:line="319" w:lineRule="auto"/>
        <w:rPr>
          <w:sz w:val="20"/>
          <w:szCs w:val="20"/>
          <w:color w:val="auto"/>
        </w:rPr>
      </w:pPr>
      <w:r>
        <w:rPr>
          <w:rFonts w:ascii="Arial" w:cs="Arial" w:eastAsia="Arial" w:hAnsi="Arial"/>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760" w:type="dxa"/>
            <w:vAlign w:val="bottom"/>
          </w:tcPr>
          <w:p>
            <w:pPr>
              <w:ind w:left="4200"/>
              <w:spacing w:after="0"/>
              <w:rPr>
                <w:sz w:val="20"/>
                <w:szCs w:val="20"/>
                <w:color w:val="auto"/>
              </w:rPr>
            </w:pPr>
            <w:r>
              <w:rPr>
                <w:rFonts w:ascii="Arial" w:cs="Arial" w:eastAsia="Arial" w:hAnsi="Arial"/>
                <w:sz w:val="19"/>
                <w:szCs w:val="19"/>
                <w:color w:val="auto"/>
              </w:rPr>
              <w:t>The date of this prospectus is</w:t>
            </w:r>
          </w:p>
        </w:tc>
        <w:tc>
          <w:tcPr>
            <w:tcW w:w="4660" w:type="dxa"/>
            <w:vAlign w:val="bottom"/>
          </w:tcPr>
          <w:p>
            <w:pPr>
              <w:jc w:val="right"/>
              <w:ind w:right="3743"/>
              <w:spacing w:after="0"/>
              <w:rPr>
                <w:sz w:val="20"/>
                <w:szCs w:val="20"/>
                <w:color w:val="auto"/>
              </w:rPr>
            </w:pPr>
            <w:r>
              <w:rPr>
                <w:rFonts w:ascii="Arial" w:cs="Arial" w:eastAsia="Arial" w:hAnsi="Arial"/>
                <w:sz w:val="19"/>
                <w:szCs w:val="19"/>
                <w:color w:val="auto"/>
              </w:rPr>
              <w:t>, 2017.</w:t>
            </w:r>
          </w:p>
        </w:tc>
      </w:tr>
      <w:tr>
        <w:trPr>
          <w:trHeight w:val="222"/>
        </w:trPr>
        <w:tc>
          <w:tcPr>
            <w:tcW w:w="6760" w:type="dxa"/>
            <w:vAlign w:val="bottom"/>
            <w:tcBorders>
              <w:bottom w:val="single" w:sz="8" w:color="auto"/>
            </w:tcBorders>
          </w:tcPr>
          <w:p>
            <w:pPr>
              <w:spacing w:after="0"/>
              <w:rPr>
                <w:sz w:val="19"/>
                <w:szCs w:val="19"/>
                <w:color w:val="auto"/>
              </w:rPr>
            </w:pPr>
          </w:p>
        </w:tc>
        <w:tc>
          <w:tcPr>
            <w:tcW w:w="46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80" w:type="dxa"/>
            <w:vAlign w:val="bottom"/>
            <w:gridSpan w:val="7"/>
          </w:tcPr>
          <w:p>
            <w:pPr>
              <w:ind w:left="200"/>
              <w:spacing w:after="0"/>
              <w:rPr>
                <w:sz w:val="20"/>
                <w:szCs w:val="20"/>
                <w:color w:val="auto"/>
              </w:rPr>
            </w:pPr>
            <w:r>
              <w:rPr>
                <w:rFonts w:ascii="Arial" w:cs="Arial" w:eastAsia="Arial" w:hAnsi="Arial"/>
                <w:sz w:val="19"/>
                <w:szCs w:val="19"/>
                <w:b w:val="1"/>
                <w:bCs w:val="1"/>
                <w:color w:val="auto"/>
              </w:rPr>
              <w:t>TABLE OF CONTENTS</w:t>
            </w:r>
          </w:p>
        </w:tc>
        <w:tc>
          <w:tcPr>
            <w:tcW w:w="2000" w:type="dxa"/>
            <w:vAlign w:val="bottom"/>
          </w:tcPr>
          <w:p>
            <w:pPr>
              <w:spacing w:after="0"/>
              <w:rPr>
                <w:sz w:val="21"/>
                <w:szCs w:val="21"/>
                <w:color w:val="auto"/>
              </w:rPr>
            </w:pPr>
          </w:p>
        </w:tc>
      </w:tr>
      <w:tr>
        <w:trPr>
          <w:trHeight w:val="226"/>
        </w:trPr>
        <w:tc>
          <w:tcPr>
            <w:tcW w:w="9360" w:type="dxa"/>
            <w:vAlign w:val="bottom"/>
            <w:gridSpan w:val="26"/>
          </w:tcPr>
          <w:p>
            <w:pPr>
              <w:spacing w:after="0"/>
              <w:rPr>
                <w:rFonts w:ascii="Arial" w:cs="Arial" w:eastAsia="Arial" w:hAnsi="Arial"/>
                <w:sz w:val="19"/>
                <w:szCs w:val="19"/>
                <w:color w:val="0000EE"/>
              </w:rPr>
            </w:pPr>
            <w:hyperlink w:anchor="page5">
              <w:r>
                <w:rPr>
                  <w:rFonts w:ascii="Arial" w:cs="Arial" w:eastAsia="Arial" w:hAnsi="Arial"/>
                  <w:sz w:val="19"/>
                  <w:szCs w:val="19"/>
                  <w:color w:val="0000EE"/>
                </w:rPr>
                <w:t>FORWARD-LOOKING STATEMENTS</w:t>
              </w:r>
            </w:hyperlink>
          </w:p>
        </w:tc>
        <w:tc>
          <w:tcPr>
            <w:tcW w:w="200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23"/>
        </w:trPr>
        <w:tc>
          <w:tcPr>
            <w:tcW w:w="3160" w:type="dxa"/>
            <w:vAlign w:val="bottom"/>
            <w:tcBorders>
              <w:top w:val="single" w:sz="8" w:color="0000EE"/>
            </w:tcBorders>
            <w:gridSpan w:val="12"/>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THE COMPANY</w:t>
              </w:r>
            </w:hyperlink>
          </w:p>
        </w:tc>
        <w:tc>
          <w:tcPr>
            <w:tcW w:w="6200" w:type="dxa"/>
            <w:vAlign w:val="bottom"/>
            <w:gridSpan w:val="14"/>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1360" w:type="dxa"/>
            <w:vAlign w:val="bottom"/>
            <w:tcBorders>
              <w:top w:val="single" w:sz="8" w:color="0000EE"/>
              <w:bottom w:val="single" w:sz="8" w:color="0000EE"/>
            </w:tcBorders>
            <w:gridSpan w:val="3"/>
          </w:tcPr>
          <w:p>
            <w:pPr>
              <w:spacing w:after="0"/>
              <w:rPr>
                <w:rFonts w:ascii="Arial" w:cs="Arial" w:eastAsia="Arial" w:hAnsi="Arial"/>
                <w:sz w:val="19"/>
                <w:szCs w:val="19"/>
                <w:color w:val="0000EE"/>
                <w:w w:val="95"/>
              </w:rPr>
            </w:pPr>
            <w:hyperlink w:anchor="page9">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7980" w:type="dxa"/>
            <w:vAlign w:val="bottom"/>
            <w:gridSpan w:val="22"/>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23"/>
        </w:trPr>
        <w:tc>
          <w:tcPr>
            <w:tcW w:w="5400" w:type="dxa"/>
            <w:vAlign w:val="bottom"/>
            <w:tcBorders>
              <w:bottom w:val="single" w:sz="8" w:color="0000EE"/>
            </w:tcBorders>
            <w:gridSpan w:val="22"/>
          </w:tcPr>
          <w:p>
            <w:pPr>
              <w:spacing w:after="0"/>
              <w:rPr>
                <w:rFonts w:ascii="Arial" w:cs="Arial" w:eastAsia="Arial" w:hAnsi="Arial"/>
                <w:sz w:val="19"/>
                <w:szCs w:val="19"/>
                <w:color w:val="0000EE"/>
                <w:w w:val="97"/>
              </w:rPr>
            </w:pPr>
            <w:hyperlink w:anchor="page10">
              <w:r>
                <w:rPr>
                  <w:rFonts w:ascii="Arial" w:cs="Arial" w:eastAsia="Arial" w:hAnsi="Arial"/>
                  <w:sz w:val="19"/>
                  <w:szCs w:val="19"/>
                  <w:color w:val="0000EE"/>
                  <w:w w:val="97"/>
                </w:rPr>
                <w:t>SERVICE OF PROCESS AND ENFORCEMENT OF LIABILITIES</w:t>
              </w:r>
            </w:hyperlink>
          </w:p>
        </w:tc>
        <w:tc>
          <w:tcPr>
            <w:tcW w:w="3960" w:type="dxa"/>
            <w:vAlign w:val="bottom"/>
            <w:gridSpan w:val="4"/>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2420" w:type="dxa"/>
            <w:vAlign w:val="bottom"/>
            <w:tcBorders>
              <w:bottom w:val="single" w:sz="8" w:color="0000EE"/>
            </w:tcBorders>
            <w:gridSpan w:val="9"/>
          </w:tcPr>
          <w:p>
            <w:pPr>
              <w:spacing w:after="0"/>
              <w:rPr>
                <w:rFonts w:ascii="Arial" w:cs="Arial" w:eastAsia="Arial" w:hAnsi="Arial"/>
                <w:sz w:val="19"/>
                <w:szCs w:val="19"/>
                <w:color w:val="0000EE"/>
                <w:w w:val="95"/>
              </w:rPr>
            </w:pPr>
            <w:hyperlink w:anchor="page11">
              <w:r>
                <w:rPr>
                  <w:rFonts w:ascii="Arial" w:cs="Arial" w:eastAsia="Arial" w:hAnsi="Arial"/>
                  <w:sz w:val="19"/>
                  <w:szCs w:val="19"/>
                  <w:color w:val="0000EE"/>
                  <w:w w:val="95"/>
                </w:rPr>
                <w:t>ABOUT THIS PROSPECTUS</w:t>
              </w:r>
            </w:hyperlink>
          </w:p>
        </w:tc>
        <w:tc>
          <w:tcPr>
            <w:tcW w:w="6940" w:type="dxa"/>
            <w:vAlign w:val="bottom"/>
            <w:gridSpan w:val="17"/>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9360" w:type="dxa"/>
            <w:vAlign w:val="bottom"/>
            <w:gridSpan w:val="26"/>
          </w:tcPr>
          <w:p>
            <w:pPr>
              <w:spacing w:after="0"/>
              <w:rPr>
                <w:rFonts w:ascii="Arial" w:cs="Arial" w:eastAsia="Arial" w:hAnsi="Arial"/>
                <w:sz w:val="19"/>
                <w:szCs w:val="19"/>
                <w:color w:val="0000EE"/>
              </w:rPr>
            </w:pPr>
            <w:hyperlink w:anchor="page11">
              <w:r>
                <w:rPr>
                  <w:rFonts w:ascii="Arial" w:cs="Arial" w:eastAsia="Arial" w:hAnsi="Arial"/>
                  <w:sz w:val="19"/>
                  <w:szCs w:val="19"/>
                  <w:color w:val="0000EE"/>
                </w:rPr>
                <w:t>WHERE YOU CAN FIND ADDITIONAL INFORMATION</w:t>
              </w:r>
            </w:hyperlink>
          </w:p>
        </w:tc>
        <w:tc>
          <w:tcPr>
            <w:tcW w:w="200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9360" w:type="dxa"/>
            <w:vAlign w:val="bottom"/>
            <w:gridSpan w:val="26"/>
          </w:tcPr>
          <w:p>
            <w:pPr>
              <w:spacing w:after="0"/>
              <w:rPr>
                <w:rFonts w:ascii="Arial" w:cs="Arial" w:eastAsia="Arial" w:hAnsi="Arial"/>
                <w:sz w:val="19"/>
                <w:szCs w:val="19"/>
                <w:color w:val="0000EE"/>
              </w:rPr>
            </w:pPr>
            <w:hyperlink w:anchor="page12">
              <w:r>
                <w:rPr>
                  <w:rFonts w:ascii="Arial" w:cs="Arial" w:eastAsia="Arial" w:hAnsi="Arial"/>
                  <w:sz w:val="19"/>
                  <w:szCs w:val="19"/>
                  <w:color w:val="0000EE"/>
                </w:rPr>
                <w:t>INCORPORATION OF CERTAIN INFORMATION BY REFERENCE</w:t>
              </w:r>
            </w:hyperlink>
          </w:p>
        </w:tc>
        <w:tc>
          <w:tcPr>
            <w:tcW w:w="200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9360" w:type="dxa"/>
            <w:vAlign w:val="bottom"/>
            <w:gridSpan w:val="26"/>
          </w:tcPr>
          <w:p>
            <w:pPr>
              <w:spacing w:after="0"/>
              <w:rPr>
                <w:rFonts w:ascii="Arial" w:cs="Arial" w:eastAsia="Arial" w:hAnsi="Arial"/>
                <w:sz w:val="19"/>
                <w:szCs w:val="19"/>
                <w:color w:val="0000EE"/>
              </w:rPr>
            </w:pPr>
            <w:hyperlink w:anchor="page13">
              <w:r>
                <w:rPr>
                  <w:rFonts w:ascii="Arial" w:cs="Arial" w:eastAsia="Arial" w:hAnsi="Arial"/>
                  <w:sz w:val="19"/>
                  <w:szCs w:val="19"/>
                  <w:color w:val="0000EE"/>
                </w:rPr>
                <w:t>RATIO OF EARNINGS TO FIXED CHARGES AND PREFERENCE UNIT DISTRIBUTIONS</w:t>
              </w:r>
            </w:hyperlink>
          </w:p>
        </w:tc>
        <w:tc>
          <w:tcPr>
            <w:tcW w:w="200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23"/>
        </w:trPr>
        <w:tc>
          <w:tcPr>
            <w:tcW w:w="1720" w:type="dxa"/>
            <w:vAlign w:val="bottom"/>
            <w:tcBorders>
              <w:top w:val="single" w:sz="8" w:color="0000EE"/>
              <w:bottom w:val="single" w:sz="8" w:color="0000EE"/>
            </w:tcBorders>
            <w:gridSpan w:val="6"/>
          </w:tcPr>
          <w:p>
            <w:pPr>
              <w:spacing w:after="0"/>
              <w:rPr>
                <w:rFonts w:ascii="Arial" w:cs="Arial" w:eastAsia="Arial" w:hAnsi="Arial"/>
                <w:sz w:val="19"/>
                <w:szCs w:val="19"/>
                <w:color w:val="0000EE"/>
                <w:w w:val="93"/>
              </w:rPr>
            </w:pPr>
            <w:hyperlink w:anchor="page14">
              <w:r>
                <w:rPr>
                  <w:rFonts w:ascii="Arial" w:cs="Arial" w:eastAsia="Arial" w:hAnsi="Arial"/>
                  <w:sz w:val="19"/>
                  <w:szCs w:val="19"/>
                  <w:color w:val="0000EE"/>
                  <w:w w:val="93"/>
                </w:rPr>
                <w:t>USE OF PROCEEDS</w:t>
              </w:r>
            </w:hyperlink>
          </w:p>
        </w:tc>
        <w:tc>
          <w:tcPr>
            <w:tcW w:w="5820" w:type="dxa"/>
            <w:vAlign w:val="bottom"/>
            <w:tcBorders>
              <w:top w:val="single" w:sz="8" w:color="0000EE"/>
            </w:tcBorders>
            <w:gridSpan w:val="19"/>
          </w:tcPr>
          <w:p>
            <w:pPr>
              <w:spacing w:after="0"/>
              <w:rPr>
                <w:sz w:val="19"/>
                <w:szCs w:val="19"/>
                <w:color w:val="auto"/>
              </w:rPr>
            </w:pPr>
          </w:p>
        </w:tc>
        <w:tc>
          <w:tcPr>
            <w:tcW w:w="18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3540" w:type="dxa"/>
            <w:vAlign w:val="bottom"/>
            <w:tcBorders>
              <w:bottom w:val="single" w:sz="8" w:color="0000EE"/>
            </w:tcBorders>
            <w:gridSpan w:val="14"/>
          </w:tcPr>
          <w:p>
            <w:pPr>
              <w:spacing w:after="0"/>
              <w:rPr>
                <w:rFonts w:ascii="Arial" w:cs="Arial" w:eastAsia="Arial" w:hAnsi="Arial"/>
                <w:sz w:val="19"/>
                <w:szCs w:val="19"/>
                <w:color w:val="0000EE"/>
                <w:w w:val="99"/>
              </w:rPr>
            </w:pPr>
            <w:hyperlink w:anchor="page14">
              <w:r>
                <w:rPr>
                  <w:rFonts w:ascii="Arial" w:cs="Arial" w:eastAsia="Arial" w:hAnsi="Arial"/>
                  <w:sz w:val="19"/>
                  <w:szCs w:val="19"/>
                  <w:color w:val="0000EE"/>
                  <w:w w:val="99"/>
                </w:rPr>
                <w:t>CAPITALIZATION AND INDEBTEDNESS</w:t>
              </w:r>
            </w:hyperlink>
          </w:p>
        </w:tc>
        <w:tc>
          <w:tcPr>
            <w:tcW w:w="5820" w:type="dxa"/>
            <w:vAlign w:val="bottom"/>
            <w:gridSpan w:val="12"/>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360" w:type="dxa"/>
            <w:vAlign w:val="bottom"/>
            <w:gridSpan w:val="26"/>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DESCRIPTION OF COMMON UNITS</w:t>
              </w:r>
            </w:hyperlink>
          </w:p>
        </w:tc>
        <w:tc>
          <w:tcPr>
            <w:tcW w:w="20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4340" w:type="dxa"/>
            <w:vAlign w:val="bottom"/>
            <w:tcBorders>
              <w:bottom w:val="single" w:sz="8" w:color="0000EE"/>
            </w:tcBorders>
            <w:gridSpan w:val="18"/>
          </w:tcPr>
          <w:p>
            <w:pPr>
              <w:spacing w:after="0"/>
              <w:rPr>
                <w:rFonts w:ascii="Arial" w:cs="Arial" w:eastAsia="Arial" w:hAnsi="Arial"/>
                <w:sz w:val="19"/>
                <w:szCs w:val="19"/>
                <w:color w:val="0000EE"/>
                <w:w w:val="95"/>
              </w:rPr>
            </w:pPr>
            <w:hyperlink w:anchor="page14">
              <w:r>
                <w:rPr>
                  <w:rFonts w:ascii="Arial" w:cs="Arial" w:eastAsia="Arial" w:hAnsi="Arial"/>
                  <w:sz w:val="19"/>
                  <w:szCs w:val="19"/>
                  <w:color w:val="0000EE"/>
                  <w:w w:val="95"/>
                </w:rPr>
                <w:t>DESCRIPTION OF SERIES A PREFERENCE UNITS</w:t>
              </w:r>
            </w:hyperlink>
          </w:p>
        </w:tc>
        <w:tc>
          <w:tcPr>
            <w:tcW w:w="5020" w:type="dxa"/>
            <w:vAlign w:val="bottom"/>
            <w:gridSpan w:val="8"/>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4480" w:type="dxa"/>
            <w:vAlign w:val="bottom"/>
            <w:tcBorders>
              <w:bottom w:val="single" w:sz="8" w:color="0000EE"/>
            </w:tcBorders>
            <w:gridSpan w:val="19"/>
          </w:tcPr>
          <w:p>
            <w:pPr>
              <w:spacing w:after="0"/>
              <w:rPr>
                <w:rFonts w:ascii="Arial" w:cs="Arial" w:eastAsia="Arial" w:hAnsi="Arial"/>
                <w:sz w:val="19"/>
                <w:szCs w:val="19"/>
                <w:color w:val="0000EE"/>
                <w:w w:val="96"/>
              </w:rPr>
            </w:pPr>
            <w:hyperlink w:anchor="page14">
              <w:r>
                <w:rPr>
                  <w:rFonts w:ascii="Arial" w:cs="Arial" w:eastAsia="Arial" w:hAnsi="Arial"/>
                  <w:sz w:val="19"/>
                  <w:szCs w:val="19"/>
                  <w:color w:val="0000EE"/>
                  <w:w w:val="96"/>
                </w:rPr>
                <w:t>DESCRIPTION OF THE OTHER CLASSES OF UNITS</w:t>
              </w:r>
            </w:hyperlink>
          </w:p>
        </w:tc>
        <w:tc>
          <w:tcPr>
            <w:tcW w:w="4880" w:type="dxa"/>
            <w:vAlign w:val="bottom"/>
            <w:gridSpan w:val="7"/>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360" w:type="dxa"/>
            <w:vAlign w:val="bottom"/>
            <w:gridSpan w:val="26"/>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DESCRIPTION OF DEBT SECURITIES</w:t>
              </w:r>
            </w:hyperlink>
          </w:p>
        </w:tc>
        <w:tc>
          <w:tcPr>
            <w:tcW w:w="200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23"/>
        </w:trPr>
        <w:tc>
          <w:tcPr>
            <w:tcW w:w="3260" w:type="dxa"/>
            <w:vAlign w:val="bottom"/>
            <w:tcBorders>
              <w:top w:val="single" w:sz="8" w:color="0000EE"/>
            </w:tcBorders>
            <w:gridSpan w:val="13"/>
          </w:tcPr>
          <w:p>
            <w:pPr>
              <w:spacing w:after="0"/>
              <w:rPr>
                <w:rFonts w:ascii="Arial" w:cs="Arial" w:eastAsia="Arial" w:hAnsi="Arial"/>
                <w:sz w:val="19"/>
                <w:szCs w:val="19"/>
                <w:color w:val="0000EE"/>
              </w:rPr>
            </w:pPr>
            <w:hyperlink w:anchor="page23">
              <w:r>
                <w:rPr>
                  <w:rFonts w:ascii="Arial" w:cs="Arial" w:eastAsia="Arial" w:hAnsi="Arial"/>
                  <w:sz w:val="19"/>
                  <w:szCs w:val="19"/>
                  <w:color w:val="0000EE"/>
                </w:rPr>
                <w:t>DESCRIPTION OF WARRANTS</w:t>
              </w:r>
            </w:hyperlink>
          </w:p>
        </w:tc>
        <w:tc>
          <w:tcPr>
            <w:tcW w:w="6100" w:type="dxa"/>
            <w:vAlign w:val="bottom"/>
            <w:gridSpan w:val="13"/>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2320" w:type="dxa"/>
            <w:vAlign w:val="bottom"/>
            <w:tcBorders>
              <w:top w:val="single" w:sz="8" w:color="0000EE"/>
              <w:bottom w:val="single" w:sz="8" w:color="0000EE"/>
            </w:tcBorders>
            <w:gridSpan w:val="8"/>
          </w:tcPr>
          <w:p>
            <w:pPr>
              <w:spacing w:after="0"/>
              <w:rPr>
                <w:rFonts w:ascii="Arial" w:cs="Arial" w:eastAsia="Arial" w:hAnsi="Arial"/>
                <w:sz w:val="19"/>
                <w:szCs w:val="19"/>
                <w:color w:val="0000EE"/>
                <w:w w:val="96"/>
              </w:rPr>
            </w:pPr>
            <w:hyperlink w:anchor="page24">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2"/>
          </w:tcPr>
          <w:p>
            <w:pPr>
              <w:spacing w:after="0"/>
              <w:rPr>
                <w:sz w:val="19"/>
                <w:szCs w:val="19"/>
                <w:color w:val="auto"/>
              </w:rPr>
            </w:pPr>
          </w:p>
        </w:tc>
        <w:tc>
          <w:tcPr>
            <w:tcW w:w="6680" w:type="dxa"/>
            <w:vAlign w:val="bottom"/>
            <w:gridSpan w:val="16"/>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3"/>
        </w:trPr>
        <w:tc>
          <w:tcPr>
            <w:tcW w:w="4020" w:type="dxa"/>
            <w:vAlign w:val="bottom"/>
            <w:tcBorders>
              <w:bottom w:val="single" w:sz="8" w:color="0000EE"/>
            </w:tcBorders>
            <w:gridSpan w:val="15"/>
          </w:tcPr>
          <w:p>
            <w:pPr>
              <w:spacing w:after="0"/>
              <w:rPr>
                <w:rFonts w:ascii="Arial" w:cs="Arial" w:eastAsia="Arial" w:hAnsi="Arial"/>
                <w:sz w:val="19"/>
                <w:szCs w:val="19"/>
                <w:color w:val="0000EE"/>
                <w:w w:val="98"/>
              </w:rPr>
            </w:pPr>
            <w:hyperlink w:anchor="page24">
              <w:r>
                <w:rPr>
                  <w:rFonts w:ascii="Arial" w:cs="Arial" w:eastAsia="Arial" w:hAnsi="Arial"/>
                  <w:sz w:val="19"/>
                  <w:szCs w:val="19"/>
                  <w:color w:val="0000EE"/>
                  <w:w w:val="98"/>
                </w:rPr>
                <w:t>DESCRIPTION OF THE COMBINATION UNITS</w:t>
              </w:r>
            </w:hyperlink>
          </w:p>
        </w:tc>
        <w:tc>
          <w:tcPr>
            <w:tcW w:w="5340" w:type="dxa"/>
            <w:vAlign w:val="bottom"/>
            <w:gridSpan w:val="11"/>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3"/>
        </w:trPr>
        <w:tc>
          <w:tcPr>
            <w:tcW w:w="9360" w:type="dxa"/>
            <w:vAlign w:val="bottom"/>
            <w:gridSpan w:val="26"/>
          </w:tcPr>
          <w:p>
            <w:pPr>
              <w:spacing w:after="0"/>
              <w:rPr>
                <w:rFonts w:ascii="Arial" w:cs="Arial" w:eastAsia="Arial" w:hAnsi="Arial"/>
                <w:sz w:val="19"/>
                <w:szCs w:val="19"/>
                <w:color w:val="0000EE"/>
              </w:rPr>
            </w:pPr>
            <w:hyperlink w:anchor="page25">
              <w:r>
                <w:rPr>
                  <w:rFonts w:ascii="Arial" w:cs="Arial" w:eastAsia="Arial" w:hAnsi="Arial"/>
                  <w:sz w:val="19"/>
                  <w:szCs w:val="19"/>
                  <w:color w:val="0000EE"/>
                </w:rPr>
                <w:t>SUMMARY OF OUR PARTNERSHIP AGREEMENT</w:t>
              </w:r>
            </w:hyperlink>
          </w:p>
        </w:tc>
        <w:tc>
          <w:tcPr>
            <w:tcW w:w="20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60" w:type="dxa"/>
            <w:vAlign w:val="bottom"/>
            <w:gridSpan w:val="9"/>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9360" w:type="dxa"/>
            <w:vAlign w:val="bottom"/>
            <w:gridSpan w:val="26"/>
          </w:tcPr>
          <w:p>
            <w:pPr>
              <w:spacing w:after="0"/>
              <w:rPr>
                <w:rFonts w:ascii="Arial" w:cs="Arial" w:eastAsia="Arial" w:hAnsi="Arial"/>
                <w:sz w:val="19"/>
                <w:szCs w:val="19"/>
                <w:color w:val="0000EE"/>
              </w:rPr>
            </w:pPr>
            <w:hyperlink w:anchor="page40">
              <w:r>
                <w:rPr>
                  <w:rFonts w:ascii="Arial" w:cs="Arial" w:eastAsia="Arial" w:hAnsi="Arial"/>
                  <w:sz w:val="19"/>
                  <w:szCs w:val="19"/>
                  <w:color w:val="0000EE"/>
                </w:rPr>
                <w:t>OUR CASH DISTRIBUTION POLICY AND RESTRICTIONS ON DISTRIBUTIONS</w:t>
              </w:r>
            </w:hyperlink>
          </w:p>
        </w:tc>
        <w:tc>
          <w:tcPr>
            <w:tcW w:w="200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23"/>
        </w:trPr>
        <w:tc>
          <w:tcPr>
            <w:tcW w:w="5260" w:type="dxa"/>
            <w:vAlign w:val="bottom"/>
            <w:tcBorders>
              <w:top w:val="single" w:sz="8" w:color="0000EE"/>
              <w:bottom w:val="single" w:sz="8" w:color="0000EE"/>
            </w:tcBorders>
            <w:gridSpan w:val="21"/>
          </w:tcPr>
          <w:p>
            <w:pPr>
              <w:spacing w:after="0"/>
              <w:rPr>
                <w:rFonts w:ascii="Arial" w:cs="Arial" w:eastAsia="Arial" w:hAnsi="Arial"/>
                <w:sz w:val="19"/>
                <w:szCs w:val="19"/>
                <w:color w:val="0000EE"/>
                <w:w w:val="98"/>
              </w:rPr>
            </w:pPr>
            <w:hyperlink w:anchor="page52">
              <w:r>
                <w:rPr>
                  <w:rFonts w:ascii="Arial" w:cs="Arial" w:eastAsia="Arial" w:hAnsi="Arial"/>
                  <w:sz w:val="19"/>
                  <w:szCs w:val="19"/>
                  <w:color w:val="0000EE"/>
                  <w:w w:val="98"/>
                </w:rPr>
                <w:t>MATERIAL U.S. FEDERAL INCOME TAX CONSIDERATIONS</w:t>
              </w:r>
            </w:hyperlink>
          </w:p>
        </w:tc>
        <w:tc>
          <w:tcPr>
            <w:tcW w:w="1600" w:type="dxa"/>
            <w:vAlign w:val="bottom"/>
            <w:tcBorders>
              <w:top w:val="single" w:sz="8" w:color="0000EE"/>
            </w:tcBorders>
            <w:gridSpan w:val="3"/>
          </w:tcPr>
          <w:p>
            <w:pPr>
              <w:spacing w:after="0"/>
              <w:rPr>
                <w:sz w:val="19"/>
                <w:szCs w:val="19"/>
                <w:color w:val="auto"/>
              </w:rPr>
            </w:pPr>
          </w:p>
        </w:tc>
        <w:tc>
          <w:tcPr>
            <w:tcW w:w="2500" w:type="dxa"/>
            <w:vAlign w:val="bottom"/>
            <w:gridSpan w:val="2"/>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23"/>
        </w:trPr>
        <w:tc>
          <w:tcPr>
            <w:tcW w:w="4080" w:type="dxa"/>
            <w:vAlign w:val="bottom"/>
            <w:tcBorders>
              <w:bottom w:val="single" w:sz="8" w:color="0000EE"/>
            </w:tcBorders>
            <w:gridSpan w:val="16"/>
          </w:tcPr>
          <w:p>
            <w:pPr>
              <w:spacing w:after="0"/>
              <w:rPr>
                <w:rFonts w:ascii="Arial" w:cs="Arial" w:eastAsia="Arial" w:hAnsi="Arial"/>
                <w:sz w:val="19"/>
                <w:szCs w:val="19"/>
                <w:color w:val="0000EE"/>
                <w:w w:val="97"/>
              </w:rPr>
            </w:pPr>
            <w:hyperlink w:anchor="page52">
              <w:r>
                <w:rPr>
                  <w:rFonts w:ascii="Arial" w:cs="Arial" w:eastAsia="Arial" w:hAnsi="Arial"/>
                  <w:sz w:val="19"/>
                  <w:szCs w:val="19"/>
                  <w:color w:val="0000EE"/>
                  <w:w w:val="97"/>
                </w:rPr>
                <w:t>NON-UNITED STATES TAX CONSIDERATIONS</w:t>
              </w:r>
            </w:hyperlink>
          </w:p>
        </w:tc>
        <w:tc>
          <w:tcPr>
            <w:tcW w:w="5280" w:type="dxa"/>
            <w:vAlign w:val="bottom"/>
            <w:gridSpan w:val="10"/>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23"/>
        </w:trPr>
        <w:tc>
          <w:tcPr>
            <w:tcW w:w="2220" w:type="dxa"/>
            <w:vAlign w:val="bottom"/>
            <w:tcBorders>
              <w:bottom w:val="single" w:sz="8" w:color="0000EE"/>
            </w:tcBorders>
            <w:gridSpan w:val="7"/>
          </w:tcPr>
          <w:p>
            <w:pPr>
              <w:spacing w:after="0"/>
              <w:rPr>
                <w:rFonts w:ascii="Arial" w:cs="Arial" w:eastAsia="Arial" w:hAnsi="Arial"/>
                <w:sz w:val="19"/>
                <w:szCs w:val="19"/>
                <w:color w:val="0000EE"/>
                <w:w w:val="99"/>
              </w:rPr>
            </w:pPr>
            <w:hyperlink w:anchor="page52">
              <w:r>
                <w:rPr>
                  <w:rFonts w:ascii="Arial" w:cs="Arial" w:eastAsia="Arial" w:hAnsi="Arial"/>
                  <w:sz w:val="19"/>
                  <w:szCs w:val="19"/>
                  <w:color w:val="0000EE"/>
                  <w:w w:val="99"/>
                </w:rPr>
                <w:t>PLAN OF DISTRIBUTION</w:t>
              </w:r>
            </w:hyperlink>
          </w:p>
        </w:tc>
        <w:tc>
          <w:tcPr>
            <w:tcW w:w="7140" w:type="dxa"/>
            <w:vAlign w:val="bottom"/>
            <w:gridSpan w:val="19"/>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23"/>
        </w:trPr>
        <w:tc>
          <w:tcPr>
            <w:tcW w:w="9360" w:type="dxa"/>
            <w:vAlign w:val="bottom"/>
            <w:gridSpan w:val="26"/>
          </w:tcPr>
          <w:p>
            <w:pPr>
              <w:spacing w:after="0"/>
              <w:rPr>
                <w:rFonts w:ascii="Arial" w:cs="Arial" w:eastAsia="Arial" w:hAnsi="Arial"/>
                <w:sz w:val="19"/>
                <w:szCs w:val="19"/>
                <w:color w:val="0000EE"/>
              </w:rPr>
            </w:pPr>
            <w:hyperlink w:anchor="page54">
              <w:r>
                <w:rPr>
                  <w:rFonts w:ascii="Arial" w:cs="Arial" w:eastAsia="Arial" w:hAnsi="Arial"/>
                  <w:sz w:val="19"/>
                  <w:szCs w:val="19"/>
                  <w:color w:val="0000EE"/>
                </w:rPr>
                <w:t>EXPENSES</w:t>
              </w:r>
            </w:hyperlink>
          </w:p>
        </w:tc>
        <w:tc>
          <w:tcPr>
            <w:tcW w:w="200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780" w:type="dxa"/>
            <w:vAlign w:val="bottom"/>
            <w:gridSpan w:val="21"/>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5"/>
          </w:tcPr>
          <w:p>
            <w:pPr>
              <w:spacing w:after="0"/>
              <w:rPr>
                <w:rFonts w:ascii="Arial" w:cs="Arial" w:eastAsia="Arial" w:hAnsi="Arial"/>
                <w:sz w:val="19"/>
                <w:szCs w:val="19"/>
                <w:color w:val="0000EE"/>
                <w:w w:val="99"/>
              </w:rPr>
            </w:pPr>
            <w:hyperlink w:anchor="page54">
              <w:r>
                <w:rPr>
                  <w:rFonts w:ascii="Arial" w:cs="Arial" w:eastAsia="Arial" w:hAnsi="Arial"/>
                  <w:sz w:val="19"/>
                  <w:szCs w:val="19"/>
                  <w:color w:val="0000EE"/>
                  <w:w w:val="99"/>
                </w:rPr>
                <w:t>LEGAL MATTERS</w:t>
              </w:r>
            </w:hyperlink>
          </w:p>
        </w:tc>
        <w:tc>
          <w:tcPr>
            <w:tcW w:w="7780" w:type="dxa"/>
            <w:vAlign w:val="bottom"/>
            <w:gridSpan w:val="21"/>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54">
              <w:r>
                <w:rPr>
                  <w:rFonts w:ascii="Arial" w:cs="Arial" w:eastAsia="Arial" w:hAnsi="Arial"/>
                  <w:sz w:val="19"/>
                  <w:szCs w:val="19"/>
                  <w:color w:val="0000EE"/>
                  <w:w w:val="92"/>
                </w:rPr>
                <w:t>EXPERTS</w:t>
              </w:r>
            </w:hyperlink>
          </w:p>
        </w:tc>
        <w:tc>
          <w:tcPr>
            <w:tcW w:w="8520" w:type="dxa"/>
            <w:vAlign w:val="bottom"/>
            <w:gridSpan w:val="25"/>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9"/>
                <w:szCs w:val="19"/>
                <w:color w:val="auto"/>
              </w:rPr>
              <w:t>50</w:t>
            </w:r>
          </w:p>
        </w:tc>
      </w:tr>
    </w:tbl>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right="140" w:firstLine="357"/>
        <w:spacing w:after="0" w:line="269" w:lineRule="auto"/>
        <w:rPr>
          <w:sz w:val="20"/>
          <w:szCs w:val="20"/>
          <w:color w:val="auto"/>
        </w:rPr>
      </w:pPr>
      <w:r>
        <w:rPr>
          <w:rFonts w:ascii="Arial" w:cs="Arial" w:eastAsia="Arial" w:hAnsi="Arial"/>
          <w:sz w:val="18"/>
          <w:szCs w:val="18"/>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liquidity and cash available for dividends or distributions, plans, strategies, business prospects and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106" w:lineRule="exact"/>
        <w:rPr>
          <w:sz w:val="20"/>
          <w:szCs w:val="20"/>
          <w:color w:val="auto"/>
        </w:rPr>
      </w:pPr>
    </w:p>
    <w:p>
      <w:pPr>
        <w:ind w:left="540" w:hanging="168"/>
        <w:spacing w:after="0" w:line="267"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40"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continued low prices for crude oil and petroleum products and volatility in gas prices;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leverage GasLog Ltd.’s relationships and reputation in the shipping industry;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enter into time charters with new and existing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future operating performance, financial condition, liquidity and cash available for dividends and distributions;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purchase vessels from GasLog Ltd. in the future;</w:t>
      </w:r>
    </w:p>
    <w:p>
      <w:pPr>
        <w:spacing w:after="0" w:line="105" w:lineRule="exact"/>
        <w:rPr>
          <w:rFonts w:ascii="Arial" w:cs="Arial" w:eastAsia="Arial" w:hAnsi="Arial"/>
          <w:sz w:val="19"/>
          <w:szCs w:val="19"/>
          <w:color w:val="auto"/>
        </w:rPr>
      </w:pPr>
    </w:p>
    <w:p>
      <w:pPr>
        <w:ind w:left="540" w:right="220" w:hanging="168"/>
        <w:spacing w:after="0" w:line="267"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funding by GasLog Ltd. of the revolving credit facility with GasLog Ltd. entered into on April 3, 2017 and our ability to meet our restrictive covenants and other obligations under our credit facilities;</w:t>
      </w:r>
    </w:p>
    <w:p>
      <w:pPr>
        <w:spacing w:after="0" w:line="54"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future, pending or recent acquisitions of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expectations about 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right="180" w:hanging="168"/>
        <w:spacing w:after="0" w:line="283"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5" w:name="page6"/>
    <w:bookmarkEnd w:id="5"/>
    <w:p>
      <w:pPr>
        <w:ind w:left="540" w:hanging="16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05" w:lineRule="exact"/>
        <w:rPr>
          <w:rFonts w:ascii="Arial" w:cs="Arial" w:eastAsia="Arial" w:hAnsi="Arial"/>
          <w:sz w:val="19"/>
          <w:szCs w:val="19"/>
          <w:color w:val="auto"/>
        </w:rPr>
      </w:pPr>
    </w:p>
    <w:p>
      <w:pPr>
        <w:ind w:left="540" w:right="660" w:hanging="168"/>
        <w:spacing w:after="0" w:line="339"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GasLog Ltd.’s ability to retain key employees and provide services to us, and the availability of skilled labor, ship crews and management;</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business strategy and other plans and objectives for future operations;</w:t>
      </w:r>
    </w:p>
    <w:p>
      <w:pPr>
        <w:spacing w:after="0" w:line="105" w:lineRule="exact"/>
        <w:rPr>
          <w:rFonts w:ascii="Arial" w:cs="Arial" w:eastAsia="Arial" w:hAnsi="Arial"/>
          <w:sz w:val="19"/>
          <w:szCs w:val="19"/>
          <w:color w:val="auto"/>
        </w:rPr>
      </w:pPr>
    </w:p>
    <w:p>
      <w:pPr>
        <w:ind w:left="540" w:right="460" w:hanging="168"/>
        <w:spacing w:after="0" w:line="283"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breach; and</w:t>
      </w:r>
    </w:p>
    <w:p>
      <w:pPr>
        <w:spacing w:after="0" w:line="38"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other risks and uncertainties described in the Company’s Annual Report on Form 20-F filed with the SEC on February 13, 2017, available at http://www.sec.gov.</w:t>
      </w:r>
    </w:p>
    <w:p>
      <w:pPr>
        <w:spacing w:after="0" w:line="52"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67"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6" w:name="page7"/>
    <w:bookmarkEnd w:id="6"/>
    <w:p>
      <w:pPr>
        <w:ind w:left="4980"/>
        <w:spacing w:after="0"/>
        <w:rPr>
          <w:sz w:val="20"/>
          <w:szCs w:val="20"/>
          <w:color w:val="auto"/>
        </w:rPr>
      </w:pPr>
      <w:r>
        <w:rPr>
          <w:rFonts w:ascii="Arial" w:cs="Arial" w:eastAsia="Arial" w:hAnsi="Arial"/>
          <w:sz w:val="19"/>
          <w:szCs w:val="19"/>
          <w:b w:val="1"/>
          <w:bCs w:val="1"/>
          <w:color w:val="auto"/>
        </w:rPr>
        <w:t>THE COMPANY</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Unless otherwise indicated, references in this prospectus to:</w:t>
      </w:r>
    </w:p>
    <w:p>
      <w:pPr>
        <w:spacing w:after="0" w:line="106" w:lineRule="exact"/>
        <w:rPr>
          <w:sz w:val="20"/>
          <w:szCs w:val="20"/>
          <w:color w:val="auto"/>
        </w:rPr>
      </w:pPr>
    </w:p>
    <w:p>
      <w:pPr>
        <w:ind w:left="540" w:hanging="168"/>
        <w:spacing w:after="0" w:line="28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“GasLog Partners”, the “Partnership”, “we”, “our”, “us” or similar terms refer to GasLog Partners LP or any one or more of its subsidiaries, or to all such entities unless the context otherwise indicates;</w:t>
      </w:r>
    </w:p>
    <w:p>
      <w:pPr>
        <w:spacing w:after="0" w:line="24" w:lineRule="exact"/>
        <w:rPr>
          <w:rFonts w:ascii="Arial" w:cs="Arial" w:eastAsia="Arial" w:hAnsi="Arial"/>
          <w:sz w:val="19"/>
          <w:szCs w:val="19"/>
          <w:color w:val="auto"/>
        </w:rPr>
      </w:pPr>
    </w:p>
    <w:p>
      <w:pPr>
        <w:ind w:left="540" w:right="20" w:hanging="168"/>
        <w:spacing w:after="0" w:line="28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“GasLog”, depending on the context, refers to GasLog Ltd. and to any one or more of its direct and indirect subsidiaries, other than GasLog Partners;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general partner” refer to GasLog Partners GP LLC, the general partner of GasLog Partners and a wholly owned subsidiary of GasLog;</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“GasLog LNG Services” refer to GasLog LNG Services Ltd., a wholly owned subsidiary of GasLog;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“Shell” refers to Royal Dutch Shell plc, or any one or more of its subsidiaries;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“BG Group” refers to BG Group plc. BG Group was acquired by Shell on February 15, 2016;</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“Total” refers to Total Gas &amp; Power Chartering Limited, a wholly owned subsidiary of Total plc;</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“Centrica” refers to Pioneer Shipping Limited, a wholly owned subsidiary of Centrica plc;</w:t>
      </w:r>
    </w:p>
    <w:p>
      <w:pPr>
        <w:spacing w:after="0" w:line="105"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“Omnibus agreement” refers to the Omnibus Agreement dated May 12, 2014 by and among the Partnership, GasLog, our general partner and GasLog Partners Holdings LLC, as amended;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“dollars” and “$” refer to, and amounts are presented in, U.S. dollars;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“cbm” refer to cubic meters.</w:t>
      </w:r>
    </w:p>
    <w:p>
      <w:pPr>
        <w:spacing w:after="0" w:line="133"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We are a growth-oriented limited partnership focused on owning, operating and acquiring LNG carriers engaged in LNG transportation under long-term charters, which we define as charters of five full years or more. Our fleet of eleven LNG carriers, which have fixed charter terms expiring between 2018 and 2026 that can be extended at the charterers’ option, were contributed to us by, or acquired from, GasLog, which controls us through its ownership of our general partner.</w:t>
      </w:r>
    </w:p>
    <w:p>
      <w:pPr>
        <w:spacing w:after="0" w:line="59"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 xml:space="preserve">As of September 29, 2017, our fleet consisted of eleven LNG carriers, including six vessels with modern tri-fuel diesel electric (“TFDE”) propulsion technology and five modern steam-powered (“Steam”) vessels that all operate under long-term charters with subsidiaries of Shell. At that date, we also had options and other certain acquisition rights under which we may acquire additional LNG carriers from GasLog. Under the omnibus agreement entered into with GasLog in connection with our IPO (defined below), we have the option to purchase up to five LNG carriers from GasLog within 36 months after each such vessel’s acceptance by its charterer (or, in the case of certain vessels, within 36 months after the completion of their acquisition by GasLog on March 31, 2015), in each case at fair market value as determined pursuant to the omnibus agreement. In addition, we previously had options to acquire the </w:t>
      </w:r>
      <w:r>
        <w:rPr>
          <w:rFonts w:ascii="Arial" w:cs="Arial" w:eastAsia="Arial" w:hAnsi="Arial"/>
          <w:sz w:val="19"/>
          <w:szCs w:val="19"/>
          <w:i w:val="1"/>
          <w:iCs w:val="1"/>
          <w:color w:val="auto"/>
        </w:rPr>
        <w:t>Methane Jane Elizabeth, Methane Rita Andrea</w:t>
      </w:r>
      <w:r>
        <w:rPr>
          <w:rFonts w:ascii="Arial" w:cs="Arial" w:eastAsia="Arial" w:hAnsi="Arial"/>
          <w:sz w:val="19"/>
          <w:szCs w:val="19"/>
          <w:color w:val="auto"/>
        </w:rPr>
        <w:t xml:space="preserve">, </w:t>
      </w:r>
      <w:r>
        <w:rPr>
          <w:rFonts w:ascii="Arial" w:cs="Arial" w:eastAsia="Arial" w:hAnsi="Arial"/>
          <w:sz w:val="19"/>
          <w:szCs w:val="19"/>
          <w:i w:val="1"/>
          <w:iCs w:val="1"/>
          <w:color w:val="auto"/>
        </w:rPr>
        <w:t>Methane Alison Victoria</w:t>
      </w:r>
      <w:r>
        <w:rPr>
          <w:rFonts w:ascii="Arial" w:cs="Arial" w:eastAsia="Arial" w:hAnsi="Arial"/>
          <w:sz w:val="19"/>
          <w:szCs w:val="19"/>
          <w:color w:val="auto"/>
        </w:rPr>
        <w:t xml:space="preserve">, </w:t>
      </w:r>
      <w:r>
        <w:rPr>
          <w:rFonts w:ascii="Arial" w:cs="Arial" w:eastAsia="Arial" w:hAnsi="Arial"/>
          <w:sz w:val="19"/>
          <w:szCs w:val="19"/>
          <w:i w:val="1"/>
          <w:iCs w:val="1"/>
          <w:color w:val="auto"/>
        </w:rPr>
        <w:t>Methane Shirley Elisabeth</w:t>
      </w:r>
      <w:r>
        <w:rPr>
          <w:rFonts w:ascii="Arial" w:cs="Arial" w:eastAsia="Arial" w:hAnsi="Arial"/>
          <w:sz w:val="19"/>
          <w:szCs w:val="19"/>
          <w:color w:val="auto"/>
        </w:rPr>
        <w:t>,</w:t>
      </w:r>
      <w:r>
        <w:rPr>
          <w:rFonts w:ascii="Arial" w:cs="Arial" w:eastAsia="Arial" w:hAnsi="Arial"/>
          <w:sz w:val="19"/>
          <w:szCs w:val="19"/>
          <w:i w:val="1"/>
          <w:iCs w:val="1"/>
          <w:color w:val="auto"/>
        </w:rPr>
        <w:t xml:space="preserve"> Methane Heather Sally</w:t>
      </w:r>
      <w:r>
        <w:rPr>
          <w:rFonts w:ascii="Arial" w:cs="Arial" w:eastAsia="Arial" w:hAnsi="Arial"/>
          <w:sz w:val="19"/>
          <w:szCs w:val="19"/>
          <w:color w:val="auto"/>
        </w:rPr>
        <w:t>,</w:t>
      </w:r>
      <w:r>
        <w:rPr>
          <w:rFonts w:ascii="Arial" w:cs="Arial" w:eastAsia="Arial" w:hAnsi="Arial"/>
          <w:sz w:val="19"/>
          <w:szCs w:val="19"/>
          <w:i w:val="1"/>
          <w:iCs w:val="1"/>
          <w:color w:val="auto"/>
        </w:rPr>
        <w:t xml:space="preserve"> GasLog Seattle</w:t>
      </w:r>
      <w:r>
        <w:rPr>
          <w:rFonts w:ascii="Arial" w:cs="Arial" w:eastAsia="Arial" w:hAnsi="Arial"/>
          <w:sz w:val="19"/>
          <w:szCs w:val="19"/>
          <w:color w:val="auto"/>
        </w:rPr>
        <w:t>,</w:t>
      </w:r>
      <w:r>
        <w:rPr>
          <w:rFonts w:ascii="Arial" w:cs="Arial" w:eastAsia="Arial" w:hAnsi="Arial"/>
          <w:sz w:val="19"/>
          <w:szCs w:val="19"/>
          <w:i w:val="1"/>
          <w:iCs w:val="1"/>
          <w:color w:val="auto"/>
        </w:rPr>
        <w:t xml:space="preserve"> GasLog Greece </w:t>
      </w:r>
      <w:r>
        <w:rPr>
          <w:rFonts w:ascii="Arial" w:cs="Arial" w:eastAsia="Arial" w:hAnsi="Arial"/>
          <w:sz w:val="19"/>
          <w:szCs w:val="19"/>
          <w:color w:val="auto"/>
        </w:rPr>
        <w:t>and</w:t>
      </w:r>
      <w:r>
        <w:rPr>
          <w:rFonts w:ascii="Arial" w:cs="Arial" w:eastAsia="Arial" w:hAnsi="Arial"/>
          <w:sz w:val="19"/>
          <w:szCs w:val="19"/>
          <w:i w:val="1"/>
          <w:iCs w:val="1"/>
          <w:color w:val="auto"/>
        </w:rPr>
        <w:t xml:space="preserve"> GasLog Geneva</w:t>
      </w:r>
      <w:r>
        <w:rPr>
          <w:rFonts w:ascii="Arial" w:cs="Arial" w:eastAsia="Arial" w:hAnsi="Arial"/>
          <w:sz w:val="19"/>
          <w:szCs w:val="19"/>
          <w:color w:val="auto"/>
        </w:rPr>
        <w:t>, which we have exercised, and these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eight vessels are now part of our owned fleet. We also previously had the option to acquire the </w:t>
      </w:r>
      <w:r>
        <w:rPr>
          <w:rFonts w:ascii="Arial" w:cs="Arial" w:eastAsia="Arial" w:hAnsi="Arial"/>
          <w:sz w:val="19"/>
          <w:szCs w:val="19"/>
          <w:i w:val="1"/>
          <w:iCs w:val="1"/>
          <w:color w:val="auto"/>
        </w:rPr>
        <w:t>Methane Lydon Volney</w:t>
      </w:r>
      <w:r>
        <w:rPr>
          <w:rFonts w:ascii="Arial" w:cs="Arial" w:eastAsia="Arial" w:hAnsi="Arial"/>
          <w:sz w:val="19"/>
          <w:szCs w:val="19"/>
          <w:color w:val="auto"/>
        </w:rPr>
        <w:t>, which option expired in May 2017.</w:t>
      </w:r>
    </w:p>
    <w:p>
      <w:pPr>
        <w:spacing w:after="0" w:line="83" w:lineRule="exact"/>
        <w:rPr>
          <w:sz w:val="20"/>
          <w:szCs w:val="20"/>
          <w:color w:val="auto"/>
        </w:rPr>
      </w:pPr>
    </w:p>
    <w:p>
      <w:pPr>
        <w:ind w:right="100" w:firstLine="357"/>
        <w:spacing w:after="0" w:line="273" w:lineRule="auto"/>
        <w:rPr>
          <w:sz w:val="20"/>
          <w:szCs w:val="20"/>
          <w:color w:val="auto"/>
        </w:rPr>
      </w:pPr>
      <w:r>
        <w:rPr>
          <w:rFonts w:ascii="Arial" w:cs="Arial" w:eastAsia="Arial" w:hAnsi="Arial"/>
          <w:sz w:val="18"/>
          <w:szCs w:val="18"/>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“Five-Year Vessels”) either at their acquisition cost plus certain break up costs (in the case of a newly acquired Five-Year Vessel) or at their fair market value (in the case of a previously owned vessel that becomes a Five-Year Vessel). Generally, we must exercise this right of first offer within 30 days following the notice from GasLog that the vessel has been acquired or has become a Five-Year Vessel. The five newbuildings that will be chartered to Shell, Total and Centrica in 2018 and 2019 will each qualify as a Five-Year Vessel upon commencement of each respective charter, and GasLog will be required to offer to us an opportunity to purchase each vessel at fair</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19"/>
          <w:szCs w:val="19"/>
          <w:color w:val="auto"/>
        </w:rPr>
        <w:t xml:space="preserve">market value within 30 days of the commencement of its charter. Following completion of the acquisition by GasLog of the </w:t>
      </w:r>
      <w:r>
        <w:rPr>
          <w:rFonts w:ascii="Arial" w:cs="Arial" w:eastAsia="Arial" w:hAnsi="Arial"/>
          <w:sz w:val="19"/>
          <w:szCs w:val="19"/>
          <w:i w:val="1"/>
          <w:iCs w:val="1"/>
          <w:color w:val="auto"/>
        </w:rPr>
        <w:t>Methane Becki Anne</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Methane Julia Louise</w:t>
      </w:r>
      <w:r>
        <w:rPr>
          <w:rFonts w:ascii="Arial" w:cs="Arial" w:eastAsia="Arial" w:hAnsi="Arial"/>
          <w:sz w:val="19"/>
          <w:szCs w:val="19"/>
          <w:color w:val="auto"/>
        </w:rPr>
        <w:t xml:space="preserve"> from a subsidiary of BG Group, GasLog granted us the option, exercisable at any time within 36 months after March 31, 2015—the date that GasLog completed the acquisition to purchase both of the aforementioned vessels at their fair market value as determined under the omnibus agreement—under the same terms that apply to the three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77"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options, with the addition of the five future firm charters agreed with Shell, Total and Centrica, brings the current pipeline of vessels that we have, or may have, the right to acquire from GasLog to 10 LNG carriers. We believe that such options and acquisition rights provide us with significant built-in growth opportunities. We may also acquire vessels from shipyards or other owners.</w:t>
      </w:r>
    </w:p>
    <w:p>
      <w:pPr>
        <w:spacing w:after="0" w:line="68"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financing.</w:t>
      </w:r>
    </w:p>
    <w:p>
      <w:pPr>
        <w:spacing w:after="0" w:line="72"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September 29, 2017,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67"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On May 12, 2014, we completed an initial public offering of our Common Units (the “IPO”). We completed follow-on public offerings of our Common Units on September 29, 2014, June 26, 2015, August 5, 2016 and January 27, 2017.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72"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On May 15, 2017, we completed a public offering of our Series A Preference Units, liquidation preference $25.00 per unit. The Series A Preference Units are listed on the NYSE under the ticker symbol “GLOP PR A.”</w:t>
      </w:r>
    </w:p>
    <w:p>
      <w:pPr>
        <w:spacing w:after="0" w:line="38" w:lineRule="exact"/>
        <w:rPr>
          <w:sz w:val="20"/>
          <w:szCs w:val="20"/>
          <w:color w:val="auto"/>
        </w:rPr>
      </w:pPr>
    </w:p>
    <w:p>
      <w:pPr>
        <w:ind w:right="720" w:firstLine="357"/>
        <w:spacing w:after="0" w:line="283" w:lineRule="auto"/>
        <w:rPr>
          <w:sz w:val="20"/>
          <w:szCs w:val="20"/>
          <w:color w:val="auto"/>
        </w:rPr>
      </w:pPr>
      <w:r>
        <w:rPr>
          <w:rFonts w:ascii="Arial" w:cs="Arial" w:eastAsia="Arial" w:hAnsi="Arial"/>
          <w:sz w:val="19"/>
          <w:szCs w:val="19"/>
          <w:color w:val="auto"/>
        </w:rPr>
        <w:t>On May 16, 2017, we commenced an “at-the-market” offering program under which we may offer and sell Common Units having an aggregate offering price of up to $100 million from time to time through our sales agents.</w:t>
      </w:r>
    </w:p>
    <w:p>
      <w:pPr>
        <w:spacing w:after="0" w:line="52"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72"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Any of the risk factors referred to above could significantly and negatively affect our business, results of operations or financial condition, which may reduce our ability to make cash distributions and lower the trading price of our securities. The risks referred to above are not the only ones that may exist. Additional risks not currently known by us or that we deem immaterial may also impair our business operations. You may lose all or a part of your investment.</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79"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9"/>
          <w:szCs w:val="19"/>
          <w:b w:val="1"/>
          <w:bCs w:val="1"/>
          <w:color w:val="auto"/>
        </w:rPr>
        <w:t>SERVICE OF PROCESS AND ENFORCEMENT OF LIABILITIES</w:t>
      </w:r>
    </w:p>
    <w:p>
      <w:pPr>
        <w:spacing w:after="0" w:line="125" w:lineRule="exact"/>
        <w:rPr>
          <w:sz w:val="20"/>
          <w:szCs w:val="20"/>
          <w:color w:val="auto"/>
        </w:rPr>
      </w:pPr>
    </w:p>
    <w:p>
      <w:pPr>
        <w:jc w:val="both"/>
        <w:ind w:right="500" w:firstLine="357"/>
        <w:spacing w:after="0" w:line="267" w:lineRule="auto"/>
        <w:rPr>
          <w:sz w:val="20"/>
          <w:szCs w:val="20"/>
          <w:color w:val="auto"/>
        </w:rPr>
      </w:pPr>
      <w:r>
        <w:rPr>
          <w:rFonts w:ascii="Arial" w:cs="Arial" w:eastAsia="Arial" w:hAnsi="Arial"/>
          <w:sz w:val="19"/>
          <w:szCs w:val="19"/>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68" w:lineRule="exact"/>
        <w:rPr>
          <w:sz w:val="20"/>
          <w:szCs w:val="20"/>
          <w:color w:val="auto"/>
        </w:rPr>
      </w:pPr>
    </w:p>
    <w:p>
      <w:pPr>
        <w:ind w:right="100" w:firstLine="357"/>
        <w:spacing w:after="0" w:line="277" w:lineRule="auto"/>
        <w:rPr>
          <w:sz w:val="20"/>
          <w:szCs w:val="20"/>
          <w:color w:val="auto"/>
        </w:rPr>
      </w:pPr>
      <w:r>
        <w:rPr>
          <w:rFonts w:ascii="Arial" w:cs="Arial" w:eastAsia="Arial" w:hAnsi="Arial"/>
          <w:sz w:val="18"/>
          <w:szCs w:val="18"/>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w:t>
      </w:r>
    </w:p>
    <w:p>
      <w:pPr>
        <w:spacing w:after="0" w:line="6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72"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Cozen O’Connor, our counsel as to Marshall Islands law, has advised us that there is uncertainty as to whether the courts of the Marshall Islands would (1) 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9"/>
          <w:szCs w:val="19"/>
          <w:b w:val="1"/>
          <w:bCs w:val="1"/>
          <w:color w:val="auto"/>
        </w:rPr>
        <w:t>ABOUT THIS PROSPECTUS</w:t>
      </w:r>
    </w:p>
    <w:p>
      <w:pPr>
        <w:spacing w:after="0" w:line="125"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may, from time to time, sell up to an aggregate public offering price of $750,000,000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 xml:space="preserve"> </w:t>
      </w:r>
      <w:r>
        <w:rPr>
          <w:rFonts w:ascii="Arial" w:cs="Arial" w:eastAsia="Arial" w:hAnsi="Arial"/>
          <w:sz w:val="18"/>
          <w:szCs w:val="18"/>
          <w:color w:val="auto"/>
        </w:rPr>
        <w:t>that contains reports, proxy and information statements and other information regarding registrants that file electronically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For further information pertaining to the securities offered by this prospectus and GasLog Partners, reference is made to the registration statement.</w:t>
      </w:r>
    </w:p>
    <w:p>
      <w:pPr>
        <w:spacing w:after="0" w:line="61"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260" w:firstLine="357"/>
        <w:spacing w:after="0" w:line="281"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This prospectus incorporates by reference the following documents:</w:t>
      </w:r>
    </w:p>
    <w:p>
      <w:pPr>
        <w:spacing w:after="0" w:line="106" w:lineRule="exact"/>
        <w:rPr>
          <w:sz w:val="20"/>
          <w:szCs w:val="20"/>
          <w:color w:val="auto"/>
        </w:rPr>
      </w:pPr>
    </w:p>
    <w:p>
      <w:pPr>
        <w:ind w:left="540" w:right="100" w:hanging="168"/>
        <w:spacing w:after="0" w:line="283"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Reports on Form 6-K, filed with the SEC on March 23, 2017, May 3, 2017, May 10, 2017, May 15, 2017, May 16, 2017, June 1, 2017, July 5, 2017, July 27, 2017, August 21, 2017, September 15, 2017 and September 29, 2017;</w:t>
      </w:r>
    </w:p>
    <w:p>
      <w:pPr>
        <w:spacing w:after="0" w:line="24" w:lineRule="exact"/>
        <w:rPr>
          <w:rFonts w:ascii="Arial" w:cs="Arial" w:eastAsia="Arial" w:hAnsi="Arial"/>
          <w:sz w:val="19"/>
          <w:szCs w:val="19"/>
          <w:color w:val="auto"/>
        </w:rPr>
      </w:pPr>
    </w:p>
    <w:p>
      <w:pPr>
        <w:ind w:left="540" w:right="180" w:hanging="168"/>
        <w:spacing w:after="0" w:line="283"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Annual Report on Form 20-F for the year ended December 31, 2016, filed with the SEC on February 13, 2017 (Items 3A, 5, 18 of this Form 20-F have been updated by the Current Report on Form 6-K filed with the SEC on September 29, 2017);</w:t>
      </w:r>
    </w:p>
    <w:p>
      <w:pPr>
        <w:spacing w:after="0" w:line="38" w:lineRule="exact"/>
        <w:rPr>
          <w:rFonts w:ascii="Arial" w:cs="Arial" w:eastAsia="Arial" w:hAnsi="Arial"/>
          <w:sz w:val="19"/>
          <w:szCs w:val="19"/>
          <w:color w:val="auto"/>
        </w:rPr>
      </w:pPr>
    </w:p>
    <w:p>
      <w:pPr>
        <w:ind w:left="540" w:right="360" w:hanging="168"/>
        <w:spacing w:after="0" w:line="283"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description of our Common Units which is contained in our registration statement on Form 8-A (File No. 001-36433), filed with the SEC on April 30, 2014, including any amendment or report filed for the purpose of updating such description; and</w:t>
      </w:r>
    </w:p>
    <w:p>
      <w:pPr>
        <w:spacing w:after="0" w:line="38" w:lineRule="exact"/>
        <w:rPr>
          <w:rFonts w:ascii="Arial" w:cs="Arial" w:eastAsia="Arial" w:hAnsi="Arial"/>
          <w:sz w:val="19"/>
          <w:szCs w:val="19"/>
          <w:color w:val="auto"/>
        </w:rPr>
      </w:pPr>
    </w:p>
    <w:p>
      <w:pPr>
        <w:ind w:left="540" w:right="220" w:hanging="168"/>
        <w:spacing w:after="0" w:line="312"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Series A Preference Units which is contained in our registration statement on Form 8-A (File No. 001-36433), filed with the SEC on May 15, 2017, including any amendment or report filed for the purpose of updating such description.</w:t>
      </w:r>
    </w:p>
    <w:p>
      <w:pPr>
        <w:spacing w:after="0" w:line="29"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57"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9"/>
          <w:szCs w:val="19"/>
          <w:i w:val="1"/>
          <w:iCs w:val="1"/>
          <w:u w:val="single" w:color="auto"/>
          <w:color w:val="auto"/>
        </w:rPr>
        <w:t>www.gaslogmlp.com</w:t>
      </w:r>
      <w:r>
        <w:rPr>
          <w:rFonts w:ascii="Arial" w:cs="Arial" w:eastAsia="Arial" w:hAnsi="Arial"/>
          <w:sz w:val="19"/>
          <w:szCs w:val="19"/>
          <w:i w:val="1"/>
          <w:iCs w:val="1"/>
          <w:color w:val="auto"/>
        </w:rPr>
        <w:t xml:space="preserve">. </w:t>
      </w:r>
      <w:r>
        <w:rPr>
          <w:rFonts w:ascii="Arial" w:cs="Arial" w:eastAsia="Arial" w:hAnsi="Arial"/>
          <w:sz w:val="19"/>
          <w:szCs w:val="19"/>
          <w:color w:val="auto"/>
        </w:rPr>
        <w:t>The information contained on or connected to our website is not a part of this prospectus. Requests for such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should be made to us at the following address: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General Counsel</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RATIO OF EARNINGS TO FIXED CHARGES AND PREFERENCE UNIT DISTRIBUTIONS</w:t>
      </w:r>
    </w:p>
    <w:p>
      <w:pPr>
        <w:spacing w:after="0" w:line="125" w:lineRule="exact"/>
        <w:rPr>
          <w:sz w:val="20"/>
          <w:szCs w:val="20"/>
          <w:color w:val="auto"/>
        </w:rPr>
      </w:pPr>
    </w:p>
    <w:p>
      <w:pPr>
        <w:ind w:right="180" w:firstLine="357"/>
        <w:spacing w:after="0" w:line="269"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for the years ended December 31, 2014, 2015 and 2016 included in the Form 6-K filed on September 29, 2017 and incorporated herein by reference. The amounts as of December 31, 2012 and 2013 and for each of the years ended December 31, 2012 and 2013 are a summary of and are derived from our audited consolidated financial statements after retroactive restatement for the transfer of vessels from GasLog to the Partnership, which are not incorporated by reference in this registration statement. Our financial statements are prepared in accordance with International Financial Reporting Standards as issued by the International Accounting Standards Board.</w:t>
      </w: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5"/>
            <w:vMerge w:val="restart"/>
          </w:tcPr>
          <w:p>
            <w:pPr>
              <w:jc w:val="right"/>
              <w:ind w:right="286"/>
              <w:spacing w:after="0"/>
              <w:rPr>
                <w:sz w:val="20"/>
                <w:szCs w:val="20"/>
                <w:color w:val="auto"/>
              </w:rPr>
            </w:pPr>
            <w:r>
              <w:rPr>
                <w:rFonts w:ascii="Arial" w:cs="Arial" w:eastAsia="Arial" w:hAnsi="Arial"/>
                <w:sz w:val="16"/>
                <w:szCs w:val="16"/>
                <w:b w:val="1"/>
                <w:bCs w:val="1"/>
                <w:color w:val="auto"/>
              </w:rPr>
              <w:t>Year ended December 31,</w:t>
            </w:r>
            <w:r>
              <w:rPr>
                <w:rFonts w:ascii="Arial" w:cs="Arial" w:eastAsia="Arial" w:hAnsi="Arial"/>
                <w:sz w:val="8"/>
                <w:szCs w:val="8"/>
                <w:b w:val="1"/>
                <w:bCs w:val="1"/>
                <w:color w:val="auto"/>
              </w:rPr>
              <w:t>(1)</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88"/>
              </w:rPr>
              <w:t>Six months</w:t>
            </w:r>
          </w:p>
        </w:tc>
        <w:tc>
          <w:tcPr>
            <w:tcW w:w="0" w:type="dxa"/>
            <w:vAlign w:val="bottom"/>
          </w:tcPr>
          <w:p>
            <w:pPr>
              <w:spacing w:after="0"/>
              <w:rPr>
                <w:sz w:val="1"/>
                <w:szCs w:val="1"/>
                <w:color w:val="auto"/>
              </w:rPr>
            </w:pPr>
          </w:p>
        </w:tc>
      </w:tr>
      <w:tr>
        <w:trPr>
          <w:trHeight w:val="105"/>
        </w:trPr>
        <w:tc>
          <w:tcPr>
            <w:tcW w:w="49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gridSpan w:val="5"/>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vMerge w:val="restart"/>
          </w:tcPr>
          <w:p>
            <w:pPr>
              <w:jc w:val="center"/>
              <w:spacing w:after="0" w:line="176" w:lineRule="exact"/>
              <w:rPr>
                <w:sz w:val="20"/>
                <w:szCs w:val="20"/>
                <w:color w:val="auto"/>
              </w:rPr>
            </w:pPr>
            <w:r>
              <w:rPr>
                <w:rFonts w:ascii="Arial" w:cs="Arial" w:eastAsia="Arial" w:hAnsi="Arial"/>
                <w:sz w:val="16"/>
                <w:szCs w:val="16"/>
                <w:b w:val="1"/>
                <w:bCs w:val="1"/>
                <w:color w:val="auto"/>
                <w:w w:val="86"/>
              </w:rPr>
              <w:t>ended June 30,</w:t>
            </w:r>
          </w:p>
        </w:tc>
        <w:tc>
          <w:tcPr>
            <w:tcW w:w="0" w:type="dxa"/>
            <w:vAlign w:val="bottom"/>
          </w:tcPr>
          <w:p>
            <w:pPr>
              <w:spacing w:after="0"/>
              <w:rPr>
                <w:sz w:val="1"/>
                <w:szCs w:val="1"/>
                <w:color w:val="auto"/>
              </w:rPr>
            </w:pPr>
          </w:p>
        </w:tc>
      </w:tr>
      <w:tr>
        <w:trPr>
          <w:trHeight w:val="51"/>
        </w:trPr>
        <w:tc>
          <w:tcPr>
            <w:tcW w:w="4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920" w:type="dxa"/>
            <w:vAlign w:val="bottom"/>
          </w:tcPr>
          <w:p>
            <w:pPr>
              <w:spacing w:after="0"/>
              <w:rPr>
                <w:sz w:val="17"/>
                <w:szCs w:val="17"/>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7"/>
                <w:szCs w:val="17"/>
                <w:color w:val="auto"/>
              </w:rPr>
            </w:pPr>
          </w:p>
        </w:tc>
        <w:tc>
          <w:tcPr>
            <w:tcW w:w="82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80" w:type="dxa"/>
            <w:vAlign w:val="bottom"/>
            <w:gridSpan w:val="6"/>
          </w:tcPr>
          <w:p>
            <w:pPr>
              <w:jc w:val="right"/>
              <w:ind w:right="26"/>
              <w:spacing w:after="0"/>
              <w:rPr>
                <w:sz w:val="20"/>
                <w:szCs w:val="20"/>
                <w:color w:val="auto"/>
              </w:rPr>
            </w:pPr>
            <w:r>
              <w:rPr>
                <w:rFonts w:ascii="Arial" w:cs="Arial" w:eastAsia="Arial" w:hAnsi="Arial"/>
                <w:sz w:val="16"/>
                <w:szCs w:val="16"/>
                <w:b w:val="1"/>
                <w:bCs w:val="1"/>
                <w:color w:val="auto"/>
                <w:w w:val="92"/>
              </w:rPr>
              <w:t>(in thousands of U.S. dollars, except ratios)</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Earnings</w:t>
            </w:r>
          </w:p>
        </w:tc>
        <w:tc>
          <w:tcPr>
            <w:tcW w:w="66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4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9"/>
                <w:szCs w:val="19"/>
                <w:color w:val="auto"/>
              </w:rPr>
              <w:t>Pre-tax (loss)/income</w:t>
            </w:r>
          </w:p>
        </w:tc>
        <w:tc>
          <w:tcPr>
            <w:tcW w:w="660" w:type="dxa"/>
            <w:vAlign w:val="bottom"/>
          </w:tcPr>
          <w:p>
            <w:pPr>
              <w:jc w:val="right"/>
              <w:spacing w:after="0"/>
              <w:rPr>
                <w:sz w:val="20"/>
                <w:szCs w:val="20"/>
                <w:color w:val="auto"/>
              </w:rPr>
            </w:pPr>
            <w:r>
              <w:rPr>
                <w:rFonts w:ascii="Arial" w:cs="Arial" w:eastAsia="Arial" w:hAnsi="Arial"/>
                <w:sz w:val="19"/>
                <w:szCs w:val="19"/>
                <w:color w:val="auto"/>
              </w:rPr>
              <w:t>(1,715)</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31,011</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49,035</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77,629</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87,633</w:t>
            </w:r>
          </w:p>
        </w:tc>
        <w:tc>
          <w:tcPr>
            <w:tcW w:w="1680" w:type="dxa"/>
            <w:vAlign w:val="bottom"/>
            <w:gridSpan w:val="2"/>
          </w:tcPr>
          <w:p>
            <w:pPr>
              <w:jc w:val="right"/>
              <w:ind w:right="49"/>
              <w:spacing w:after="0"/>
              <w:rPr>
                <w:sz w:val="20"/>
                <w:szCs w:val="20"/>
                <w:color w:val="auto"/>
              </w:rPr>
            </w:pPr>
            <w:r>
              <w:rPr>
                <w:rFonts w:ascii="Arial" w:cs="Arial" w:eastAsia="Arial" w:hAnsi="Arial"/>
                <w:sz w:val="19"/>
                <w:szCs w:val="19"/>
                <w:color w:val="auto"/>
              </w:rPr>
              <w:t>44,906</w:t>
            </w:r>
          </w:p>
        </w:tc>
        <w:tc>
          <w:tcPr>
            <w:tcW w:w="0" w:type="dxa"/>
            <w:vAlign w:val="bottom"/>
          </w:tcPr>
          <w:p>
            <w:pPr>
              <w:spacing w:after="0"/>
              <w:rPr>
                <w:sz w:val="1"/>
                <w:szCs w:val="1"/>
                <w:color w:val="auto"/>
              </w:rPr>
            </w:pPr>
          </w:p>
        </w:tc>
      </w:tr>
      <w:tr>
        <w:trPr>
          <w:trHeight w:val="230"/>
        </w:trPr>
        <w:tc>
          <w:tcPr>
            <w:tcW w:w="49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Add:</w:t>
            </w:r>
          </w:p>
        </w:tc>
        <w:tc>
          <w:tcPr>
            <w:tcW w:w="66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4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9"/>
                <w:szCs w:val="19"/>
                <w:color w:val="auto"/>
              </w:rPr>
              <w:t>Fixed charges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12,389</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36,206</w:t>
            </w:r>
          </w:p>
        </w:tc>
        <w:tc>
          <w:tcPr>
            <w:tcW w:w="2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30,974</w:t>
            </w:r>
          </w:p>
        </w:tc>
        <w:tc>
          <w:tcPr>
            <w:tcW w:w="30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39,356</w:t>
            </w:r>
          </w:p>
        </w:tc>
        <w:tc>
          <w:tcPr>
            <w:tcW w:w="280" w:type="dxa"/>
            <w:vAlign w:val="bottom"/>
          </w:tcPr>
          <w:p>
            <w:pPr>
              <w:spacing w:after="0"/>
              <w:rPr>
                <w:sz w:val="21"/>
                <w:szCs w:val="21"/>
                <w:color w:val="auto"/>
              </w:rPr>
            </w:pPr>
          </w:p>
        </w:tc>
        <w:tc>
          <w:tcPr>
            <w:tcW w:w="1400" w:type="dxa"/>
            <w:vAlign w:val="bottom"/>
            <w:tcBorders>
              <w:bottom w:val="single" w:sz="8" w:color="auto"/>
            </w:tcBorders>
          </w:tcPr>
          <w:p>
            <w:pPr>
              <w:jc w:val="right"/>
              <w:ind w:right="49"/>
              <w:spacing w:after="0"/>
              <w:rPr>
                <w:sz w:val="20"/>
                <w:szCs w:val="20"/>
                <w:color w:val="auto"/>
              </w:rPr>
            </w:pPr>
            <w:r>
              <w:rPr>
                <w:rFonts w:ascii="Arial" w:cs="Arial" w:eastAsia="Arial" w:hAnsi="Arial"/>
                <w:sz w:val="19"/>
                <w:szCs w:val="19"/>
                <w:color w:val="auto"/>
              </w:rPr>
              <w:t>20,494</w:t>
            </w: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rPr>
                <w:sz w:val="20"/>
                <w:szCs w:val="20"/>
                <w:color w:val="auto"/>
              </w:rPr>
            </w:pPr>
            <w:r>
              <w:rPr>
                <w:rFonts w:ascii="Arial" w:cs="Arial" w:eastAsia="Arial" w:hAnsi="Arial"/>
                <w:sz w:val="19"/>
                <w:szCs w:val="19"/>
                <w:color w:val="auto"/>
              </w:rPr>
              <w:t>Total Earnings available for fixed charges</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(1,715)</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43,400</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85,241</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108,603</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126,989</w:t>
            </w:r>
          </w:p>
        </w:tc>
        <w:tc>
          <w:tcPr>
            <w:tcW w:w="168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65,400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9"/>
                <w:szCs w:val="19"/>
                <w:b w:val="1"/>
                <w:bCs w:val="1"/>
                <w:color w:val="auto"/>
              </w:rPr>
              <w:t>Fixed Charges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rPr>
                <w:sz w:val="20"/>
                <w:szCs w:val="20"/>
                <w:color w:val="auto"/>
              </w:rPr>
            </w:pPr>
            <w:r>
              <w:rPr>
                <w:rFonts w:ascii="Arial" w:cs="Arial" w:eastAsia="Arial" w:hAnsi="Arial"/>
                <w:sz w:val="19"/>
                <w:szCs w:val="19"/>
                <w:color w:val="auto"/>
              </w:rPr>
              <w:t>Interest expensed</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10,641</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23,438</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27,331</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32,110</w:t>
            </w:r>
          </w:p>
        </w:tc>
        <w:tc>
          <w:tcPr>
            <w:tcW w:w="168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18,108</w:t>
            </w: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Arial" w:cs="Arial" w:eastAsia="Arial" w:hAnsi="Arial"/>
                <w:sz w:val="19"/>
                <w:szCs w:val="19"/>
                <w:color w:val="auto"/>
              </w:rPr>
              <w:t>Amortization of capitalized expenses relating to</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180"/>
              <w:spacing w:after="0"/>
              <w:rPr>
                <w:sz w:val="20"/>
                <w:szCs w:val="20"/>
                <w:color w:val="auto"/>
              </w:rPr>
            </w:pPr>
            <w:r>
              <w:rPr>
                <w:rFonts w:ascii="Arial" w:cs="Arial" w:eastAsia="Arial" w:hAnsi="Arial"/>
                <w:sz w:val="19"/>
                <w:szCs w:val="19"/>
                <w:color w:val="auto"/>
              </w:rPr>
              <w:t>indebtedness.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1,748</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12,768</w:t>
            </w:r>
          </w:p>
        </w:tc>
        <w:tc>
          <w:tcPr>
            <w:tcW w:w="2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3,643</w:t>
            </w:r>
          </w:p>
        </w:tc>
        <w:tc>
          <w:tcPr>
            <w:tcW w:w="30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7,246</w:t>
            </w:r>
          </w:p>
        </w:tc>
        <w:tc>
          <w:tcPr>
            <w:tcW w:w="280" w:type="dxa"/>
            <w:vAlign w:val="bottom"/>
          </w:tcPr>
          <w:p>
            <w:pPr>
              <w:spacing w:after="0"/>
              <w:rPr>
                <w:sz w:val="21"/>
                <w:szCs w:val="21"/>
                <w:color w:val="auto"/>
              </w:rPr>
            </w:pPr>
          </w:p>
        </w:tc>
        <w:tc>
          <w:tcPr>
            <w:tcW w:w="1400" w:type="dxa"/>
            <w:vAlign w:val="bottom"/>
            <w:tcBorders>
              <w:bottom w:val="single" w:sz="8" w:color="auto"/>
            </w:tcBorders>
          </w:tcPr>
          <w:p>
            <w:pPr>
              <w:jc w:val="right"/>
              <w:ind w:right="49"/>
              <w:spacing w:after="0"/>
              <w:rPr>
                <w:sz w:val="20"/>
                <w:szCs w:val="20"/>
                <w:color w:val="auto"/>
              </w:rPr>
            </w:pPr>
            <w:r>
              <w:rPr>
                <w:rFonts w:ascii="Arial" w:cs="Arial" w:eastAsia="Arial" w:hAnsi="Arial"/>
                <w:sz w:val="19"/>
                <w:szCs w:val="19"/>
                <w:color w:val="auto"/>
              </w:rPr>
              <w:t>2,386</w:t>
            </w: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rPr>
                <w:sz w:val="20"/>
                <w:szCs w:val="20"/>
                <w:color w:val="auto"/>
              </w:rPr>
            </w:pPr>
            <w:r>
              <w:rPr>
                <w:rFonts w:ascii="Arial" w:cs="Arial" w:eastAsia="Arial" w:hAnsi="Arial"/>
                <w:sz w:val="19"/>
                <w:szCs w:val="19"/>
                <w:color w:val="auto"/>
              </w:rPr>
              <w:t>Total Fixed Charges before preference unit distributions</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12,389</w:t>
            </w:r>
          </w:p>
        </w:tc>
        <w:tc>
          <w:tcPr>
            <w:tcW w:w="30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36,206</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30,974</w:t>
            </w:r>
          </w:p>
        </w:tc>
        <w:tc>
          <w:tcPr>
            <w:tcW w:w="300" w:type="dxa"/>
            <w:vAlign w:val="bottom"/>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39,356</w:t>
            </w:r>
          </w:p>
        </w:tc>
        <w:tc>
          <w:tcPr>
            <w:tcW w:w="280" w:type="dxa"/>
            <w:vAlign w:val="bottom"/>
            <w:shd w:val="clear" w:color="auto" w:fill="E5FFFF"/>
          </w:tcPr>
          <w:p>
            <w:pPr>
              <w:spacing w:after="0"/>
              <w:rPr>
                <w:sz w:val="21"/>
                <w:szCs w:val="21"/>
                <w:color w:val="auto"/>
              </w:rPr>
            </w:pPr>
          </w:p>
        </w:tc>
        <w:tc>
          <w:tcPr>
            <w:tcW w:w="1400" w:type="dxa"/>
            <w:vAlign w:val="bottom"/>
            <w:tcBorders>
              <w:bottom w:val="single" w:sz="8" w:color="auto"/>
            </w:tcBorders>
            <w:shd w:val="clear" w:color="auto" w:fill="E5FFFF"/>
          </w:tcPr>
          <w:p>
            <w:pPr>
              <w:jc w:val="right"/>
              <w:ind w:right="49"/>
              <w:spacing w:after="0"/>
              <w:rPr>
                <w:sz w:val="20"/>
                <w:szCs w:val="20"/>
                <w:color w:val="auto"/>
              </w:rPr>
            </w:pPr>
            <w:r>
              <w:rPr>
                <w:rFonts w:ascii="Arial" w:cs="Arial" w:eastAsia="Arial" w:hAnsi="Arial"/>
                <w:sz w:val="19"/>
                <w:szCs w:val="19"/>
                <w:color w:val="auto"/>
              </w:rPr>
              <w:t>20,494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Pr>
          <w:p>
            <w:pPr>
              <w:spacing w:after="0"/>
              <w:rPr>
                <w:sz w:val="20"/>
                <w:szCs w:val="20"/>
                <w:color w:val="auto"/>
              </w:rPr>
            </w:pPr>
            <w:r>
              <w:rPr>
                <w:rFonts w:ascii="Arial" w:cs="Arial" w:eastAsia="Arial" w:hAnsi="Arial"/>
                <w:sz w:val="19"/>
                <w:szCs w:val="19"/>
                <w:color w:val="auto"/>
              </w:rPr>
              <w:t>Preference unit distributions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0" w:type="dxa"/>
            <w:vAlign w:val="bottom"/>
            <w:tcBorders>
              <w:bottom w:val="single" w:sz="8" w:color="auto"/>
            </w:tcBorders>
          </w:tcPr>
          <w:p>
            <w:pPr>
              <w:jc w:val="right"/>
              <w:ind w:right="49"/>
              <w:spacing w:after="0"/>
              <w:rPr>
                <w:sz w:val="20"/>
                <w:szCs w:val="20"/>
                <w:color w:val="auto"/>
              </w:rPr>
            </w:pPr>
            <w:r>
              <w:rPr>
                <w:rFonts w:ascii="Arial" w:cs="Arial" w:eastAsia="Arial" w:hAnsi="Arial"/>
                <w:sz w:val="19"/>
                <w:szCs w:val="19"/>
                <w:color w:val="auto"/>
              </w:rPr>
              <w:t>1,549</w:t>
            </w: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rPr>
                <w:sz w:val="20"/>
                <w:szCs w:val="20"/>
                <w:color w:val="auto"/>
              </w:rPr>
            </w:pPr>
            <w:r>
              <w:rPr>
                <w:rFonts w:ascii="Arial" w:cs="Arial" w:eastAsia="Arial" w:hAnsi="Arial"/>
                <w:sz w:val="19"/>
                <w:szCs w:val="19"/>
                <w:color w:val="auto"/>
                <w:w w:val="99"/>
              </w:rPr>
              <w:t>Combined Fixed Charges and preference unit distributions</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12,389</w:t>
            </w:r>
          </w:p>
        </w:tc>
        <w:tc>
          <w:tcPr>
            <w:tcW w:w="30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36,206</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30,974</w:t>
            </w:r>
          </w:p>
        </w:tc>
        <w:tc>
          <w:tcPr>
            <w:tcW w:w="300" w:type="dxa"/>
            <w:vAlign w:val="bottom"/>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39,356</w:t>
            </w:r>
          </w:p>
        </w:tc>
        <w:tc>
          <w:tcPr>
            <w:tcW w:w="280" w:type="dxa"/>
            <w:vAlign w:val="bottom"/>
            <w:shd w:val="clear" w:color="auto" w:fill="E5FFFF"/>
          </w:tcPr>
          <w:p>
            <w:pPr>
              <w:spacing w:after="0"/>
              <w:rPr>
                <w:sz w:val="21"/>
                <w:szCs w:val="21"/>
                <w:color w:val="auto"/>
              </w:rPr>
            </w:pPr>
          </w:p>
        </w:tc>
        <w:tc>
          <w:tcPr>
            <w:tcW w:w="1400" w:type="dxa"/>
            <w:vAlign w:val="bottom"/>
            <w:tcBorders>
              <w:bottom w:val="single" w:sz="8" w:color="auto"/>
            </w:tcBorders>
            <w:shd w:val="clear" w:color="auto" w:fill="E5FFFF"/>
          </w:tcPr>
          <w:p>
            <w:pPr>
              <w:jc w:val="right"/>
              <w:ind w:right="49"/>
              <w:spacing w:after="0"/>
              <w:rPr>
                <w:sz w:val="20"/>
                <w:szCs w:val="20"/>
                <w:color w:val="auto"/>
              </w:rPr>
            </w:pPr>
            <w:r>
              <w:rPr>
                <w:rFonts w:ascii="Arial" w:cs="Arial" w:eastAsia="Arial" w:hAnsi="Arial"/>
                <w:sz w:val="19"/>
                <w:szCs w:val="19"/>
                <w:color w:val="auto"/>
              </w:rPr>
              <w:t>22,043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9"/>
                <w:szCs w:val="19"/>
                <w:b w:val="1"/>
                <w:bCs w:val="1"/>
                <w:color w:val="auto"/>
              </w:rPr>
              <w:t>Ratio of Earnings to Fixed Charges</w:t>
            </w:r>
            <w:r>
              <w:rPr>
                <w:rFonts w:ascii="Arial" w:cs="Arial" w:eastAsia="Arial" w:hAnsi="Arial"/>
                <w:sz w:val="10"/>
                <w:szCs w:val="10"/>
                <w:b w:val="1"/>
                <w:bCs w:val="1"/>
                <w:color w:val="auto"/>
              </w:rPr>
              <w:t>(2)</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980" w:type="dxa"/>
            <w:vAlign w:val="bottom"/>
            <w:gridSpan w:val="2"/>
          </w:tcPr>
          <w:p>
            <w:pPr>
              <w:jc w:val="right"/>
              <w:spacing w:after="0"/>
              <w:rPr>
                <w:sz w:val="20"/>
                <w:szCs w:val="20"/>
                <w:color w:val="auto"/>
              </w:rPr>
            </w:pPr>
            <w:r>
              <w:rPr>
                <w:rFonts w:ascii="Arial" w:cs="Arial" w:eastAsia="Arial" w:hAnsi="Arial"/>
                <w:sz w:val="19"/>
                <w:szCs w:val="19"/>
                <w:b w:val="1"/>
                <w:bCs w:val="1"/>
                <w:color w:val="auto"/>
              </w:rPr>
              <w:t>3.50</w:t>
            </w:r>
          </w:p>
        </w:tc>
        <w:tc>
          <w:tcPr>
            <w:tcW w:w="980" w:type="dxa"/>
            <w:vAlign w:val="bottom"/>
            <w:gridSpan w:val="2"/>
          </w:tcPr>
          <w:p>
            <w:pPr>
              <w:jc w:val="right"/>
              <w:spacing w:after="0"/>
              <w:rPr>
                <w:sz w:val="20"/>
                <w:szCs w:val="20"/>
                <w:color w:val="auto"/>
              </w:rPr>
            </w:pPr>
            <w:r>
              <w:rPr>
                <w:rFonts w:ascii="Arial" w:cs="Arial" w:eastAsia="Arial" w:hAnsi="Arial"/>
                <w:sz w:val="19"/>
                <w:szCs w:val="19"/>
                <w:b w:val="1"/>
                <w:bCs w:val="1"/>
                <w:color w:val="auto"/>
              </w:rPr>
              <w:t>2.35</w:t>
            </w:r>
          </w:p>
        </w:tc>
        <w:tc>
          <w:tcPr>
            <w:tcW w:w="1080" w:type="dxa"/>
            <w:vAlign w:val="bottom"/>
            <w:gridSpan w:val="2"/>
          </w:tcPr>
          <w:p>
            <w:pPr>
              <w:jc w:val="right"/>
              <w:spacing w:after="0"/>
              <w:rPr>
                <w:sz w:val="20"/>
                <w:szCs w:val="20"/>
                <w:color w:val="auto"/>
              </w:rPr>
            </w:pPr>
            <w:r>
              <w:rPr>
                <w:rFonts w:ascii="Arial" w:cs="Arial" w:eastAsia="Arial" w:hAnsi="Arial"/>
                <w:sz w:val="19"/>
                <w:szCs w:val="19"/>
                <w:b w:val="1"/>
                <w:bCs w:val="1"/>
                <w:color w:val="auto"/>
              </w:rPr>
              <w:t>3.51</w:t>
            </w:r>
          </w:p>
        </w:tc>
        <w:tc>
          <w:tcPr>
            <w:tcW w:w="1120" w:type="dxa"/>
            <w:vAlign w:val="bottom"/>
            <w:gridSpan w:val="2"/>
          </w:tcPr>
          <w:p>
            <w:pPr>
              <w:jc w:val="right"/>
              <w:spacing w:after="0"/>
              <w:rPr>
                <w:sz w:val="20"/>
                <w:szCs w:val="20"/>
                <w:color w:val="auto"/>
              </w:rPr>
            </w:pPr>
            <w:r>
              <w:rPr>
                <w:rFonts w:ascii="Arial" w:cs="Arial" w:eastAsia="Arial" w:hAnsi="Arial"/>
                <w:sz w:val="19"/>
                <w:szCs w:val="19"/>
                <w:b w:val="1"/>
                <w:bCs w:val="1"/>
                <w:color w:val="auto"/>
              </w:rPr>
              <w:t>3.23</w:t>
            </w:r>
          </w:p>
        </w:tc>
        <w:tc>
          <w:tcPr>
            <w:tcW w:w="1680" w:type="dxa"/>
            <w:vAlign w:val="bottom"/>
            <w:gridSpan w:val="2"/>
          </w:tcPr>
          <w:p>
            <w:pPr>
              <w:jc w:val="right"/>
              <w:ind w:right="49"/>
              <w:spacing w:after="0"/>
              <w:rPr>
                <w:sz w:val="20"/>
                <w:szCs w:val="20"/>
                <w:color w:val="auto"/>
              </w:rPr>
            </w:pPr>
            <w:r>
              <w:rPr>
                <w:rFonts w:ascii="Arial" w:cs="Arial" w:eastAsia="Arial" w:hAnsi="Arial"/>
                <w:sz w:val="19"/>
                <w:szCs w:val="19"/>
                <w:b w:val="1"/>
                <w:bCs w:val="1"/>
                <w:color w:val="auto"/>
              </w:rPr>
              <w:t>3.19</w:t>
            </w:r>
          </w:p>
        </w:tc>
        <w:tc>
          <w:tcPr>
            <w:tcW w:w="0" w:type="dxa"/>
            <w:vAlign w:val="bottom"/>
          </w:tcPr>
          <w:p>
            <w:pPr>
              <w:spacing w:after="0"/>
              <w:rPr>
                <w:sz w:val="1"/>
                <w:szCs w:val="1"/>
                <w:color w:val="auto"/>
              </w:rPr>
            </w:pPr>
          </w:p>
        </w:tc>
      </w:tr>
      <w:tr>
        <w:trPr>
          <w:trHeight w:val="210"/>
        </w:trPr>
        <w:tc>
          <w:tcPr>
            <w:tcW w:w="4920" w:type="dxa"/>
            <w:vAlign w:val="bottom"/>
            <w:shd w:val="clear" w:color="auto" w:fill="E5FFFF"/>
          </w:tcPr>
          <w:p>
            <w:pPr>
              <w:spacing w:after="0" w:line="211" w:lineRule="exact"/>
              <w:rPr>
                <w:sz w:val="20"/>
                <w:szCs w:val="20"/>
                <w:color w:val="auto"/>
              </w:rPr>
            </w:pPr>
            <w:r>
              <w:rPr>
                <w:rFonts w:ascii="Arial" w:cs="Arial" w:eastAsia="Arial" w:hAnsi="Arial"/>
                <w:sz w:val="19"/>
                <w:szCs w:val="19"/>
                <w:b w:val="1"/>
                <w:bCs w:val="1"/>
                <w:color w:val="auto"/>
              </w:rPr>
              <w:t>Ratio of Earnings to Combined Fixed Charges and</w:t>
            </w: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20" w:type="dxa"/>
            <w:vAlign w:val="bottom"/>
            <w:shd w:val="clear" w:color="auto" w:fill="E5FFFF"/>
          </w:tcPr>
          <w:p>
            <w:pPr>
              <w:ind w:left="180"/>
              <w:spacing w:after="0"/>
              <w:rPr>
                <w:sz w:val="20"/>
                <w:szCs w:val="20"/>
                <w:color w:val="auto"/>
              </w:rPr>
            </w:pPr>
            <w:r>
              <w:rPr>
                <w:rFonts w:ascii="Arial" w:cs="Arial" w:eastAsia="Arial" w:hAnsi="Arial"/>
                <w:sz w:val="19"/>
                <w:szCs w:val="19"/>
                <w:b w:val="1"/>
                <w:bCs w:val="1"/>
                <w:color w:val="auto"/>
              </w:rPr>
              <w:t>Preference Unit Distributions</w:t>
            </w:r>
            <w:r>
              <w:rPr>
                <w:rFonts w:ascii="Arial" w:cs="Arial" w:eastAsia="Arial" w:hAnsi="Arial"/>
                <w:sz w:val="10"/>
                <w:szCs w:val="10"/>
                <w:b w:val="1"/>
                <w:bCs w:val="1"/>
                <w:color w:val="auto"/>
              </w:rPr>
              <w:t>(2)</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n/m</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3.50</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2.35</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3.51</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3.23</w:t>
            </w:r>
          </w:p>
        </w:tc>
        <w:tc>
          <w:tcPr>
            <w:tcW w:w="168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b w:val="1"/>
                <w:bCs w:val="1"/>
                <w:color w:val="auto"/>
              </w:rPr>
              <w:t>2.97</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Arial" w:cs="Arial" w:eastAsia="Arial" w:hAnsi="Arial"/>
                <w:sz w:val="19"/>
                <w:szCs w:val="19"/>
                <w:b w:val="1"/>
                <w:bCs w:val="1"/>
                <w:color w:val="auto"/>
              </w:rPr>
              <w:t>Dollar Amount of the Coverage Deficiency</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1,715</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rPr>
              <w:t>n/a</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rPr>
              <w:t>n/a</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n/a</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n/a</w:t>
            </w:r>
          </w:p>
        </w:tc>
        <w:tc>
          <w:tcPr>
            <w:tcW w:w="280" w:type="dxa"/>
            <w:vAlign w:val="bottom"/>
          </w:tcPr>
          <w:p>
            <w:pPr>
              <w:spacing w:after="0"/>
              <w:rPr>
                <w:sz w:val="21"/>
                <w:szCs w:val="21"/>
                <w:color w:val="auto"/>
              </w:rPr>
            </w:pPr>
          </w:p>
        </w:tc>
        <w:tc>
          <w:tcPr>
            <w:tcW w:w="1400" w:type="dxa"/>
            <w:vAlign w:val="bottom"/>
          </w:tcPr>
          <w:p>
            <w:pPr>
              <w:jc w:val="right"/>
              <w:ind w:right="49"/>
              <w:spacing w:after="0"/>
              <w:rPr>
                <w:sz w:val="20"/>
                <w:szCs w:val="20"/>
                <w:color w:val="auto"/>
              </w:rPr>
            </w:pPr>
            <w:r>
              <w:rPr>
                <w:rFonts w:ascii="Arial" w:cs="Arial" w:eastAsia="Arial" w:hAnsi="Arial"/>
                <w:sz w:val="19"/>
                <w:szCs w:val="19"/>
                <w:b w:val="1"/>
                <w:bCs w:val="1"/>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97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1" w:lineRule="exact"/>
        <w:rPr>
          <w:sz w:val="20"/>
          <w:szCs w:val="20"/>
          <w:color w:val="auto"/>
        </w:rPr>
      </w:pPr>
    </w:p>
    <w:p>
      <w:pPr>
        <w:ind w:left="300" w:right="20" w:hanging="213"/>
        <w:spacing w:after="0" w:line="253" w:lineRule="auto"/>
        <w:tabs>
          <w:tab w:leader="none" w:pos="300" w:val="left"/>
        </w:tabs>
        <w:numPr>
          <w:ilvl w:val="0"/>
          <w:numId w:val="6"/>
        </w:numPr>
        <w:rPr>
          <w:rFonts w:ascii="Arial" w:cs="Arial" w:eastAsia="Arial" w:hAnsi="Arial"/>
          <w:sz w:val="21"/>
          <w:szCs w:val="21"/>
          <w:color w:val="auto"/>
          <w:vertAlign w:val="superscript"/>
        </w:rPr>
      </w:pPr>
      <w:r>
        <w:rPr>
          <w:rFonts w:ascii="Arial" w:cs="Arial" w:eastAsia="Arial" w:hAnsi="Arial"/>
          <w:sz w:val="19"/>
          <w:szCs w:val="19"/>
          <w:color w:val="auto"/>
        </w:rPr>
        <w:t>Restated so as to reflect the historical results of GAS-sixteen Ltd., GAS-seventeen Ltd., GAS-nineteen Ltd., GAS-twenty Ltd., GAS-twenty one Ltd., GAS-seven Ltd. and GAS-eleven Ltd. from their respective dates of incorporation by GasLog. See Note 1 to the audited consolidated financial statements for the year ended December 31, 2016 on our Current Report on Form 6-K filed on September 29, 2017, and Note 1 to the unaudited condensed consolidated financial statements for the three and six months ended June 30, 2016 and 2017 on Form 6-K incorporated herein by reference.</w:t>
      </w:r>
    </w:p>
    <w:p>
      <w:pPr>
        <w:spacing w:after="0" w:line="66" w:lineRule="exact"/>
        <w:rPr>
          <w:rFonts w:ascii="Arial" w:cs="Arial" w:eastAsia="Arial" w:hAnsi="Arial"/>
          <w:sz w:val="21"/>
          <w:szCs w:val="21"/>
          <w:color w:val="auto"/>
          <w:vertAlign w:val="superscript"/>
        </w:rPr>
      </w:pPr>
    </w:p>
    <w:p>
      <w:pPr>
        <w:ind w:left="300" w:hanging="213"/>
        <w:spacing w:after="0"/>
        <w:tabs>
          <w:tab w:leader="none" w:pos="300" w:val="left"/>
        </w:tabs>
        <w:numPr>
          <w:ilvl w:val="0"/>
          <w:numId w:val="6"/>
        </w:numPr>
        <w:rPr>
          <w:rFonts w:ascii="Arial" w:cs="Arial" w:eastAsia="Arial" w:hAnsi="Arial"/>
          <w:sz w:val="21"/>
          <w:szCs w:val="21"/>
          <w:color w:val="auto"/>
          <w:vertAlign w:val="superscript"/>
        </w:rPr>
      </w:pPr>
      <w:r>
        <w:rPr>
          <w:rFonts w:ascii="Arial" w:cs="Arial" w:eastAsia="Arial" w:hAnsi="Arial"/>
          <w:sz w:val="19"/>
          <w:szCs w:val="19"/>
          <w:color w:val="auto"/>
        </w:rPr>
        <w:t>For purposes of calculating the ratios above:</w:t>
      </w:r>
    </w:p>
    <w:p>
      <w:pPr>
        <w:spacing w:after="0" w:line="82" w:lineRule="exact"/>
        <w:rPr>
          <w:rFonts w:ascii="Arial" w:cs="Arial" w:eastAsia="Arial" w:hAnsi="Arial"/>
          <w:sz w:val="21"/>
          <w:szCs w:val="21"/>
          <w:color w:val="auto"/>
          <w:vertAlign w:val="superscript"/>
        </w:rPr>
      </w:pPr>
    </w:p>
    <w:p>
      <w:pPr>
        <w:ind w:left="540" w:right="20" w:hanging="168"/>
        <w:spacing w:after="0" w:line="283" w:lineRule="auto"/>
        <w:tabs>
          <w:tab w:leader="none" w:pos="540" w:val="left"/>
        </w:tabs>
        <w:numPr>
          <w:ilvl w:val="1"/>
          <w:numId w:val="6"/>
        </w:numPr>
        <w:rPr>
          <w:rFonts w:ascii="Arial" w:cs="Arial" w:eastAsia="Arial" w:hAnsi="Arial"/>
          <w:sz w:val="19"/>
          <w:szCs w:val="19"/>
          <w:color w:val="auto"/>
        </w:rPr>
      </w:pPr>
      <w:r>
        <w:rPr>
          <w:rFonts w:ascii="Arial" w:cs="Arial" w:eastAsia="Arial" w:hAnsi="Arial"/>
          <w:sz w:val="19"/>
          <w:szCs w:val="19"/>
          <w:color w:val="auto"/>
        </w:rPr>
        <w:t>“earnings” is the result of adding (a) pre-tax (loss)/income from continuing operations (which includes non-cash unrealized gains and losses on derivative financial instruments) and (b) fixed charges;</w:t>
      </w:r>
    </w:p>
    <w:p>
      <w:pPr>
        <w:spacing w:after="0" w:line="24" w:lineRule="exact"/>
        <w:rPr>
          <w:rFonts w:ascii="Arial" w:cs="Arial" w:eastAsia="Arial" w:hAnsi="Arial"/>
          <w:sz w:val="19"/>
          <w:szCs w:val="19"/>
          <w:color w:val="auto"/>
        </w:rPr>
      </w:pPr>
    </w:p>
    <w:p>
      <w:pPr>
        <w:ind w:left="540" w:right="340" w:hanging="168"/>
        <w:spacing w:after="0" w:line="283" w:lineRule="auto"/>
        <w:tabs>
          <w:tab w:leader="none" w:pos="540" w:val="left"/>
        </w:tabs>
        <w:numPr>
          <w:ilvl w:val="1"/>
          <w:numId w:val="6"/>
        </w:numPr>
        <w:rPr>
          <w:rFonts w:ascii="Arial" w:cs="Arial" w:eastAsia="Arial" w:hAnsi="Arial"/>
          <w:sz w:val="19"/>
          <w:szCs w:val="19"/>
          <w:color w:val="auto"/>
        </w:rPr>
      </w:pPr>
      <w:r>
        <w:rPr>
          <w:rFonts w:ascii="Arial" w:cs="Arial" w:eastAsia="Arial" w:hAnsi="Arial"/>
          <w:sz w:val="19"/>
          <w:szCs w:val="19"/>
          <w:color w:val="auto"/>
        </w:rPr>
        <w:t>“fixed charges” represent (i) interest incurred (including realized loss on cash flow hedges) and (ii) amortization of capitalized expenses related to indebtedness;</w:t>
      </w:r>
    </w:p>
    <w:p>
      <w:pPr>
        <w:spacing w:after="0" w:line="38" w:lineRule="exact"/>
        <w:rPr>
          <w:rFonts w:ascii="Arial" w:cs="Arial" w:eastAsia="Arial" w:hAnsi="Arial"/>
          <w:sz w:val="19"/>
          <w:szCs w:val="19"/>
          <w:color w:val="auto"/>
        </w:rPr>
      </w:pPr>
    </w:p>
    <w:p>
      <w:pPr>
        <w:ind w:left="540" w:right="160" w:hanging="168"/>
        <w:spacing w:after="0" w:line="297" w:lineRule="auto"/>
        <w:tabs>
          <w:tab w:leader="none" w:pos="540" w:val="left"/>
        </w:tabs>
        <w:numPr>
          <w:ilvl w:val="1"/>
          <w:numId w:val="6"/>
        </w:numPr>
        <w:rPr>
          <w:rFonts w:ascii="Arial" w:cs="Arial" w:eastAsia="Arial" w:hAnsi="Arial"/>
          <w:sz w:val="17"/>
          <w:szCs w:val="17"/>
          <w:color w:val="auto"/>
        </w:rPr>
      </w:pPr>
      <w:r>
        <w:rPr>
          <w:rFonts w:ascii="Arial" w:cs="Arial" w:eastAsia="Arial" w:hAnsi="Arial"/>
          <w:sz w:val="17"/>
          <w:szCs w:val="17"/>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2012 to 2016, and the ratio of earnings to combined fixed charges and preference units is equivalent to the ratio of earnings to fixed charges for these years. As of June 30, 2017, we had 5,750,000 outstanding Series A Preference Units. The Series A Preference Units were issued on May 15, 2017.</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3" w:name="page14"/>
    <w:bookmarkEnd w:id="13"/>
    <w:p>
      <w:pPr>
        <w:jc w:val="center"/>
        <w:ind w:right="-119"/>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Unless otherwise set forth in the applicable prospectus, we intend to use the net proceeds received from the sale of the securities we offer by this prospectus for general corporate purposes.</w:t>
      </w:r>
    </w:p>
    <w:p>
      <w:pPr>
        <w:spacing w:after="0" w:line="52" w:lineRule="exact"/>
        <w:rPr>
          <w:sz w:val="20"/>
          <w:szCs w:val="20"/>
          <w:color w:val="auto"/>
        </w:rPr>
      </w:pPr>
    </w:p>
    <w:p>
      <w:pPr>
        <w:ind w:right="140" w:firstLine="357"/>
        <w:spacing w:after="0" w:line="312"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CAPITALIZATION AND INDEBTEDNESS</w:t>
      </w:r>
    </w:p>
    <w:p>
      <w:pPr>
        <w:spacing w:after="0" w:line="112"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Our capitalization and indebtedness will be set forth in a prospectus supplement to this prospectus or in a report on Form 6-K subsequently furnished to the SEC and specifically incorporated herein by reference.</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DESCRIPTION OF COMMON UNITS</w:t>
      </w:r>
    </w:p>
    <w:p>
      <w:pPr>
        <w:spacing w:after="0" w:line="125"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A description of our Common Units can be found in our registration statement on Form 8-A (File No. 001-36433), filed with the SEC on April 30, 2014, including any amendment or report filed for the purpose of updating such description.</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DESCRIPTION OF SERIES A PREFERENCE UNITS</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A description of our Series A Preference Units can be found in our registration statement on Form 8-A (File No. 001-36433), filed with the SEC on May 15, 2017, including any amendment or report filed for the purpose of updating such description.</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DESCRIPTION OF THE OTHER CLASSES OF UNITS</w:t>
      </w:r>
    </w:p>
    <w:p>
      <w:pPr>
        <w:spacing w:after="0" w:line="125" w:lineRule="exact"/>
        <w:rPr>
          <w:sz w:val="20"/>
          <w:szCs w:val="20"/>
          <w:color w:val="auto"/>
        </w:rPr>
      </w:pPr>
    </w:p>
    <w:p>
      <w:pPr>
        <w:ind w:firstLine="357"/>
        <w:spacing w:after="0" w:line="289" w:lineRule="auto"/>
        <w:rPr>
          <w:sz w:val="20"/>
          <w:szCs w:val="20"/>
          <w:color w:val="auto"/>
        </w:rPr>
      </w:pPr>
      <w:r>
        <w:rPr>
          <w:rFonts w:ascii="Arial" w:cs="Arial" w:eastAsia="Arial" w:hAnsi="Arial"/>
          <w:sz w:val="17"/>
          <w:szCs w:val="17"/>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other than the limited approval rights of the holders of the Series A Preference Units.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As of September 29, 2017, no classes of limited partnership interests were outstanding other than the Common Units and Series A Preference Units. 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29" w:lineRule="exact"/>
        <w:rPr>
          <w:sz w:val="20"/>
          <w:szCs w:val="20"/>
          <w:color w:val="auto"/>
        </w:rPr>
      </w:pPr>
    </w:p>
    <w:p>
      <w:pPr>
        <w:ind w:left="540" w:hanging="16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right to share in partnership distributions;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rights upon our dissolution and liquidation;</w:t>
      </w:r>
    </w:p>
    <w:p>
      <w:pPr>
        <w:spacing w:after="0" w:line="105" w:lineRule="exact"/>
        <w:rPr>
          <w:rFonts w:ascii="Arial" w:cs="Arial" w:eastAsia="Arial" w:hAnsi="Arial"/>
          <w:sz w:val="19"/>
          <w:szCs w:val="19"/>
          <w:color w:val="auto"/>
        </w:rPr>
      </w:pPr>
    </w:p>
    <w:p>
      <w:pPr>
        <w:ind w:left="540" w:right="680" w:hanging="168"/>
        <w:spacing w:after="0" w:line="28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whether, and the terms and conditions upon which, we may or shall be required to redeem the Other Units (including sinking fund provisions);</w:t>
      </w:r>
    </w:p>
    <w:p>
      <w:pPr>
        <w:spacing w:after="0" w:line="38"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whether the Other Units are issued with the privilege of conversion or exchange and, if so, the terms and conditions of such conversion or exchange;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terms and conditions upon which Other Units will be issued, evidenced by certificates and assigned or transferred;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method for determining the Percentage Interest (as defined in our partnership agreement) as to such Other Units; and</w:t>
      </w:r>
    </w:p>
    <w:p>
      <w:pPr>
        <w:spacing w:after="0" w:line="105" w:lineRule="exact"/>
        <w:rPr>
          <w:rFonts w:ascii="Arial" w:cs="Arial" w:eastAsia="Arial" w:hAnsi="Arial"/>
          <w:sz w:val="19"/>
          <w:szCs w:val="19"/>
          <w:color w:val="auto"/>
        </w:rPr>
      </w:pPr>
    </w:p>
    <w:p>
      <w:pPr>
        <w:ind w:left="540" w:right="660" w:hanging="168"/>
        <w:spacing w:after="0" w:line="28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right, if any, of each Other Unit to vote on partnership matters, including matters relating to the relative rights, preferences and privileges of such Other Units.</w:t>
      </w: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79" w:right="359" w:bottom="1440" w:gutter="0" w:footer="0" w:header="0"/>
        </w:sectPr>
      </w:pPr>
    </w:p>
    <w:bookmarkStart w:id="14" w:name="page15"/>
    <w:bookmarkEnd w:id="14"/>
    <w:p>
      <w:pPr>
        <w:ind w:firstLine="357"/>
        <w:spacing w:after="0" w:line="267" w:lineRule="auto"/>
        <w:rPr>
          <w:sz w:val="20"/>
          <w:szCs w:val="20"/>
          <w:color w:val="auto"/>
        </w:rPr>
      </w:pPr>
      <w:r>
        <w:rPr>
          <w:rFonts w:ascii="Arial" w:cs="Arial" w:eastAsia="Arial" w:hAnsi="Arial"/>
          <w:sz w:val="19"/>
          <w:szCs w:val="19"/>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68" w:lineRule="exact"/>
        <w:rPr>
          <w:sz w:val="20"/>
          <w:szCs w:val="20"/>
          <w:color w:val="auto"/>
        </w:rPr>
      </w:pPr>
    </w:p>
    <w:p>
      <w:pPr>
        <w:ind w:right="500" w:firstLine="357"/>
        <w:spacing w:after="0" w:line="28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77"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9"/>
          <w:szCs w:val="19"/>
          <w:b w:val="1"/>
          <w:bCs w:val="1"/>
          <w:color w:val="auto"/>
        </w:rPr>
        <w:t>DESCRIPTION OF DEBT SECURITIES</w:t>
      </w:r>
    </w:p>
    <w:p>
      <w:pPr>
        <w:spacing w:after="0" w:line="125" w:lineRule="exact"/>
        <w:rPr>
          <w:sz w:val="20"/>
          <w:szCs w:val="20"/>
          <w:color w:val="auto"/>
        </w:rPr>
      </w:pPr>
    </w:p>
    <w:p>
      <w:pPr>
        <w:ind w:right="60" w:firstLine="357"/>
        <w:spacing w:after="0" w:line="297" w:lineRule="auto"/>
        <w:rPr>
          <w:sz w:val="20"/>
          <w:szCs w:val="20"/>
          <w:color w:val="auto"/>
        </w:rPr>
      </w:pPr>
      <w:r>
        <w:rPr>
          <w:rFonts w:ascii="Arial" w:cs="Arial" w:eastAsia="Arial" w:hAnsi="Arial"/>
          <w:sz w:val="17"/>
          <w:szCs w:val="17"/>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46"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72"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76"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Specified in the Applicable Prospectus Supplement</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 applicable prospectus supplement will contain, where applicable, the following terms of, and other information relating to, any offered debt securities:</w:t>
      </w:r>
    </w:p>
    <w:p>
      <w:pPr>
        <w:spacing w:after="0" w:line="38" w:lineRule="exact"/>
        <w:rPr>
          <w:sz w:val="20"/>
          <w:szCs w:val="20"/>
          <w:color w:val="auto"/>
        </w:rPr>
      </w:pPr>
    </w:p>
    <w:p>
      <w:pPr>
        <w:ind w:left="540" w:hanging="16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specific designation;</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any limit on the aggregate principal amount of the debt securities, their purchase price and denomination;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in which the debt securities are denominated and/or in which principal, premium, if any, and/or interest, if any, is payable;</w:t>
      </w:r>
    </w:p>
    <w:p>
      <w:pPr>
        <w:spacing w:after="0" w:line="1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6" w:name="page17"/>
    <w:bookmarkEnd w:id="16"/>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date of maturity;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interest rate or rates or the method by which the calculation agent will determine the interest rate or rates,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interest payment dates,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place or places for payment of the principal of and any premium and/or interest on the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repayment, redemption, prepayment or sinking fund provisions, including any redemption notice provisions;</w:t>
      </w:r>
    </w:p>
    <w:p>
      <w:pPr>
        <w:spacing w:after="0" w:line="105" w:lineRule="exact"/>
        <w:rPr>
          <w:rFonts w:ascii="Arial" w:cs="Arial" w:eastAsia="Arial" w:hAnsi="Arial"/>
          <w:sz w:val="19"/>
          <w:szCs w:val="19"/>
          <w:color w:val="auto"/>
        </w:rPr>
      </w:pPr>
    </w:p>
    <w:p>
      <w:pPr>
        <w:ind w:left="540" w:right="80" w:hanging="168"/>
        <w:spacing w:after="0" w:line="339"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whether we will issue the debt securities in definitive form and under what terms and conditions;</w:t>
      </w:r>
    </w:p>
    <w:p>
      <w:pPr>
        <w:spacing w:after="0" w:line="105" w:lineRule="exact"/>
        <w:rPr>
          <w:rFonts w:ascii="Arial" w:cs="Arial" w:eastAsia="Arial" w:hAnsi="Arial"/>
          <w:sz w:val="19"/>
          <w:szCs w:val="19"/>
          <w:color w:val="auto"/>
        </w:rPr>
      </w:pPr>
    </w:p>
    <w:p>
      <w:pPr>
        <w:ind w:left="540" w:hanging="168"/>
        <w:spacing w:after="0" w:line="267"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54" w:lineRule="exact"/>
        <w:rPr>
          <w:rFonts w:ascii="Arial" w:cs="Arial" w:eastAsia="Arial" w:hAnsi="Arial"/>
          <w:sz w:val="19"/>
          <w:szCs w:val="19"/>
          <w:color w:val="auto"/>
        </w:rPr>
      </w:pPr>
    </w:p>
    <w:p>
      <w:pPr>
        <w:ind w:left="540" w:right="300" w:hanging="168"/>
        <w:spacing w:after="0" w:line="28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agents for the debt securities, including trustees, depositaries, authenticating or paying agents, transfer agents or registrars;</w:t>
      </w:r>
    </w:p>
    <w:p>
      <w:pPr>
        <w:spacing w:after="0" w:line="105" w:lineRule="exact"/>
        <w:rPr>
          <w:rFonts w:ascii="Arial" w:cs="Arial" w:eastAsia="Arial" w:hAnsi="Arial"/>
          <w:sz w:val="19"/>
          <w:szCs w:val="19"/>
          <w:color w:val="auto"/>
        </w:rPr>
      </w:pPr>
    </w:p>
    <w:p>
      <w:pPr>
        <w:ind w:left="540" w:right="240" w:hanging="168"/>
        <w:spacing w:after="0" w:line="339"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material United States federal income tax or other income tax consequences, including, but not limited to:</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tax considerations applicable to any discounted debt securities or to debt securities issued at par that are treated as having been issued at a discount for United States federal income tax purposes;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tax considerations applicable to any debt securities denominated and payable in non-United States currencies;</w:t>
      </w:r>
    </w:p>
    <w:p>
      <w:pPr>
        <w:spacing w:after="0" w:line="105" w:lineRule="exact"/>
        <w:rPr>
          <w:rFonts w:ascii="Arial" w:cs="Arial" w:eastAsia="Arial" w:hAnsi="Arial"/>
          <w:sz w:val="19"/>
          <w:szCs w:val="19"/>
          <w:color w:val="auto"/>
        </w:rPr>
      </w:pPr>
    </w:p>
    <w:p>
      <w:pPr>
        <w:ind w:left="540" w:right="600" w:hanging="168"/>
        <w:spacing w:after="0" w:line="28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whether certain payments on the debt securities will be guaranteed under a financial insurance guarantee policy and the terms of that guarantee;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whether the debt securities will be secured;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applicable selling restrictions; and</w:t>
      </w:r>
    </w:p>
    <w:p>
      <w:pPr>
        <w:spacing w:after="0" w:line="105" w:lineRule="exact"/>
        <w:rPr>
          <w:rFonts w:ascii="Arial" w:cs="Arial" w:eastAsia="Arial" w:hAnsi="Arial"/>
          <w:sz w:val="19"/>
          <w:szCs w:val="19"/>
          <w:color w:val="auto"/>
        </w:rPr>
      </w:pPr>
    </w:p>
    <w:p>
      <w:pPr>
        <w:ind w:left="540" w:right="480" w:hanging="168"/>
        <w:spacing w:after="0" w:line="28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52" w:lineRule="exact"/>
        <w:rPr>
          <w:sz w:val="20"/>
          <w:szCs w:val="20"/>
          <w:color w:val="auto"/>
        </w:rPr>
      </w:pPr>
    </w:p>
    <w:p>
      <w:pPr>
        <w:jc w:val="both"/>
        <w:ind w:right="520" w:firstLine="357"/>
        <w:spacing w:after="0" w:line="313" w:lineRule="auto"/>
        <w:rPr>
          <w:sz w:val="20"/>
          <w:szCs w:val="20"/>
          <w:color w:val="auto"/>
        </w:rPr>
      </w:pPr>
      <w:r>
        <w:rPr>
          <w:rFonts w:ascii="Arial" w:cs="Arial" w:eastAsia="Arial" w:hAnsi="Arial"/>
          <w:sz w:val="17"/>
          <w:szCs w:val="17"/>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and Transfer of Debt Securities</w:t>
      </w:r>
    </w:p>
    <w:p>
      <w:pPr>
        <w:spacing w:after="0" w:line="125"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Holders may present debt securities for exchange, and holders of registered debt securities may present these securities for transfer, in the manner, at the places and subject to the restrictions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17" w:name="page18"/>
    <w:bookmarkEnd w:id="17"/>
    <w:p>
      <w:pPr>
        <w:ind w:right="100"/>
        <w:spacing w:after="0" w:line="277" w:lineRule="auto"/>
        <w:rPr>
          <w:sz w:val="20"/>
          <w:szCs w:val="20"/>
          <w:color w:val="auto"/>
        </w:rPr>
      </w:pPr>
      <w:r>
        <w:rPr>
          <w:rFonts w:ascii="Arial" w:cs="Arial" w:eastAsia="Arial" w:hAnsi="Arial"/>
          <w:sz w:val="18"/>
          <w:szCs w:val="18"/>
          <w:color w:val="auto"/>
        </w:rPr>
        <w:t>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12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7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41" w:lineRule="exact"/>
        <w:rPr>
          <w:sz w:val="20"/>
          <w:szCs w:val="20"/>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default is made for more than 30 days in the payment of interest, premium or principal in respect of the securities;</w:t>
      </w:r>
    </w:p>
    <w:p>
      <w:pPr>
        <w:spacing w:after="0" w:line="105"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we fail to perform or observe any of our other obligations under the securities and this failure has continued for the period of 60 days next following the service on us of notice requiring the same to be remedied;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bankruptcy, insolvency or reorganization under any applicable bankruptcy, insolvency or insolvency related reorganization law;</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an order is made or an effective resolution is passed for the winding up or liquidation of us; or</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any other event of default provided in the supplemental indenture or resolution of the board of directors, if any, under which that series of debt securities is issued.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Acceleration of Debt Securities Upon an Event of Default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provides that, unless otherwise set forth in a supplemental indenture:</w:t>
      </w:r>
    </w:p>
    <w:p>
      <w:pPr>
        <w:spacing w:after="0" w:line="106" w:lineRule="exact"/>
        <w:rPr>
          <w:sz w:val="20"/>
          <w:szCs w:val="20"/>
          <w:color w:val="auto"/>
        </w:rPr>
      </w:pPr>
    </w:p>
    <w:p>
      <w:pPr>
        <w:ind w:left="540" w:right="20" w:hanging="168"/>
        <w:spacing w:after="0" w:line="27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49" w:lineRule="exact"/>
        <w:rPr>
          <w:rFonts w:ascii="Arial" w:cs="Arial" w:eastAsia="Arial" w:hAnsi="Arial"/>
          <w:sz w:val="18"/>
          <w:szCs w:val="18"/>
          <w:color w:val="auto"/>
        </w:rPr>
      </w:pPr>
    </w:p>
    <w:p>
      <w:pPr>
        <w:ind w:left="540" w:hanging="168"/>
        <w:spacing w:after="0" w:line="28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38" w:lineRule="exact"/>
        <w:rPr>
          <w:rFonts w:ascii="Arial" w:cs="Arial" w:eastAsia="Arial" w:hAnsi="Arial"/>
          <w:sz w:val="19"/>
          <w:szCs w:val="19"/>
          <w:color w:val="auto"/>
        </w:rPr>
      </w:pPr>
    </w:p>
    <w:p>
      <w:pPr>
        <w:ind w:left="540" w:right="180" w:hanging="168"/>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color w:val="auto"/>
        </w:rPr>
        <w:t>Annulment of Acceleration and Waiver of Defaults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of Trustee for Actions Taken on Your Behalf</w:t>
      </w:r>
    </w:p>
    <w:p>
      <w:pPr>
        <w:spacing w:after="0" w:line="125" w:lineRule="exact"/>
        <w:rPr>
          <w:sz w:val="20"/>
          <w:szCs w:val="20"/>
          <w:color w:val="auto"/>
        </w:rPr>
      </w:pPr>
    </w:p>
    <w:p>
      <w:pPr>
        <w:ind w:right="100" w:firstLine="357"/>
        <w:spacing w:after="0" w:line="272" w:lineRule="auto"/>
        <w:rPr>
          <w:sz w:val="20"/>
          <w:szCs w:val="20"/>
          <w:color w:val="auto"/>
        </w:rPr>
      </w:pPr>
      <w:r>
        <w:rPr>
          <w:rFonts w:ascii="Arial" w:cs="Arial" w:eastAsia="Arial" w:hAnsi="Arial"/>
          <w:sz w:val="18"/>
          <w:szCs w:val="18"/>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on Actions by You as an Individual Holder</w:t>
      </w:r>
    </w:p>
    <w:p>
      <w:pPr>
        <w:spacing w:after="0" w:line="125"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38" w:lineRule="exact"/>
        <w:rPr>
          <w:sz w:val="20"/>
          <w:szCs w:val="20"/>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holder must have previously given written notice to the trustee of the continuing default;</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holders of not less than 25% in aggregate principal amount of the outstanding debt securities of each affected series, treated as one class, must have: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requested the trustee to institute that action;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offered the trustee indemnity satisfactory to it;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trustee must have failed to institute that action within 60 days after receipt of the request referred to above; and</w:t>
      </w:r>
    </w:p>
    <w:p>
      <w:pPr>
        <w:spacing w:after="0" w:line="105" w:lineRule="exact"/>
        <w:rPr>
          <w:rFonts w:ascii="Arial" w:cs="Arial" w:eastAsia="Arial" w:hAnsi="Arial"/>
          <w:sz w:val="19"/>
          <w:szCs w:val="19"/>
          <w:color w:val="auto"/>
        </w:rPr>
      </w:pPr>
    </w:p>
    <w:p>
      <w:pPr>
        <w:ind w:left="540" w:right="280" w:hanging="168"/>
        <w:spacing w:after="0" w:line="28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52"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The indenture contains a covenant that we will file annually with the trustee a certificate of no default or a certificate specifying any default that exists.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Discharge, Defeasance and Covenant Defeasance</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We have the ability to eliminate most or all of our obligations on any series of debt securities prior to maturity if we comply with the following provisions: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Discharge of Indenture. </w:t>
      </w:r>
      <w:r>
        <w:rPr>
          <w:rFonts w:ascii="Arial" w:cs="Arial" w:eastAsia="Arial" w:hAnsi="Arial"/>
          <w:sz w:val="17"/>
          <w:szCs w:val="17"/>
          <w:color w:val="auto"/>
        </w:rPr>
        <w:t>We may discharge all of our obligations, other than as to transfers and exchanges, under the indenture after we have:</w:t>
      </w:r>
    </w:p>
    <w:p>
      <w:pPr>
        <w:spacing w:after="0" w:line="115" w:lineRule="exact"/>
        <w:rPr>
          <w:sz w:val="20"/>
          <w:szCs w:val="20"/>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paid or caused to be paid the principal of and interest on all of the outstanding debt securities in accordance with their terms;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delivered to the trustee for cancellation all of the outstanding debt securities; or</w:t>
      </w:r>
    </w:p>
    <w:p>
      <w:pPr>
        <w:spacing w:after="0" w:line="105" w:lineRule="exact"/>
        <w:rPr>
          <w:rFonts w:ascii="Arial" w:cs="Arial" w:eastAsia="Arial" w:hAnsi="Arial"/>
          <w:sz w:val="19"/>
          <w:szCs w:val="19"/>
          <w:color w:val="auto"/>
        </w:rPr>
      </w:pPr>
    </w:p>
    <w:p>
      <w:pPr>
        <w:ind w:left="540" w:right="620" w:hanging="168"/>
        <w:spacing w:after="0" w:line="344"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9" w:name="page20"/>
    <w:bookmarkEnd w:id="19"/>
    <w:p>
      <w:pPr>
        <w:ind w:left="520" w:right="60"/>
        <w:spacing w:after="0" w:line="259" w:lineRule="auto"/>
        <w:rPr>
          <w:sz w:val="20"/>
          <w:szCs w:val="20"/>
          <w:color w:val="auto"/>
        </w:rPr>
      </w:pPr>
      <w:r>
        <w:rPr>
          <w:rFonts w:ascii="Arial" w:cs="Arial" w:eastAsia="Arial" w:hAnsi="Arial"/>
          <w:sz w:val="19"/>
          <w:szCs w:val="19"/>
          <w:color w:val="auto"/>
        </w:rPr>
        <w:t>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77"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b w:val="1"/>
          <w:bCs w:val="1"/>
          <w:i w:val="1"/>
          <w:iCs w:val="1"/>
          <w:color w:val="auto"/>
        </w:rPr>
        <w:t xml:space="preserve">Defeasance of a Series of Securities at Any Time. </w:t>
      </w:r>
      <w:r>
        <w:rPr>
          <w:rFonts w:ascii="Arial" w:cs="Arial" w:eastAsia="Arial" w:hAnsi="Arial"/>
          <w:sz w:val="19"/>
          <w:szCs w:val="19"/>
          <w:color w:val="auto"/>
        </w:rPr>
        <w:t>We may also discharge all of our obligations, other than as to transfers and exchanges,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any series 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Defeasance or covenant defeasance may be effected only if, among other things:</w:t>
      </w:r>
    </w:p>
    <w:p>
      <w:pPr>
        <w:spacing w:after="0" w:line="106" w:lineRule="exact"/>
        <w:rPr>
          <w:sz w:val="20"/>
          <w:szCs w:val="20"/>
          <w:color w:val="auto"/>
        </w:rPr>
      </w:pPr>
    </w:p>
    <w:p>
      <w:pPr>
        <w:ind w:left="540" w:hanging="168"/>
        <w:spacing w:after="0" w:line="28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irrevocably deposit with the trustee cash or, in the case of debt securities payable only in U.S.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22" w:lineRule="exact"/>
        <w:rPr>
          <w:rFonts w:ascii="Arial" w:cs="Arial" w:eastAsia="Arial" w:hAnsi="Arial"/>
          <w:sz w:val="18"/>
          <w:szCs w:val="18"/>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we deliver to the trustee an opinion of counsel to the effect that:</w:t>
      </w:r>
    </w:p>
    <w:p>
      <w:pPr>
        <w:spacing w:after="0" w:line="105" w:lineRule="exact"/>
        <w:rPr>
          <w:rFonts w:ascii="Arial" w:cs="Arial" w:eastAsia="Arial" w:hAnsi="Arial"/>
          <w:sz w:val="19"/>
          <w:szCs w:val="19"/>
          <w:color w:val="auto"/>
        </w:rPr>
      </w:pPr>
    </w:p>
    <w:p>
      <w:pPr>
        <w:ind w:left="540" w:right="540" w:hanging="168"/>
        <w:spacing w:after="0" w:line="28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holders of the series of debt securities being defeased will not recognize income, gain or loss for United States federal income tax purposes as a result of the defeasance or covenant defeasance;</w:t>
      </w:r>
    </w:p>
    <w:p>
      <w:pPr>
        <w:spacing w:after="0" w:line="38" w:lineRule="exact"/>
        <w:rPr>
          <w:rFonts w:ascii="Arial" w:cs="Arial" w:eastAsia="Arial" w:hAnsi="Arial"/>
          <w:sz w:val="19"/>
          <w:szCs w:val="19"/>
          <w:color w:val="auto"/>
        </w:rPr>
      </w:pPr>
    </w:p>
    <w:p>
      <w:pPr>
        <w:ind w:left="540" w:right="260" w:hanging="168"/>
        <w:spacing w:after="0" w:line="28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defeasance or covenant defeasance will not otherwise alter those holders’ United States federal income tax treatment of principal and interest payments on the series of debt securities being defeased; and</w:t>
      </w:r>
    </w:p>
    <w:p>
      <w:pPr>
        <w:spacing w:after="0" w:line="38" w:lineRule="exact"/>
        <w:rPr>
          <w:rFonts w:ascii="Arial" w:cs="Arial" w:eastAsia="Arial" w:hAnsi="Arial"/>
          <w:sz w:val="19"/>
          <w:szCs w:val="19"/>
          <w:color w:val="auto"/>
        </w:rPr>
      </w:pPr>
    </w:p>
    <w:p>
      <w:pPr>
        <w:ind w:left="540" w:right="420" w:hanging="168"/>
        <w:spacing w:after="0" w:line="312"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of the Indenture</w:t>
      </w:r>
    </w:p>
    <w:p>
      <w:pPr>
        <w:spacing w:after="0" w:line="125"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b w:val="1"/>
          <w:bCs w:val="1"/>
          <w:i w:val="1"/>
          <w:iCs w:val="1"/>
          <w:color w:val="auto"/>
        </w:rPr>
        <w:t xml:space="preserve">Modification without Consent of Holders. </w:t>
      </w:r>
      <w:r>
        <w:rPr>
          <w:rFonts w:ascii="Arial" w:cs="Arial" w:eastAsia="Arial" w:hAnsi="Arial"/>
          <w:sz w:val="19"/>
          <w:szCs w:val="19"/>
          <w:color w:val="auto"/>
        </w:rPr>
        <w:t>We and the trustee may enter into supplemental indentures without the consent of the holders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debt securities issued under the indenture to:</w:t>
      </w:r>
    </w:p>
    <w:p>
      <w:pPr>
        <w:spacing w:after="0" w:line="38" w:lineRule="exact"/>
        <w:rPr>
          <w:sz w:val="20"/>
          <w:szCs w:val="20"/>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secure any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evidence the assumption by a successor corporation of our obligations;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add covenants for the protection of the holders of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cure any ambiguity or correct any inconsistency;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establish the forms or terms of debt securities of any series;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evidence the acceptance of appointment by a successor trustee; or</w:t>
      </w:r>
    </w:p>
    <w:p>
      <w:pPr>
        <w:spacing w:after="0" w:line="105" w:lineRule="exact"/>
        <w:rPr>
          <w:rFonts w:ascii="Arial" w:cs="Arial" w:eastAsia="Arial" w:hAnsi="Arial"/>
          <w:sz w:val="19"/>
          <w:szCs w:val="19"/>
          <w:color w:val="auto"/>
        </w:rPr>
      </w:pPr>
    </w:p>
    <w:p>
      <w:pPr>
        <w:ind w:left="540" w:right="60" w:hanging="168"/>
        <w:spacing w:after="0" w:line="267"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68" w:lineRule="exact"/>
        <w:rPr>
          <w:sz w:val="20"/>
          <w:szCs w:val="20"/>
          <w:color w:val="auto"/>
        </w:rPr>
      </w:pPr>
    </w:p>
    <w:p>
      <w:pPr>
        <w:ind w:right="20" w:firstLine="357"/>
        <w:spacing w:after="0" w:line="289" w:lineRule="auto"/>
        <w:rPr>
          <w:sz w:val="20"/>
          <w:szCs w:val="20"/>
          <w:color w:val="auto"/>
        </w:rPr>
      </w:pPr>
      <w:r>
        <w:rPr>
          <w:rFonts w:ascii="Arial" w:cs="Arial" w:eastAsia="Arial" w:hAnsi="Arial"/>
          <w:sz w:val="18"/>
          <w:szCs w:val="18"/>
          <w:b w:val="1"/>
          <w:bCs w:val="1"/>
          <w:i w:val="1"/>
          <w:iCs w:val="1"/>
          <w:color w:val="auto"/>
        </w:rPr>
        <w:t xml:space="preserve">Modification with Consent of Holders. </w:t>
      </w:r>
      <w:r>
        <w:rPr>
          <w:rFonts w:ascii="Arial" w:cs="Arial" w:eastAsia="Arial" w:hAnsi="Arial"/>
          <w:sz w:val="18"/>
          <w:szCs w:val="18"/>
          <w:color w:val="auto"/>
        </w:rPr>
        <w:t>We and the trustee, with the consent of the holders of not less than a majority in aggregate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each affected series of outstanding debt securities, voting as one class, may add any provisions to, or change in any manner or eliminate any of the provisions of, the indenture or modify in any manner the rights of the holders of those debt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20" w:name="page21"/>
    <w:bookmarkEnd w:id="20"/>
    <w:p>
      <w:pPr>
        <w:ind w:right="180"/>
        <w:spacing w:after="0" w:line="283" w:lineRule="auto"/>
        <w:rPr>
          <w:sz w:val="20"/>
          <w:szCs w:val="20"/>
          <w:color w:val="auto"/>
        </w:rPr>
      </w:pPr>
      <w:r>
        <w:rPr>
          <w:rFonts w:ascii="Arial" w:cs="Arial" w:eastAsia="Arial" w:hAnsi="Arial"/>
          <w:sz w:val="19"/>
          <w:szCs w:val="19"/>
          <w:color w:val="auto"/>
        </w:rPr>
        <w:t>securities. However, we and the trustee may not make any of the following changes to any outstanding debt security without the consent of each holder that would be affected by the change:</w:t>
      </w:r>
    </w:p>
    <w:p>
      <w:pPr>
        <w:spacing w:after="0" w:line="38" w:lineRule="exact"/>
        <w:rPr>
          <w:sz w:val="20"/>
          <w:szCs w:val="20"/>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extend the final maturity of the security;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reduce the principal amount;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reduce the rate or extend the time of payment of interest;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reduce any amount payable on redemption;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 the currency in which the principal, including any amount of original issue discount, premium, or interest on the security is payable;</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modify or amend the provisions for conversion of any currency into another currency;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reduce the amount of any original issue discount security payable upon acceleration or provable in bankruptcy;</w:t>
      </w:r>
    </w:p>
    <w:p>
      <w:pPr>
        <w:spacing w:after="0" w:line="105" w:lineRule="exact"/>
        <w:rPr>
          <w:rFonts w:ascii="Arial" w:cs="Arial" w:eastAsia="Arial" w:hAnsi="Arial"/>
          <w:sz w:val="19"/>
          <w:szCs w:val="19"/>
          <w:color w:val="auto"/>
        </w:rPr>
      </w:pPr>
    </w:p>
    <w:p>
      <w:pPr>
        <w:ind w:left="540" w:right="80" w:hanging="168"/>
        <w:spacing w:after="0" w:line="339"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impair the right of any holder to institute suit for the enforcement of any payment on any debt security when due;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reduce the percentage of debt securities the consent of whose holders is required for modification of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of Debt Security</w:t>
      </w:r>
    </w:p>
    <w:p>
      <w:pPr>
        <w:spacing w:after="0" w:line="112" w:lineRule="exact"/>
        <w:rPr>
          <w:sz w:val="20"/>
          <w:szCs w:val="20"/>
          <w:color w:val="auto"/>
        </w:rPr>
      </w:pPr>
    </w:p>
    <w:p>
      <w:pPr>
        <w:ind w:right="240" w:firstLine="357"/>
        <w:spacing w:after="0" w:line="339" w:lineRule="auto"/>
        <w:rPr>
          <w:sz w:val="20"/>
          <w:szCs w:val="20"/>
          <w:color w:val="auto"/>
        </w:rPr>
      </w:pPr>
      <w:r>
        <w:rPr>
          <w:rFonts w:ascii="Arial" w:cs="Arial" w:eastAsia="Arial" w:hAnsi="Arial"/>
          <w:sz w:val="17"/>
          <w:szCs w:val="17"/>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2" w:lineRule="exact"/>
        <w:rPr>
          <w:sz w:val="20"/>
          <w:szCs w:val="20"/>
          <w:color w:val="auto"/>
        </w:rPr>
      </w:pPr>
    </w:p>
    <w:p>
      <w:pPr>
        <w:ind w:left="540" w:hanging="16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 registered form, where our obligation runs to the holder of the security named on the face of the security;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 bearer form, where our obligation runs to the bearer of the security.</w:t>
      </w:r>
    </w:p>
    <w:p>
      <w:pPr>
        <w:spacing w:after="0" w:line="119"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49"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Global Securities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21" w:name="page22"/>
    <w:bookmarkEnd w:id="21"/>
    <w:p>
      <w:pPr>
        <w:ind w:right="320"/>
        <w:spacing w:after="0" w:line="283" w:lineRule="auto"/>
        <w:rPr>
          <w:sz w:val="20"/>
          <w:szCs w:val="20"/>
          <w:color w:val="auto"/>
        </w:rPr>
      </w:pPr>
      <w:r>
        <w:rPr>
          <w:rFonts w:ascii="Arial" w:cs="Arial" w:eastAsia="Arial" w:hAnsi="Arial"/>
          <w:sz w:val="19"/>
          <w:szCs w:val="19"/>
          <w:color w:val="auto"/>
        </w:rPr>
        <w:t>security will be described in the prospectus supplement relating to those securities. We anticipate that the following provisions will apply to all depositary arrangements:</w:t>
      </w:r>
    </w:p>
    <w:p>
      <w:pPr>
        <w:spacing w:after="0" w:line="52" w:lineRule="exact"/>
        <w:rPr>
          <w:sz w:val="20"/>
          <w:szCs w:val="20"/>
          <w:color w:val="auto"/>
        </w:rPr>
      </w:pPr>
    </w:p>
    <w:p>
      <w:pPr>
        <w:ind w:right="120" w:firstLine="357"/>
        <w:spacing w:after="0" w:line="270"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72"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83"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0" w:lineRule="exact"/>
        <w:rPr>
          <w:sz w:val="20"/>
          <w:szCs w:val="20"/>
          <w:color w:val="auto"/>
        </w:rPr>
      </w:pPr>
    </w:p>
    <w:p>
      <w:pPr>
        <w:ind w:right="180" w:firstLine="357"/>
        <w:spacing w:after="0" w:line="297" w:lineRule="auto"/>
        <w:rPr>
          <w:sz w:val="20"/>
          <w:szCs w:val="20"/>
          <w:color w:val="auto"/>
        </w:rPr>
      </w:pPr>
      <w:r>
        <w:rPr>
          <w:rFonts w:ascii="Arial" w:cs="Arial" w:eastAsia="Arial" w:hAnsi="Arial"/>
          <w:sz w:val="17"/>
          <w:szCs w:val="17"/>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22" w:name="page23"/>
    <w:bookmarkEnd w:id="22"/>
    <w:p>
      <w:pPr>
        <w:spacing w:after="0" w:line="281" w:lineRule="auto"/>
        <w:rPr>
          <w:sz w:val="20"/>
          <w:szCs w:val="20"/>
          <w:color w:val="auto"/>
        </w:rPr>
      </w:pPr>
      <w:r>
        <w:rPr>
          <w:rFonts w:ascii="Arial" w:cs="Arial" w:eastAsia="Arial" w:hAnsi="Arial"/>
          <w:sz w:val="18"/>
          <w:szCs w:val="18"/>
          <w:color w:val="auto"/>
        </w:rPr>
        <w:t>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57"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b w:val="1"/>
          <w:bCs w:val="1"/>
          <w:i w:val="1"/>
          <w:iCs w:val="1"/>
          <w:color w:val="auto"/>
        </w:rPr>
        <w:t xml:space="preserve">Bearer Global Securities. </w:t>
      </w:r>
      <w:r>
        <w:rPr>
          <w:rFonts w:ascii="Arial" w:cs="Arial" w:eastAsia="Arial" w:hAnsi="Arial"/>
          <w:sz w:val="19"/>
          <w:szCs w:val="19"/>
          <w:color w:val="auto"/>
        </w:rPr>
        <w:t>The securities may also be issued in the form of one or more bearer global securities that will be deposited with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common depositary for the Euroclear System and Clearstream Banking,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York Law to Govern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and the debt securities will be governed by the laws of the State of New York.</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WARRANTS</w:t>
      </w:r>
    </w:p>
    <w:p>
      <w:pPr>
        <w:spacing w:after="0" w:line="125"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129" w:lineRule="exact"/>
        <w:rPr>
          <w:sz w:val="20"/>
          <w:szCs w:val="20"/>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title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aggregate number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price or prices at which such Warrants will be issued;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currency or currencies, in which the price of such Warrants will be payable;</w:t>
      </w:r>
    </w:p>
    <w:p>
      <w:pPr>
        <w:spacing w:after="0" w:line="105" w:lineRule="exact"/>
        <w:rPr>
          <w:rFonts w:ascii="Arial" w:cs="Arial" w:eastAsia="Arial" w:hAnsi="Arial"/>
          <w:sz w:val="19"/>
          <w:szCs w:val="19"/>
          <w:color w:val="auto"/>
        </w:rPr>
      </w:pPr>
    </w:p>
    <w:p>
      <w:pPr>
        <w:ind w:left="540" w:right="140" w:hanging="168"/>
        <w:spacing w:after="0" w:line="339"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 w:lineRule="exact"/>
        <w:rPr>
          <w:rFonts w:ascii="Arial" w:cs="Arial" w:eastAsia="Arial" w:hAnsi="Arial"/>
          <w:sz w:val="17"/>
          <w:szCs w:val="17"/>
          <w:color w:val="auto"/>
        </w:rPr>
      </w:pPr>
    </w:p>
    <w:p>
      <w:pPr>
        <w:ind w:left="540" w:right="60" w:hanging="168"/>
        <w:spacing w:after="0" w:line="283"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price at which and the currency or currencies, in which the securities or other rights purchasable upon exercise of such Warrants may be purchased;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date on which the right to exercise such Warrants shall commence and the date on which such right shall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amount of Warrants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applicable, the minimum or maximum amount of such Warrants which may be exercised at any one time;</w:t>
      </w:r>
    </w:p>
    <w:p>
      <w:pPr>
        <w:spacing w:after="0" w:line="105"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applicable, the designation and terms of the securities with which such Warrants are issued and the number of such Warrants issued with each such security;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applicable, the date on and after which such Warrants and the related securities will be separately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information with respect to book-entry procedures,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if applicable, a discussion of any material United States Federal income tax considerations;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3" w:name="page24"/>
    <w:bookmarkEnd w:id="23"/>
    <w:p>
      <w:pPr>
        <w:ind w:left="380"/>
        <w:spacing w:after="0"/>
        <w:rPr>
          <w:sz w:val="20"/>
          <w:szCs w:val="20"/>
          <w:color w:val="auto"/>
        </w:rPr>
      </w:pPr>
      <w:r>
        <w:rPr>
          <w:rFonts w:ascii="Arial" w:cs="Arial" w:eastAsia="Arial" w:hAnsi="Arial"/>
          <w:sz w:val="18"/>
          <w:szCs w:val="18"/>
          <w:color w:val="auto"/>
        </w:rPr>
        <w:t>• any other terms of such Warrants, including terms, procedures and limitations relating to the exchange and exercise of such warrants.</w:t>
      </w:r>
    </w:p>
    <w:p>
      <w:pPr>
        <w:spacing w:after="0" w:line="131"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RIGHTS</w:t>
      </w:r>
    </w:p>
    <w:p>
      <w:pPr>
        <w:spacing w:after="0" w:line="125" w:lineRule="exact"/>
        <w:rPr>
          <w:sz w:val="20"/>
          <w:szCs w:val="20"/>
          <w:color w:val="auto"/>
        </w:rPr>
      </w:pPr>
    </w:p>
    <w:p>
      <w:pPr>
        <w:jc w:val="both"/>
        <w:ind w:firstLine="357"/>
        <w:spacing w:after="0" w:line="262" w:lineRule="auto"/>
        <w:rPr>
          <w:sz w:val="20"/>
          <w:szCs w:val="20"/>
          <w:color w:val="auto"/>
        </w:rPr>
      </w:pPr>
      <w:r>
        <w:rPr>
          <w:rFonts w:ascii="Arial" w:cs="Arial" w:eastAsia="Arial" w:hAnsi="Arial"/>
          <w:sz w:val="19"/>
          <w:szCs w:val="19"/>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72"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The applicable prospectus supplement relating to any rights will describe the terms of the offered rights, including, where applicable, the following:</w:t>
      </w:r>
    </w:p>
    <w:p>
      <w:pPr>
        <w:spacing w:after="0" w:line="25" w:lineRule="exact"/>
        <w:rPr>
          <w:sz w:val="20"/>
          <w:szCs w:val="20"/>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exercise price for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number of Rights issued to each shareholder;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extent to which the Rights are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any other terms of the Rights, including terms, procedures and limitations relating to the exchange and exercise of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date on which the Right to exercise the Rights will commence and the date on which the Right will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amount of Rights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extent to which the Rights include an over-subscription privilege with respect to unsubscribed securities;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material terms of any standby underwriting arrangement entered into by us in connection with the Rights offering.</w:t>
      </w:r>
    </w:p>
    <w:p>
      <w:pPr>
        <w:spacing w:after="0" w:line="119"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THE COMBINATION UNITS</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We may issue Combination Units consisting of any combination of Common Units, Series A Preference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24" w:name="page25"/>
    <w:bookmarkEnd w:id="24"/>
    <w:p>
      <w:pPr>
        <w:ind w:right="540" w:firstLine="357"/>
        <w:spacing w:after="0" w:line="283" w:lineRule="auto"/>
        <w:rPr>
          <w:sz w:val="20"/>
          <w:szCs w:val="20"/>
          <w:color w:val="auto"/>
        </w:rPr>
      </w:pPr>
      <w:r>
        <w:rPr>
          <w:rFonts w:ascii="Arial" w:cs="Arial" w:eastAsia="Arial" w:hAnsi="Arial"/>
          <w:sz w:val="19"/>
          <w:szCs w:val="19"/>
          <w:color w:val="auto"/>
        </w:rPr>
        <w:t>The applicable prospectus supplement relating to any series of units will describe the terms of the Combination Units, including, where applicable, the following:</w:t>
      </w:r>
    </w:p>
    <w:p>
      <w:pPr>
        <w:spacing w:after="0" w:line="38" w:lineRule="exact"/>
        <w:rPr>
          <w:sz w:val="20"/>
          <w:szCs w:val="20"/>
          <w:color w:val="auto"/>
        </w:rPr>
      </w:pPr>
    </w:p>
    <w:p>
      <w:pPr>
        <w:ind w:left="540" w:right="200" w:hanging="168"/>
        <w:spacing w:after="0" w:line="283" w:lineRule="auto"/>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designation and terms of the Combination Units and of the securities comprising the Combination Units, including whether and under what circumstances those securities may be held or transferred separately;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provisions of the governing unit agreement; and</w:t>
      </w:r>
    </w:p>
    <w:p>
      <w:pPr>
        <w:spacing w:after="0" w:line="105" w:lineRule="exact"/>
        <w:rPr>
          <w:rFonts w:ascii="Arial" w:cs="Arial" w:eastAsia="Arial" w:hAnsi="Arial"/>
          <w:sz w:val="19"/>
          <w:szCs w:val="19"/>
          <w:color w:val="auto"/>
        </w:rPr>
      </w:pPr>
    </w:p>
    <w:p>
      <w:pPr>
        <w:ind w:left="540" w:right="360" w:hanging="168"/>
        <w:spacing w:after="0" w:line="283" w:lineRule="auto"/>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provisions for the issuance, payment, settlement, transfer, or exchange of the Combination Units or of the securities comprising the Combination Units.</w:t>
      </w:r>
    </w:p>
    <w:p>
      <w:pPr>
        <w:spacing w:after="0" w:line="52"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SUMMARY OF OUR PARTNERSHIP AGREEMENT</w:t>
      </w:r>
    </w:p>
    <w:p>
      <w:pPr>
        <w:spacing w:after="0" w:line="125"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The following is a summary of the material provisions of our partnership agreement, which is qualified in its entirety by the terms and conditions of the partnership agreement, which is incorporated herein by reference. This summary should be read together with any subsequent amendments of the partnership agreement or reports filed for the purpose of updating the description of the important provisions of our partnership agreement and the rights and privileges of our unitholders. Please read “Where You Can Find More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 and Duration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were organized on January 23, 2014 and have perpetual existence.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Purpose</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Our purpose under the partnership agreement is to engage in any business activities that may lawfully be engaged in by a limited partnership pursuant to the Marshall Islands Act.</w:t>
      </w:r>
    </w:p>
    <w:p>
      <w:pPr>
        <w:spacing w:after="0" w:line="52" w:lineRule="exact"/>
        <w:rPr>
          <w:sz w:val="20"/>
          <w:szCs w:val="20"/>
          <w:color w:val="auto"/>
        </w:rPr>
      </w:pPr>
    </w:p>
    <w:p>
      <w:pPr>
        <w:ind w:right="240" w:firstLine="357"/>
        <w:spacing w:after="0" w:line="281"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Distributions</w:t>
      </w:r>
    </w:p>
    <w:p>
      <w:pPr>
        <w:spacing w:after="0" w:line="11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 Please see “Our Cash Distribution Policy and Restrictions on Distributions” on page 36 of this prospectus for further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Contributions</w:t>
      </w:r>
    </w:p>
    <w:p>
      <w:pPr>
        <w:spacing w:after="0" w:line="125" w:lineRule="exact"/>
        <w:rPr>
          <w:sz w:val="20"/>
          <w:szCs w:val="20"/>
          <w:color w:val="auto"/>
        </w:rPr>
      </w:pPr>
    </w:p>
    <w:p>
      <w:pPr>
        <w:ind w:right="340" w:firstLine="357"/>
        <w:spacing w:after="0" w:line="283" w:lineRule="auto"/>
        <w:rPr>
          <w:sz w:val="20"/>
          <w:szCs w:val="20"/>
          <w:color w:val="auto"/>
        </w:rPr>
      </w:pPr>
      <w:r>
        <w:rPr>
          <w:rFonts w:ascii="Arial" w:cs="Arial" w:eastAsia="Arial" w:hAnsi="Arial"/>
          <w:sz w:val="19"/>
          <w:szCs w:val="19"/>
          <w:color w:val="auto"/>
        </w:rPr>
        <w:t>No holder of Common Units or Series A Preference Units is obligated to make additional capital contributions, except as described below under “—Limited Liability”.</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25" w:name="page26"/>
    <w:bookmarkEnd w:id="25"/>
    <w:p>
      <w:pPr>
        <w:spacing w:after="0"/>
        <w:rPr>
          <w:sz w:val="20"/>
          <w:szCs w:val="20"/>
          <w:color w:val="auto"/>
        </w:rPr>
      </w:pPr>
      <w:r>
        <w:rPr>
          <w:rFonts w:ascii="Arial" w:cs="Arial" w:eastAsia="Arial" w:hAnsi="Arial"/>
          <w:sz w:val="19"/>
          <w:szCs w:val="19"/>
          <w:b w:val="1"/>
          <w:bCs w:val="1"/>
          <w:color w:val="auto"/>
        </w:rPr>
        <w:t>Voting Rights</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following is a summary of the unitholder vote required for approval of the matters specified below. Matters that require the approval of a “Unit Majority” require the approval of a majority of the 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72"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67" w:lineRule="exact"/>
        <w:rPr>
          <w:sz w:val="20"/>
          <w:szCs w:val="20"/>
          <w:color w:val="auto"/>
        </w:rPr>
      </w:pPr>
    </w:p>
    <w:p>
      <w:pPr>
        <w:ind w:right="80" w:firstLine="357"/>
        <w:spacing w:after="0" w:line="273"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w:t>
      </w:r>
    </w:p>
    <w:p>
      <w:pPr>
        <w:sectPr>
          <w:pgSz w:w="11900" w:h="16838" w:orient="portrait"/>
          <w:cols w:equalWidth="0" w:num="1">
            <w:col w:w="11380"/>
          </w:cols>
          <w:pgMar w:left="240" w:top="579" w:right="27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533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Issuance of additional Common Units or other limited partner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spacing w:after="0" w:line="283" w:lineRule="auto"/>
        <w:rPr>
          <w:sz w:val="20"/>
          <w:szCs w:val="20"/>
          <w:color w:val="auto"/>
        </w:rPr>
      </w:pPr>
      <w:r>
        <w:rPr>
          <w:rFonts w:ascii="Arial" w:cs="Arial" w:eastAsia="Arial" w:hAnsi="Arial"/>
          <w:sz w:val="19"/>
          <w:szCs w:val="19"/>
          <w:color w:val="auto"/>
        </w:rPr>
        <w:t>Merger of our partnership or the sale of all or substantially all of our assets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Dissolution of our partnership</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Reconstitution of our partnership upon dissolution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35248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Subject to the following paragraph with respect to the Series A Preference Units, 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Certain amendments may be made by our board of directors without the approval of the unitholders. Other amendments generally require the approval of a Unit Majority. See “—Amendment of the Partnership Agreement”.</w:t>
      </w:r>
    </w:p>
    <w:p>
      <w:pPr>
        <w:spacing w:after="0" w:line="1" w:lineRule="exact"/>
        <w:rPr>
          <w:sz w:val="20"/>
          <w:szCs w:val="20"/>
          <w:color w:val="auto"/>
        </w:rPr>
      </w:pPr>
    </w:p>
    <w:p>
      <w:pPr>
        <w:jc w:val="both"/>
        <w:ind w:right="300"/>
        <w:spacing w:after="0" w:line="252" w:lineRule="auto"/>
        <w:rPr>
          <w:sz w:val="20"/>
          <w:szCs w:val="20"/>
          <w:color w:val="auto"/>
        </w:rPr>
      </w:pPr>
      <w:r>
        <w:rPr>
          <w:rFonts w:ascii="Arial" w:cs="Arial" w:eastAsia="Arial" w:hAnsi="Arial"/>
          <w:sz w:val="19"/>
          <w:szCs w:val="19"/>
          <w:color w:val="auto"/>
        </w:rPr>
        <w:t>Unit Majority and approval of our general partner and our board of directors. See “—Merger, Sale, Conversion or Other Disposition of Assets”.</w:t>
      </w:r>
    </w:p>
    <w:p>
      <w:pPr>
        <w:spacing w:after="0" w:line="1" w:lineRule="exact"/>
        <w:rPr>
          <w:sz w:val="20"/>
          <w:szCs w:val="20"/>
          <w:color w:val="auto"/>
        </w:rPr>
      </w:pPr>
    </w:p>
    <w:p>
      <w:pPr>
        <w:ind w:right="320"/>
        <w:spacing w:after="0" w:line="258" w:lineRule="auto"/>
        <w:rPr>
          <w:sz w:val="20"/>
          <w:szCs w:val="20"/>
          <w:color w:val="auto"/>
        </w:rPr>
      </w:pPr>
      <w:r>
        <w:rPr>
          <w:rFonts w:ascii="Arial" w:cs="Arial" w:eastAsia="Arial" w:hAnsi="Arial"/>
          <w:sz w:val="19"/>
          <w:szCs w:val="19"/>
          <w:color w:val="auto"/>
        </w:rPr>
        <w:t>Unit Majority and approval of our general partner and our board of directors. See “—Termination and Dissolution”. Unit Majority. See “—Termination and Dissolution”.</w:t>
      </w:r>
    </w:p>
    <w:p>
      <w:pPr>
        <w:spacing w:after="0" w:line="200" w:lineRule="exact"/>
        <w:rPr>
          <w:sz w:val="20"/>
          <w:szCs w:val="20"/>
          <w:color w:val="auto"/>
        </w:rPr>
      </w:pPr>
    </w:p>
    <w:p>
      <w:pPr>
        <w:sectPr>
          <w:pgSz w:w="11900" w:h="16838" w:orient="portrait"/>
          <w:cols w:equalWidth="0" w:num="2">
            <w:col w:w="5500" w:space="360"/>
            <w:col w:w="5520"/>
          </w:cols>
          <w:pgMar w:left="240" w:top="579" w:right="279" w:bottom="1440" w:gutter="0" w:footer="0" w:header="0"/>
          <w:type w:val="continuous"/>
        </w:sectPr>
      </w:pP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99"/>
        </w:trPr>
        <w:tc>
          <w:tcPr>
            <w:tcW w:w="5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Action</w:t>
            </w:r>
          </w:p>
        </w:tc>
        <w:tc>
          <w:tcPr>
            <w:tcW w:w="280" w:type="dxa"/>
            <w:vAlign w:val="bottom"/>
          </w:tcPr>
          <w:p>
            <w:pPr>
              <w:spacing w:after="0"/>
              <w:rPr>
                <w:sz w:val="17"/>
                <w:szCs w:val="17"/>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Unitholder Approval Required and Voting Rights</w:t>
            </w:r>
          </w:p>
        </w:tc>
      </w:tr>
      <w:tr>
        <w:trPr>
          <w:trHeight w:val="210"/>
        </w:trPr>
        <w:tc>
          <w:tcPr>
            <w:tcW w:w="5580" w:type="dxa"/>
            <w:vAlign w:val="bottom"/>
          </w:tcPr>
          <w:p>
            <w:pPr>
              <w:spacing w:after="0" w:line="210" w:lineRule="exact"/>
              <w:rPr>
                <w:sz w:val="20"/>
                <w:szCs w:val="20"/>
                <w:color w:val="auto"/>
              </w:rPr>
            </w:pPr>
            <w:r>
              <w:rPr>
                <w:rFonts w:ascii="Arial" w:cs="Arial" w:eastAsia="Arial" w:hAnsi="Arial"/>
                <w:sz w:val="19"/>
                <w:szCs w:val="19"/>
                <w:color w:val="auto"/>
              </w:rPr>
              <w:t>Withdrawal of our general partner</w:t>
            </w:r>
          </w:p>
        </w:tc>
        <w:tc>
          <w:tcPr>
            <w:tcW w:w="280" w:type="dxa"/>
            <w:vAlign w:val="bottom"/>
          </w:tcPr>
          <w:p>
            <w:pPr>
              <w:spacing w:after="0"/>
              <w:rPr>
                <w:sz w:val="18"/>
                <w:szCs w:val="18"/>
                <w:color w:val="auto"/>
              </w:rPr>
            </w:pPr>
          </w:p>
        </w:tc>
        <w:tc>
          <w:tcPr>
            <w:tcW w:w="5560" w:type="dxa"/>
            <w:vAlign w:val="bottom"/>
          </w:tcPr>
          <w:p>
            <w:pPr>
              <w:spacing w:after="0" w:line="210" w:lineRule="exact"/>
              <w:rPr>
                <w:sz w:val="20"/>
                <w:szCs w:val="20"/>
                <w:color w:val="auto"/>
              </w:rPr>
            </w:pPr>
            <w:r>
              <w:rPr>
                <w:rFonts w:ascii="Arial" w:cs="Arial" w:eastAsia="Arial" w:hAnsi="Arial"/>
                <w:sz w:val="19"/>
                <w:szCs w:val="19"/>
                <w:color w:val="auto"/>
                <w:w w:val="94"/>
              </w:rPr>
              <w:t>Under most circumstances, the approval of a majority of the Common</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8"/>
              </w:rPr>
              <w:t>Units, excluding Common Units held by our general partner and its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6"/>
              </w:rPr>
              <w:t>affiliates, is required for the withdrawal of our general partner prior to</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March 31, 2024 in a manner that would cause a dissolution of our</w:t>
            </w:r>
          </w:p>
        </w:tc>
      </w:tr>
      <w:tr>
        <w:trPr>
          <w:trHeight w:val="218"/>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6"/>
              </w:rPr>
              <w:t>partnership. See “—Withdrawal or Removal of our General Partner”.</w:t>
            </w:r>
          </w:p>
        </w:tc>
      </w:tr>
      <w:tr>
        <w:trPr>
          <w:trHeight w:val="241"/>
        </w:trPr>
        <w:tc>
          <w:tcPr>
            <w:tcW w:w="5580" w:type="dxa"/>
            <w:vAlign w:val="bottom"/>
          </w:tcPr>
          <w:p>
            <w:pPr>
              <w:spacing w:after="0"/>
              <w:rPr>
                <w:sz w:val="20"/>
                <w:szCs w:val="20"/>
                <w:color w:val="auto"/>
              </w:rPr>
            </w:pPr>
            <w:r>
              <w:rPr>
                <w:rFonts w:ascii="Arial" w:cs="Arial" w:eastAsia="Arial" w:hAnsi="Arial"/>
                <w:sz w:val="19"/>
                <w:szCs w:val="19"/>
                <w:color w:val="auto"/>
              </w:rPr>
              <w:t>Removal of our general partner</w:t>
            </w:r>
          </w:p>
        </w:tc>
        <w:tc>
          <w:tcPr>
            <w:tcW w:w="280" w:type="dxa"/>
            <w:vAlign w:val="bottom"/>
          </w:tcPr>
          <w:p>
            <w:pPr>
              <w:spacing w:after="0"/>
              <w:rPr>
                <w:sz w:val="20"/>
                <w:szCs w:val="20"/>
                <w:color w:val="auto"/>
              </w:rPr>
            </w:pPr>
          </w:p>
        </w:tc>
        <w:tc>
          <w:tcPr>
            <w:tcW w:w="5560" w:type="dxa"/>
            <w:vAlign w:val="bottom"/>
          </w:tcPr>
          <w:p>
            <w:pPr>
              <w:spacing w:after="0" w:line="241" w:lineRule="exact"/>
              <w:rPr>
                <w:sz w:val="20"/>
                <w:szCs w:val="20"/>
                <w:color w:val="auto"/>
              </w:rPr>
            </w:pPr>
            <w:r>
              <w:rPr>
                <w:rFonts w:ascii="Arial" w:cs="Arial" w:eastAsia="Arial" w:hAnsi="Arial"/>
                <w:sz w:val="19"/>
                <w:szCs w:val="19"/>
                <w:color w:val="auto"/>
                <w:w w:val="93"/>
              </w:rPr>
              <w:t>Not less than 66</w:t>
            </w:r>
            <w:r>
              <w:rPr>
                <w:rFonts w:ascii="Arial" w:cs="Arial" w:eastAsia="Arial" w:hAnsi="Arial"/>
                <w:sz w:val="27"/>
                <w:szCs w:val="27"/>
                <w:color w:val="auto"/>
                <w:w w:val="93"/>
                <w:vertAlign w:val="superscript"/>
              </w:rPr>
              <w:t>2</w:t>
            </w:r>
            <w:r>
              <w:rPr>
                <w:rFonts w:ascii="Arial" w:cs="Arial" w:eastAsia="Arial" w:hAnsi="Arial"/>
                <w:sz w:val="19"/>
                <w:szCs w:val="19"/>
                <w:color w:val="auto"/>
                <w:w w:val="93"/>
              </w:rPr>
              <w:t>/</w:t>
            </w:r>
            <w:r>
              <w:rPr>
                <w:rFonts w:ascii="Arial" w:cs="Arial" w:eastAsia="Arial" w:hAnsi="Arial"/>
                <w:sz w:val="13"/>
                <w:szCs w:val="13"/>
                <w:color w:val="auto"/>
                <w:w w:val="93"/>
              </w:rPr>
              <w:t>3</w:t>
            </w:r>
            <w:r>
              <w:rPr>
                <w:rFonts w:ascii="Arial" w:cs="Arial" w:eastAsia="Arial" w:hAnsi="Arial"/>
                <w:sz w:val="19"/>
                <w:szCs w:val="19"/>
                <w:color w:val="auto"/>
                <w:w w:val="93"/>
              </w:rPr>
              <w:t>% of the outstanding Common Units voting together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as a single class. See “—Withdrawal or Removal of our General</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Partner”.</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our general partner interest in us</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3"/>
              </w:rPr>
              <w:t>Our general partner may transfer all, but not less than all, of its general</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partner interest in us without a vote of our common unitholders 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8"/>
              </w:rPr>
              <w:t>other limited partners to an affiliate or another person in connection</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with its merger or consolidation with or into, or sale of all 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substantially all of its assets to, such person. The approval of a</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6"/>
              </w:rPr>
              <w:t>majority of the Common Units, excluding Common Units held by our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4"/>
              </w:rPr>
              <w:t>general partner and its affiliates, is required in other circumstances for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a transfer of the general partner interest to a third party prior to</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March 31, 2024. See “—Transfer of General Partner Interest”.</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incentive distribution rights</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2"/>
              </w:rPr>
              <w:t>Except for transfers to an affiliate or another person as part of a merger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or consolidation with or into, or sale of all or substantially all of the</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assets to, such person, the approval of a majority of the Common</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8"/>
              </w:rPr>
              <w:t>Units, excluding Common Units held by our general partner and its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affiliates, voting separately as a class, is required in most</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circumstances for a transfer of the incentive distribution rights to a</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third party prior to March 31, 2019. See “—Transfer of Incentive</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Distribution Rights”.</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ownership interests in our general partner</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No approval required at any time. See “—Transfer of Ownership</w:t>
            </w:r>
          </w:p>
        </w:tc>
      </w:tr>
      <w:tr>
        <w:trPr>
          <w:trHeight w:val="247"/>
        </w:trPr>
        <w:tc>
          <w:tcPr>
            <w:tcW w:w="5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Interests in General Partner”.</w:t>
            </w:r>
          </w:p>
        </w:tc>
      </w:tr>
    </w:tbl>
    <w:p>
      <w:pPr>
        <w:spacing w:after="0" w:line="199"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Distributions payable on the Series A Preference Units will be considered to be in arrears for any quarterly period for which full cumulative distributions through the most recent distribution payment date have not been paid 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7" w:name="page28"/>
    <w:bookmarkEnd w:id="27"/>
    <w:p>
      <w:pPr>
        <w:ind w:right="40"/>
        <w:spacing w:after="0" w:line="289" w:lineRule="auto"/>
        <w:rPr>
          <w:sz w:val="20"/>
          <w:szCs w:val="20"/>
          <w:color w:val="auto"/>
        </w:rPr>
      </w:pPr>
      <w:r>
        <w:rPr>
          <w:rFonts w:ascii="Arial" w:cs="Arial" w:eastAsia="Arial" w:hAnsi="Arial"/>
          <w:sz w:val="18"/>
          <w:szCs w:val="18"/>
          <w:color w:val="auto"/>
        </w:rPr>
        <w:t>all outstanding Series A Preference Units. In addition, in certain limited instances, the holders of Series A Preference Units will be entitled to elect one director to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Applicable Law; Forum, Venue and Jurisdiction</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Our partnership agreement is governed by Marshall Islands law. Our partnership agreement requires that any claims, suits, actions or proceedings:</w:t>
      </w:r>
    </w:p>
    <w:p>
      <w:pPr>
        <w:spacing w:after="0" w:line="25" w:lineRule="exact"/>
        <w:rPr>
          <w:sz w:val="20"/>
          <w:szCs w:val="20"/>
          <w:color w:val="auto"/>
        </w:rPr>
      </w:pPr>
    </w:p>
    <w:p>
      <w:pPr>
        <w:jc w:val="both"/>
        <w:ind w:left="540" w:right="300" w:hanging="168"/>
        <w:spacing w:after="0" w:line="267"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brought in a derivative manner on our behalf;</w:t>
      </w:r>
    </w:p>
    <w:p>
      <w:pPr>
        <w:spacing w:after="0" w:line="105"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asserting a claim of breach of a fiduciary duty owed by any director, officer or other employee of us or our general partner, or owed by our general partner, to us or the limited partners;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asserting a claim arising pursuant to any provision of the Marshall Islands Act;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asserting a claim governed by the internal affairs doctrine;</w:t>
      </w:r>
    </w:p>
    <w:p>
      <w:pPr>
        <w:spacing w:after="0" w:line="11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Limited Liability</w:t>
      </w:r>
    </w:p>
    <w:p>
      <w:pPr>
        <w:spacing w:after="0" w:line="125" w:lineRule="exact"/>
        <w:rPr>
          <w:sz w:val="20"/>
          <w:szCs w:val="20"/>
          <w:color w:val="auto"/>
        </w:rPr>
      </w:pPr>
    </w:p>
    <w:p>
      <w:pPr>
        <w:jc w:val="both"/>
        <w:ind w:right="60" w:firstLine="357"/>
        <w:spacing w:after="0" w:line="281"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44" w:lineRule="exact"/>
        <w:rPr>
          <w:sz w:val="20"/>
          <w:szCs w:val="20"/>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to remove or replace our general partner;</w:t>
      </w:r>
    </w:p>
    <w:p>
      <w:pPr>
        <w:spacing w:after="0" w:line="105" w:lineRule="exact"/>
        <w:rPr>
          <w:rFonts w:ascii="Arial" w:cs="Arial" w:eastAsia="Arial" w:hAnsi="Arial"/>
          <w:sz w:val="19"/>
          <w:szCs w:val="19"/>
          <w:color w:val="auto"/>
        </w:rPr>
      </w:pPr>
    </w:p>
    <w:p>
      <w:pPr>
        <w:ind w:left="540" w:right="20" w:hanging="168"/>
        <w:spacing w:after="0" w:line="28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to elect three (or, following the general partner’s exercise of its right to transfer the power to elect a majority of our directors to the common unitholders, four) of our seven directors;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to approve some amendments to our partnership agreement;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to take other action under our partnership agreement;</w:t>
      </w:r>
    </w:p>
    <w:p>
      <w:pPr>
        <w:spacing w:after="0" w:line="119"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8" w:name="page29"/>
    <w:bookmarkEnd w:id="28"/>
    <w:p>
      <w:pPr>
        <w:ind w:right="40"/>
        <w:spacing w:after="0" w:line="344" w:lineRule="auto"/>
        <w:rPr>
          <w:sz w:val="20"/>
          <w:szCs w:val="20"/>
          <w:color w:val="auto"/>
        </w:rPr>
      </w:pPr>
      <w:r>
        <w:rPr>
          <w:rFonts w:ascii="Arial" w:cs="Arial" w:eastAsia="Arial" w:hAnsi="Arial"/>
          <w:sz w:val="17"/>
          <w:szCs w:val="17"/>
          <w:color w:val="auto"/>
        </w:rPr>
        <w:t>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7"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67" w:lineRule="exact"/>
        <w:rPr>
          <w:sz w:val="20"/>
          <w:szCs w:val="20"/>
          <w:color w:val="auto"/>
        </w:rPr>
      </w:pPr>
    </w:p>
    <w:p>
      <w:pPr>
        <w:ind w:right="40" w:firstLine="357"/>
        <w:spacing w:after="0" w:line="255" w:lineRule="auto"/>
        <w:rPr>
          <w:sz w:val="20"/>
          <w:szCs w:val="20"/>
          <w:color w:val="auto"/>
        </w:rPr>
      </w:pPr>
      <w:r>
        <w:rPr>
          <w:rFonts w:ascii="Arial" w:cs="Arial" w:eastAsia="Arial" w:hAnsi="Arial"/>
          <w:sz w:val="19"/>
          <w:szCs w:val="19"/>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Issuance of Additional Interests</w:t>
      </w:r>
    </w:p>
    <w:p>
      <w:pPr>
        <w:spacing w:after="0" w:line="112"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77"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76"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In accordance with Marshall Islands law and the provisions of our partnership agreement, we may also issue additional partnership interests that, as determined by our board of directors, have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29" w:name="page30"/>
    <w:bookmarkEnd w:id="29"/>
    <w:p>
      <w:pPr>
        <w:spacing w:after="0"/>
        <w:rPr>
          <w:sz w:val="20"/>
          <w:szCs w:val="20"/>
          <w:color w:val="auto"/>
        </w:rPr>
      </w:pPr>
      <w:r>
        <w:rPr>
          <w:rFonts w:ascii="Arial" w:cs="Arial" w:eastAsia="Arial" w:hAnsi="Arial"/>
          <w:sz w:val="19"/>
          <w:szCs w:val="19"/>
          <w:color w:val="auto"/>
        </w:rPr>
        <w:t>special voting or other rights to which the Common Units or the Series A Preference Units are not entitled.</w:t>
      </w:r>
    </w:p>
    <w:p>
      <w:pPr>
        <w:spacing w:after="0" w:line="119" w:lineRule="exact"/>
        <w:rPr>
          <w:sz w:val="20"/>
          <w:szCs w:val="20"/>
          <w:color w:val="auto"/>
        </w:rPr>
      </w:pPr>
    </w:p>
    <w:p>
      <w:pPr>
        <w:ind w:right="100" w:firstLine="357"/>
        <w:spacing w:after="0" w:line="288" w:lineRule="auto"/>
        <w:rPr>
          <w:sz w:val="20"/>
          <w:szCs w:val="20"/>
          <w:color w:val="auto"/>
        </w:rPr>
      </w:pPr>
      <w:r>
        <w:rPr>
          <w:rFonts w:ascii="Arial" w:cs="Arial" w:eastAsia="Arial" w:hAnsi="Arial"/>
          <w:sz w:val="17"/>
          <w:szCs w:val="17"/>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that existed immediately prior to each issuance. Other holders of Common Units will not have similar pre-emptive rights to acquire additional Common Units or other partnership interests.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Status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 of the Partnership Agreement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must approve certain amendments as described under “—Voting Rights.” Except as we describe below, an amendment must be approved by a Unit Majority.</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Prohibited Amendments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 amendment may be made that would:</w:t>
      </w:r>
    </w:p>
    <w:p>
      <w:pPr>
        <w:spacing w:after="0" w:line="106" w:lineRule="exact"/>
        <w:rPr>
          <w:sz w:val="20"/>
          <w:szCs w:val="20"/>
          <w:color w:val="auto"/>
        </w:rPr>
      </w:pPr>
    </w:p>
    <w:p>
      <w:pPr>
        <w:ind w:left="780" w:right="220" w:hanging="323"/>
        <w:spacing w:after="0" w:line="283" w:lineRule="auto"/>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increase the obligations of any limited partner without its consent, unless approved by at least a majority of the type or class of limited partner interests so affected;</w:t>
      </w:r>
    </w:p>
    <w:p>
      <w:pPr>
        <w:spacing w:after="0" w:line="38" w:lineRule="exact"/>
        <w:rPr>
          <w:rFonts w:ascii="Arial" w:cs="Arial" w:eastAsia="Arial" w:hAnsi="Arial"/>
          <w:sz w:val="19"/>
          <w:szCs w:val="19"/>
          <w:color w:val="auto"/>
        </w:rPr>
      </w:pPr>
    </w:p>
    <w:p>
      <w:pPr>
        <w:ind w:left="780" w:right="20" w:hanging="323"/>
        <w:spacing w:after="0" w:line="267" w:lineRule="auto"/>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54" w:lineRule="exact"/>
        <w:rPr>
          <w:rFonts w:ascii="Arial" w:cs="Arial" w:eastAsia="Arial" w:hAnsi="Arial"/>
          <w:sz w:val="19"/>
          <w:szCs w:val="19"/>
          <w:color w:val="auto"/>
        </w:rPr>
      </w:pPr>
    </w:p>
    <w:p>
      <w:pPr>
        <w:ind w:left="780" w:hanging="323"/>
        <w:spacing w:after="0"/>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change the term of our partnership;</w:t>
      </w:r>
    </w:p>
    <w:p>
      <w:pPr>
        <w:spacing w:after="0" w:line="105" w:lineRule="exact"/>
        <w:rPr>
          <w:rFonts w:ascii="Arial" w:cs="Arial" w:eastAsia="Arial" w:hAnsi="Arial"/>
          <w:sz w:val="19"/>
          <w:szCs w:val="19"/>
          <w:color w:val="auto"/>
        </w:rPr>
      </w:pPr>
    </w:p>
    <w:p>
      <w:pPr>
        <w:ind w:left="780" w:right="680" w:hanging="323"/>
        <w:spacing w:after="0" w:line="283" w:lineRule="auto"/>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provide that our partnership is not dissolved upon an election to dissolve our partnership by our general partner and our board of directors that is approved by the holders of a Unit Majority; or</w:t>
      </w:r>
    </w:p>
    <w:p>
      <w:pPr>
        <w:spacing w:after="0" w:line="38" w:lineRule="exact"/>
        <w:rPr>
          <w:rFonts w:ascii="Arial" w:cs="Arial" w:eastAsia="Arial" w:hAnsi="Arial"/>
          <w:sz w:val="19"/>
          <w:szCs w:val="19"/>
          <w:color w:val="auto"/>
        </w:rPr>
      </w:pPr>
    </w:p>
    <w:p>
      <w:pPr>
        <w:ind w:left="780" w:right="80" w:hanging="323"/>
        <w:spacing w:after="0" w:line="283" w:lineRule="auto"/>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give any person the right to dissolve our partnership other than the right of our general partner and our board of directors to dissolve our partnership with the approval of the holders of a Unit Majority.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0" w:name="page31"/>
    <w:bookmarkEnd w:id="30"/>
    <w:p>
      <w:pPr>
        <w:jc w:val="both"/>
        <w:ind w:right="160" w:firstLine="357"/>
        <w:spacing w:after="0" w:line="267" w:lineRule="auto"/>
        <w:rPr>
          <w:sz w:val="20"/>
          <w:szCs w:val="20"/>
          <w:color w:val="auto"/>
        </w:rPr>
      </w:pPr>
      <w:r>
        <w:rPr>
          <w:rFonts w:ascii="Arial" w:cs="Arial" w:eastAsia="Arial" w:hAnsi="Arial"/>
          <w:sz w:val="19"/>
          <w:szCs w:val="19"/>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 Unitholder Approval</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board of directors may generally make amendments to our partnership agreement without the approval of any limited partner to reflect:</w:t>
      </w:r>
    </w:p>
    <w:p>
      <w:pPr>
        <w:spacing w:after="0" w:line="115" w:lineRule="exact"/>
        <w:rPr>
          <w:sz w:val="20"/>
          <w:szCs w:val="20"/>
          <w:color w:val="auto"/>
        </w:rPr>
      </w:pPr>
    </w:p>
    <w:p>
      <w:pPr>
        <w:ind w:left="780" w:hanging="323"/>
        <w:spacing w:after="0"/>
        <w:tabs>
          <w:tab w:leader="none" w:pos="7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change in our name, the location of our principal place of business, our registered agent or our registered office;</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admission, substitution, withdrawal or removal of partners in accordance with our partnership agreement;</w:t>
      </w:r>
    </w:p>
    <w:p>
      <w:pPr>
        <w:spacing w:after="0" w:line="105" w:lineRule="exact"/>
        <w:rPr>
          <w:rFonts w:ascii="Arial" w:cs="Arial" w:eastAsia="Arial" w:hAnsi="Arial"/>
          <w:sz w:val="19"/>
          <w:szCs w:val="19"/>
          <w:color w:val="auto"/>
        </w:rPr>
      </w:pPr>
    </w:p>
    <w:p>
      <w:pPr>
        <w:ind w:left="780" w:right="500" w:hanging="323"/>
        <w:spacing w:after="0" w:line="312"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 w:lineRule="exact"/>
        <w:rPr>
          <w:rFonts w:ascii="Arial" w:cs="Arial" w:eastAsia="Arial" w:hAnsi="Arial"/>
          <w:sz w:val="18"/>
          <w:szCs w:val="18"/>
          <w:color w:val="auto"/>
        </w:rPr>
      </w:pPr>
    </w:p>
    <w:p>
      <w:pPr>
        <w:ind w:left="780" w:right="160" w:hanging="323"/>
        <w:spacing w:after="0" w:line="281"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43" w:lineRule="exact"/>
        <w:rPr>
          <w:rFonts w:ascii="Arial" w:cs="Arial" w:eastAsia="Arial" w:hAnsi="Arial"/>
          <w:sz w:val="18"/>
          <w:szCs w:val="18"/>
          <w:color w:val="auto"/>
        </w:rPr>
      </w:pPr>
    </w:p>
    <w:p>
      <w:pPr>
        <w:jc w:val="both"/>
        <w:ind w:left="780" w:right="560" w:hanging="323"/>
        <w:spacing w:after="0" w:line="267" w:lineRule="auto"/>
        <w:tabs>
          <w:tab w:leader="none" w:pos="7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54" w:lineRule="exact"/>
        <w:rPr>
          <w:rFonts w:ascii="Arial" w:cs="Arial" w:eastAsia="Arial" w:hAnsi="Arial"/>
          <w:sz w:val="19"/>
          <w:szCs w:val="19"/>
          <w:color w:val="auto"/>
        </w:rPr>
      </w:pPr>
    </w:p>
    <w:p>
      <w:pPr>
        <w:ind w:left="900" w:right="20" w:hanging="163"/>
        <w:spacing w:after="0" w:line="283" w:lineRule="auto"/>
        <w:tabs>
          <w:tab w:leader="none" w:pos="9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adjustments of the minimum quarterly distribution, first target distribution, second target distribution and third target distribution in connection with the reset of our incentive distribution rights;</w:t>
      </w:r>
    </w:p>
    <w:p>
      <w:pPr>
        <w:spacing w:after="0" w:line="38" w:lineRule="exact"/>
        <w:rPr>
          <w:rFonts w:ascii="Arial" w:cs="Arial" w:eastAsia="Arial" w:hAnsi="Arial"/>
          <w:sz w:val="19"/>
          <w:szCs w:val="19"/>
          <w:color w:val="auto"/>
        </w:rPr>
      </w:pPr>
    </w:p>
    <w:p>
      <w:pPr>
        <w:ind w:left="900" w:right="480" w:hanging="163"/>
        <w:spacing w:after="0" w:line="283" w:lineRule="auto"/>
        <w:tabs>
          <w:tab w:leader="none" w:pos="9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implementation of the provisions relating to GasLog’s right to reset the incentive distribution rights in exchange for Common Units;</w:t>
      </w:r>
    </w:p>
    <w:p>
      <w:pPr>
        <w:spacing w:after="0" w:line="38" w:lineRule="exact"/>
        <w:rPr>
          <w:rFonts w:ascii="Arial" w:cs="Arial" w:eastAsia="Arial" w:hAnsi="Arial"/>
          <w:sz w:val="19"/>
          <w:szCs w:val="19"/>
          <w:color w:val="auto"/>
        </w:rPr>
      </w:pPr>
    </w:p>
    <w:p>
      <w:pPr>
        <w:jc w:val="both"/>
        <w:ind w:left="900" w:hanging="163"/>
        <w:spacing w:after="0" w:line="267" w:lineRule="auto"/>
        <w:tabs>
          <w:tab w:leader="none" w:pos="9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54" w:lineRule="exact"/>
        <w:rPr>
          <w:rFonts w:ascii="Arial" w:cs="Arial" w:eastAsia="Arial" w:hAnsi="Arial"/>
          <w:sz w:val="19"/>
          <w:szCs w:val="19"/>
          <w:color w:val="auto"/>
        </w:rPr>
      </w:pPr>
    </w:p>
    <w:p>
      <w:pPr>
        <w:ind w:left="900" w:hanging="163"/>
        <w:spacing w:after="0"/>
        <w:tabs>
          <w:tab w:leader="none" w:pos="9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amendment expressly permitted in the partnership agreement to be made by our board of directors acting alone;</w:t>
      </w:r>
    </w:p>
    <w:p>
      <w:pPr>
        <w:spacing w:after="0" w:line="106" w:lineRule="exact"/>
        <w:rPr>
          <w:sz w:val="20"/>
          <w:szCs w:val="20"/>
          <w:color w:val="auto"/>
        </w:rPr>
      </w:pPr>
    </w:p>
    <w:p>
      <w:pPr>
        <w:ind w:left="900" w:right="20" w:hanging="321"/>
        <w:spacing w:after="0" w:line="283" w:lineRule="auto"/>
        <w:tabs>
          <w:tab w:leader="none" w:pos="9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 amendment effected, necessitated or contemplated by a merger agreement that has been approved under the terms of the partnership agreement;</w:t>
      </w:r>
    </w:p>
    <w:p>
      <w:pPr>
        <w:spacing w:after="0" w:line="38" w:lineRule="exact"/>
        <w:rPr>
          <w:rFonts w:ascii="Arial" w:cs="Arial" w:eastAsia="Arial" w:hAnsi="Arial"/>
          <w:sz w:val="19"/>
          <w:szCs w:val="19"/>
          <w:color w:val="auto"/>
        </w:rPr>
      </w:pPr>
    </w:p>
    <w:p>
      <w:pPr>
        <w:ind w:left="900" w:right="160" w:hanging="321"/>
        <w:spacing w:after="0" w:line="283" w:lineRule="auto"/>
        <w:tabs>
          <w:tab w:leader="none" w:pos="9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38" w:lineRule="exact"/>
        <w:rPr>
          <w:rFonts w:ascii="Arial" w:cs="Arial" w:eastAsia="Arial" w:hAnsi="Arial"/>
          <w:sz w:val="19"/>
          <w:szCs w:val="19"/>
          <w:color w:val="auto"/>
        </w:rPr>
      </w:pPr>
    </w:p>
    <w:p>
      <w:pPr>
        <w:ind w:left="900" w:hanging="321"/>
        <w:spacing w:after="0"/>
        <w:tabs>
          <w:tab w:leader="none" w:pos="9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change in our fiscal year or taxable year and related changes;</w:t>
      </w:r>
    </w:p>
    <w:p>
      <w:pPr>
        <w:spacing w:after="0" w:line="105" w:lineRule="exact"/>
        <w:rPr>
          <w:rFonts w:ascii="Arial" w:cs="Arial" w:eastAsia="Arial" w:hAnsi="Arial"/>
          <w:sz w:val="19"/>
          <w:szCs w:val="19"/>
          <w:color w:val="auto"/>
        </w:rPr>
      </w:pPr>
    </w:p>
    <w:p>
      <w:pPr>
        <w:ind w:left="900" w:hanging="321"/>
        <w:spacing w:after="0"/>
        <w:tabs>
          <w:tab w:leader="none" w:pos="9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certain mergers or conveyances as set forth in our partnership agreement;</w:t>
      </w:r>
    </w:p>
    <w:p>
      <w:pPr>
        <w:spacing w:after="0" w:line="105" w:lineRule="exact"/>
        <w:rPr>
          <w:rFonts w:ascii="Arial" w:cs="Arial" w:eastAsia="Arial" w:hAnsi="Arial"/>
          <w:sz w:val="19"/>
          <w:szCs w:val="19"/>
          <w:color w:val="auto"/>
        </w:rPr>
      </w:pPr>
    </w:p>
    <w:p>
      <w:pPr>
        <w:ind w:left="900" w:hanging="418"/>
        <w:spacing w:after="0"/>
        <w:tabs>
          <w:tab w:leader="none" w:pos="9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 amendment to cure any ambiguity, defect or inconsistency; or</w:t>
      </w:r>
    </w:p>
    <w:p>
      <w:pPr>
        <w:spacing w:after="0" w:line="105" w:lineRule="exact"/>
        <w:rPr>
          <w:rFonts w:ascii="Arial" w:cs="Arial" w:eastAsia="Arial" w:hAnsi="Arial"/>
          <w:sz w:val="19"/>
          <w:szCs w:val="19"/>
          <w:color w:val="auto"/>
        </w:rPr>
      </w:pPr>
    </w:p>
    <w:p>
      <w:pPr>
        <w:ind w:left="900" w:hanging="411"/>
        <w:spacing w:after="0"/>
        <w:tabs>
          <w:tab w:leader="none" w:pos="9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any other amendments substantially similar to any of the matters described in (1) through (10) above.</w:t>
      </w:r>
    </w:p>
    <w:p>
      <w:pPr>
        <w:spacing w:after="0" w:line="119"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In addition, our board of directors may make amendments to the partnership agreement without the approval of any limited partner or our general partner (subject to the limited approval rights of</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1" w:name="page32"/>
    <w:bookmarkEnd w:id="31"/>
    <w:p>
      <w:pPr>
        <w:ind w:right="440"/>
        <w:spacing w:after="0" w:line="283" w:lineRule="auto"/>
        <w:rPr>
          <w:sz w:val="20"/>
          <w:szCs w:val="20"/>
          <w:color w:val="auto"/>
        </w:rPr>
      </w:pPr>
      <w:r>
        <w:rPr>
          <w:rFonts w:ascii="Arial" w:cs="Arial" w:eastAsia="Arial" w:hAnsi="Arial"/>
          <w:sz w:val="19"/>
          <w:szCs w:val="19"/>
          <w:color w:val="auto"/>
        </w:rPr>
        <w:t>the holders of the Series A Preference Units and the holders of other Parity Securities (if applicable)) if our board of directors determines that those amendments:</w:t>
      </w:r>
    </w:p>
    <w:p>
      <w:pPr>
        <w:spacing w:after="0" w:line="38" w:lineRule="exact"/>
        <w:rPr>
          <w:sz w:val="20"/>
          <w:szCs w:val="20"/>
          <w:color w:val="auto"/>
        </w:rPr>
      </w:pPr>
    </w:p>
    <w:p>
      <w:pPr>
        <w:ind w:left="780" w:hanging="323"/>
        <w:spacing w:after="0" w:line="283" w:lineRule="auto"/>
        <w:tabs>
          <w:tab w:leader="none" w:pos="7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do not adversely affect the rights of our limited partners (or any particular class of limited partners) or our general partner in any material respect;</w:t>
      </w:r>
    </w:p>
    <w:p>
      <w:pPr>
        <w:spacing w:after="0" w:line="38" w:lineRule="exact"/>
        <w:rPr>
          <w:rFonts w:ascii="Arial" w:cs="Arial" w:eastAsia="Arial" w:hAnsi="Arial"/>
          <w:sz w:val="19"/>
          <w:szCs w:val="19"/>
          <w:color w:val="auto"/>
        </w:rPr>
      </w:pPr>
    </w:p>
    <w:p>
      <w:pPr>
        <w:ind w:left="780" w:right="340" w:hanging="323"/>
        <w:spacing w:after="0" w:line="283" w:lineRule="auto"/>
        <w:tabs>
          <w:tab w:leader="none" w:pos="7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are necessary or appropriate to satisfy any requirements, conditions or guidelines contained in any opinion, directive, order, ruling or regulation of any Marshall Islands authority or statute;</w:t>
      </w:r>
    </w:p>
    <w:p>
      <w:pPr>
        <w:spacing w:after="0" w:line="38" w:lineRule="exact"/>
        <w:rPr>
          <w:rFonts w:ascii="Arial" w:cs="Arial" w:eastAsia="Arial" w:hAnsi="Arial"/>
          <w:sz w:val="19"/>
          <w:szCs w:val="19"/>
          <w:color w:val="auto"/>
        </w:rPr>
      </w:pPr>
    </w:p>
    <w:p>
      <w:pPr>
        <w:ind w:left="780" w:right="520" w:hanging="323"/>
        <w:spacing w:after="0" w:line="283" w:lineRule="auto"/>
        <w:tabs>
          <w:tab w:leader="none" w:pos="7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38" w:lineRule="exact"/>
        <w:rPr>
          <w:rFonts w:ascii="Arial" w:cs="Arial" w:eastAsia="Arial" w:hAnsi="Arial"/>
          <w:sz w:val="19"/>
          <w:szCs w:val="19"/>
          <w:color w:val="auto"/>
        </w:rPr>
      </w:pPr>
    </w:p>
    <w:p>
      <w:pPr>
        <w:ind w:left="780" w:right="20" w:hanging="323"/>
        <w:spacing w:after="0" w:line="283" w:lineRule="auto"/>
        <w:tabs>
          <w:tab w:leader="none" w:pos="7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are necessary or appropriate for any action taken by our board of directors relating to splits or combinations of units under the provisions of the partnership agreement; or</w:t>
      </w:r>
    </w:p>
    <w:p>
      <w:pPr>
        <w:spacing w:after="0" w:line="38" w:lineRule="exact"/>
        <w:rPr>
          <w:rFonts w:ascii="Arial" w:cs="Arial" w:eastAsia="Arial" w:hAnsi="Arial"/>
          <w:sz w:val="19"/>
          <w:szCs w:val="19"/>
          <w:color w:val="auto"/>
        </w:rPr>
      </w:pPr>
    </w:p>
    <w:p>
      <w:pPr>
        <w:ind w:left="780" w:right="120" w:hanging="323"/>
        <w:spacing w:after="0" w:line="283" w:lineRule="auto"/>
        <w:tabs>
          <w:tab w:leader="none" w:pos="7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are required to effect the intent expressed in this prospectus or the intent of the provisions of the partnership agreement or are otherwise contemplated by the partnership agreement.</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Opinion of Counsel and Limited Partner Approval</w:t>
      </w:r>
    </w:p>
    <w:p>
      <w:pPr>
        <w:spacing w:after="0" w:line="106"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77"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Merger, Sale, Conversion or Other Disposition of Assets</w:t>
      </w:r>
    </w:p>
    <w:p>
      <w:pPr>
        <w:spacing w:after="0" w:line="125" w:lineRule="exact"/>
        <w:rPr>
          <w:sz w:val="20"/>
          <w:szCs w:val="20"/>
          <w:color w:val="auto"/>
        </w:rPr>
      </w:pPr>
    </w:p>
    <w:p>
      <w:pPr>
        <w:ind w:right="20" w:firstLine="357"/>
        <w:spacing w:after="0" w:line="270" w:lineRule="auto"/>
        <w:rPr>
          <w:sz w:val="20"/>
          <w:szCs w:val="20"/>
          <w:color w:val="auto"/>
        </w:rPr>
      </w:pPr>
      <w:r>
        <w:rPr>
          <w:rFonts w:ascii="Arial" w:cs="Arial" w:eastAsia="Arial" w:hAnsi="Arial"/>
          <w:sz w:val="18"/>
          <w:szCs w:val="18"/>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2" w:name="page33"/>
    <w:bookmarkEnd w:id="32"/>
    <w:p>
      <w:pPr>
        <w:ind w:right="120" w:firstLine="357"/>
        <w:spacing w:after="0" w:line="277"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and Dissolution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continue as a limited partnership until terminated or converted under our partnership agreement. We will dissolve upon:</w:t>
      </w:r>
    </w:p>
    <w:p>
      <w:pPr>
        <w:spacing w:after="0" w:line="92" w:lineRule="exact"/>
        <w:rPr>
          <w:sz w:val="20"/>
          <w:szCs w:val="20"/>
          <w:color w:val="auto"/>
        </w:rPr>
      </w:pPr>
    </w:p>
    <w:p>
      <w:pPr>
        <w:ind w:left="780" w:right="540" w:hanging="323"/>
        <w:spacing w:after="0" w:line="283" w:lineRule="auto"/>
        <w:tabs>
          <w:tab w:leader="none" w:pos="7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election of our general partner and our board of directors to dissolve us, if approved by the holders of units representing a Unit Majority;</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at any time there are no limited partners, unless we continue without dissolution in accordance with the Marshall Islands Act;</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entry of a decree of judicial dissolution of us; or</w:t>
      </w:r>
    </w:p>
    <w:p>
      <w:pPr>
        <w:spacing w:after="0" w:line="105" w:lineRule="exact"/>
        <w:rPr>
          <w:rFonts w:ascii="Arial" w:cs="Arial" w:eastAsia="Arial" w:hAnsi="Arial"/>
          <w:sz w:val="19"/>
          <w:szCs w:val="19"/>
          <w:color w:val="auto"/>
        </w:rPr>
      </w:pPr>
    </w:p>
    <w:p>
      <w:pPr>
        <w:jc w:val="both"/>
        <w:ind w:left="780" w:right="420" w:hanging="323"/>
        <w:spacing w:after="0" w:line="267" w:lineRule="auto"/>
        <w:tabs>
          <w:tab w:leader="none" w:pos="7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68"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Liquidation and Distribution of Proceeds</w:t>
      </w:r>
    </w:p>
    <w:p>
      <w:pPr>
        <w:spacing w:after="0" w:line="125"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 in a series of transactions, will not be deemed to be a liquidation, dissolution or winding up of our affairs.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Withdrawal or Removal of our General Partner</w:t>
      </w:r>
    </w:p>
    <w:p>
      <w:pPr>
        <w:spacing w:after="0" w:line="125" w:lineRule="exact"/>
        <w:rPr>
          <w:sz w:val="20"/>
          <w:szCs w:val="20"/>
          <w:color w:val="auto"/>
        </w:rPr>
      </w:pPr>
    </w:p>
    <w:p>
      <w:pPr>
        <w:ind w:right="100" w:firstLine="357"/>
        <w:spacing w:after="0" w:line="257" w:lineRule="auto"/>
        <w:rPr>
          <w:sz w:val="20"/>
          <w:szCs w:val="20"/>
          <w:color w:val="auto"/>
        </w:rPr>
      </w:pPr>
      <w:r>
        <w:rPr>
          <w:rFonts w:ascii="Arial" w:cs="Arial" w:eastAsia="Arial" w:hAnsi="Arial"/>
          <w:sz w:val="19"/>
          <w:szCs w:val="19"/>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3" w:name="page34"/>
    <w:bookmarkEnd w:id="33"/>
    <w:p>
      <w:pPr>
        <w:ind w:right="120"/>
        <w:spacing w:after="0" w:line="267" w:lineRule="auto"/>
        <w:rPr>
          <w:sz w:val="20"/>
          <w:szCs w:val="20"/>
          <w:color w:val="auto"/>
        </w:rPr>
      </w:pPr>
      <w:r>
        <w:rPr>
          <w:rFonts w:ascii="Arial" w:cs="Arial" w:eastAsia="Arial" w:hAnsi="Arial"/>
          <w:sz w:val="19"/>
          <w:szCs w:val="19"/>
          <w:color w:val="auto"/>
        </w:rPr>
        <w:t>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and “— Transfer of Incentive Distribution Rights”.</w:t>
      </w:r>
    </w:p>
    <w:p>
      <w:pPr>
        <w:spacing w:after="0" w:line="68"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50" w:lineRule="exact"/>
        <w:rPr>
          <w:sz w:val="20"/>
          <w:szCs w:val="20"/>
          <w:color w:val="auto"/>
        </w:rPr>
      </w:pPr>
    </w:p>
    <w:p>
      <w:pPr>
        <w:ind w:right="100" w:firstLine="357"/>
        <w:spacing w:after="0" w:line="225" w:lineRule="auto"/>
        <w:rPr>
          <w:sz w:val="20"/>
          <w:szCs w:val="20"/>
          <w:color w:val="auto"/>
        </w:rPr>
      </w:pPr>
      <w:r>
        <w:rPr>
          <w:rFonts w:ascii="Arial" w:cs="Arial" w:eastAsia="Arial" w:hAnsi="Arial"/>
          <w:sz w:val="19"/>
          <w:szCs w:val="19"/>
          <w:color w:val="auto"/>
        </w:rPr>
        <w:t>Our general partner may not be removed unless that removal is approved by the vote of the holders of not less than 66</w:t>
      </w:r>
      <w:r>
        <w:rPr>
          <w:rFonts w:ascii="Arial" w:cs="Arial" w:eastAsia="Arial" w:hAnsi="Arial"/>
          <w:sz w:val="27"/>
          <w:szCs w:val="27"/>
          <w:color w:val="auto"/>
          <w:vertAlign w:val="superscript"/>
        </w:rPr>
        <w:t>2</w:t>
      </w:r>
      <w:r>
        <w:rPr>
          <w:rFonts w:ascii="Arial" w:cs="Arial" w:eastAsia="Arial" w:hAnsi="Arial"/>
          <w:sz w:val="19"/>
          <w:szCs w:val="19"/>
          <w:color w:val="auto"/>
        </w:rPr>
        <w:t>/</w:t>
      </w:r>
      <w:r>
        <w:rPr>
          <w:rFonts w:ascii="Arial" w:cs="Arial" w:eastAsia="Arial" w:hAnsi="Arial"/>
          <w:sz w:val="13"/>
          <w:szCs w:val="13"/>
          <w:color w:val="auto"/>
        </w:rPr>
        <w:t>3</w:t>
      </w:r>
      <w:r>
        <w:rPr>
          <w:rFonts w:ascii="Arial" w:cs="Arial" w:eastAsia="Arial" w:hAnsi="Arial"/>
          <w:sz w:val="19"/>
          <w:szCs w:val="19"/>
          <w:color w:val="auto"/>
        </w:rPr>
        <w:t>% of the outstanding Common Units, including units held by our general partner and its affiliates, voting together as a single class, and we receive an opinion of counsel regarding limited liability. The ownership of more than 33</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3</w:t>
      </w:r>
      <w:r>
        <w:rPr>
          <w:rFonts w:ascii="Arial" w:cs="Arial" w:eastAsia="Arial" w:hAnsi="Arial"/>
          <w:sz w:val="19"/>
          <w:szCs w:val="19"/>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96"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25" w:lineRule="exact"/>
        <w:rPr>
          <w:sz w:val="20"/>
          <w:szCs w:val="20"/>
          <w:color w:val="auto"/>
        </w:rPr>
      </w:pPr>
    </w:p>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105" w:lineRule="exact"/>
        <w:rPr>
          <w:rFonts w:ascii="Arial" w:cs="Arial" w:eastAsia="Arial" w:hAnsi="Arial"/>
          <w:sz w:val="19"/>
          <w:szCs w:val="19"/>
          <w:color w:val="auto"/>
        </w:rPr>
      </w:pPr>
    </w:p>
    <w:p>
      <w:pPr>
        <w:ind w:left="540" w:right="160" w:hanging="168"/>
        <w:spacing w:after="0" w:line="267"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68"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71"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72"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color w:val="auto"/>
        </w:rPr>
        <w:t>Transfer of General Partner Interest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Except for the transfer by our general partner of all, but not less than all, of its general partner interest in us to:</w:t>
      </w:r>
    </w:p>
    <w:p>
      <w:pPr>
        <w:spacing w:after="0" w:line="106" w:lineRule="exact"/>
        <w:rPr>
          <w:sz w:val="20"/>
          <w:szCs w:val="20"/>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 affiliate of our general partner (other than an individual); or</w:t>
      </w:r>
    </w:p>
    <w:p>
      <w:pPr>
        <w:spacing w:after="0" w:line="92"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another entity as part of the merger or consolidation of our general partner with or into another entity or the transfer by our general partner of all or substantially all of its assets to another entity,</w:t>
      </w:r>
    </w:p>
    <w:p>
      <w:pPr>
        <w:spacing w:after="0" w:line="65"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general partner and its affiliates may at any time transfer units to one or more persons, without unitholder approval.</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Ownership Interests in General Partner</w:t>
      </w:r>
    </w:p>
    <w:p>
      <w:pPr>
        <w:spacing w:after="0" w:line="125"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At any time, the members of our general partner may sell or transfer all or part of their respective membership interests in our general partner to an affiliate or a third party without the approval of our unitholders.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Incentive Distribution Rights</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Common Units and Series A Preference Units</w:t>
      </w:r>
    </w:p>
    <w:p>
      <w:pPr>
        <w:spacing w:after="0" w:line="125" w:lineRule="exact"/>
        <w:rPr>
          <w:sz w:val="20"/>
          <w:szCs w:val="20"/>
          <w:color w:val="auto"/>
        </w:rPr>
      </w:pPr>
    </w:p>
    <w:p>
      <w:pPr>
        <w:ind w:right="180" w:firstLine="357"/>
        <w:spacing w:after="0" w:line="262" w:lineRule="auto"/>
        <w:rPr>
          <w:sz w:val="20"/>
          <w:szCs w:val="20"/>
          <w:color w:val="auto"/>
        </w:rPr>
      </w:pPr>
      <w:r>
        <w:rPr>
          <w:rFonts w:ascii="Arial" w:cs="Arial" w:eastAsia="Arial" w:hAnsi="Arial"/>
          <w:sz w:val="19"/>
          <w:szCs w:val="19"/>
          <w:color w:val="auto"/>
        </w:rPr>
        <w:t>By transfer of Common Units or Series A Preference Units in accordance with the partnership agreement, each transferee of Common Units or Series A Preference Units automatically is admitted as a limited partner with respect to the Common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45" w:lineRule="exact"/>
        <w:rPr>
          <w:sz w:val="20"/>
          <w:szCs w:val="20"/>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represent that the transferee has the capacity, power and authority to become bound by the partnership agreement;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agree to be bound by the terms and conditions of, and to have executed, the partnership agreement;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grants power of attorney to officers of our general partner and any liquidator of us as specified in the partnership agreement;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give the consents and approvals contained in the partnership agreement.</w:t>
      </w:r>
    </w:p>
    <w:p>
      <w:pPr>
        <w:spacing w:after="0" w:line="119" w:lineRule="exact"/>
        <w:rPr>
          <w:sz w:val="20"/>
          <w:szCs w:val="20"/>
          <w:color w:val="auto"/>
        </w:rPr>
      </w:pPr>
    </w:p>
    <w:p>
      <w:pPr>
        <w:jc w:val="both"/>
        <w:ind w:right="80" w:firstLine="357"/>
        <w:spacing w:after="0" w:line="267" w:lineRule="auto"/>
        <w:rPr>
          <w:sz w:val="20"/>
          <w:szCs w:val="20"/>
          <w:color w:val="auto"/>
        </w:rPr>
      </w:pPr>
      <w:r>
        <w:rPr>
          <w:rFonts w:ascii="Arial" w:cs="Arial" w:eastAsia="Arial" w:hAnsi="Arial"/>
          <w:sz w:val="19"/>
          <w:szCs w:val="19"/>
          <w:color w:val="auto"/>
        </w:rPr>
        <w:t>We are entitled to treat the nominee holder of a Common Unit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5" w:name="page36"/>
    <w:bookmarkEnd w:id="35"/>
    <w:p>
      <w:pPr>
        <w:ind w:right="220" w:firstLine="357"/>
        <w:spacing w:after="0" w:line="267" w:lineRule="auto"/>
        <w:rPr>
          <w:sz w:val="20"/>
          <w:szCs w:val="20"/>
          <w:color w:val="auto"/>
        </w:rPr>
      </w:pPr>
      <w:r>
        <w:rPr>
          <w:rFonts w:ascii="Arial" w:cs="Arial" w:eastAsia="Arial" w:hAnsi="Arial"/>
          <w:sz w:val="19"/>
          <w:szCs w:val="19"/>
          <w:color w:val="auto"/>
        </w:rPr>
        <w:t>Common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68" w:lineRule="exact"/>
        <w:rPr>
          <w:sz w:val="20"/>
          <w:szCs w:val="20"/>
          <w:color w:val="auto"/>
        </w:rPr>
      </w:pPr>
    </w:p>
    <w:p>
      <w:pPr>
        <w:ind w:right="60" w:firstLine="357"/>
        <w:spacing w:after="0" w:line="312" w:lineRule="auto"/>
        <w:rPr>
          <w:sz w:val="20"/>
          <w:szCs w:val="20"/>
          <w:color w:val="auto"/>
        </w:rPr>
      </w:pPr>
      <w:r>
        <w:rPr>
          <w:rFonts w:ascii="Arial" w:cs="Arial" w:eastAsia="Arial" w:hAnsi="Arial"/>
          <w:sz w:val="18"/>
          <w:szCs w:val="18"/>
          <w:color w:val="auto"/>
        </w:rPr>
        <w:t>Until a Common Unit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of Management Provisions</w:t>
      </w:r>
    </w:p>
    <w:p>
      <w:pPr>
        <w:spacing w:after="0" w:line="125" w:lineRule="exact"/>
        <w:rPr>
          <w:sz w:val="20"/>
          <w:szCs w:val="20"/>
          <w:color w:val="auto"/>
        </w:rPr>
      </w:pPr>
    </w:p>
    <w:p>
      <w:pPr>
        <w:ind w:right="60" w:firstLine="357"/>
        <w:spacing w:after="0" w:line="291" w:lineRule="auto"/>
        <w:rPr>
          <w:sz w:val="20"/>
          <w:szCs w:val="20"/>
          <w:color w:val="auto"/>
        </w:rPr>
      </w:pPr>
      <w:r>
        <w:rPr>
          <w:rFonts w:ascii="Arial" w:cs="Arial" w:eastAsia="Arial" w:hAnsi="Arial"/>
          <w:sz w:val="17"/>
          <w:szCs w:val="17"/>
          <w:color w:val="auto"/>
        </w:rPr>
        <w:t>The partnership agreement contains specific provisions that are intended to discourage a person or group from attempting to remove GasLog Partners GP LLC as our general partner or otherwise change management. If any person or group acquires beneficial ownership of more than</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65"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38" w:lineRule="exact"/>
        <w:rPr>
          <w:sz w:val="20"/>
          <w:szCs w:val="20"/>
          <w:color w:val="auto"/>
        </w:rPr>
      </w:pPr>
    </w:p>
    <w:p>
      <w:pPr>
        <w:ind w:left="540" w:hanging="168"/>
        <w:spacing w:after="0"/>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105" w:lineRule="exact"/>
        <w:rPr>
          <w:rFonts w:ascii="Arial" w:cs="Arial" w:eastAsia="Arial" w:hAnsi="Arial"/>
          <w:sz w:val="19"/>
          <w:szCs w:val="19"/>
          <w:color w:val="auto"/>
        </w:rPr>
      </w:pPr>
    </w:p>
    <w:p>
      <w:pPr>
        <w:ind w:left="540" w:right="380" w:hanging="168"/>
        <w:spacing w:after="0" w:line="283" w:lineRule="auto"/>
        <w:tabs>
          <w:tab w:leader="none" w:pos="5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into Common Units or to receive cash in exchange for that interest.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Limited Call Right</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71"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September 29, 2017, our board of directors is comprised of seven persons. Our general partner has appointed four of our seven directors and the common unitholders elected the remaining three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77" w:right="319" w:bottom="1440" w:gutter="0" w:footer="0" w:header="0"/>
        </w:sectPr>
      </w:pPr>
    </w:p>
    <w:bookmarkStart w:id="36" w:name="page37"/>
    <w:bookmarkEnd w:id="36"/>
    <w:p>
      <w:pPr>
        <w:jc w:val="both"/>
        <w:ind w:right="120"/>
        <w:spacing w:after="0" w:line="313" w:lineRule="auto"/>
        <w:rPr>
          <w:sz w:val="20"/>
          <w:szCs w:val="20"/>
          <w:color w:val="auto"/>
        </w:rPr>
      </w:pPr>
      <w:r>
        <w:rPr>
          <w:rFonts w:ascii="Arial" w:cs="Arial" w:eastAsia="Arial" w:hAnsi="Arial"/>
          <w:sz w:val="17"/>
          <w:szCs w:val="17"/>
          <w:color w:val="auto"/>
        </w:rPr>
        <w:t>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32"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Under certain limited circumstances, holders of our Series A Preference Units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68" w:lineRule="exact"/>
        <w:rPr>
          <w:sz w:val="20"/>
          <w:szCs w:val="20"/>
          <w:color w:val="auto"/>
        </w:rPr>
      </w:pPr>
    </w:p>
    <w:p>
      <w:pPr>
        <w:ind w:right="60" w:firstLine="357"/>
        <w:spacing w:after="0" w:line="275"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49" w:lineRule="exact"/>
        <w:rPr>
          <w:sz w:val="20"/>
          <w:szCs w:val="20"/>
          <w:color w:val="auto"/>
        </w:rPr>
      </w:pPr>
    </w:p>
    <w:p>
      <w:pPr>
        <w:ind w:left="540" w:hanging="168"/>
        <w:spacing w:after="0"/>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name and address of the limited partner or limited partners making the nomination or nominations;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number of Common Units beneficially owned by the limited partner or limited partners;</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written consent of the nominee(s) to serve as a member of our board of directors if so elected;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certification that the nominee(s) qualify as elected board members.</w:t>
      </w:r>
    </w:p>
    <w:p>
      <w:pPr>
        <w:spacing w:after="0" w:line="119"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Meetings; Voting</w:t>
      </w:r>
    </w:p>
    <w:p>
      <w:pPr>
        <w:spacing w:after="0" w:line="125" w:lineRule="exact"/>
        <w:rPr>
          <w:sz w:val="20"/>
          <w:szCs w:val="20"/>
          <w:color w:val="auto"/>
        </w:rPr>
      </w:pPr>
    </w:p>
    <w:p>
      <w:pPr>
        <w:ind w:right="200" w:firstLine="357"/>
        <w:spacing w:after="0" w:line="259" w:lineRule="auto"/>
        <w:rPr>
          <w:sz w:val="20"/>
          <w:szCs w:val="20"/>
          <w:color w:val="auto"/>
        </w:rPr>
      </w:pPr>
      <w:r>
        <w:rPr>
          <w:rFonts w:ascii="Arial" w:cs="Arial" w:eastAsia="Arial" w:hAnsi="Arial"/>
          <w:sz w:val="19"/>
          <w:szCs w:val="19"/>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 Holders of the Series A Preference Units generally have no voting rights. However, holders of the Series A Preference Units have limited voting rights as described under “—Voting Rights.</w:t>
      </w:r>
    </w:p>
    <w:p>
      <w:pPr>
        <w:spacing w:after="0" w:line="77" w:lineRule="exact"/>
        <w:rPr>
          <w:sz w:val="20"/>
          <w:szCs w:val="20"/>
          <w:color w:val="auto"/>
        </w:rPr>
      </w:pPr>
    </w:p>
    <w:p>
      <w:pPr>
        <w:ind w:right="740" w:firstLine="357"/>
        <w:spacing w:after="0" w:line="283" w:lineRule="auto"/>
        <w:rPr>
          <w:sz w:val="20"/>
          <w:szCs w:val="20"/>
          <w:color w:val="auto"/>
        </w:rPr>
      </w:pPr>
      <w:r>
        <w:rPr>
          <w:rFonts w:ascii="Arial" w:cs="Arial" w:eastAsia="Arial" w:hAnsi="Arial"/>
          <w:sz w:val="19"/>
          <w:szCs w:val="19"/>
          <w:color w:val="auto"/>
        </w:rPr>
        <w:t>Except as described below regarding a person or group owning more than 4.9% of any class or series of limited partner interests then outstanding, limited partners who are record holders of units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7" w:name="page38"/>
    <w:bookmarkEnd w:id="37"/>
    <w:p>
      <w:pPr>
        <w:ind w:right="60"/>
        <w:spacing w:after="0" w:line="283" w:lineRule="auto"/>
        <w:rPr>
          <w:sz w:val="20"/>
          <w:szCs w:val="20"/>
          <w:color w:val="auto"/>
        </w:rPr>
      </w:pPr>
      <w:r>
        <w:rPr>
          <w:rFonts w:ascii="Arial" w:cs="Arial" w:eastAsia="Arial" w:hAnsi="Arial"/>
          <w:sz w:val="19"/>
          <w:szCs w:val="19"/>
          <w:color w:val="auto"/>
        </w:rPr>
        <w:t>on the record date will be entitled to notice of, and to vote at, meetings of our limited partners and to act upon matters for which approvals may be solicited.</w:t>
      </w:r>
    </w:p>
    <w:p>
      <w:pPr>
        <w:spacing w:after="0" w:line="52" w:lineRule="exact"/>
        <w:rPr>
          <w:sz w:val="20"/>
          <w:szCs w:val="20"/>
          <w:color w:val="auto"/>
        </w:rPr>
      </w:pPr>
    </w:p>
    <w:p>
      <w:pPr>
        <w:ind w:right="100" w:firstLine="357"/>
        <w:spacing w:after="0" w:line="271" w:lineRule="auto"/>
        <w:rPr>
          <w:sz w:val="20"/>
          <w:szCs w:val="20"/>
          <w:color w:val="auto"/>
        </w:rPr>
      </w:pPr>
      <w:r>
        <w:rPr>
          <w:rFonts w:ascii="Arial" w:cs="Arial" w:eastAsia="Arial" w:hAnsi="Arial"/>
          <w:sz w:val="18"/>
          <w:szCs w:val="18"/>
          <w:color w:val="auto"/>
        </w:rPr>
        <w:t xml:space="preserve">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 by proxy at meetings. The holders of 33 </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8"/>
          <w:szCs w:val="18"/>
          <w:color w:val="auto"/>
          <w:vertAlign w:val="subscript"/>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71"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74" w:lineRule="exact"/>
        <w:rPr>
          <w:sz w:val="20"/>
          <w:szCs w:val="20"/>
          <w:color w:val="auto"/>
        </w:rPr>
      </w:pPr>
    </w:p>
    <w:p>
      <w:pPr>
        <w:ind w:right="20" w:firstLine="357"/>
        <w:spacing w:after="0" w:line="312"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or Series A Preference Units under the partnership agreement will be delivered to the record holder by us or by the transfer agent.</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Status as Limited Partner or Assignee</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Except as described above under “—Limited Liability”, the Common Units and Series A Preference Units will be fully paid, and unitholders will not be required to make additional contributions. By transfer of Common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w:t>
      </w:r>
    </w:p>
    <w:p>
      <w:pPr>
        <w:spacing w:after="0" w:line="125"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Under the partnership agreement, in most circumstances, we will indemnify the following persons, to the fullest extent permitted by law, from and against all losses, claims, damages or similar events:</w:t>
      </w:r>
    </w:p>
    <w:p>
      <w:pPr>
        <w:spacing w:after="0" w:line="38" w:lineRule="exact"/>
        <w:rPr>
          <w:sz w:val="20"/>
          <w:szCs w:val="20"/>
          <w:color w:val="auto"/>
        </w:rPr>
      </w:pPr>
    </w:p>
    <w:p>
      <w:pPr>
        <w:ind w:left="780" w:hanging="323"/>
        <w:spacing w:after="0"/>
        <w:tabs>
          <w:tab w:leader="none" w:pos="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our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departing general partner;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38" w:name="page39"/>
    <w:bookmarkEnd w:id="38"/>
    <w:p>
      <w:pPr>
        <w:ind w:left="780" w:hanging="323"/>
        <w:spacing w:after="0"/>
        <w:tabs>
          <w:tab w:leader="none" w:pos="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person who is or was an affiliate of our general partner or any departing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person who is or was an officer, director, member, fiduciary or trustee of any entity described in (1), (2) or (3) above;</w:t>
      </w:r>
    </w:p>
    <w:p>
      <w:pPr>
        <w:spacing w:after="0" w:line="105" w:lineRule="exact"/>
        <w:rPr>
          <w:rFonts w:ascii="Arial" w:cs="Arial" w:eastAsia="Arial" w:hAnsi="Arial"/>
          <w:sz w:val="19"/>
          <w:szCs w:val="19"/>
          <w:color w:val="auto"/>
        </w:rPr>
      </w:pPr>
    </w:p>
    <w:p>
      <w:pPr>
        <w:ind w:left="780" w:right="380" w:hanging="323"/>
        <w:spacing w:after="0" w:line="283" w:lineRule="auto"/>
        <w:tabs>
          <w:tab w:leader="none" w:pos="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person who is or was serving as a director, officer, member, fiduciary or trustee of another person at the request of our board of directors, our general partner or any departing general partner;</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our officers;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person designated by our board of directors; and</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members of our board of directors.</w:t>
      </w:r>
    </w:p>
    <w:p>
      <w:pPr>
        <w:spacing w:after="0" w:line="119"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Reimbursement of Expenses</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Books and Reports</w:t>
      </w:r>
    </w:p>
    <w:p>
      <w:pPr>
        <w:spacing w:after="0" w:line="125" w:lineRule="exact"/>
        <w:rPr>
          <w:sz w:val="20"/>
          <w:szCs w:val="20"/>
          <w:color w:val="auto"/>
        </w:rPr>
      </w:pPr>
    </w:p>
    <w:p>
      <w:pPr>
        <w:ind w:right="140" w:firstLine="357"/>
        <w:spacing w:after="0" w:line="344" w:lineRule="auto"/>
        <w:rPr>
          <w:sz w:val="20"/>
          <w:szCs w:val="20"/>
          <w:color w:val="auto"/>
        </w:rPr>
      </w:pPr>
      <w:r>
        <w:rPr>
          <w:rFonts w:ascii="Arial" w:cs="Arial" w:eastAsia="Arial" w:hAnsi="Arial"/>
          <w:sz w:val="17"/>
          <w:szCs w:val="17"/>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 to Inspect Our Books and Records</w:t>
      </w:r>
    </w:p>
    <w:p>
      <w:pPr>
        <w:spacing w:after="0" w:line="125" w:lineRule="exact"/>
        <w:rPr>
          <w:sz w:val="20"/>
          <w:szCs w:val="20"/>
          <w:color w:val="auto"/>
        </w:rPr>
      </w:pPr>
    </w:p>
    <w:p>
      <w:pPr>
        <w:ind w:right="280" w:firstLine="357"/>
        <w:spacing w:after="0" w:line="339" w:lineRule="auto"/>
        <w:rPr>
          <w:sz w:val="20"/>
          <w:szCs w:val="20"/>
          <w:color w:val="auto"/>
        </w:rPr>
      </w:pPr>
      <w:r>
        <w:rPr>
          <w:rFonts w:ascii="Arial" w:cs="Arial" w:eastAsia="Arial" w:hAnsi="Arial"/>
          <w:sz w:val="17"/>
          <w:szCs w:val="17"/>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2" w:lineRule="exact"/>
        <w:rPr>
          <w:sz w:val="20"/>
          <w:szCs w:val="20"/>
          <w:color w:val="auto"/>
        </w:rPr>
      </w:pPr>
    </w:p>
    <w:p>
      <w:pPr>
        <w:ind w:left="780" w:hanging="323"/>
        <w:spacing w:after="0"/>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current list of the name and last known address of each partner;</w:t>
      </w:r>
    </w:p>
    <w:p>
      <w:pPr>
        <w:spacing w:after="0" w:line="105" w:lineRule="exact"/>
        <w:rPr>
          <w:rFonts w:ascii="Arial" w:cs="Arial" w:eastAsia="Arial" w:hAnsi="Arial"/>
          <w:sz w:val="19"/>
          <w:szCs w:val="19"/>
          <w:color w:val="auto"/>
        </w:rPr>
      </w:pPr>
    </w:p>
    <w:p>
      <w:pPr>
        <w:ind w:left="780" w:right="100" w:hanging="323"/>
        <w:spacing w:after="0" w:line="283" w:lineRule="auto"/>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information as to the amount of cash, and a description and statement of the agreed value of any other property or services, contributed or to be contributed by each partner and the date on which each became a partner;</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copies of the partnership agreement, the certificate of limited partnership of the partnership and related amendments;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information regarding the status of our business and financial position; and</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other information regarding our affairs as is just and reasonable.</w:t>
      </w:r>
    </w:p>
    <w:p>
      <w:pPr>
        <w:spacing w:after="0" w:line="119"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64" w:right="319" w:bottom="1440" w:gutter="0" w:footer="0" w:header="0"/>
        </w:sectPr>
      </w:pPr>
    </w:p>
    <w:bookmarkStart w:id="39" w:name="page40"/>
    <w:bookmarkEnd w:id="39"/>
    <w:p>
      <w:pPr>
        <w:spacing w:after="0"/>
        <w:rPr>
          <w:sz w:val="20"/>
          <w:szCs w:val="20"/>
          <w:color w:val="auto"/>
        </w:rPr>
      </w:pPr>
      <w:r>
        <w:rPr>
          <w:rFonts w:ascii="Arial" w:cs="Arial" w:eastAsia="Arial" w:hAnsi="Arial"/>
          <w:sz w:val="19"/>
          <w:szCs w:val="19"/>
          <w:b w:val="1"/>
          <w:bCs w:val="1"/>
          <w:color w:val="auto"/>
        </w:rPr>
        <w:t>Registration Rights</w:t>
      </w:r>
    </w:p>
    <w:p>
      <w:pPr>
        <w:spacing w:after="0" w:line="125" w:lineRule="exact"/>
        <w:rPr>
          <w:sz w:val="20"/>
          <w:szCs w:val="20"/>
          <w:color w:val="auto"/>
        </w:rPr>
      </w:pPr>
    </w:p>
    <w:p>
      <w:pPr>
        <w:ind w:right="220" w:firstLine="357"/>
        <w:spacing w:after="0" w:line="294" w:lineRule="auto"/>
        <w:rPr>
          <w:sz w:val="20"/>
          <w:szCs w:val="20"/>
          <w:color w:val="auto"/>
        </w:rPr>
      </w:pPr>
      <w:r>
        <w:rPr>
          <w:rFonts w:ascii="Arial" w:cs="Arial" w:eastAsia="Arial" w:hAnsi="Arial"/>
          <w:sz w:val="17"/>
          <w:szCs w:val="17"/>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OUR CASH DISTRIBUTION POLICY AND RESTRICTIONS ON DISTRIBUTIONS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Rationale for Our Cash Distribution Policy</w:t>
      </w:r>
    </w:p>
    <w:p>
      <w:pPr>
        <w:spacing w:after="0" w:line="119"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Cash Distributions and Our Ability to Change Our Cash Distribution Policy</w:t>
      </w:r>
    </w:p>
    <w:p>
      <w:pPr>
        <w:spacing w:after="0" w:line="119"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There is no guarantee that unitholders will receive quarterly distributions from us. Our distribution policy is subject to certain restrictions and may be changed at any time, including:</w:t>
      </w:r>
    </w:p>
    <w:p>
      <w:pPr>
        <w:spacing w:after="0" w:line="25" w:lineRule="exact"/>
        <w:rPr>
          <w:sz w:val="20"/>
          <w:szCs w:val="20"/>
          <w:color w:val="auto"/>
        </w:rPr>
      </w:pPr>
    </w:p>
    <w:p>
      <w:pPr>
        <w:ind w:left="540" w:right="20" w:hanging="168"/>
        <w:spacing w:after="0" w:line="267" w:lineRule="auto"/>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54" w:lineRule="exact"/>
        <w:rPr>
          <w:rFonts w:ascii="Arial" w:cs="Arial" w:eastAsia="Arial" w:hAnsi="Arial"/>
          <w:sz w:val="19"/>
          <w:szCs w:val="19"/>
          <w:color w:val="auto"/>
        </w:rPr>
      </w:pPr>
    </w:p>
    <w:p>
      <w:pPr>
        <w:ind w:left="540" w:hanging="168"/>
        <w:spacing w:after="0" w:line="262" w:lineRule="auto"/>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58" w:lineRule="exact"/>
        <w:rPr>
          <w:rFonts w:ascii="Arial" w:cs="Arial" w:eastAsia="Arial" w:hAnsi="Arial"/>
          <w:sz w:val="19"/>
          <w:szCs w:val="19"/>
          <w:color w:val="auto"/>
        </w:rPr>
      </w:pPr>
    </w:p>
    <w:p>
      <w:pPr>
        <w:ind w:left="540" w:right="180" w:hanging="168"/>
        <w:spacing w:after="0" w:line="294"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35" w:lineRule="exact"/>
        <w:rPr>
          <w:rFonts w:ascii="Arial" w:cs="Arial" w:eastAsia="Arial" w:hAnsi="Arial"/>
          <w:sz w:val="17"/>
          <w:szCs w:val="17"/>
          <w:color w:val="auto"/>
        </w:rPr>
      </w:pPr>
    </w:p>
    <w:p>
      <w:pPr>
        <w:ind w:left="540" w:right="160" w:hanging="168"/>
        <w:spacing w:after="0" w:line="262" w:lineRule="auto"/>
        <w:tabs>
          <w:tab w:leader="none" w:pos="5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approximately 26.1% of our Common Units and indirectly 2.0% of our general partnership units outstanding as of September 29, 2017.</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40" w:name="page41"/>
    <w:bookmarkEnd w:id="40"/>
    <w:p>
      <w:pPr>
        <w:ind w:left="540" w:right="220" w:hanging="168"/>
        <w:spacing w:after="0" w:line="267" w:lineRule="auto"/>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54"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Under Section 51 of the Marshall Islands Act, we may not make a distribution to you if the distribution would cause our liabilities to exceed the fair value of our assets.</w:t>
      </w:r>
    </w:p>
    <w:p>
      <w:pPr>
        <w:spacing w:after="0" w:line="38" w:lineRule="exact"/>
        <w:rPr>
          <w:rFonts w:ascii="Arial" w:cs="Arial" w:eastAsia="Arial" w:hAnsi="Arial"/>
          <w:sz w:val="19"/>
          <w:szCs w:val="19"/>
          <w:color w:val="auto"/>
        </w:rPr>
      </w:pPr>
    </w:p>
    <w:p>
      <w:pPr>
        <w:ind w:left="540" w:right="140" w:hanging="168"/>
        <w:spacing w:after="0" w:line="262" w:lineRule="auto"/>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72" w:lineRule="exact"/>
        <w:rPr>
          <w:sz w:val="20"/>
          <w:szCs w:val="20"/>
          <w:color w:val="auto"/>
        </w:rPr>
      </w:pPr>
    </w:p>
    <w:p>
      <w:pPr>
        <w:ind w:right="240" w:firstLine="357"/>
        <w:spacing w:after="0" w:line="28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Series A Preference Unit Distributions</w:t>
      </w:r>
    </w:p>
    <w:p>
      <w:pPr>
        <w:spacing w:after="0" w:line="125"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We issued 5,750,000 of our Series A Preference Units on May 15, 2017. 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(equal to $2.15625 per annum per unit). From and including June 15, 2027, the distribution rate will be a floating rate equal to three-month LIBOR plus a spread of 6.31% per annum per $25.00 of liquidation preference per unit. Distributions on Series A Preference Units are cumulative from May 15, 2017 and will be payable on the 15th of March, June, September and December of each year, commencing on September 15, 2017,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A Preference Units through the most recent distribution payment date. Holders of the Series A Preference Units will not be entitled to any distribution, whether payable in cash, property or units, in excess of full cumulative distributions.</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640" w:firstLine="357"/>
        <w:spacing w:after="0" w:line="267" w:lineRule="auto"/>
        <w:rPr>
          <w:sz w:val="20"/>
          <w:szCs w:val="20"/>
          <w:color w:val="auto"/>
        </w:rPr>
      </w:pPr>
      <w:r>
        <w:rPr>
          <w:rFonts w:ascii="Arial" w:cs="Arial" w:eastAsia="Arial" w:hAnsi="Arial"/>
          <w:sz w:val="19"/>
          <w:szCs w:val="19"/>
          <w:color w:val="auto"/>
        </w:rPr>
        <w:t>Within 45 days after the end of each quarter we will distribute all of our available cash (defined below) to unitholders of record on the applicable record date, subject to distributions with respect to Series A Preference Units as described under “—Series A Preference Unit Distributions”.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Available Cash</w:t>
      </w:r>
    </w:p>
    <w:p>
      <w:pPr>
        <w:spacing w:after="0" w:line="119"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Available cash generally means, for each fiscal quarter, all cash on hand at the end of the quarter (including our proportionate share of cash on hand of any subsidiaries we do not wholly own):</w:t>
      </w:r>
    </w:p>
    <w:p>
      <w:pPr>
        <w:spacing w:after="0" w:line="38" w:lineRule="exact"/>
        <w:rPr>
          <w:sz w:val="20"/>
          <w:szCs w:val="20"/>
          <w:color w:val="auto"/>
        </w:rPr>
      </w:pPr>
    </w:p>
    <w:p>
      <w:pPr>
        <w:ind w:left="540" w:right="80" w:hanging="168"/>
        <w:spacing w:after="0" w:line="283" w:lineRule="auto"/>
        <w:tabs>
          <w:tab w:leader="none" w:pos="540"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less</w:t>
      </w:r>
      <w:r>
        <w:rPr>
          <w:rFonts w:ascii="Arial" w:cs="Arial" w:eastAsia="Arial" w:hAnsi="Arial"/>
          <w:sz w:val="19"/>
          <w:szCs w:val="19"/>
          <w:color w:val="auto"/>
        </w:rPr>
        <w:t>, the amount of cash reserves (including our proportionate share of cash reserves of any subsidiaries we do not wholly own) established</w:t>
      </w:r>
      <w:r>
        <w:rPr>
          <w:rFonts w:ascii="Arial" w:cs="Arial" w:eastAsia="Arial" w:hAnsi="Arial"/>
          <w:sz w:val="19"/>
          <w:szCs w:val="19"/>
          <w:i w:val="1"/>
          <w:iCs w:val="1"/>
          <w:color w:val="auto"/>
        </w:rPr>
        <w:t xml:space="preserve"> </w:t>
      </w:r>
      <w:r>
        <w:rPr>
          <w:rFonts w:ascii="Arial" w:cs="Arial" w:eastAsia="Arial" w:hAnsi="Arial"/>
          <w:sz w:val="19"/>
          <w:szCs w:val="19"/>
          <w:color w:val="auto"/>
        </w:rPr>
        <w:t>by our board of directors and our subsidiaries to:</w:t>
      </w:r>
    </w:p>
    <w:p>
      <w:pPr>
        <w:spacing w:after="0" w:line="38" w:lineRule="exact"/>
        <w:rPr>
          <w:rFonts w:ascii="Arial" w:cs="Arial" w:eastAsia="Arial" w:hAnsi="Arial"/>
          <w:sz w:val="19"/>
          <w:szCs w:val="19"/>
          <w:color w:val="auto"/>
        </w:rPr>
      </w:pPr>
    </w:p>
    <w:p>
      <w:pPr>
        <w:ind w:left="720" w:hanging="158"/>
        <w:spacing w:after="0"/>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for our anticipated credit needs);</w:t>
      </w:r>
    </w:p>
    <w:p>
      <w:pPr>
        <w:spacing w:after="0" w:line="117" w:lineRule="exact"/>
        <w:rPr>
          <w:rFonts w:ascii="Arial" w:cs="Arial" w:eastAsia="Arial" w:hAnsi="Arial"/>
          <w:sz w:val="18"/>
          <w:szCs w:val="18"/>
          <w:color w:val="auto"/>
        </w:rPr>
      </w:pPr>
    </w:p>
    <w:p>
      <w:pPr>
        <w:ind w:left="720" w:hanging="158"/>
        <w:spacing w:after="0"/>
        <w:tabs>
          <w:tab w:leader="none" w:pos="720" w:val="left"/>
        </w:tabs>
        <w:numPr>
          <w:ilvl w:val="1"/>
          <w:numId w:val="38"/>
        </w:numPr>
        <w:rPr>
          <w:rFonts w:ascii="Arial" w:cs="Arial" w:eastAsia="Arial" w:hAnsi="Arial"/>
          <w:sz w:val="19"/>
          <w:szCs w:val="19"/>
          <w:color w:val="auto"/>
        </w:rPr>
      </w:pPr>
      <w:r>
        <w:rPr>
          <w:rFonts w:ascii="Arial" w:cs="Arial" w:eastAsia="Arial" w:hAnsi="Arial"/>
          <w:sz w:val="19"/>
          <w:szCs w:val="19"/>
          <w:color w:val="auto"/>
        </w:rPr>
        <w:t>comply with applicable law, any of our debt instruments or other agreements;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41" w:name="page42"/>
    <w:bookmarkEnd w:id="41"/>
    <w:p>
      <w:pPr>
        <w:ind w:left="720" w:hanging="158"/>
        <w:spacing w:after="0"/>
        <w:tabs>
          <w:tab w:leader="none" w:pos="7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provide funds for Series A Preference Unit distributions and Series A Preference Unit redemption payments; and/or</w:t>
      </w:r>
    </w:p>
    <w:p>
      <w:pPr>
        <w:spacing w:after="0" w:line="105" w:lineRule="exact"/>
        <w:rPr>
          <w:rFonts w:ascii="Arial" w:cs="Arial" w:eastAsia="Arial" w:hAnsi="Arial"/>
          <w:sz w:val="19"/>
          <w:szCs w:val="19"/>
          <w:color w:val="auto"/>
        </w:rPr>
      </w:pPr>
    </w:p>
    <w:p>
      <w:pPr>
        <w:jc w:val="both"/>
        <w:ind w:left="720" w:right="180" w:hanging="158"/>
        <w:spacing w:after="0" w:line="267" w:lineRule="auto"/>
        <w:tabs>
          <w:tab w:leader="none" w:pos="7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54" w:lineRule="exact"/>
        <w:rPr>
          <w:rFonts w:ascii="Arial" w:cs="Arial" w:eastAsia="Arial" w:hAnsi="Arial"/>
          <w:sz w:val="19"/>
          <w:szCs w:val="19"/>
          <w:color w:val="auto"/>
        </w:rPr>
      </w:pPr>
    </w:p>
    <w:p>
      <w:pPr>
        <w:ind w:left="540" w:right="80" w:hanging="168"/>
        <w:spacing w:after="0" w:line="258" w:lineRule="auto"/>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plus</w:t>
      </w:r>
      <w:r>
        <w:rPr>
          <w:rFonts w:ascii="Arial" w:cs="Arial" w:eastAsia="Arial" w:hAnsi="Arial"/>
          <w:sz w:val="19"/>
          <w:szCs w:val="19"/>
          <w:color w:val="auto"/>
        </w:rPr>
        <w:t>, all cash on hand (including our proportionate share of cash on hand of any subsidiaries we do not wholly own) on the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determination 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Intent to Distribute the Minimum Quarterly Distribution</w:t>
      </w:r>
    </w:p>
    <w:p>
      <w:pPr>
        <w:spacing w:after="0" w:line="11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We intend to distribute to the holders of Common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54"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There is no guarantee that we will pay the minimum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Surplus and Capital Surplus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Operating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Operating surplus for any period generally means:</w:t>
      </w:r>
    </w:p>
    <w:p>
      <w:pPr>
        <w:spacing w:after="0" w:line="106" w:lineRule="exact"/>
        <w:rPr>
          <w:sz w:val="20"/>
          <w:szCs w:val="20"/>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$19.0 million; </w:t>
      </w:r>
      <w:r>
        <w:rPr>
          <w:rFonts w:ascii="Arial" w:cs="Arial" w:eastAsia="Arial" w:hAnsi="Arial"/>
          <w:sz w:val="19"/>
          <w:szCs w:val="19"/>
          <w:i w:val="1"/>
          <w:iCs w:val="1"/>
          <w:color w:val="auto"/>
        </w:rPr>
        <w:t>plus</w:t>
      </w:r>
    </w:p>
    <w:p>
      <w:pPr>
        <w:spacing w:after="0" w:line="105" w:lineRule="exact"/>
        <w:rPr>
          <w:rFonts w:ascii="Arial" w:cs="Arial" w:eastAsia="Arial" w:hAnsi="Arial"/>
          <w:sz w:val="19"/>
          <w:szCs w:val="19"/>
          <w:color w:val="auto"/>
        </w:rPr>
      </w:pPr>
    </w:p>
    <w:p>
      <w:pPr>
        <w:ind w:left="540" w:right="20" w:hanging="168"/>
        <w:spacing w:after="0" w:line="288"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w:t>
      </w:r>
    </w:p>
    <w:p>
      <w:pPr>
        <w:spacing w:after="0" w:line="1" w:lineRule="exact"/>
        <w:rPr>
          <w:rFonts w:ascii="Arial" w:cs="Arial" w:eastAsia="Arial" w:hAnsi="Arial"/>
          <w:sz w:val="17"/>
          <w:szCs w:val="17"/>
          <w:color w:val="auto"/>
        </w:rPr>
      </w:pPr>
    </w:p>
    <w:p>
      <w:pPr>
        <w:ind w:left="540" w:right="560"/>
        <w:spacing w:after="0" w:line="293" w:lineRule="auto"/>
        <w:rPr>
          <w:rFonts w:ascii="Arial" w:cs="Arial" w:eastAsia="Arial" w:hAnsi="Arial"/>
          <w:sz w:val="17"/>
          <w:szCs w:val="17"/>
          <w:color w:val="auto"/>
        </w:rPr>
      </w:pPr>
      <w:r>
        <w:rPr>
          <w:rFonts w:ascii="Arial" w:cs="Arial" w:eastAsia="Arial" w:hAnsi="Arial"/>
          <w:sz w:val="18"/>
          <w:szCs w:val="18"/>
          <w:color w:val="auto"/>
        </w:rPr>
        <w:t xml:space="preserve">(1) borrowings, other than working capital borrowings, (2) sales of equity and debt securities, (3) sales or other dispositions of assets outside the ordinary course of business, (4) capital contributions or (5) corporate reorganizations or restructurings; </w:t>
      </w:r>
      <w:r>
        <w:rPr>
          <w:rFonts w:ascii="Arial" w:cs="Arial" w:eastAsia="Arial" w:hAnsi="Arial"/>
          <w:sz w:val="18"/>
          <w:szCs w:val="18"/>
          <w:i w:val="1"/>
          <w:iCs w:val="1"/>
          <w:color w:val="auto"/>
        </w:rPr>
        <w:t>plus</w:t>
      </w:r>
    </w:p>
    <w:p>
      <w:pPr>
        <w:spacing w:after="0" w:line="32" w:lineRule="exact"/>
        <w:rPr>
          <w:rFonts w:ascii="Arial" w:cs="Arial" w:eastAsia="Arial" w:hAnsi="Arial"/>
          <w:sz w:val="17"/>
          <w:szCs w:val="17"/>
          <w:color w:val="auto"/>
        </w:rPr>
      </w:pPr>
    </w:p>
    <w:p>
      <w:pPr>
        <w:ind w:left="540" w:right="200" w:hanging="168"/>
        <w:spacing w:after="0" w:line="283" w:lineRule="auto"/>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400" w:hanging="168"/>
        <w:spacing w:after="0" w:line="344"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42" w:name="page43"/>
    <w:bookmarkEnd w:id="42"/>
    <w:p>
      <w:pPr>
        <w:ind w:left="540" w:right="280"/>
        <w:spacing w:after="0" w:line="313" w:lineRule="auto"/>
        <w:rPr>
          <w:sz w:val="20"/>
          <w:szCs w:val="20"/>
          <w:color w:val="auto"/>
        </w:rPr>
      </w:pPr>
      <w:r>
        <w:rPr>
          <w:rFonts w:ascii="Arial" w:cs="Arial" w:eastAsia="Arial" w:hAnsi="Arial"/>
          <w:sz w:val="17"/>
          <w:szCs w:val="17"/>
          <w:color w:val="auto"/>
        </w:rPr>
        <w:t xml:space="preserve">proportionate share of such interest and cash distributions paid by any subsidiaries we do not wholly own), in each case, to finance all or any portion of the construction, replacement or 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7"/>
          <w:szCs w:val="17"/>
          <w:i w:val="1"/>
          <w:iCs w:val="1"/>
          <w:color w:val="auto"/>
        </w:rPr>
        <w:t>plus</w:t>
      </w:r>
    </w:p>
    <w:p>
      <w:pPr>
        <w:spacing w:after="0" w:line="19" w:lineRule="exact"/>
        <w:rPr>
          <w:sz w:val="20"/>
          <w:szCs w:val="20"/>
          <w:color w:val="auto"/>
        </w:rPr>
      </w:pPr>
    </w:p>
    <w:p>
      <w:pPr>
        <w:ind w:left="540" w:right="220" w:hanging="168"/>
        <w:spacing w:after="0" w:line="297"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7"/>
          <w:szCs w:val="17"/>
          <w:i w:val="1"/>
          <w:iCs w:val="1"/>
          <w:color w:val="auto"/>
        </w:rPr>
        <w:t>less</w:t>
      </w:r>
    </w:p>
    <w:p>
      <w:pPr>
        <w:spacing w:after="0" w:line="32" w:lineRule="exact"/>
        <w:rPr>
          <w:rFonts w:ascii="Arial" w:cs="Arial" w:eastAsia="Arial" w:hAnsi="Arial"/>
          <w:sz w:val="17"/>
          <w:szCs w:val="17"/>
          <w:color w:val="auto"/>
        </w:rPr>
      </w:pPr>
    </w:p>
    <w:p>
      <w:pPr>
        <w:ind w:left="540" w:right="260" w:hanging="168"/>
        <w:spacing w:after="0" w:line="283" w:lineRule="auto"/>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any cash loss realized on dispositions of assets acquired using investment capital expenditures; </w:t>
      </w:r>
      <w:r>
        <w:rPr>
          <w:rFonts w:ascii="Arial" w:cs="Arial" w:eastAsia="Arial" w:hAnsi="Arial"/>
          <w:sz w:val="19"/>
          <w:szCs w:val="19"/>
          <w:i w:val="1"/>
          <w:iCs w:val="1"/>
          <w:color w:val="auto"/>
        </w:rPr>
        <w:t>less</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all working capital borrowings (including our proportionate share of working capital borrowings by any subsidiaries we do not wholly own) not repaid within twelve months after having been incurred.</w:t>
      </w:r>
    </w:p>
    <w:p>
      <w:pPr>
        <w:spacing w:after="0" w:line="52"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72"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76"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and Series A Preference Unit distributions, provided that operating expenditures will not include:</w:t>
      </w:r>
    </w:p>
    <w:p>
      <w:pPr>
        <w:spacing w:after="0" w:line="33" w:lineRule="exact"/>
        <w:rPr>
          <w:sz w:val="20"/>
          <w:szCs w:val="20"/>
          <w:color w:val="auto"/>
        </w:rPr>
      </w:pPr>
    </w:p>
    <w:p>
      <w:pPr>
        <w:ind w:left="540" w:right="40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deemed repayments of working capital borrowings deducted from operating surplus pursuant to the last bullet point of the definition of operating surplus above when such repayment actually occurs;</w:t>
      </w:r>
    </w:p>
    <w:p>
      <w:pPr>
        <w:spacing w:after="0" w:line="24" w:lineRule="exact"/>
        <w:rPr>
          <w:rFonts w:ascii="Arial" w:cs="Arial" w:eastAsia="Arial" w:hAnsi="Arial"/>
          <w:sz w:val="19"/>
          <w:szCs w:val="19"/>
          <w:color w:val="auto"/>
        </w:rPr>
      </w:pPr>
    </w:p>
    <w:p>
      <w:pPr>
        <w:ind w:left="540" w:right="72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payments (including prepayments and payment penalties) of principal of and premium on indebtedness, other than working capital borrowings;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40" w:right="259" w:bottom="1440" w:gutter="0" w:footer="0" w:header="0"/>
        </w:sectPr>
      </w:pPr>
    </w:p>
    <w:bookmarkStart w:id="43" w:name="page44"/>
    <w:bookmarkEnd w:id="43"/>
    <w:p>
      <w:pPr>
        <w:ind w:left="540" w:right="360" w:hanging="168"/>
        <w:spacing w:after="0" w:line="283"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expansion capital expenditures, investment capital expenditures or actual maintenance and replacement capital expenditures (which are discussed in further detail under “—Capital Expenditures” below);</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payment of transaction expenses (including taxes) relating to interim capital transactions;</w:t>
      </w:r>
    </w:p>
    <w:p>
      <w:pPr>
        <w:spacing w:after="0" w:line="105" w:lineRule="exact"/>
        <w:rPr>
          <w:rFonts w:ascii="Arial" w:cs="Arial" w:eastAsia="Arial" w:hAnsi="Arial"/>
          <w:sz w:val="19"/>
          <w:szCs w:val="19"/>
          <w:color w:val="auto"/>
        </w:rPr>
      </w:pPr>
    </w:p>
    <w:p>
      <w:pPr>
        <w:ind w:left="540" w:right="560" w:hanging="168"/>
        <w:spacing w:after="0" w:line="283"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Series A Preference Unit redemption payments and payments made to holders of Series A Preference Units to purchase or otherwise acquire preference units; or</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distributions to partners.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Adjusted Operating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Adjusted operating surplus for any period generally means:</w:t>
      </w:r>
    </w:p>
    <w:p>
      <w:pPr>
        <w:spacing w:after="0" w:line="106" w:lineRule="exact"/>
        <w:rPr>
          <w:sz w:val="20"/>
          <w:szCs w:val="20"/>
          <w:color w:val="auto"/>
        </w:rPr>
      </w:pPr>
    </w:p>
    <w:p>
      <w:pPr>
        <w:ind w:left="540" w:right="340" w:hanging="168"/>
        <w:spacing w:after="0" w:line="283"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operating surplus generated with respect to that period (excluding any amounts attributable to the item described in the first bullet point under “—Operating Surplus and Capital Surplus—Definition of Operating Surplus” above); </w:t>
      </w:r>
      <w:r>
        <w:rPr>
          <w:rFonts w:ascii="Arial" w:cs="Arial" w:eastAsia="Arial" w:hAnsi="Arial"/>
          <w:sz w:val="19"/>
          <w:szCs w:val="19"/>
          <w:i w:val="1"/>
          <w:iCs w:val="1"/>
          <w:color w:val="auto"/>
        </w:rPr>
        <w:t>less</w:t>
      </w:r>
    </w:p>
    <w:p>
      <w:pPr>
        <w:spacing w:after="0" w:line="24" w:lineRule="exact"/>
        <w:rPr>
          <w:rFonts w:ascii="Arial" w:cs="Arial" w:eastAsia="Arial" w:hAnsi="Arial"/>
          <w:sz w:val="19"/>
          <w:szCs w:val="19"/>
          <w:color w:val="auto"/>
        </w:rPr>
      </w:pPr>
    </w:p>
    <w:p>
      <w:pPr>
        <w:ind w:left="540" w:right="700" w:hanging="168"/>
        <w:spacing w:after="0" w:line="283"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480" w:hanging="168"/>
        <w:spacing w:after="0" w:line="312"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15" w:lineRule="exact"/>
        <w:rPr>
          <w:rFonts w:ascii="Arial" w:cs="Arial" w:eastAsia="Arial" w:hAnsi="Arial"/>
          <w:sz w:val="18"/>
          <w:szCs w:val="18"/>
          <w:color w:val="auto"/>
        </w:rPr>
      </w:pPr>
    </w:p>
    <w:p>
      <w:pPr>
        <w:ind w:left="540" w:right="680" w:hanging="168"/>
        <w:spacing w:after="0" w:line="283"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220" w:hanging="168"/>
        <w:spacing w:after="0" w:line="267" w:lineRule="auto"/>
        <w:tabs>
          <w:tab w:leader="none" w:pos="5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9"/>
          <w:szCs w:val="19"/>
          <w:i w:val="1"/>
          <w:iCs w:val="1"/>
          <w:color w:val="auto"/>
        </w:rPr>
        <w:t>plus</w:t>
      </w:r>
    </w:p>
    <w:p>
      <w:pPr>
        <w:spacing w:after="0" w:line="54" w:lineRule="exact"/>
        <w:rPr>
          <w:rFonts w:ascii="Arial" w:cs="Arial" w:eastAsia="Arial" w:hAnsi="Arial"/>
          <w:sz w:val="19"/>
          <w:szCs w:val="19"/>
          <w:color w:val="auto"/>
        </w:rPr>
      </w:pPr>
    </w:p>
    <w:p>
      <w:pPr>
        <w:ind w:left="540" w:right="120" w:hanging="168"/>
        <w:spacing w:after="0" w:line="312"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29"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Expenditures</w:t>
      </w:r>
    </w:p>
    <w:p>
      <w:pPr>
        <w:spacing w:after="0" w:line="119"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49" w:lineRule="exact"/>
        <w:rPr>
          <w:sz w:val="20"/>
          <w:szCs w:val="20"/>
          <w:color w:val="auto"/>
        </w:rPr>
      </w:pPr>
    </w:p>
    <w:p>
      <w:pPr>
        <w:ind w:right="180" w:firstLine="357"/>
        <w:spacing w:after="0" w:line="313" w:lineRule="auto"/>
        <w:rPr>
          <w:sz w:val="20"/>
          <w:szCs w:val="20"/>
          <w:color w:val="auto"/>
        </w:rPr>
      </w:pPr>
      <w:r>
        <w:rPr>
          <w:rFonts w:ascii="Arial" w:cs="Arial" w:eastAsia="Arial" w:hAnsi="Arial"/>
          <w:sz w:val="17"/>
          <w:szCs w:val="17"/>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32" w:lineRule="exact"/>
        <w:rPr>
          <w:sz w:val="20"/>
          <w:szCs w:val="20"/>
          <w:color w:val="auto"/>
        </w:rPr>
      </w:pPr>
    </w:p>
    <w:p>
      <w:pPr>
        <w:jc w:val="both"/>
        <w:ind w:right="660" w:firstLine="357"/>
        <w:spacing w:after="0" w:line="262" w:lineRule="auto"/>
        <w:rPr>
          <w:sz w:val="20"/>
          <w:szCs w:val="20"/>
          <w:color w:val="auto"/>
        </w:rPr>
      </w:pPr>
      <w:r>
        <w:rPr>
          <w:rFonts w:ascii="Arial" w:cs="Arial" w:eastAsia="Arial" w:hAnsi="Arial"/>
          <w:sz w:val="19"/>
          <w:szCs w:val="19"/>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 of equity securities, as well as other capital expenditures that might be made in lieu of</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44" w:name="page45"/>
    <w:bookmarkEnd w:id="44"/>
    <w:p>
      <w:pPr>
        <w:spacing w:after="0"/>
        <w:rPr>
          <w:sz w:val="20"/>
          <w:szCs w:val="20"/>
          <w:color w:val="auto"/>
        </w:rPr>
      </w:pPr>
      <w:r>
        <w:rPr>
          <w:rFonts w:ascii="Arial" w:cs="Arial" w:eastAsia="Arial" w:hAnsi="Arial"/>
          <w:sz w:val="19"/>
          <w:szCs w:val="19"/>
          <w:color w:val="auto"/>
        </w:rPr>
        <w:t>such traditional investment capital expenditures, such as the acquisition of a capital asset for investment purposes.</w:t>
      </w:r>
    </w:p>
    <w:p>
      <w:pPr>
        <w:spacing w:after="0" w:line="119" w:lineRule="exact"/>
        <w:rPr>
          <w:sz w:val="20"/>
          <w:szCs w:val="20"/>
          <w:color w:val="auto"/>
        </w:rPr>
      </w:pPr>
    </w:p>
    <w:p>
      <w:pPr>
        <w:ind w:right="80" w:firstLine="357"/>
        <w:spacing w:after="0" w:line="289" w:lineRule="auto"/>
        <w:rPr>
          <w:sz w:val="20"/>
          <w:szCs w:val="20"/>
          <w:color w:val="auto"/>
        </w:rPr>
      </w:pPr>
      <w:r>
        <w:rPr>
          <w:rFonts w:ascii="Arial" w:cs="Arial" w:eastAsia="Arial" w:hAnsi="Arial"/>
          <w:sz w:val="17"/>
          <w:szCs w:val="17"/>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56"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 discussion of the amounts we have allocated toward estimated maintenance and replacement capital expenditures, see “Our Cash Distribution Policy and Restrictions on Distributions”.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pacing w:after="0" w:line="104" w:lineRule="exact"/>
        <w:rPr>
          <w:sz w:val="20"/>
          <w:szCs w:val="20"/>
          <w:color w:val="auto"/>
        </w:rPr>
      </w:pPr>
    </w:p>
    <w:p>
      <w:pPr>
        <w:ind w:left="540" w:right="660" w:hanging="168"/>
        <w:spacing w:after="0" w:line="339"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it may reduce the need for us to borrow to pay distributions;</w:t>
      </w:r>
    </w:p>
    <w:p>
      <w:pPr>
        <w:spacing w:after="0" w:line="105"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it will be more difficult for us to raise our distribution above the minimum quarterly distribution and pay incentive distributions to GasLog; and</w:t>
      </w:r>
    </w:p>
    <w:p>
      <w:pPr>
        <w:spacing w:after="0" w:line="38" w:lineRule="exact"/>
        <w:rPr>
          <w:rFonts w:ascii="Arial" w:cs="Arial" w:eastAsia="Arial" w:hAnsi="Arial"/>
          <w:sz w:val="19"/>
          <w:szCs w:val="19"/>
          <w:color w:val="auto"/>
        </w:rPr>
      </w:pPr>
    </w:p>
    <w:p>
      <w:pPr>
        <w:ind w:left="540" w:right="140" w:hanging="168"/>
        <w:spacing w:after="0" w:line="267" w:lineRule="auto"/>
        <w:tabs>
          <w:tab w:leader="none" w:pos="5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Capital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Capital surplus generally will be generated only by:</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borrowings other than working capital borrowings;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5" w:name="page46"/>
    <w:bookmarkEnd w:id="45"/>
    <w:p>
      <w:pPr>
        <w:ind w:left="540" w:hanging="168"/>
        <w:spacing w:after="0"/>
        <w:tabs>
          <w:tab w:leader="none" w:pos="5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sales of debt and equity securities; and</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Characterization of Cash Distributions</w:t>
      </w:r>
    </w:p>
    <w:p>
      <w:pPr>
        <w:spacing w:after="0" w:line="119" w:lineRule="exact"/>
        <w:rPr>
          <w:sz w:val="20"/>
          <w:szCs w:val="20"/>
          <w:color w:val="auto"/>
        </w:rPr>
      </w:pPr>
    </w:p>
    <w:p>
      <w:pPr>
        <w:ind w:right="80" w:firstLine="357"/>
        <w:spacing w:after="0" w:line="294" w:lineRule="auto"/>
        <w:rPr>
          <w:sz w:val="20"/>
          <w:szCs w:val="20"/>
          <w:color w:val="auto"/>
        </w:rPr>
      </w:pPr>
      <w:r>
        <w:rPr>
          <w:rFonts w:ascii="Arial" w:cs="Arial" w:eastAsia="Arial" w:hAnsi="Arial"/>
          <w:sz w:val="17"/>
          <w:szCs w:val="17"/>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 From Operating Surplus</w:t>
      </w:r>
    </w:p>
    <w:p>
      <w:pPr>
        <w:spacing w:after="0" w:line="112"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We will make distributions of available cash from operating surplus in the following manner, subject to distributions with respect to Series A Preference Units as described under “—Series A Preference Unit Distributions”:</w:t>
      </w:r>
    </w:p>
    <w:p>
      <w:pPr>
        <w:spacing w:after="0" w:line="38" w:lineRule="exact"/>
        <w:rPr>
          <w:sz w:val="20"/>
          <w:szCs w:val="20"/>
          <w:color w:val="auto"/>
        </w:rPr>
      </w:pPr>
    </w:p>
    <w:p>
      <w:pPr>
        <w:ind w:left="540" w:right="240" w:hanging="168"/>
        <w:spacing w:after="0" w:line="283" w:lineRule="auto"/>
        <w:tabs>
          <w:tab w:leader="none" w:pos="540" w:val="left"/>
        </w:tabs>
        <w:numPr>
          <w:ilvl w:val="0"/>
          <w:numId w:val="47"/>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unit an amount</w:t>
      </w:r>
      <w:r>
        <w:rPr>
          <w:rFonts w:ascii="Arial" w:cs="Arial" w:eastAsia="Arial" w:hAnsi="Arial"/>
          <w:sz w:val="19"/>
          <w:szCs w:val="19"/>
          <w:i w:val="1"/>
          <w:iCs w:val="1"/>
          <w:color w:val="auto"/>
        </w:rPr>
        <w:t xml:space="preserve"> </w:t>
      </w:r>
      <w:r>
        <w:rPr>
          <w:rFonts w:ascii="Arial" w:cs="Arial" w:eastAsia="Arial" w:hAnsi="Arial"/>
          <w:sz w:val="19"/>
          <w:szCs w:val="19"/>
          <w:color w:val="auto"/>
        </w:rPr>
        <w:t>equal to the minimum quarterly distribution for that quarter;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7"/>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in the manner described in “—General Partner Interest” and “—Incentive Distribution Rights” below.</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Partner Interest</w:t>
      </w:r>
    </w:p>
    <w:p>
      <w:pPr>
        <w:spacing w:after="0" w:line="125" w:lineRule="exact"/>
        <w:rPr>
          <w:sz w:val="20"/>
          <w:szCs w:val="20"/>
          <w:color w:val="auto"/>
        </w:rPr>
      </w:pPr>
    </w:p>
    <w:p>
      <w:pPr>
        <w:ind w:right="100" w:firstLine="357"/>
        <w:spacing w:after="0" w:line="257" w:lineRule="auto"/>
        <w:rPr>
          <w:sz w:val="20"/>
          <w:szCs w:val="20"/>
          <w:color w:val="auto"/>
        </w:rPr>
      </w:pPr>
      <w:r>
        <w:rPr>
          <w:rFonts w:ascii="Arial" w:cs="Arial" w:eastAsia="Arial" w:hAnsi="Arial"/>
          <w:sz w:val="19"/>
          <w:szCs w:val="19"/>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Incentive Distribution Rights</w:t>
      </w:r>
    </w:p>
    <w:p>
      <w:pPr>
        <w:spacing w:after="0" w:line="125" w:lineRule="exact"/>
        <w:rPr>
          <w:sz w:val="20"/>
          <w:szCs w:val="20"/>
          <w:color w:val="auto"/>
        </w:rPr>
      </w:pPr>
    </w:p>
    <w:p>
      <w:pPr>
        <w:ind w:right="100" w:firstLine="357"/>
        <w:spacing w:after="0" w:line="257" w:lineRule="auto"/>
        <w:rPr>
          <w:sz w:val="20"/>
          <w:szCs w:val="20"/>
          <w:color w:val="auto"/>
        </w:rPr>
      </w:pPr>
      <w:r>
        <w:rPr>
          <w:rFonts w:ascii="Arial" w:cs="Arial" w:eastAsia="Arial" w:hAnsi="Arial"/>
          <w:sz w:val="19"/>
          <w:szCs w:val="19"/>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46" w:name="page47"/>
    <w:bookmarkEnd w:id="46"/>
    <w:p>
      <w:pPr>
        <w:ind w:right="740"/>
        <w:spacing w:after="0" w:line="283" w:lineRule="auto"/>
        <w:rPr>
          <w:sz w:val="20"/>
          <w:szCs w:val="20"/>
          <w:color w:val="auto"/>
        </w:rPr>
      </w:pPr>
      <w:r>
        <w:rPr>
          <w:rFonts w:ascii="Arial" w:cs="Arial" w:eastAsia="Arial" w:hAnsi="Arial"/>
          <w:sz w:val="19"/>
          <w:szCs w:val="19"/>
          <w:color w:val="auto"/>
        </w:rPr>
        <w:t>party prior to March 31, 2019. Any transfer by GasLog of the incentive distribution rights would not change the percentage allocations of quarterly distributions with respect to such rights.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for any quarter:</w:t>
      </w:r>
    </w:p>
    <w:p>
      <w:pPr>
        <w:spacing w:after="0" w:line="106" w:lineRule="exact"/>
        <w:rPr>
          <w:sz w:val="20"/>
          <w:szCs w:val="20"/>
          <w:color w:val="auto"/>
        </w:rPr>
      </w:pPr>
    </w:p>
    <w:p>
      <w:pPr>
        <w:ind w:left="540" w:right="720" w:hanging="168"/>
        <w:spacing w:after="0" w:line="283"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we have distributed available cash from operating surplus to the common unitholders in an amount equal to the minimum quarterly distribution; and</w:t>
      </w:r>
    </w:p>
    <w:p>
      <w:pPr>
        <w:spacing w:after="0" w:line="24" w:lineRule="exact"/>
        <w:rPr>
          <w:rFonts w:ascii="Arial" w:cs="Arial" w:eastAsia="Arial" w:hAnsi="Arial"/>
          <w:sz w:val="19"/>
          <w:szCs w:val="19"/>
          <w:color w:val="auto"/>
        </w:rPr>
      </w:pPr>
    </w:p>
    <w:p>
      <w:pPr>
        <w:ind w:left="540" w:right="660" w:hanging="168"/>
        <w:spacing w:after="0" w:line="28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on outstanding Common Units in an amount necessary to eliminate any cumulative arrearages in payment of the minimum quarterly distribution; then, we will distribute any additional available cash from operating surplus for that quarter among the unitholders and our general partner in the following manner:</w:t>
      </w:r>
    </w:p>
    <w:p>
      <w:pPr>
        <w:spacing w:after="0" w:line="35" w:lineRule="exact"/>
        <w:rPr>
          <w:rFonts w:ascii="Arial" w:cs="Arial" w:eastAsia="Arial" w:hAnsi="Arial"/>
          <w:sz w:val="18"/>
          <w:szCs w:val="18"/>
          <w:color w:val="auto"/>
        </w:rPr>
      </w:pPr>
    </w:p>
    <w:p>
      <w:pPr>
        <w:ind w:left="540" w:right="60" w:hanging="168"/>
        <w:spacing w:after="0" w:line="283"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each unitholder receives a total of $0.43125 per unit</w:t>
      </w:r>
      <w:r>
        <w:rPr>
          <w:rFonts w:ascii="Arial" w:cs="Arial" w:eastAsia="Arial" w:hAnsi="Arial"/>
          <w:sz w:val="19"/>
          <w:szCs w:val="19"/>
          <w:i w:val="1"/>
          <w:iCs w:val="1"/>
          <w:color w:val="auto"/>
        </w:rPr>
        <w:t xml:space="preserve"> </w:t>
      </w:r>
      <w:r>
        <w:rPr>
          <w:rFonts w:ascii="Arial" w:cs="Arial" w:eastAsia="Arial" w:hAnsi="Arial"/>
          <w:sz w:val="19"/>
          <w:szCs w:val="19"/>
          <w:color w:val="auto"/>
        </w:rPr>
        <w:t>for that quarter (the “first target distribution”);</w:t>
      </w:r>
    </w:p>
    <w:p>
      <w:pPr>
        <w:spacing w:after="0" w:line="38" w:lineRule="exact"/>
        <w:rPr>
          <w:rFonts w:ascii="Arial" w:cs="Arial" w:eastAsia="Arial" w:hAnsi="Arial"/>
          <w:sz w:val="19"/>
          <w:szCs w:val="19"/>
          <w:color w:val="auto"/>
        </w:rPr>
      </w:pPr>
    </w:p>
    <w:p>
      <w:pPr>
        <w:ind w:left="540" w:right="520" w:hanging="168"/>
        <w:spacing w:after="0" w:line="339"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85.0% to the common unitholders, pro rata, 2.0% to our general partner and 13.0% to the holders of the incentive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pro rata, until each unitholder receives a total of $0.46875 per unit for that quarter (the “second target distribution”);</w:t>
      </w:r>
    </w:p>
    <w:p>
      <w:pPr>
        <w:spacing w:after="0" w:line="1" w:lineRule="exact"/>
        <w:rPr>
          <w:rFonts w:ascii="Arial" w:cs="Arial" w:eastAsia="Arial" w:hAnsi="Arial"/>
          <w:sz w:val="17"/>
          <w:szCs w:val="17"/>
          <w:color w:val="auto"/>
        </w:rPr>
      </w:pPr>
    </w:p>
    <w:p>
      <w:pPr>
        <w:ind w:left="540" w:right="140" w:hanging="168"/>
        <w:spacing w:after="0" w:line="312"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75.0% to the common unitholders, pro rata, 2.0% to our general partner and 23.0%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until each unitholder receives a total of $0.5625 per unit for that quarter (the “third target distribution”); and</w:t>
      </w:r>
    </w:p>
    <w:p>
      <w:pPr>
        <w:spacing w:after="0" w:line="15" w:lineRule="exact"/>
        <w:rPr>
          <w:rFonts w:ascii="Arial" w:cs="Arial" w:eastAsia="Arial" w:hAnsi="Arial"/>
          <w:sz w:val="18"/>
          <w:szCs w:val="18"/>
          <w:color w:val="auto"/>
        </w:rPr>
      </w:pPr>
    </w:p>
    <w:p>
      <w:pPr>
        <w:ind w:left="540" w:right="300" w:hanging="168"/>
        <w:spacing w:after="0" w:line="283"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the common unitholders, pro rata, 2.0% to our general partner and 48.0% to the holders of the incentive distribution</w:t>
      </w:r>
      <w:r>
        <w:rPr>
          <w:rFonts w:ascii="Arial" w:cs="Arial" w:eastAsia="Arial" w:hAnsi="Arial"/>
          <w:sz w:val="19"/>
          <w:szCs w:val="19"/>
          <w:i w:val="1"/>
          <w:iCs w:val="1"/>
          <w:color w:val="auto"/>
        </w:rPr>
        <w:t xml:space="preserve"> </w:t>
      </w:r>
      <w:r>
        <w:rPr>
          <w:rFonts w:ascii="Arial" w:cs="Arial" w:eastAsia="Arial" w:hAnsi="Arial"/>
          <w:sz w:val="19"/>
          <w:szCs w:val="19"/>
          <w:color w:val="auto"/>
        </w:rPr>
        <w:t>rights, pro rata.</w:t>
      </w:r>
    </w:p>
    <w:p>
      <w:pPr>
        <w:spacing w:after="0" w:line="65" w:lineRule="exact"/>
        <w:rPr>
          <w:sz w:val="20"/>
          <w:szCs w:val="20"/>
          <w:color w:val="auto"/>
        </w:rPr>
      </w:pPr>
    </w:p>
    <w:p>
      <w:pPr>
        <w:ind w:right="140" w:firstLine="357"/>
        <w:spacing w:after="0" w:line="28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Percentage Allocations of Available Cash From Operating Surplus</w:t>
      </w:r>
    </w:p>
    <w:p>
      <w:pPr>
        <w:spacing w:after="0" w:line="125" w:lineRule="exact"/>
        <w:rPr>
          <w:sz w:val="20"/>
          <w:szCs w:val="20"/>
          <w:color w:val="auto"/>
        </w:rPr>
      </w:pPr>
    </w:p>
    <w:p>
      <w:pPr>
        <w:ind w:right="260" w:firstLine="357"/>
        <w:spacing w:after="0" w:line="271" w:lineRule="auto"/>
        <w:rPr>
          <w:sz w:val="20"/>
          <w:szCs w:val="20"/>
          <w:color w:val="auto"/>
        </w:rPr>
      </w:pPr>
      <w:r>
        <w:rPr>
          <w:rFonts w:ascii="Arial" w:cs="Arial" w:eastAsia="Arial" w:hAnsi="Arial"/>
          <w:sz w:val="18"/>
          <w:szCs w:val="18"/>
          <w:color w:val="auto"/>
        </w:rPr>
        <w:t>The following table illustrates the percentage allocations of the additional available cash from operating surplus among the common unitholders, our general partner and the holders of the incentive distribution rights up to the various target distribution levels. The amounts set forth under “Marginal Percentage Interest in Distributions” are the percentage interests of the common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common unitholders, our general partner and the holders of the incentive distribution rights for the minimum quarterly distribution are also applicable to quarterly distribution amounts that are less than the minimum quarterly distribution. The percentage interests shown for our general partner include its 2.0% general partner interest only and assume that our general partner has contributed any capital necessary to maintain its 2.0% general partner interest.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Marginal Percentage</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6"/>
        </w:trPr>
        <w:tc>
          <w:tcPr>
            <w:tcW w:w="40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center"/>
              <w:ind w:left="601"/>
              <w:spacing w:after="0" w:line="176" w:lineRule="exact"/>
              <w:rPr>
                <w:sz w:val="20"/>
                <w:szCs w:val="20"/>
                <w:color w:val="auto"/>
              </w:rPr>
            </w:pPr>
            <w:r>
              <w:rPr>
                <w:rFonts w:ascii="Arial" w:cs="Arial" w:eastAsia="Arial" w:hAnsi="Arial"/>
                <w:sz w:val="16"/>
                <w:szCs w:val="16"/>
                <w:b w:val="1"/>
                <w:bCs w:val="1"/>
                <w:color w:val="auto"/>
                <w:w w:val="91"/>
              </w:rPr>
              <w:t>Interest in</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9"/>
        </w:trPr>
        <w:tc>
          <w:tcPr>
            <w:tcW w:w="4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Total Quarterly</w:t>
            </w:r>
          </w:p>
        </w:tc>
        <w:tc>
          <w:tcPr>
            <w:tcW w:w="320" w:type="dxa"/>
            <w:vAlign w:val="bottom"/>
          </w:tcPr>
          <w:p>
            <w:pPr>
              <w:spacing w:after="0"/>
              <w:rPr>
                <w:sz w:val="17"/>
                <w:szCs w:val="17"/>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Distributions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45"/>
        </w:trPr>
        <w:tc>
          <w:tcPr>
            <w:tcW w:w="4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1"/>
              </w:rPr>
              <w:t>Distribution</w:t>
            </w:r>
          </w:p>
        </w:tc>
        <w:tc>
          <w:tcPr>
            <w:tcW w:w="320" w:type="dxa"/>
            <w:vAlign w:val="bottom"/>
          </w:tcPr>
          <w:p>
            <w:pPr>
              <w:spacing w:after="0"/>
              <w:rPr>
                <w:sz w:val="12"/>
                <w:szCs w:val="12"/>
                <w:color w:val="auto"/>
              </w:rPr>
            </w:pPr>
          </w:p>
        </w:tc>
        <w:tc>
          <w:tcPr>
            <w:tcW w:w="1380" w:type="dxa"/>
            <w:vAlign w:val="bottom"/>
            <w:gridSpan w:val="2"/>
          </w:tcPr>
          <w:p>
            <w:pPr>
              <w:ind w:left="220"/>
              <w:spacing w:after="0" w:line="145" w:lineRule="exact"/>
              <w:rPr>
                <w:sz w:val="20"/>
                <w:szCs w:val="20"/>
                <w:color w:val="auto"/>
              </w:rPr>
            </w:pPr>
            <w:r>
              <w:rPr>
                <w:rFonts w:ascii="Arial" w:cs="Arial" w:eastAsia="Arial" w:hAnsi="Arial"/>
                <w:sz w:val="16"/>
                <w:szCs w:val="16"/>
                <w:b w:val="1"/>
                <w:bCs w:val="1"/>
                <w:color w:val="auto"/>
              </w:rPr>
              <w:t>Common</w:t>
            </w:r>
          </w:p>
        </w:tc>
        <w:tc>
          <w:tcPr>
            <w:tcW w:w="680" w:type="dxa"/>
            <w:vAlign w:val="bottom"/>
          </w:tcPr>
          <w:p>
            <w:pPr>
              <w:jc w:val="right"/>
              <w:spacing w:after="0" w:line="145" w:lineRule="exact"/>
              <w:rPr>
                <w:sz w:val="20"/>
                <w:szCs w:val="20"/>
                <w:color w:val="auto"/>
              </w:rPr>
            </w:pPr>
            <w:r>
              <w:rPr>
                <w:rFonts w:ascii="Arial" w:cs="Arial" w:eastAsia="Arial" w:hAnsi="Arial"/>
                <w:sz w:val="16"/>
                <w:szCs w:val="16"/>
                <w:b w:val="1"/>
                <w:bCs w:val="1"/>
                <w:color w:val="auto"/>
              </w:rPr>
              <w:t>General</w:t>
            </w:r>
          </w:p>
        </w:tc>
        <w:tc>
          <w:tcPr>
            <w:tcW w:w="300" w:type="dxa"/>
            <w:vAlign w:val="bottom"/>
          </w:tcPr>
          <w:p>
            <w:pPr>
              <w:spacing w:after="0"/>
              <w:rPr>
                <w:sz w:val="12"/>
                <w:szCs w:val="12"/>
                <w:color w:val="auto"/>
              </w:rPr>
            </w:pPr>
          </w:p>
        </w:tc>
        <w:tc>
          <w:tcPr>
            <w:tcW w:w="920" w:type="dxa"/>
            <w:vAlign w:val="bottom"/>
          </w:tcPr>
          <w:p>
            <w:pPr>
              <w:jc w:val="right"/>
              <w:ind w:right="21"/>
              <w:spacing w:after="0" w:line="145" w:lineRule="exact"/>
              <w:rPr>
                <w:sz w:val="20"/>
                <w:szCs w:val="20"/>
                <w:color w:val="auto"/>
              </w:rPr>
            </w:pPr>
            <w:r>
              <w:rPr>
                <w:rFonts w:ascii="Arial" w:cs="Arial" w:eastAsia="Arial" w:hAnsi="Arial"/>
                <w:sz w:val="16"/>
                <w:szCs w:val="16"/>
                <w:b w:val="1"/>
                <w:bCs w:val="1"/>
                <w:color w:val="auto"/>
              </w:rPr>
              <w:t>Holders of</w:t>
            </w:r>
          </w:p>
        </w:tc>
      </w:tr>
      <w:tr>
        <w:trPr>
          <w:trHeight w:val="199"/>
        </w:trPr>
        <w:tc>
          <w:tcPr>
            <w:tcW w:w="4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Target Amount</w:t>
            </w:r>
          </w:p>
        </w:tc>
        <w:tc>
          <w:tcPr>
            <w:tcW w:w="320" w:type="dxa"/>
            <w:vAlign w:val="bottom"/>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Unitholders</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Partner</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IDRs</w:t>
            </w:r>
          </w:p>
        </w:tc>
      </w:tr>
      <w:tr>
        <w:trPr>
          <w:trHeight w:val="237"/>
        </w:trPr>
        <w:tc>
          <w:tcPr>
            <w:tcW w:w="4080" w:type="dxa"/>
            <w:vAlign w:val="bottom"/>
            <w:shd w:val="clear" w:color="auto" w:fill="E5FFFF"/>
          </w:tcPr>
          <w:p>
            <w:pPr>
              <w:spacing w:after="0"/>
              <w:rPr>
                <w:sz w:val="20"/>
                <w:szCs w:val="20"/>
                <w:color w:val="auto"/>
              </w:rPr>
            </w:pPr>
            <w:r>
              <w:rPr>
                <w:rFonts w:ascii="Arial" w:cs="Arial" w:eastAsia="Arial" w:hAnsi="Arial"/>
                <w:sz w:val="19"/>
                <w:szCs w:val="19"/>
                <w:color w:val="auto"/>
              </w:rPr>
              <w:t>Minimum Quarterly Distribution</w:t>
            </w:r>
          </w:p>
        </w:tc>
        <w:tc>
          <w:tcPr>
            <w:tcW w:w="3740" w:type="dxa"/>
            <w:vAlign w:val="bottom"/>
            <w:gridSpan w:val="2"/>
            <w:shd w:val="clear" w:color="auto" w:fill="E5FFFF"/>
          </w:tcPr>
          <w:p>
            <w:pPr>
              <w:ind w:left="2060"/>
              <w:spacing w:after="0"/>
              <w:rPr>
                <w:sz w:val="20"/>
                <w:szCs w:val="20"/>
                <w:color w:val="auto"/>
              </w:rPr>
            </w:pPr>
            <w:r>
              <w:rPr>
                <w:rFonts w:ascii="Arial" w:cs="Arial" w:eastAsia="Arial" w:hAnsi="Arial"/>
                <w:sz w:val="19"/>
                <w:szCs w:val="19"/>
                <w:color w:val="auto"/>
              </w:rPr>
              <w:t>$0.375</w:t>
            </w:r>
          </w:p>
        </w:tc>
        <w:tc>
          <w:tcPr>
            <w:tcW w:w="14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98.0%</w:t>
            </w:r>
          </w:p>
        </w:tc>
        <w:tc>
          <w:tcPr>
            <w:tcW w:w="300" w:type="dxa"/>
            <w:vAlign w:val="bottom"/>
            <w:shd w:val="clear" w:color="auto" w:fill="E5FFFF"/>
          </w:tcPr>
          <w:p>
            <w:pPr>
              <w:spacing w:after="0"/>
              <w:rPr>
                <w:sz w:val="20"/>
                <w:szCs w:val="20"/>
                <w:color w:val="auto"/>
              </w:rPr>
            </w:pPr>
          </w:p>
        </w:tc>
        <w:tc>
          <w:tcPr>
            <w:tcW w:w="68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0%</w:t>
            </w:r>
          </w:p>
        </w:tc>
      </w:tr>
      <w:tr>
        <w:trPr>
          <w:trHeight w:val="243"/>
        </w:trPr>
        <w:tc>
          <w:tcPr>
            <w:tcW w:w="4080" w:type="dxa"/>
            <w:vAlign w:val="bottom"/>
          </w:tcPr>
          <w:p>
            <w:pPr>
              <w:spacing w:after="0"/>
              <w:rPr>
                <w:sz w:val="20"/>
                <w:szCs w:val="20"/>
                <w:color w:val="auto"/>
              </w:rPr>
            </w:pPr>
            <w:r>
              <w:rPr>
                <w:rFonts w:ascii="Arial" w:cs="Arial" w:eastAsia="Arial" w:hAnsi="Arial"/>
                <w:sz w:val="19"/>
                <w:szCs w:val="19"/>
                <w:color w:val="auto"/>
              </w:rPr>
              <w:t>First Target Distribution</w:t>
            </w:r>
          </w:p>
        </w:tc>
        <w:tc>
          <w:tcPr>
            <w:tcW w:w="3740" w:type="dxa"/>
            <w:vAlign w:val="bottom"/>
            <w:gridSpan w:val="2"/>
          </w:tcPr>
          <w:p>
            <w:pPr>
              <w:ind w:left="2060"/>
              <w:spacing w:after="0"/>
              <w:rPr>
                <w:sz w:val="20"/>
                <w:szCs w:val="20"/>
                <w:color w:val="auto"/>
              </w:rPr>
            </w:pPr>
            <w:r>
              <w:rPr>
                <w:rFonts w:ascii="Arial" w:cs="Arial" w:eastAsia="Arial" w:hAnsi="Arial"/>
                <w:sz w:val="19"/>
                <w:szCs w:val="19"/>
                <w:color w:val="auto"/>
              </w:rPr>
              <w:t>up to $0.43125</w:t>
            </w:r>
          </w:p>
        </w:tc>
        <w:tc>
          <w:tcPr>
            <w:tcW w:w="1400" w:type="dxa"/>
            <w:vAlign w:val="bottom"/>
            <w:gridSpan w:val="2"/>
          </w:tcPr>
          <w:p>
            <w:pPr>
              <w:jc w:val="right"/>
              <w:ind w:right="81"/>
              <w:spacing w:after="0"/>
              <w:rPr>
                <w:sz w:val="20"/>
                <w:szCs w:val="20"/>
                <w:color w:val="auto"/>
              </w:rPr>
            </w:pPr>
            <w:r>
              <w:rPr>
                <w:rFonts w:ascii="Arial" w:cs="Arial" w:eastAsia="Arial" w:hAnsi="Arial"/>
                <w:sz w:val="19"/>
                <w:szCs w:val="19"/>
                <w:color w:val="auto"/>
              </w:rPr>
              <w:t>98.0%</w:t>
            </w:r>
          </w:p>
        </w:tc>
        <w:tc>
          <w:tcPr>
            <w:tcW w:w="30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9"/>
                <w:szCs w:val="19"/>
                <w:color w:val="auto"/>
              </w:rPr>
              <w:t>2.0%</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0%</w:t>
            </w:r>
          </w:p>
        </w:tc>
      </w:tr>
      <w:tr>
        <w:trPr>
          <w:trHeight w:val="243"/>
        </w:trPr>
        <w:tc>
          <w:tcPr>
            <w:tcW w:w="4080" w:type="dxa"/>
            <w:vAlign w:val="bottom"/>
            <w:shd w:val="clear" w:color="auto" w:fill="E5FFFF"/>
          </w:tcPr>
          <w:p>
            <w:pPr>
              <w:spacing w:after="0"/>
              <w:rPr>
                <w:sz w:val="21"/>
                <w:szCs w:val="21"/>
                <w:color w:val="auto"/>
              </w:rPr>
            </w:pPr>
          </w:p>
        </w:tc>
        <w:tc>
          <w:tcPr>
            <w:tcW w:w="3740" w:type="dxa"/>
            <w:vAlign w:val="bottom"/>
            <w:gridSpan w:val="2"/>
            <w:shd w:val="clear" w:color="auto" w:fill="E5FFFF"/>
          </w:tcPr>
          <w:p>
            <w:pPr>
              <w:ind w:left="2060"/>
              <w:spacing w:after="0"/>
              <w:rPr>
                <w:sz w:val="20"/>
                <w:szCs w:val="20"/>
                <w:color w:val="auto"/>
              </w:rPr>
            </w:pPr>
            <w:r>
              <w:rPr>
                <w:rFonts w:ascii="Arial" w:cs="Arial" w:eastAsia="Arial" w:hAnsi="Arial"/>
                <w:sz w:val="19"/>
                <w:szCs w:val="19"/>
                <w:color w:val="auto"/>
              </w:rPr>
              <w:t>above $0.43125</w:t>
            </w:r>
          </w:p>
        </w:tc>
        <w:tc>
          <w:tcPr>
            <w:tcW w:w="32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43"/>
        </w:trPr>
        <w:tc>
          <w:tcPr>
            <w:tcW w:w="4080" w:type="dxa"/>
            <w:vAlign w:val="bottom"/>
          </w:tcPr>
          <w:p>
            <w:pPr>
              <w:spacing w:after="0"/>
              <w:rPr>
                <w:sz w:val="20"/>
                <w:szCs w:val="20"/>
                <w:color w:val="auto"/>
              </w:rPr>
            </w:pPr>
            <w:r>
              <w:rPr>
                <w:rFonts w:ascii="Arial" w:cs="Arial" w:eastAsia="Arial" w:hAnsi="Arial"/>
                <w:sz w:val="19"/>
                <w:szCs w:val="19"/>
                <w:color w:val="auto"/>
              </w:rPr>
              <w:t>Second Target Distribution</w:t>
            </w:r>
          </w:p>
        </w:tc>
        <w:tc>
          <w:tcPr>
            <w:tcW w:w="3740" w:type="dxa"/>
            <w:vAlign w:val="bottom"/>
            <w:gridSpan w:val="2"/>
          </w:tcPr>
          <w:p>
            <w:pPr>
              <w:ind w:left="2060"/>
              <w:spacing w:after="0"/>
              <w:rPr>
                <w:sz w:val="20"/>
                <w:szCs w:val="20"/>
                <w:color w:val="auto"/>
              </w:rPr>
            </w:pPr>
            <w:r>
              <w:rPr>
                <w:rFonts w:ascii="Arial" w:cs="Arial" w:eastAsia="Arial" w:hAnsi="Arial"/>
                <w:sz w:val="19"/>
                <w:szCs w:val="19"/>
                <w:color w:val="auto"/>
              </w:rPr>
              <w:t>up to $0.46875</w:t>
            </w:r>
          </w:p>
        </w:tc>
        <w:tc>
          <w:tcPr>
            <w:tcW w:w="1400" w:type="dxa"/>
            <w:vAlign w:val="bottom"/>
            <w:gridSpan w:val="2"/>
          </w:tcPr>
          <w:p>
            <w:pPr>
              <w:jc w:val="right"/>
              <w:ind w:right="81"/>
              <w:spacing w:after="0"/>
              <w:rPr>
                <w:sz w:val="20"/>
                <w:szCs w:val="20"/>
                <w:color w:val="auto"/>
              </w:rPr>
            </w:pPr>
            <w:r>
              <w:rPr>
                <w:rFonts w:ascii="Arial" w:cs="Arial" w:eastAsia="Arial" w:hAnsi="Arial"/>
                <w:sz w:val="19"/>
                <w:szCs w:val="19"/>
                <w:color w:val="auto"/>
              </w:rPr>
              <w:t>85.0%</w:t>
            </w:r>
          </w:p>
        </w:tc>
        <w:tc>
          <w:tcPr>
            <w:tcW w:w="30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9"/>
                <w:szCs w:val="19"/>
                <w:color w:val="auto"/>
              </w:rPr>
              <w:t>2.0%</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13.0%</w:t>
            </w:r>
          </w:p>
        </w:tc>
      </w:tr>
      <w:tr>
        <w:trPr>
          <w:trHeight w:val="243"/>
        </w:trPr>
        <w:tc>
          <w:tcPr>
            <w:tcW w:w="4080" w:type="dxa"/>
            <w:vAlign w:val="bottom"/>
            <w:shd w:val="clear" w:color="auto" w:fill="E5FFFF"/>
          </w:tcPr>
          <w:p>
            <w:pPr>
              <w:spacing w:after="0"/>
              <w:rPr>
                <w:sz w:val="21"/>
                <w:szCs w:val="21"/>
                <w:color w:val="auto"/>
              </w:rPr>
            </w:pPr>
          </w:p>
        </w:tc>
        <w:tc>
          <w:tcPr>
            <w:tcW w:w="3740" w:type="dxa"/>
            <w:vAlign w:val="bottom"/>
            <w:gridSpan w:val="2"/>
            <w:shd w:val="clear" w:color="auto" w:fill="E5FFFF"/>
          </w:tcPr>
          <w:p>
            <w:pPr>
              <w:ind w:left="2060"/>
              <w:spacing w:after="0"/>
              <w:rPr>
                <w:sz w:val="20"/>
                <w:szCs w:val="20"/>
                <w:color w:val="auto"/>
              </w:rPr>
            </w:pPr>
            <w:r>
              <w:rPr>
                <w:rFonts w:ascii="Arial" w:cs="Arial" w:eastAsia="Arial" w:hAnsi="Arial"/>
                <w:sz w:val="19"/>
                <w:szCs w:val="19"/>
                <w:color w:val="auto"/>
              </w:rPr>
              <w:t>above $0.46875</w:t>
            </w:r>
          </w:p>
        </w:tc>
        <w:tc>
          <w:tcPr>
            <w:tcW w:w="32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43"/>
        </w:trPr>
        <w:tc>
          <w:tcPr>
            <w:tcW w:w="4080" w:type="dxa"/>
            <w:vAlign w:val="bottom"/>
          </w:tcPr>
          <w:p>
            <w:pPr>
              <w:spacing w:after="0"/>
              <w:rPr>
                <w:sz w:val="20"/>
                <w:szCs w:val="20"/>
                <w:color w:val="auto"/>
              </w:rPr>
            </w:pPr>
            <w:r>
              <w:rPr>
                <w:rFonts w:ascii="Arial" w:cs="Arial" w:eastAsia="Arial" w:hAnsi="Arial"/>
                <w:sz w:val="19"/>
                <w:szCs w:val="19"/>
                <w:color w:val="auto"/>
              </w:rPr>
              <w:t>Third Target Distribution</w:t>
            </w:r>
          </w:p>
        </w:tc>
        <w:tc>
          <w:tcPr>
            <w:tcW w:w="3740" w:type="dxa"/>
            <w:vAlign w:val="bottom"/>
            <w:gridSpan w:val="2"/>
          </w:tcPr>
          <w:p>
            <w:pPr>
              <w:ind w:left="2060"/>
              <w:spacing w:after="0"/>
              <w:rPr>
                <w:sz w:val="20"/>
                <w:szCs w:val="20"/>
                <w:color w:val="auto"/>
              </w:rPr>
            </w:pPr>
            <w:r>
              <w:rPr>
                <w:rFonts w:ascii="Arial" w:cs="Arial" w:eastAsia="Arial" w:hAnsi="Arial"/>
                <w:sz w:val="19"/>
                <w:szCs w:val="19"/>
                <w:color w:val="auto"/>
              </w:rPr>
              <w:t>up to $0.5625</w:t>
            </w:r>
          </w:p>
        </w:tc>
        <w:tc>
          <w:tcPr>
            <w:tcW w:w="1400" w:type="dxa"/>
            <w:vAlign w:val="bottom"/>
            <w:gridSpan w:val="2"/>
          </w:tcPr>
          <w:p>
            <w:pPr>
              <w:jc w:val="right"/>
              <w:ind w:right="81"/>
              <w:spacing w:after="0"/>
              <w:rPr>
                <w:sz w:val="20"/>
                <w:szCs w:val="20"/>
                <w:color w:val="auto"/>
              </w:rPr>
            </w:pPr>
            <w:r>
              <w:rPr>
                <w:rFonts w:ascii="Arial" w:cs="Arial" w:eastAsia="Arial" w:hAnsi="Arial"/>
                <w:sz w:val="19"/>
                <w:szCs w:val="19"/>
                <w:color w:val="auto"/>
              </w:rPr>
              <w:t>75.0%</w:t>
            </w:r>
          </w:p>
        </w:tc>
        <w:tc>
          <w:tcPr>
            <w:tcW w:w="30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9"/>
                <w:szCs w:val="19"/>
                <w:color w:val="auto"/>
              </w:rPr>
              <w:t>2.0%</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23.0%</w:t>
            </w:r>
          </w:p>
        </w:tc>
      </w:tr>
      <w:tr>
        <w:trPr>
          <w:trHeight w:val="243"/>
        </w:trPr>
        <w:tc>
          <w:tcPr>
            <w:tcW w:w="4080" w:type="dxa"/>
            <w:vAlign w:val="bottom"/>
            <w:shd w:val="clear" w:color="auto" w:fill="E5FFFF"/>
          </w:tcPr>
          <w:p>
            <w:pPr>
              <w:spacing w:after="0"/>
              <w:rPr>
                <w:sz w:val="20"/>
                <w:szCs w:val="20"/>
                <w:color w:val="auto"/>
              </w:rPr>
            </w:pPr>
            <w:r>
              <w:rPr>
                <w:rFonts w:ascii="Arial" w:cs="Arial" w:eastAsia="Arial" w:hAnsi="Arial"/>
                <w:sz w:val="19"/>
                <w:szCs w:val="19"/>
                <w:color w:val="auto"/>
              </w:rPr>
              <w:t>Thereafter</w:t>
            </w:r>
          </w:p>
        </w:tc>
        <w:tc>
          <w:tcPr>
            <w:tcW w:w="3740" w:type="dxa"/>
            <w:vAlign w:val="bottom"/>
            <w:gridSpan w:val="2"/>
            <w:shd w:val="clear" w:color="auto" w:fill="E5FFFF"/>
          </w:tcPr>
          <w:p>
            <w:pPr>
              <w:ind w:left="2060"/>
              <w:spacing w:after="0"/>
              <w:rPr>
                <w:sz w:val="20"/>
                <w:szCs w:val="20"/>
                <w:color w:val="auto"/>
              </w:rPr>
            </w:pPr>
            <w:r>
              <w:rPr>
                <w:rFonts w:ascii="Arial" w:cs="Arial" w:eastAsia="Arial" w:hAnsi="Arial"/>
                <w:sz w:val="19"/>
                <w:szCs w:val="19"/>
                <w:color w:val="auto"/>
              </w:rPr>
              <w:t>above $0.5625</w:t>
            </w:r>
          </w:p>
        </w:tc>
        <w:tc>
          <w:tcPr>
            <w:tcW w:w="14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50.0%</w:t>
            </w: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48.0%</w:t>
            </w:r>
          </w:p>
        </w:tc>
      </w:tr>
      <w:tr>
        <w:trPr>
          <w:trHeight w:val="342"/>
        </w:trPr>
        <w:tc>
          <w:tcPr>
            <w:tcW w:w="4080" w:type="dxa"/>
            <w:vAlign w:val="bottom"/>
          </w:tcPr>
          <w:p>
            <w:pPr>
              <w:spacing w:after="0"/>
              <w:rPr>
                <w:sz w:val="24"/>
                <w:szCs w:val="24"/>
                <w:color w:val="auto"/>
              </w:rPr>
            </w:pPr>
          </w:p>
        </w:tc>
        <w:tc>
          <w:tcPr>
            <w:tcW w:w="2060" w:type="dxa"/>
            <w:vAlign w:val="bottom"/>
          </w:tcPr>
          <w:p>
            <w:pPr>
              <w:ind w:left="1540"/>
              <w:spacing w:after="0"/>
              <w:rPr>
                <w:sz w:val="20"/>
                <w:szCs w:val="20"/>
                <w:color w:val="auto"/>
              </w:rPr>
            </w:pPr>
            <w:r>
              <w:rPr>
                <w:rFonts w:ascii="Arial" w:cs="Arial" w:eastAsia="Arial" w:hAnsi="Arial"/>
                <w:sz w:val="19"/>
                <w:szCs w:val="19"/>
                <w:color w:val="auto"/>
              </w:rPr>
              <w:t>43</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2"/>
        </w:trPr>
        <w:tc>
          <w:tcPr>
            <w:tcW w:w="40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7" w:name="page48"/>
    <w:bookmarkEnd w:id="47"/>
    <w:p>
      <w:pPr>
        <w:spacing w:after="0"/>
        <w:rPr>
          <w:sz w:val="20"/>
          <w:szCs w:val="20"/>
          <w:color w:val="auto"/>
        </w:rPr>
      </w:pPr>
      <w:r>
        <w:rPr>
          <w:rFonts w:ascii="Arial" w:cs="Arial" w:eastAsia="Arial" w:hAnsi="Arial"/>
          <w:sz w:val="19"/>
          <w:szCs w:val="19"/>
          <w:b w:val="1"/>
          <w:bCs w:val="1"/>
          <w:color w:val="auto"/>
        </w:rPr>
        <w:t>GasLog’s Right to Reset Incentive Distribution Levels</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72"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49"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 Common Units by the national securities exchange on which the Common Units are then listed or admitted for trading.</w:t>
      </w:r>
    </w:p>
    <w:p>
      <w:pPr>
        <w:spacing w:after="0" w:line="63"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pacing w:after="0" w:line="45" w:lineRule="exact"/>
        <w:rPr>
          <w:sz w:val="20"/>
          <w:szCs w:val="20"/>
          <w:color w:val="auto"/>
        </w:rPr>
      </w:pPr>
    </w:p>
    <w:p>
      <w:pPr>
        <w:ind w:left="540" w:hanging="168"/>
        <w:spacing w:after="0" w:line="283" w:lineRule="auto"/>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each unitholder receives an amount equal to 115.0%</w:t>
      </w:r>
      <w:r>
        <w:rPr>
          <w:rFonts w:ascii="Arial" w:cs="Arial" w:eastAsia="Arial" w:hAnsi="Arial"/>
          <w:sz w:val="19"/>
          <w:szCs w:val="19"/>
          <w:i w:val="1"/>
          <w:iCs w:val="1"/>
          <w:color w:val="auto"/>
        </w:rPr>
        <w:t xml:space="preserve"> </w:t>
      </w:r>
      <w:r>
        <w:rPr>
          <w:rFonts w:ascii="Arial" w:cs="Arial" w:eastAsia="Arial" w:hAnsi="Arial"/>
          <w:sz w:val="19"/>
          <w:szCs w:val="19"/>
          <w:color w:val="auto"/>
        </w:rPr>
        <w:t>of the reset minimum quarterly distribution for that quarter;</w:t>
      </w:r>
    </w:p>
    <w:p>
      <w:pPr>
        <w:spacing w:after="0" w:line="38" w:lineRule="exact"/>
        <w:rPr>
          <w:rFonts w:ascii="Arial" w:cs="Arial" w:eastAsia="Arial" w:hAnsi="Arial"/>
          <w:sz w:val="19"/>
          <w:szCs w:val="19"/>
          <w:color w:val="auto"/>
        </w:rPr>
      </w:pPr>
    </w:p>
    <w:p>
      <w:pPr>
        <w:jc w:val="both"/>
        <w:ind w:left="540" w:right="480" w:hanging="168"/>
        <w:spacing w:after="0" w:line="267" w:lineRule="auto"/>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85.0% to the common unitholders, pro rata, 2.0% to our general partner and 13.0% to the holders of the incentive distribution</w:t>
      </w:r>
      <w:r>
        <w:rPr>
          <w:rFonts w:ascii="Arial" w:cs="Arial" w:eastAsia="Arial" w:hAnsi="Arial"/>
          <w:sz w:val="19"/>
          <w:szCs w:val="19"/>
          <w:i w:val="1"/>
          <w:iCs w:val="1"/>
          <w:color w:val="auto"/>
        </w:rPr>
        <w:t xml:space="preserve"> </w:t>
      </w:r>
      <w:r>
        <w:rPr>
          <w:rFonts w:ascii="Arial" w:cs="Arial" w:eastAsia="Arial" w:hAnsi="Arial"/>
          <w:sz w:val="19"/>
          <w:szCs w:val="19"/>
          <w:color w:val="auto"/>
        </w:rPr>
        <w:t>rights, pro rata, until each unitholder receives an amount per unit equal to 125.0% of the reset minimum quarterly distribution for that quarter;</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8" w:name="page49"/>
    <w:bookmarkEnd w:id="48"/>
    <w:p>
      <w:pPr>
        <w:jc w:val="both"/>
        <w:ind w:left="540" w:right="60" w:hanging="168"/>
        <w:spacing w:after="0" w:line="339"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75.0% to the common unitholders, pro rata, 2.0% to our general partner and 23.0% to the holders of the incentive distribution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pro rata, until each unitholder receives an amount per unit equal to 150.0% of the reset minimum quarterly distribution for that quarter; and</w:t>
      </w:r>
    </w:p>
    <w:p>
      <w:pPr>
        <w:spacing w:after="0" w:line="1" w:lineRule="exact"/>
        <w:rPr>
          <w:rFonts w:ascii="Arial" w:cs="Arial" w:eastAsia="Arial" w:hAnsi="Arial"/>
          <w:sz w:val="17"/>
          <w:szCs w:val="17"/>
          <w:color w:val="auto"/>
        </w:rPr>
      </w:pPr>
    </w:p>
    <w:p>
      <w:pPr>
        <w:ind w:left="540" w:right="280" w:hanging="168"/>
        <w:spacing w:after="0" w:line="283"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the common unitholders, pro rata, 2.0% to our general partner and 48.0% to the holders of the incentive distribution</w:t>
      </w:r>
      <w:r>
        <w:rPr>
          <w:rFonts w:ascii="Arial" w:cs="Arial" w:eastAsia="Arial" w:hAnsi="Arial"/>
          <w:sz w:val="19"/>
          <w:szCs w:val="19"/>
          <w:i w:val="1"/>
          <w:iCs w:val="1"/>
          <w:color w:val="auto"/>
        </w:rPr>
        <w:t xml:space="preserve"> </w:t>
      </w:r>
      <w:r>
        <w:rPr>
          <w:rFonts w:ascii="Arial" w:cs="Arial" w:eastAsia="Arial" w:hAnsi="Arial"/>
          <w:sz w:val="19"/>
          <w:szCs w:val="19"/>
          <w:color w:val="auto"/>
        </w:rPr>
        <w:t>rights, pro rata.</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From Capital Surplus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Distributions From Capital Surplus Will Be Made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capital surplus, if any, in the following manner, subject to distributions with respect to</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Series A Preference Units as described under “—Series A Preference Unit Distributions”:</w:t>
      </w:r>
    </w:p>
    <w:p>
      <w:pPr>
        <w:spacing w:after="0" w:line="90" w:lineRule="exact"/>
        <w:rPr>
          <w:sz w:val="20"/>
          <w:szCs w:val="20"/>
          <w:color w:val="auto"/>
        </w:rPr>
      </w:pPr>
    </w:p>
    <w:p>
      <w:pPr>
        <w:ind w:left="540" w:right="320" w:hanging="168"/>
        <w:spacing w:after="0" w:line="283" w:lineRule="auto"/>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the minimum quarterly distribution is reduced to</w:t>
      </w:r>
      <w:r>
        <w:rPr>
          <w:rFonts w:ascii="Arial" w:cs="Arial" w:eastAsia="Arial" w:hAnsi="Arial"/>
          <w:sz w:val="19"/>
          <w:szCs w:val="19"/>
          <w:i w:val="1"/>
          <w:iCs w:val="1"/>
          <w:color w:val="auto"/>
        </w:rPr>
        <w:t xml:space="preserve"> </w:t>
      </w:r>
      <w:r>
        <w:rPr>
          <w:rFonts w:ascii="Arial" w:cs="Arial" w:eastAsia="Arial" w:hAnsi="Arial"/>
          <w:sz w:val="19"/>
          <w:szCs w:val="19"/>
          <w:color w:val="auto"/>
        </w:rPr>
        <w:t>zero, as described below;</w:t>
      </w:r>
    </w:p>
    <w:p>
      <w:pPr>
        <w:spacing w:after="0" w:line="38" w:lineRule="exact"/>
        <w:rPr>
          <w:rFonts w:ascii="Arial" w:cs="Arial" w:eastAsia="Arial" w:hAnsi="Arial"/>
          <w:sz w:val="19"/>
          <w:szCs w:val="19"/>
          <w:color w:val="auto"/>
        </w:rPr>
      </w:pPr>
    </w:p>
    <w:p>
      <w:pPr>
        <w:ind w:left="540" w:right="140" w:hanging="168"/>
        <w:spacing w:after="0" w:line="267" w:lineRule="auto"/>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Common Unit an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available cash from capital surplus equal to any unpaid arrearages in payment of the minimum quarterly distribution on the Common Units; and</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we will make all distributions of available cash from capital surplus as if they were from operating surplus.</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Effect of a Distribution from Capital Surplus</w:t>
      </w:r>
    </w:p>
    <w:p>
      <w:pPr>
        <w:spacing w:after="0" w:line="119"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However, any distribution of capital surplus before the minimum quarterly distribution is reduced to zero cannot be applied to the payment of the minimum quarterly distribution or any arrearages.</w:t>
      </w:r>
    </w:p>
    <w:p>
      <w:pPr>
        <w:spacing w:after="0" w:line="63" w:lineRule="exact"/>
        <w:rPr>
          <w:sz w:val="20"/>
          <w:szCs w:val="20"/>
          <w:color w:val="auto"/>
        </w:rPr>
      </w:pPr>
    </w:p>
    <w:p>
      <w:pPr>
        <w:jc w:val="both"/>
        <w:ind w:right="200" w:firstLine="357"/>
        <w:spacing w:after="0" w:line="313" w:lineRule="auto"/>
        <w:rPr>
          <w:sz w:val="20"/>
          <w:szCs w:val="20"/>
          <w:color w:val="auto"/>
        </w:rPr>
      </w:pPr>
      <w:r>
        <w:rPr>
          <w:rFonts w:ascii="Arial" w:cs="Arial" w:eastAsia="Arial" w:hAnsi="Arial"/>
          <w:sz w:val="17"/>
          <w:szCs w:val="17"/>
          <w:color w:val="auto"/>
        </w:rPr>
        <w:t>Once we reduce the minimum quarterly distribution and the cash target distribution levels to zero, we will then make all future distributions 50.0% to the common unitholders, 2.0% to our general partner and 48.0% to the holders of the incentive distribution rights (currently, GasLog). The 2.0% interest shown for our general partner assumes that our general partner maintains its 2.0% general partner interest.</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Adjustment to the Minimum Quarterly Distribution and Target Distribution Levels</w:t>
      </w:r>
    </w:p>
    <w:p>
      <w:pPr>
        <w:spacing w:after="0" w:line="125"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38" w:lineRule="exact"/>
        <w:rPr>
          <w:sz w:val="20"/>
          <w:szCs w:val="20"/>
          <w:color w:val="auto"/>
        </w:rPr>
      </w:pPr>
    </w:p>
    <w:p>
      <w:pPr>
        <w:ind w:left="540" w:hanging="168"/>
        <w:spacing w:after="0"/>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minimum quarterly distribution;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cash target distribution levels;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initial unit price.</w:t>
      </w:r>
    </w:p>
    <w:p>
      <w:pPr>
        <w:spacing w:after="0" w:line="11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For example, if a two-for-one split of the Common Units should occur, the minimum quarterly distribution, the cash target distribution levels and the initial unit price would each be reduced to</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50.0% of its initial level. We will not make any adjustment by reason of the issuance of additional units for cash or property.</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Cash Upon Liquidation</w:t>
      </w:r>
    </w:p>
    <w:p>
      <w:pPr>
        <w:spacing w:after="0" w:line="125" w:lineRule="exact"/>
        <w:rPr>
          <w:sz w:val="20"/>
          <w:szCs w:val="20"/>
          <w:color w:val="auto"/>
        </w:rPr>
      </w:pPr>
    </w:p>
    <w:p>
      <w:pPr>
        <w:jc w:val="both"/>
        <w:ind w:right="20" w:firstLine="357"/>
        <w:spacing w:after="0" w:line="267" w:lineRule="auto"/>
        <w:rPr>
          <w:sz w:val="20"/>
          <w:szCs w:val="20"/>
          <w:color w:val="auto"/>
        </w:rPr>
      </w:pPr>
      <w:r>
        <w:rPr>
          <w:rFonts w:ascii="Arial" w:cs="Arial" w:eastAsia="Arial" w:hAnsi="Arial"/>
          <w:sz w:val="19"/>
          <w:szCs w:val="19"/>
          <w:color w:val="auto"/>
        </w:rPr>
        <w:t>If we dissolve in accordance with the partnership agreement, we will sell or otherwise dispose of our assets in a process called liquidation. We will apply the proceeds of liquidation in the manner set forth below, subject to distributions with respect to Series A Preference Units as described under “—Series A Preference Unit Liquidation Rights”.</w:t>
      </w:r>
    </w:p>
    <w:p>
      <w:pPr>
        <w:spacing w:after="0" w:line="68"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25" w:lineRule="exact"/>
        <w:rPr>
          <w:sz w:val="20"/>
          <w:szCs w:val="20"/>
          <w:color w:val="auto"/>
        </w:rPr>
      </w:pPr>
    </w:p>
    <w:p>
      <w:pPr>
        <w:ind w:left="540" w:right="440" w:hanging="168"/>
        <w:spacing w:after="0" w:line="283"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any arrearages in payment of the minimum quarterly distribution on the Common Units for any prior quarters during the subordination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880" w:hanging="168"/>
        <w:spacing w:after="0" w:line="283"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initial unit price (less any prior capital surplus distributions and any prior cash distributions made in connection with a partial liquidation);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then the proceeds of the liquidation will be applied as follows:</w:t>
      </w:r>
    </w:p>
    <w:p>
      <w:pPr>
        <w:spacing w:after="0" w:line="106" w:lineRule="exact"/>
        <w:rPr>
          <w:sz w:val="20"/>
          <w:szCs w:val="20"/>
          <w:color w:val="auto"/>
        </w:rPr>
      </w:pPr>
    </w:p>
    <w:p>
      <w:pPr>
        <w:ind w:left="540" w:right="60" w:hanging="168"/>
        <w:spacing w:after="0" w:line="283" w:lineRule="auto"/>
        <w:tabs>
          <w:tab w:leader="none" w:pos="540"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current market price of our common units;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48.0% to holders of incentive distribution rights and 2.0% to our general partner.</w:t>
      </w:r>
    </w:p>
    <w:p>
      <w:pPr>
        <w:spacing w:after="0" w:line="131"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If, as of the date three trading days prior to the announcement of the proposed liquidation, the current market price of our Common Units is equal to or less than the sum of:</w:t>
      </w:r>
    </w:p>
    <w:p>
      <w:pPr>
        <w:spacing w:after="0" w:line="38" w:lineRule="exact"/>
        <w:rPr>
          <w:sz w:val="20"/>
          <w:szCs w:val="20"/>
          <w:color w:val="auto"/>
        </w:rPr>
      </w:pPr>
    </w:p>
    <w:p>
      <w:pPr>
        <w:ind w:left="540" w:right="440" w:hanging="168"/>
        <w:spacing w:after="0" w:line="283"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any arrearages in payment of the minimum quarterly distribution on the Common Units for any prior quarters during the subordination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880" w:hanging="168"/>
        <w:spacing w:after="0" w:line="283"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initial unit price (less any prior capital surplus distributions and any prior cash distributions made in connection with a partial liquidation);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then the proceeds of the liquidation will be applied as follows:</w:t>
      </w:r>
    </w:p>
    <w:p>
      <w:pPr>
        <w:spacing w:after="0" w:line="106" w:lineRule="exact"/>
        <w:rPr>
          <w:sz w:val="20"/>
          <w:szCs w:val="20"/>
          <w:color w:val="auto"/>
        </w:rPr>
      </w:pPr>
    </w:p>
    <w:p>
      <w:pPr>
        <w:jc w:val="both"/>
        <w:ind w:left="540" w:right="60" w:hanging="168"/>
        <w:spacing w:after="0" w:line="267"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initial unit price (less any prior capital surplus distributions and any prior cash distributions made in connection with a partial liquidation);</w:t>
      </w:r>
    </w:p>
    <w:p>
      <w:pPr>
        <w:spacing w:after="0" w:line="40" w:lineRule="exact"/>
        <w:rPr>
          <w:rFonts w:ascii="Arial" w:cs="Arial" w:eastAsia="Arial" w:hAnsi="Arial"/>
          <w:sz w:val="19"/>
          <w:szCs w:val="19"/>
          <w:color w:val="auto"/>
        </w:rPr>
      </w:pPr>
    </w:p>
    <w:p>
      <w:pPr>
        <w:jc w:val="both"/>
        <w:ind w:left="540" w:right="20" w:hanging="168"/>
        <w:spacing w:after="0" w:line="267"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outstanding Common Unit</w:t>
      </w:r>
      <w:r>
        <w:rPr>
          <w:rFonts w:ascii="Arial" w:cs="Arial" w:eastAsia="Arial" w:hAnsi="Arial"/>
          <w:sz w:val="19"/>
          <w:szCs w:val="19"/>
          <w:i w:val="1"/>
          <w:iCs w:val="1"/>
          <w:color w:val="auto"/>
        </w:rPr>
        <w:t xml:space="preserve"> </w:t>
      </w:r>
      <w:r>
        <w:rPr>
          <w:rFonts w:ascii="Arial" w:cs="Arial" w:eastAsia="Arial" w:hAnsi="Arial"/>
          <w:sz w:val="19"/>
          <w:szCs w:val="19"/>
          <w:color w:val="auto"/>
        </w:rPr>
        <w:t>an amount equal to any arrearages in payment of the minimum quarterly distribution on the Common Units for any prior quarters during the subordination period; and</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48.0% to holders of incentive distribution rights and 2.0% to our general partner.</w:t>
      </w:r>
    </w:p>
    <w:p>
      <w:pPr>
        <w:spacing w:after="0" w:line="131" w:lineRule="exact"/>
        <w:rPr>
          <w:sz w:val="20"/>
          <w:szCs w:val="20"/>
          <w:color w:val="auto"/>
        </w:rPr>
      </w:pPr>
    </w:p>
    <w:p>
      <w:pPr>
        <w:ind w:right="120" w:firstLine="357"/>
        <w:spacing w:after="0" w:line="344" w:lineRule="auto"/>
        <w:rPr>
          <w:sz w:val="20"/>
          <w:szCs w:val="20"/>
          <w:color w:val="auto"/>
        </w:rPr>
      </w:pPr>
      <w:r>
        <w:rPr>
          <w:rFonts w:ascii="Arial" w:cs="Arial" w:eastAsia="Arial" w:hAnsi="Arial"/>
          <w:sz w:val="17"/>
          <w:szCs w:val="17"/>
          <w:color w:val="auto"/>
        </w:rPr>
        <w:t>The immediately preceding paragraph is based on the assumption that our general partner maintains its 2.0% general partner interest and that we do not issue additional classes of equity securities (other than the Series A Preference Units, which are discussed in the following section).</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Series A Preference Unit Liquidation Rights</w:t>
      </w:r>
    </w:p>
    <w:p>
      <w:pPr>
        <w:spacing w:after="0" w:line="125" w:lineRule="exact"/>
        <w:rPr>
          <w:sz w:val="20"/>
          <w:szCs w:val="20"/>
          <w:color w:val="auto"/>
        </w:rPr>
      </w:pPr>
    </w:p>
    <w:p>
      <w:pPr>
        <w:ind w:right="60" w:firstLine="357"/>
        <w:spacing w:after="0" w:line="302" w:lineRule="auto"/>
        <w:rPr>
          <w:sz w:val="20"/>
          <w:szCs w:val="20"/>
          <w:color w:val="auto"/>
        </w:rPr>
      </w:pPr>
      <w:r>
        <w:rPr>
          <w:rFonts w:ascii="Arial" w:cs="Arial" w:eastAsia="Arial" w:hAnsi="Arial"/>
          <w:sz w:val="17"/>
          <w:szCs w:val="17"/>
          <w:color w:val="auto"/>
        </w:rPr>
        <w:t>The holders of Series A Preference Units will be entitled, in the event of a dissolution,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(as defined in the partnership agreement). In the event that our assets available for distribution to holders of the outstanding Series A Preference Units and any other</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0" w:name="page51"/>
    <w:bookmarkEnd w:id="50"/>
    <w:p>
      <w:pPr>
        <w:spacing w:after="0" w:line="259" w:lineRule="auto"/>
        <w:rPr>
          <w:sz w:val="20"/>
          <w:szCs w:val="20"/>
          <w:color w:val="auto"/>
        </w:rPr>
      </w:pPr>
      <w:r>
        <w:rPr>
          <w:rFonts w:ascii="Arial" w:cs="Arial" w:eastAsia="Arial" w:hAnsi="Arial"/>
          <w:sz w:val="19"/>
          <w:szCs w:val="19"/>
          <w:color w:val="auto"/>
        </w:rPr>
        <w:t>Parity Securities (if applicable) are insufficient to permit payment of all required amounts, our assets then remaining will be distributed among the Series A Preference Units and any Parity Securities, as applicable, ratably on the basis of their relative aggregate liquidation preferences. After payment of all required amounts to the holders of the outstanding Series A Preference Units and other Parity Securities (if applicable), our remaining assets and funds will be distributed among the holders of the common units and any other Junior Securities then outstanding according to their respective rights.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NON-UNITED STATES TAX CONSIDERATIONS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PLAN OF DISTRIBUTION</w:t>
      </w:r>
    </w:p>
    <w:p>
      <w:pPr>
        <w:spacing w:after="0" w:line="125" w:lineRule="exact"/>
        <w:rPr>
          <w:sz w:val="20"/>
          <w:szCs w:val="20"/>
          <w:color w:val="auto"/>
        </w:rPr>
      </w:pPr>
    </w:p>
    <w:p>
      <w:pPr>
        <w:ind w:right="220" w:firstLine="357"/>
        <w:spacing w:after="0" w:line="28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4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54" w:lineRule="exact"/>
        <w:rPr>
          <w:sz w:val="20"/>
          <w:szCs w:val="20"/>
          <w:color w:val="auto"/>
        </w:rPr>
      </w:pPr>
    </w:p>
    <w:p>
      <w:pPr>
        <w:ind w:left="540" w:right="180" w:hanging="168"/>
        <w:spacing w:after="0" w:line="283" w:lineRule="auto"/>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on the NYSE or any other national securities exchange or U.S. inter-dealer system of a registered national securities association on which our Common Units may be listed or quoted at the time of sale;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over-the-counter market;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privately negotiated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an exchange distribution in accordance with the rules of the applicable exchange;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as settlement of short sales entered into after the date of the prospectus;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whether through an options exchange or otherwise;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through broker-dealers, who may act as agents or principals;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through sales “at the market” to or through a market-maker;</w:t>
      </w:r>
    </w:p>
    <w:p>
      <w:pPr>
        <w:spacing w:after="0" w:line="105"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a block trade, in which a broker-dealer will attempt to sell a block as agent but may position and resell a portion of the block as principal to facilitate the transaction;</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through one or more underwriters on a firm commitment or best-efforts basis;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directly to one or more purchasers;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through agents;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options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over the Internet;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other method permitted pursuant to applicable law;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any combination of the above.</w:t>
      </w:r>
    </w:p>
    <w:p>
      <w:pPr>
        <w:spacing w:after="0" w:line="119"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In effecting sales, brokers or dealers engaged by us may arrange for other brokers or dealers to participate. Broker-dealer transactions may include:</w:t>
      </w:r>
    </w:p>
    <w:p>
      <w:pPr>
        <w:spacing w:after="0" w:line="38" w:lineRule="exact"/>
        <w:rPr>
          <w:sz w:val="20"/>
          <w:szCs w:val="20"/>
          <w:color w:val="auto"/>
        </w:rPr>
      </w:pPr>
    </w:p>
    <w:p>
      <w:pPr>
        <w:ind w:left="540" w:right="20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purchases of the securities by a broker-dealer as principal and resales of the securities by the broker-dealer for its account pursuant to this prospectus;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ordinary brokerage transactions; or</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52" w:name="page53"/>
    <w:bookmarkEnd w:id="52"/>
    <w:p>
      <w:pPr>
        <w:ind w:left="380"/>
        <w:spacing w:after="0"/>
        <w:rPr>
          <w:sz w:val="20"/>
          <w:szCs w:val="20"/>
          <w:color w:val="auto"/>
        </w:rPr>
      </w:pPr>
      <w:r>
        <w:rPr>
          <w:rFonts w:ascii="Arial" w:cs="Arial" w:eastAsia="Arial" w:hAnsi="Arial"/>
          <w:sz w:val="19"/>
          <w:szCs w:val="19"/>
          <w:color w:val="auto"/>
        </w:rPr>
        <w:t>• transactions in which the broker-dealer solicits purchasers.</w:t>
      </w:r>
    </w:p>
    <w:p>
      <w:pPr>
        <w:spacing w:after="0" w:line="119"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In addition, we may sell any securities covered by this prospectus in private transactions or under Rule 144 of the Securities Act of 1933, as amended, rather than pursuant to this prospectus.</w:t>
      </w:r>
    </w:p>
    <w:p>
      <w:pPr>
        <w:spacing w:after="0" w:line="52"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58"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77" w:lineRule="exact"/>
        <w:rPr>
          <w:sz w:val="20"/>
          <w:szCs w:val="20"/>
          <w:color w:val="auto"/>
        </w:rPr>
      </w:pPr>
    </w:p>
    <w:p>
      <w:pPr>
        <w:ind w:right="100" w:firstLine="357"/>
        <w:spacing w:after="0" w:line="270" w:lineRule="auto"/>
        <w:rPr>
          <w:sz w:val="20"/>
          <w:szCs w:val="20"/>
          <w:color w:val="auto"/>
        </w:rPr>
      </w:pPr>
      <w:r>
        <w:rPr>
          <w:rFonts w:ascii="Arial" w:cs="Arial" w:eastAsia="Arial" w:hAnsi="Arial"/>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72"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53" w:name="page54"/>
    <w:bookmarkEnd w:id="53"/>
    <w:p>
      <w:pPr>
        <w:ind w:right="320"/>
        <w:spacing w:after="0" w:line="283" w:lineRule="auto"/>
        <w:rPr>
          <w:sz w:val="20"/>
          <w:szCs w:val="20"/>
          <w:color w:val="auto"/>
        </w:rPr>
      </w:pPr>
      <w:r>
        <w:rPr>
          <w:rFonts w:ascii="Arial" w:cs="Arial" w:eastAsia="Arial" w:hAnsi="Arial"/>
          <w:sz w:val="19"/>
          <w:szCs w:val="19"/>
          <w:color w:val="auto"/>
        </w:rPr>
        <w:t>forth in the revised prospectus or applicable prospectus supplement. If we grant any such option, the terms of the option will be set forth in the revised prospectus or applicable prospectus supplement.</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72" w:lineRule="exact"/>
        <w:rPr>
          <w:sz w:val="20"/>
          <w:szCs w:val="20"/>
          <w:color w:val="auto"/>
        </w:rPr>
      </w:pPr>
    </w:p>
    <w:p>
      <w:pPr>
        <w:ind w:right="300" w:firstLine="357"/>
        <w:spacing w:after="0" w:line="259" w:lineRule="auto"/>
        <w:rPr>
          <w:sz w:val="20"/>
          <w:szCs w:val="20"/>
          <w:color w:val="auto"/>
        </w:rPr>
      </w:pPr>
      <w:r>
        <w:rPr>
          <w:rFonts w:ascii="Arial" w:cs="Arial" w:eastAsia="Arial" w:hAnsi="Arial"/>
          <w:sz w:val="19"/>
          <w:szCs w:val="19"/>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EXPENSES</w:t>
      </w:r>
    </w:p>
    <w:p>
      <w:pPr>
        <w:spacing w:after="0" w:line="125" w:lineRule="exact"/>
        <w:rPr>
          <w:sz w:val="20"/>
          <w:szCs w:val="20"/>
          <w:color w:val="auto"/>
        </w:rPr>
      </w:pPr>
    </w:p>
    <w:p>
      <w:pPr>
        <w:ind w:right="320" w:firstLine="357"/>
        <w:spacing w:after="0" w:line="274" w:lineRule="auto"/>
        <w:rPr>
          <w:sz w:val="20"/>
          <w:szCs w:val="20"/>
          <w:color w:val="auto"/>
        </w:rPr>
      </w:pPr>
      <w:r>
        <w:rPr>
          <w:rFonts w:ascii="Arial" w:cs="Arial" w:eastAsia="Arial" w:hAnsi="Arial"/>
          <w:sz w:val="19"/>
          <w:szCs w:val="19"/>
          <w:color w:val="auto"/>
        </w:rPr>
        <w:t>The following are the expenses estimated to be incurred by us in connection with a possible offering of the securities registered under this registration statement.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SEC Registration Fee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86,925</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Printing</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Legal Fees and Expenses.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Accountants’ Fees and Expenses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NYSE Fees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50"/>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Miscellaneous Costs</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Total</w:t>
            </w: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56"/>
        </w:trPr>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bl>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To be provided by a prospectus supplement or as an exhibit to a Report on Form 6-K that is incorporated by reference into this prospectus.</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The consolidated financial statements as of December 31, 2015 and December 31, 2016 and for each of the three years in the period ended December 31, 2016 incorporated in this prospectus by reference from the Company’s Current Report on Form 6-K filed on September 29, 2017 have been audited by Deloitte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54" w:name="page55"/>
    <w:bookmarkEnd w:id="54"/>
    <w:p>
      <w:pPr>
        <w:ind w:left="5360"/>
        <w:spacing w:after="0"/>
        <w:rPr>
          <w:sz w:val="20"/>
          <w:szCs w:val="20"/>
          <w:color w:val="auto"/>
        </w:rPr>
      </w:pPr>
      <w:r>
        <w:rPr>
          <w:rFonts w:ascii="Arial" w:cs="Arial" w:eastAsia="Arial" w:hAnsi="Arial"/>
          <w:sz w:val="19"/>
          <w:szCs w:val="19"/>
          <w:b w:val="1"/>
          <w:bCs w:val="1"/>
          <w:color w:val="auto"/>
        </w:rPr>
        <w:t>PART II</w:t>
      </w:r>
    </w:p>
    <w:p>
      <w:pPr>
        <w:spacing w:after="0" w:line="187" w:lineRule="exact"/>
        <w:rPr>
          <w:sz w:val="20"/>
          <w:szCs w:val="20"/>
          <w:color w:val="auto"/>
        </w:rPr>
      </w:pPr>
    </w:p>
    <w:p>
      <w:pPr>
        <w:ind w:left="3420"/>
        <w:spacing w:after="0"/>
        <w:rPr>
          <w:sz w:val="20"/>
          <w:szCs w:val="20"/>
          <w:color w:val="auto"/>
        </w:rPr>
      </w:pPr>
      <w:r>
        <w:rPr>
          <w:rFonts w:ascii="Arial" w:cs="Arial" w:eastAsia="Arial" w:hAnsi="Arial"/>
          <w:sz w:val="19"/>
          <w:szCs w:val="19"/>
          <w:b w:val="1"/>
          <w:bCs w:val="1"/>
          <w:color w:val="auto"/>
        </w:rPr>
        <w:t>INFORMATION NOT REQUIRED IN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8. </w:t>
      </w:r>
      <w:r>
        <w:rPr>
          <w:rFonts w:ascii="Arial" w:cs="Arial" w:eastAsia="Arial" w:hAnsi="Arial"/>
          <w:sz w:val="19"/>
          <w:szCs w:val="19"/>
          <w:b w:val="1"/>
          <w:bCs w:val="1"/>
          <w:i w:val="1"/>
          <w:iCs w:val="1"/>
          <w:color w:val="auto"/>
        </w:rPr>
        <w:t>Indemnification of Directors and Officers</w:t>
      </w:r>
    </w:p>
    <w:p>
      <w:pPr>
        <w:spacing w:after="0" w:line="125" w:lineRule="exact"/>
        <w:rPr>
          <w:sz w:val="20"/>
          <w:szCs w:val="20"/>
          <w:color w:val="auto"/>
        </w:rPr>
      </w:pPr>
    </w:p>
    <w:p>
      <w:pPr>
        <w:ind w:right="100" w:firstLine="357"/>
        <w:spacing w:after="0" w:line="270" w:lineRule="auto"/>
        <w:rPr>
          <w:sz w:val="20"/>
          <w:szCs w:val="20"/>
          <w:color w:val="auto"/>
        </w:rPr>
      </w:pPr>
      <w:r>
        <w:rPr>
          <w:rFonts w:ascii="Arial" w:cs="Arial" w:eastAsia="Arial" w:hAnsi="Arial"/>
          <w:sz w:val="18"/>
          <w:szCs w:val="18"/>
          <w:color w:val="auto"/>
        </w:rPr>
        <w:t>GasLog Partners LP is a Marshall Islands limited partnership. Under the Marshall Islands Limited Partnership Act, a partnership agreement may set forth that the partnership shall indemnify and hold harmless any partner or other person from and against any and all claims and demands whatsoever. Under our partnership agreement, we generally indemnify our directors, officers and the affiliates of our general partner to the fullest extent permitted by the law against all losses, claims, damages or similar events. 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 Reference is also made to the Underwriting Agreement filed as Exhibit 1.1 to this registration statement in which GasLog Partners LP and certain of its affiliates will agree to indemnify the underwriters against certain liabilities, including liabilities under the Securities Act of 1933, as amended, and to contribute to payments that may be required to be made in respect of these liabilities.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 </w:t>
      </w:r>
      <w:r>
        <w:rPr>
          <w:rFonts w:ascii="Arial" w:cs="Arial" w:eastAsia="Arial" w:hAnsi="Arial"/>
          <w:sz w:val="19"/>
          <w:szCs w:val="19"/>
          <w:b w:val="1"/>
          <w:bCs w:val="1"/>
          <w:i w:val="1"/>
          <w:iCs w:val="1"/>
          <w:color w:val="auto"/>
        </w:rPr>
        <w:t>Exhibits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gridSpan w:val="8"/>
          </w:tcPr>
          <w:p>
            <w:pPr>
              <w:ind w:left="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0" w:type="dxa"/>
            <w:vAlign w:val="bottom"/>
            <w:tcBorders>
              <w:top w:val="single" w:sz="8" w:color="auto"/>
              <w:bottom w:val="single" w:sz="8" w:color="E5FFFF"/>
            </w:tcBorders>
            <w:shd w:val="clear" w:color="auto" w:fill="E5FFFF"/>
          </w:tcPr>
          <w:p>
            <w:pPr>
              <w:ind w:left="120"/>
              <w:spacing w:after="0" w:line="183" w:lineRule="exact"/>
              <w:rPr>
                <w:sz w:val="20"/>
                <w:szCs w:val="20"/>
                <w:color w:val="auto"/>
              </w:rPr>
            </w:pPr>
            <w:r>
              <w:rPr>
                <w:rFonts w:ascii="Arial" w:cs="Arial" w:eastAsia="Arial" w:hAnsi="Arial"/>
                <w:sz w:val="19"/>
                <w:szCs w:val="19"/>
                <w:color w:val="auto"/>
              </w:rPr>
              <w:t>1.1</w:t>
            </w:r>
          </w:p>
        </w:tc>
        <w:tc>
          <w:tcPr>
            <w:tcW w:w="300" w:type="dxa"/>
            <w:vAlign w:val="bottom"/>
            <w:tcBorders>
              <w:bottom w:val="single" w:sz="8" w:color="E5FFFF"/>
            </w:tcBorders>
            <w:shd w:val="clear" w:color="auto" w:fill="E5FFFF"/>
          </w:tcPr>
          <w:p>
            <w:pPr>
              <w:spacing w:after="0"/>
              <w:rPr>
                <w:sz w:val="18"/>
                <w:szCs w:val="18"/>
                <w:color w:val="auto"/>
              </w:rPr>
            </w:pPr>
          </w:p>
        </w:tc>
        <w:tc>
          <w:tcPr>
            <w:tcW w:w="2640" w:type="dxa"/>
            <w:vAlign w:val="bottom"/>
            <w:tcBorders>
              <w:top w:val="single" w:sz="8" w:color="auto"/>
              <w:bottom w:val="single" w:sz="8" w:color="0000EE"/>
            </w:tcBorders>
            <w:gridSpan w:val="3"/>
            <w:shd w:val="clear" w:color="auto" w:fill="E5FFFF"/>
          </w:tcPr>
          <w:p>
            <w:pPr>
              <w:spacing w:after="0" w:line="183" w:lineRule="exact"/>
              <w:rPr>
                <w:sz w:val="20"/>
                <w:szCs w:val="20"/>
                <w:color w:val="auto"/>
              </w:rPr>
            </w:pPr>
            <w:r>
              <w:rPr>
                <w:rFonts w:ascii="Arial" w:cs="Arial" w:eastAsia="Arial" w:hAnsi="Arial"/>
                <w:sz w:val="19"/>
                <w:szCs w:val="19"/>
                <w:color w:val="0000EE"/>
                <w:w w:val="95"/>
              </w:rPr>
              <w:t>Form of Underwriting Agreement</w:t>
            </w:r>
          </w:p>
        </w:tc>
        <w:tc>
          <w:tcPr>
            <w:tcW w:w="7420" w:type="dxa"/>
            <w:vAlign w:val="bottom"/>
            <w:tcBorders>
              <w:top w:val="single" w:sz="8" w:color="auto"/>
              <w:bottom w:val="single" w:sz="8" w:color="E5FFFF"/>
            </w:tcBorders>
            <w:gridSpan w:val="14"/>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vMerge w:val="restart"/>
          </w:tcPr>
          <w:p>
            <w:pPr>
              <w:ind w:left="120"/>
              <w:spacing w:after="0" w:line="189" w:lineRule="exact"/>
              <w:rPr>
                <w:sz w:val="20"/>
                <w:szCs w:val="20"/>
                <w:color w:val="auto"/>
              </w:rPr>
            </w:pPr>
            <w:r>
              <w:rPr>
                <w:rFonts w:ascii="Arial" w:cs="Arial" w:eastAsia="Arial" w:hAnsi="Arial"/>
                <w:sz w:val="19"/>
                <w:szCs w:val="19"/>
                <w:color w:val="auto"/>
              </w:rPr>
              <w:t>3.1</w:t>
            </w:r>
          </w:p>
        </w:tc>
        <w:tc>
          <w:tcPr>
            <w:tcW w:w="300" w:type="dxa"/>
            <w:vAlign w:val="bottom"/>
          </w:tcPr>
          <w:p>
            <w:pPr>
              <w:spacing w:after="0"/>
              <w:rPr>
                <w:sz w:val="11"/>
                <w:szCs w:val="11"/>
                <w:color w:val="auto"/>
              </w:rPr>
            </w:pPr>
          </w:p>
        </w:tc>
        <w:tc>
          <w:tcPr>
            <w:tcW w:w="4460" w:type="dxa"/>
            <w:vAlign w:val="bottom"/>
            <w:gridSpan w:val="7"/>
            <w:vMerge w:val="restart"/>
          </w:tcPr>
          <w:p>
            <w:pPr>
              <w:spacing w:after="0" w:line="189" w:lineRule="exact"/>
              <w:rPr>
                <w:rFonts w:ascii="Arial" w:cs="Arial" w:eastAsia="Arial" w:hAnsi="Arial"/>
                <w:sz w:val="19"/>
                <w:szCs w:val="19"/>
                <w:color w:val="0000EE"/>
                <w:w w:val="93"/>
              </w:rPr>
            </w:pPr>
            <w:hyperlink r:id="rId74">
              <w:r>
                <w:rPr>
                  <w:rFonts w:ascii="Arial" w:cs="Arial" w:eastAsia="Arial" w:hAnsi="Arial"/>
                  <w:sz w:val="19"/>
                  <w:szCs w:val="19"/>
                  <w:color w:val="0000EE"/>
                  <w:w w:val="93"/>
                </w:rPr>
                <w:t>Certificate of Limited Partnership of GasLog Partners LP</w:t>
              </w:r>
            </w:hyperlink>
          </w:p>
        </w:tc>
        <w:tc>
          <w:tcPr>
            <w:tcW w:w="120" w:type="dxa"/>
            <w:vAlign w:val="bottom"/>
            <w:tcBorders>
              <w:bottom w:val="single" w:sz="8" w:color="0000EE"/>
            </w:tcBorders>
            <w:gridSpan w:val="2"/>
          </w:tcPr>
          <w:p>
            <w:pPr>
              <w:jc w:val="right"/>
              <w:spacing w:after="0" w:line="115" w:lineRule="exact"/>
              <w:rPr>
                <w:rFonts w:ascii="Arial" w:cs="Arial" w:eastAsia="Arial" w:hAnsi="Arial"/>
                <w:sz w:val="11"/>
                <w:szCs w:val="11"/>
                <w:color w:val="0000EE"/>
                <w:w w:val="74"/>
              </w:rPr>
            </w:pPr>
            <w:hyperlink r:id="rId74">
              <w:r>
                <w:rPr>
                  <w:rFonts w:ascii="Arial" w:cs="Arial" w:eastAsia="Arial" w:hAnsi="Arial"/>
                  <w:sz w:val="11"/>
                  <w:szCs w:val="11"/>
                  <w:color w:val="0000EE"/>
                  <w:w w:val="74"/>
                </w:rPr>
                <w:t>(2)</w:t>
              </w:r>
            </w:hyperlink>
          </w:p>
        </w:tc>
        <w:tc>
          <w:tcPr>
            <w:tcW w:w="7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940" w:type="dxa"/>
            <w:vAlign w:val="bottom"/>
            <w:vMerge w:val="restart"/>
          </w:tcPr>
          <w:p>
            <w:pPr>
              <w:spacing w:after="0"/>
              <w:rPr>
                <w:sz w:val="11"/>
                <w:szCs w:val="11"/>
                <w:color w:val="auto"/>
              </w:rPr>
            </w:pPr>
          </w:p>
        </w:tc>
        <w:tc>
          <w:tcPr>
            <w:tcW w:w="58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300" w:type="dxa"/>
            <w:vAlign w:val="bottom"/>
            <w:vMerge w:val="restart"/>
          </w:tcPr>
          <w:p>
            <w:pPr>
              <w:spacing w:after="0"/>
              <w:rPr>
                <w:sz w:val="11"/>
                <w:szCs w:val="11"/>
                <w:color w:val="auto"/>
              </w:rPr>
            </w:pPr>
          </w:p>
        </w:tc>
        <w:tc>
          <w:tcPr>
            <w:tcW w:w="16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460" w:type="dxa"/>
            <w:vAlign w:val="bottom"/>
            <w:tcBorders>
              <w:bottom w:val="single" w:sz="8" w:color="0000EE"/>
            </w:tcBorders>
            <w:gridSpan w:val="7"/>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40" w:type="dxa"/>
            <w:vAlign w:val="bottom"/>
            <w:tcBorders>
              <w:bottom w:val="single" w:sz="8" w:color="E5FFFF"/>
            </w:tcBorders>
            <w:vMerge w:val="restart"/>
            <w:shd w:val="clear" w:color="auto" w:fill="E5FFFF"/>
          </w:tcPr>
          <w:p>
            <w:pPr>
              <w:ind w:left="120"/>
              <w:spacing w:after="0" w:line="189" w:lineRule="exact"/>
              <w:rPr>
                <w:sz w:val="20"/>
                <w:szCs w:val="20"/>
                <w:color w:val="auto"/>
              </w:rPr>
            </w:pPr>
            <w:r>
              <w:rPr>
                <w:rFonts w:ascii="Arial" w:cs="Arial" w:eastAsia="Arial" w:hAnsi="Arial"/>
                <w:sz w:val="19"/>
                <w:szCs w:val="19"/>
                <w:color w:val="auto"/>
              </w:rPr>
              <w:t>3.2</w:t>
            </w:r>
          </w:p>
        </w:tc>
        <w:tc>
          <w:tcPr>
            <w:tcW w:w="300" w:type="dxa"/>
            <w:vAlign w:val="bottom"/>
            <w:tcBorders>
              <w:bottom w:val="single" w:sz="8" w:color="E5FFFF"/>
            </w:tcBorders>
            <w:shd w:val="clear" w:color="auto" w:fill="E5FFFF"/>
          </w:tcPr>
          <w:p>
            <w:pPr>
              <w:spacing w:after="0"/>
              <w:rPr>
                <w:sz w:val="11"/>
                <w:szCs w:val="11"/>
                <w:color w:val="auto"/>
              </w:rPr>
            </w:pPr>
          </w:p>
        </w:tc>
        <w:tc>
          <w:tcPr>
            <w:tcW w:w="6960" w:type="dxa"/>
            <w:vAlign w:val="bottom"/>
            <w:tcBorders>
              <w:bottom w:val="single" w:sz="8" w:color="E5FFFF"/>
            </w:tcBorders>
            <w:gridSpan w:val="14"/>
            <w:vMerge w:val="restart"/>
            <w:shd w:val="clear" w:color="auto" w:fill="E5FFFF"/>
          </w:tcPr>
          <w:p>
            <w:pPr>
              <w:spacing w:after="0" w:line="189" w:lineRule="exact"/>
              <w:rPr>
                <w:rFonts w:ascii="Arial" w:cs="Arial" w:eastAsia="Arial" w:hAnsi="Arial"/>
                <w:sz w:val="19"/>
                <w:szCs w:val="19"/>
                <w:color w:val="0000EE"/>
                <w:w w:val="91"/>
              </w:rPr>
            </w:pPr>
            <w:hyperlink r:id="rId75">
              <w:r>
                <w:rPr>
                  <w:rFonts w:ascii="Arial" w:cs="Arial" w:eastAsia="Arial" w:hAnsi="Arial"/>
                  <w:sz w:val="19"/>
                  <w:szCs w:val="19"/>
                  <w:color w:val="0000EE"/>
                  <w:w w:val="91"/>
                </w:rPr>
                <w:t>Second Amended and Restated Agreement of Limited Partnership of GasLog Partners LP</w:t>
              </w:r>
            </w:hyperlink>
          </w:p>
        </w:tc>
        <w:tc>
          <w:tcPr>
            <w:tcW w:w="120" w:type="dxa"/>
            <w:vAlign w:val="bottom"/>
            <w:tcBorders>
              <w:bottom w:val="single" w:sz="8" w:color="0000EE"/>
            </w:tcBorders>
            <w:shd w:val="clear" w:color="auto" w:fill="E5FFFF"/>
          </w:tcPr>
          <w:p>
            <w:pPr>
              <w:jc w:val="right"/>
              <w:spacing w:after="0" w:line="115" w:lineRule="exact"/>
              <w:rPr>
                <w:rFonts w:ascii="Arial" w:cs="Arial" w:eastAsia="Arial" w:hAnsi="Arial"/>
                <w:sz w:val="11"/>
                <w:szCs w:val="11"/>
                <w:color w:val="0000EE"/>
                <w:w w:val="74"/>
              </w:rPr>
            </w:pPr>
            <w:hyperlink r:id="rId75">
              <w:r>
                <w:rPr>
                  <w:rFonts w:ascii="Arial" w:cs="Arial" w:eastAsia="Arial" w:hAnsi="Arial"/>
                  <w:sz w:val="11"/>
                  <w:szCs w:val="11"/>
                  <w:color w:val="0000EE"/>
                  <w:w w:val="74"/>
                </w:rPr>
                <w:t>(3)</w:t>
              </w:r>
            </w:hyperlink>
          </w:p>
        </w:tc>
        <w:tc>
          <w:tcPr>
            <w:tcW w:w="1300" w:type="dxa"/>
            <w:vAlign w:val="bottom"/>
            <w:tcBorders>
              <w:bottom w:val="single" w:sz="8" w:color="E5FFFF"/>
            </w:tcBorders>
            <w:vMerge w:val="restart"/>
            <w:shd w:val="clear" w:color="auto" w:fill="E5FFFF"/>
          </w:tcPr>
          <w:p>
            <w:pPr>
              <w:spacing w:after="0"/>
              <w:rPr>
                <w:sz w:val="11"/>
                <w:szCs w:val="11"/>
                <w:color w:val="auto"/>
              </w:rPr>
            </w:pPr>
          </w:p>
        </w:tc>
        <w:tc>
          <w:tcPr>
            <w:tcW w:w="1680" w:type="dxa"/>
            <w:vAlign w:val="bottom"/>
            <w:tcBorders>
              <w:bottom w:val="single" w:sz="8" w:color="E5FFFF"/>
            </w:tcBorders>
            <w:vMerge w:val="restart"/>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40" w:type="dxa"/>
            <w:vAlign w:val="bottom"/>
            <w:tcBorders>
              <w:bottom w:val="single" w:sz="8" w:color="E5FFFF"/>
            </w:tcBorders>
            <w:vMerge w:val="continue"/>
            <w:shd w:val="clear" w:color="auto" w:fill="E5FFFF"/>
          </w:tcPr>
          <w:p>
            <w:pPr>
              <w:spacing w:after="0"/>
              <w:rPr>
                <w:sz w:val="5"/>
                <w:szCs w:val="5"/>
                <w:color w:val="auto"/>
              </w:rPr>
            </w:pPr>
          </w:p>
        </w:tc>
        <w:tc>
          <w:tcPr>
            <w:tcW w:w="300" w:type="dxa"/>
            <w:vAlign w:val="bottom"/>
            <w:tcBorders>
              <w:bottom w:val="single" w:sz="8" w:color="E5FFFF"/>
            </w:tcBorders>
            <w:shd w:val="clear" w:color="auto" w:fill="E5FFFF"/>
          </w:tcPr>
          <w:p>
            <w:pPr>
              <w:spacing w:after="0"/>
              <w:rPr>
                <w:sz w:val="5"/>
                <w:szCs w:val="5"/>
                <w:color w:val="auto"/>
              </w:rPr>
            </w:pPr>
          </w:p>
        </w:tc>
        <w:tc>
          <w:tcPr>
            <w:tcW w:w="6960" w:type="dxa"/>
            <w:vAlign w:val="bottom"/>
            <w:tcBorders>
              <w:bottom w:val="single" w:sz="8" w:color="0000EE"/>
            </w:tcBorders>
            <w:gridSpan w:val="14"/>
            <w:vMerge w:val="continue"/>
            <w:shd w:val="clear" w:color="auto" w:fill="E5FFFF"/>
          </w:tcPr>
          <w:p>
            <w:pPr>
              <w:spacing w:after="0"/>
              <w:rPr>
                <w:sz w:val="5"/>
                <w:szCs w:val="5"/>
                <w:color w:val="auto"/>
              </w:rPr>
            </w:pPr>
          </w:p>
        </w:tc>
        <w:tc>
          <w:tcPr>
            <w:tcW w:w="120" w:type="dxa"/>
            <w:vAlign w:val="bottom"/>
            <w:tcBorders>
              <w:bottom w:val="single" w:sz="8" w:color="E5FFFF"/>
            </w:tcBorders>
            <w:shd w:val="clear" w:color="auto" w:fill="E5FFFF"/>
          </w:tcPr>
          <w:p>
            <w:pPr>
              <w:spacing w:after="0"/>
              <w:rPr>
                <w:sz w:val="5"/>
                <w:szCs w:val="5"/>
                <w:color w:val="auto"/>
              </w:rPr>
            </w:pPr>
          </w:p>
        </w:tc>
        <w:tc>
          <w:tcPr>
            <w:tcW w:w="1300" w:type="dxa"/>
            <w:vAlign w:val="bottom"/>
            <w:tcBorders>
              <w:bottom w:val="single" w:sz="8" w:color="E5FFFF"/>
            </w:tcBorders>
            <w:vMerge w:val="continue"/>
            <w:shd w:val="clear" w:color="auto" w:fill="E5FFFF"/>
          </w:tcPr>
          <w:p>
            <w:pPr>
              <w:spacing w:after="0"/>
              <w:rPr>
                <w:sz w:val="5"/>
                <w:szCs w:val="5"/>
                <w:color w:val="auto"/>
              </w:rPr>
            </w:pPr>
          </w:p>
        </w:tc>
        <w:tc>
          <w:tcPr>
            <w:tcW w:w="1680" w:type="dxa"/>
            <w:vAlign w:val="bottom"/>
            <w:tcBorders>
              <w:bottom w:val="single" w:sz="8" w:color="E5FFFF"/>
            </w:tcBorders>
            <w:vMerge w:val="continue"/>
            <w:shd w:val="clear" w:color="auto" w:fill="E5FF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tcBorders>
              <w:top w:val="single" w:sz="8" w:color="E5FFFF"/>
              <w:bottom w:val="single" w:sz="8" w:color="E5FFFF"/>
            </w:tcBorders>
            <w:vMerge w:val="restart"/>
          </w:tcPr>
          <w:p>
            <w:pPr>
              <w:ind w:left="120"/>
              <w:spacing w:after="0" w:line="189" w:lineRule="exact"/>
              <w:rPr>
                <w:sz w:val="20"/>
                <w:szCs w:val="20"/>
                <w:color w:val="auto"/>
              </w:rPr>
            </w:pPr>
            <w:r>
              <w:rPr>
                <w:rFonts w:ascii="Arial" w:cs="Arial" w:eastAsia="Arial" w:hAnsi="Arial"/>
                <w:sz w:val="19"/>
                <w:szCs w:val="19"/>
                <w:color w:val="auto"/>
              </w:rPr>
              <w:t>3.3</w:t>
            </w:r>
          </w:p>
        </w:tc>
        <w:tc>
          <w:tcPr>
            <w:tcW w:w="300" w:type="dxa"/>
            <w:vAlign w:val="bottom"/>
            <w:tcBorders>
              <w:top w:val="single" w:sz="8" w:color="E5FFFF"/>
            </w:tcBorders>
          </w:tcPr>
          <w:p>
            <w:pPr>
              <w:spacing w:after="0"/>
              <w:rPr>
                <w:sz w:val="11"/>
                <w:szCs w:val="11"/>
                <w:color w:val="auto"/>
              </w:rPr>
            </w:pPr>
          </w:p>
        </w:tc>
        <w:tc>
          <w:tcPr>
            <w:tcW w:w="4160" w:type="dxa"/>
            <w:vAlign w:val="bottom"/>
            <w:tcBorders>
              <w:top w:val="single" w:sz="8" w:color="E5FFFF"/>
              <w:bottom w:val="single" w:sz="8" w:color="E5FFFF"/>
            </w:tcBorders>
            <w:gridSpan w:val="4"/>
            <w:vMerge w:val="restart"/>
          </w:tcPr>
          <w:p>
            <w:pPr>
              <w:spacing w:after="0" w:line="189" w:lineRule="exact"/>
              <w:rPr>
                <w:rFonts w:ascii="Arial" w:cs="Arial" w:eastAsia="Arial" w:hAnsi="Arial"/>
                <w:sz w:val="19"/>
                <w:szCs w:val="19"/>
                <w:color w:val="0000EE"/>
                <w:w w:val="94"/>
              </w:rPr>
            </w:pPr>
            <w:hyperlink r:id="rId76">
              <w:r>
                <w:rPr>
                  <w:rFonts w:ascii="Arial" w:cs="Arial" w:eastAsia="Arial" w:hAnsi="Arial"/>
                  <w:sz w:val="19"/>
                  <w:szCs w:val="19"/>
                  <w:color w:val="0000EE"/>
                  <w:w w:val="94"/>
                </w:rPr>
                <w:t>Certificate of Formation of GasLog Partners GP LLC</w:t>
              </w:r>
            </w:hyperlink>
          </w:p>
        </w:tc>
        <w:tc>
          <w:tcPr>
            <w:tcW w:w="120" w:type="dxa"/>
            <w:vAlign w:val="bottom"/>
            <w:tcBorders>
              <w:top w:val="single" w:sz="8" w:color="E5FFFF"/>
              <w:bottom w:val="single" w:sz="8" w:color="0000EE"/>
            </w:tcBorders>
            <w:gridSpan w:val="2"/>
          </w:tcPr>
          <w:p>
            <w:pPr>
              <w:jc w:val="right"/>
              <w:spacing w:after="0" w:line="115" w:lineRule="exact"/>
              <w:rPr>
                <w:rFonts w:ascii="Arial" w:cs="Arial" w:eastAsia="Arial" w:hAnsi="Arial"/>
                <w:sz w:val="11"/>
                <w:szCs w:val="11"/>
                <w:color w:val="0000EE"/>
                <w:w w:val="74"/>
              </w:rPr>
            </w:pPr>
            <w:hyperlink r:id="rId76">
              <w:r>
                <w:rPr>
                  <w:rFonts w:ascii="Arial" w:cs="Arial" w:eastAsia="Arial" w:hAnsi="Arial"/>
                  <w:sz w:val="11"/>
                  <w:szCs w:val="11"/>
                  <w:color w:val="0000EE"/>
                  <w:w w:val="74"/>
                </w:rPr>
                <w:t>(2)</w:t>
              </w:r>
            </w:hyperlink>
          </w:p>
        </w:tc>
        <w:tc>
          <w:tcPr>
            <w:tcW w:w="240" w:type="dxa"/>
            <w:vAlign w:val="bottom"/>
            <w:tcBorders>
              <w:top w:val="single" w:sz="8" w:color="E5FFFF"/>
              <w:bottom w:val="single" w:sz="8" w:color="E5FFFF"/>
            </w:tcBorders>
            <w:gridSpan w:val="2"/>
            <w:vMerge w:val="restart"/>
          </w:tcPr>
          <w:p>
            <w:pPr>
              <w:spacing w:after="0"/>
              <w:rPr>
                <w:sz w:val="11"/>
                <w:szCs w:val="11"/>
                <w:color w:val="auto"/>
              </w:rPr>
            </w:pPr>
          </w:p>
        </w:tc>
        <w:tc>
          <w:tcPr>
            <w:tcW w:w="760" w:type="dxa"/>
            <w:vAlign w:val="bottom"/>
            <w:tcBorders>
              <w:top w:val="single" w:sz="8" w:color="E5FFFF"/>
              <w:bottom w:val="single" w:sz="8" w:color="E5FFFF"/>
            </w:tcBorders>
            <w:gridSpan w:val="2"/>
            <w:vMerge w:val="restart"/>
          </w:tcPr>
          <w:p>
            <w:pPr>
              <w:spacing w:after="0"/>
              <w:rPr>
                <w:sz w:val="11"/>
                <w:szCs w:val="11"/>
                <w:color w:val="auto"/>
              </w:rPr>
            </w:pPr>
          </w:p>
        </w:tc>
        <w:tc>
          <w:tcPr>
            <w:tcW w:w="20" w:type="dxa"/>
            <w:vAlign w:val="bottom"/>
            <w:tcBorders>
              <w:top w:val="single" w:sz="8" w:color="E5FFFF"/>
              <w:bottom w:val="single" w:sz="8" w:color="E5FFFF"/>
            </w:tcBorders>
            <w:vMerge w:val="restart"/>
          </w:tcPr>
          <w:p>
            <w:pPr>
              <w:spacing w:after="0"/>
              <w:rPr>
                <w:sz w:val="11"/>
                <w:szCs w:val="11"/>
                <w:color w:val="auto"/>
              </w:rPr>
            </w:pPr>
          </w:p>
        </w:tc>
        <w:tc>
          <w:tcPr>
            <w:tcW w:w="140" w:type="dxa"/>
            <w:vAlign w:val="bottom"/>
            <w:tcBorders>
              <w:top w:val="single" w:sz="8" w:color="E5FFFF"/>
              <w:bottom w:val="single" w:sz="8" w:color="E5FFFF"/>
            </w:tcBorders>
            <w:vMerge w:val="restart"/>
          </w:tcPr>
          <w:p>
            <w:pPr>
              <w:spacing w:after="0"/>
              <w:rPr>
                <w:sz w:val="11"/>
                <w:szCs w:val="11"/>
                <w:color w:val="auto"/>
              </w:rPr>
            </w:pPr>
          </w:p>
        </w:tc>
        <w:tc>
          <w:tcPr>
            <w:tcW w:w="940" w:type="dxa"/>
            <w:vAlign w:val="bottom"/>
            <w:tcBorders>
              <w:top w:val="single" w:sz="8" w:color="E5FFFF"/>
              <w:bottom w:val="single" w:sz="8" w:color="E5FFFF"/>
            </w:tcBorders>
            <w:vMerge w:val="restart"/>
          </w:tcPr>
          <w:p>
            <w:pPr>
              <w:spacing w:after="0"/>
              <w:rPr>
                <w:sz w:val="11"/>
                <w:szCs w:val="11"/>
                <w:color w:val="auto"/>
              </w:rPr>
            </w:pPr>
          </w:p>
        </w:tc>
        <w:tc>
          <w:tcPr>
            <w:tcW w:w="2000" w:type="dxa"/>
            <w:vAlign w:val="bottom"/>
            <w:tcBorders>
              <w:top w:val="single" w:sz="8" w:color="E5FFFF"/>
              <w:bottom w:val="single" w:sz="8" w:color="E5FFFF"/>
            </w:tcBorders>
            <w:gridSpan w:val="3"/>
            <w:vMerge w:val="restart"/>
          </w:tcPr>
          <w:p>
            <w:pPr>
              <w:spacing w:after="0"/>
              <w:rPr>
                <w:sz w:val="11"/>
                <w:szCs w:val="11"/>
                <w:color w:val="auto"/>
              </w:rPr>
            </w:pPr>
          </w:p>
        </w:tc>
        <w:tc>
          <w:tcPr>
            <w:tcW w:w="1680" w:type="dxa"/>
            <w:vAlign w:val="bottom"/>
            <w:tcBorders>
              <w:top w:val="single" w:sz="8" w:color="E5FFFF"/>
              <w:bottom w:val="single" w:sz="8" w:color="E5FFFF"/>
            </w:tcBorders>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160" w:type="dxa"/>
            <w:vAlign w:val="bottom"/>
            <w:tcBorders>
              <w:bottom w:val="single" w:sz="8" w:color="0000EE"/>
            </w:tcBorders>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2000" w:type="dxa"/>
            <w:vAlign w:val="bottom"/>
            <w:gridSpan w:val="3"/>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40" w:type="dxa"/>
            <w:vAlign w:val="bottom"/>
            <w:tcBorders>
              <w:bottom w:val="single" w:sz="8" w:color="E5FFFF"/>
            </w:tcBorders>
            <w:vMerge w:val="restart"/>
            <w:shd w:val="clear" w:color="auto" w:fill="E5FFFF"/>
          </w:tcPr>
          <w:p>
            <w:pPr>
              <w:ind w:left="120"/>
              <w:spacing w:after="0" w:line="189" w:lineRule="exact"/>
              <w:rPr>
                <w:sz w:val="20"/>
                <w:szCs w:val="20"/>
                <w:color w:val="auto"/>
              </w:rPr>
            </w:pPr>
            <w:r>
              <w:rPr>
                <w:rFonts w:ascii="Arial" w:cs="Arial" w:eastAsia="Arial" w:hAnsi="Arial"/>
                <w:sz w:val="19"/>
                <w:szCs w:val="19"/>
                <w:color w:val="auto"/>
              </w:rPr>
              <w:t>3.4</w:t>
            </w:r>
          </w:p>
        </w:tc>
        <w:tc>
          <w:tcPr>
            <w:tcW w:w="300" w:type="dxa"/>
            <w:vAlign w:val="bottom"/>
            <w:tcBorders>
              <w:bottom w:val="single" w:sz="8" w:color="E5FFFF"/>
            </w:tcBorders>
            <w:shd w:val="clear" w:color="auto" w:fill="E5FFFF"/>
          </w:tcPr>
          <w:p>
            <w:pPr>
              <w:spacing w:after="0"/>
              <w:rPr>
                <w:sz w:val="11"/>
                <w:szCs w:val="11"/>
                <w:color w:val="auto"/>
              </w:rPr>
            </w:pPr>
          </w:p>
        </w:tc>
        <w:tc>
          <w:tcPr>
            <w:tcW w:w="5300" w:type="dxa"/>
            <w:vAlign w:val="bottom"/>
            <w:tcBorders>
              <w:bottom w:val="single" w:sz="8" w:color="E5FFFF"/>
            </w:tcBorders>
            <w:gridSpan w:val="11"/>
            <w:vMerge w:val="restart"/>
            <w:shd w:val="clear" w:color="auto" w:fill="E5FFFF"/>
          </w:tcPr>
          <w:p>
            <w:pPr>
              <w:spacing w:after="0" w:line="189" w:lineRule="exact"/>
              <w:rPr>
                <w:rFonts w:ascii="Arial" w:cs="Arial" w:eastAsia="Arial" w:hAnsi="Arial"/>
                <w:sz w:val="19"/>
                <w:szCs w:val="19"/>
                <w:color w:val="0000EE"/>
                <w:w w:val="94"/>
              </w:rPr>
            </w:pPr>
            <w:hyperlink r:id="rId77">
              <w:r>
                <w:rPr>
                  <w:rFonts w:ascii="Arial" w:cs="Arial" w:eastAsia="Arial" w:hAnsi="Arial"/>
                  <w:sz w:val="19"/>
                  <w:szCs w:val="19"/>
                  <w:color w:val="0000EE"/>
                  <w:w w:val="94"/>
                </w:rPr>
                <w:t>Limited Liability Company Agreement of GasLog Partners GP LLC</w:t>
              </w:r>
            </w:hyperlink>
          </w:p>
        </w:tc>
        <w:tc>
          <w:tcPr>
            <w:tcW w:w="140" w:type="dxa"/>
            <w:vAlign w:val="bottom"/>
            <w:tcBorders>
              <w:bottom w:val="single" w:sz="8" w:color="0000EE"/>
            </w:tcBorders>
            <w:shd w:val="clear" w:color="auto" w:fill="E5FFFF"/>
          </w:tcPr>
          <w:p>
            <w:pPr>
              <w:jc w:val="right"/>
              <w:spacing w:after="0" w:line="115" w:lineRule="exact"/>
              <w:rPr>
                <w:rFonts w:ascii="Arial" w:cs="Arial" w:eastAsia="Arial" w:hAnsi="Arial"/>
                <w:sz w:val="11"/>
                <w:szCs w:val="11"/>
                <w:color w:val="0000EE"/>
                <w:w w:val="88"/>
              </w:rPr>
            </w:pPr>
            <w:hyperlink r:id="rId77">
              <w:r>
                <w:rPr>
                  <w:rFonts w:ascii="Arial" w:cs="Arial" w:eastAsia="Arial" w:hAnsi="Arial"/>
                  <w:sz w:val="11"/>
                  <w:szCs w:val="11"/>
                  <w:color w:val="0000EE"/>
                  <w:w w:val="88"/>
                </w:rPr>
                <w:t>(2)</w:t>
              </w:r>
            </w:hyperlink>
          </w:p>
        </w:tc>
        <w:tc>
          <w:tcPr>
            <w:tcW w:w="940" w:type="dxa"/>
            <w:vAlign w:val="bottom"/>
            <w:tcBorders>
              <w:bottom w:val="single" w:sz="8" w:color="E5FFFF"/>
            </w:tcBorders>
            <w:vMerge w:val="restart"/>
            <w:shd w:val="clear" w:color="auto" w:fill="E5FFFF"/>
          </w:tcPr>
          <w:p>
            <w:pPr>
              <w:spacing w:after="0"/>
              <w:rPr>
                <w:sz w:val="11"/>
                <w:szCs w:val="11"/>
                <w:color w:val="auto"/>
              </w:rPr>
            </w:pPr>
          </w:p>
        </w:tc>
        <w:tc>
          <w:tcPr>
            <w:tcW w:w="2000" w:type="dxa"/>
            <w:vAlign w:val="bottom"/>
            <w:tcBorders>
              <w:bottom w:val="single" w:sz="8" w:color="E5FFFF"/>
            </w:tcBorders>
            <w:gridSpan w:val="3"/>
            <w:vMerge w:val="restart"/>
            <w:shd w:val="clear" w:color="auto" w:fill="E5FFFF"/>
          </w:tcPr>
          <w:p>
            <w:pPr>
              <w:spacing w:after="0"/>
              <w:rPr>
                <w:sz w:val="11"/>
                <w:szCs w:val="11"/>
                <w:color w:val="auto"/>
              </w:rPr>
            </w:pPr>
          </w:p>
        </w:tc>
        <w:tc>
          <w:tcPr>
            <w:tcW w:w="1680" w:type="dxa"/>
            <w:vAlign w:val="bottom"/>
            <w:tcBorders>
              <w:bottom w:val="single" w:sz="8" w:color="E5FFFF"/>
            </w:tcBorders>
            <w:vMerge w:val="restart"/>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40" w:type="dxa"/>
            <w:vAlign w:val="bottom"/>
            <w:tcBorders>
              <w:bottom w:val="single" w:sz="8" w:color="E5FFFF"/>
            </w:tcBorders>
            <w:vMerge w:val="continue"/>
            <w:shd w:val="clear" w:color="auto" w:fill="E5FFFF"/>
          </w:tcPr>
          <w:p>
            <w:pPr>
              <w:spacing w:after="0"/>
              <w:rPr>
                <w:sz w:val="5"/>
                <w:szCs w:val="5"/>
                <w:color w:val="auto"/>
              </w:rPr>
            </w:pPr>
          </w:p>
        </w:tc>
        <w:tc>
          <w:tcPr>
            <w:tcW w:w="300" w:type="dxa"/>
            <w:vAlign w:val="bottom"/>
            <w:tcBorders>
              <w:bottom w:val="single" w:sz="8" w:color="E5FFFF"/>
            </w:tcBorders>
            <w:shd w:val="clear" w:color="auto" w:fill="E5FFFF"/>
          </w:tcPr>
          <w:p>
            <w:pPr>
              <w:spacing w:after="0"/>
              <w:rPr>
                <w:sz w:val="5"/>
                <w:szCs w:val="5"/>
                <w:color w:val="auto"/>
              </w:rPr>
            </w:pPr>
          </w:p>
        </w:tc>
        <w:tc>
          <w:tcPr>
            <w:tcW w:w="5300" w:type="dxa"/>
            <w:vAlign w:val="bottom"/>
            <w:tcBorders>
              <w:bottom w:val="single" w:sz="8" w:color="0000EE"/>
            </w:tcBorders>
            <w:gridSpan w:val="11"/>
            <w:vMerge w:val="continue"/>
            <w:shd w:val="clear" w:color="auto" w:fill="E5FFFF"/>
          </w:tcPr>
          <w:p>
            <w:pPr>
              <w:spacing w:after="0"/>
              <w:rPr>
                <w:sz w:val="5"/>
                <w:szCs w:val="5"/>
                <w:color w:val="auto"/>
              </w:rPr>
            </w:pPr>
          </w:p>
        </w:tc>
        <w:tc>
          <w:tcPr>
            <w:tcW w:w="140" w:type="dxa"/>
            <w:vAlign w:val="bottom"/>
            <w:tcBorders>
              <w:bottom w:val="single" w:sz="8" w:color="E5FFFF"/>
            </w:tcBorders>
            <w:shd w:val="clear" w:color="auto" w:fill="E5FFFF"/>
          </w:tcPr>
          <w:p>
            <w:pPr>
              <w:spacing w:after="0"/>
              <w:rPr>
                <w:sz w:val="5"/>
                <w:szCs w:val="5"/>
                <w:color w:val="auto"/>
              </w:rPr>
            </w:pPr>
          </w:p>
        </w:tc>
        <w:tc>
          <w:tcPr>
            <w:tcW w:w="940" w:type="dxa"/>
            <w:vAlign w:val="bottom"/>
            <w:tcBorders>
              <w:bottom w:val="single" w:sz="8" w:color="E5FFFF"/>
            </w:tcBorders>
            <w:vMerge w:val="continue"/>
            <w:shd w:val="clear" w:color="auto" w:fill="E5FFFF"/>
          </w:tcPr>
          <w:p>
            <w:pPr>
              <w:spacing w:after="0"/>
              <w:rPr>
                <w:sz w:val="5"/>
                <w:szCs w:val="5"/>
                <w:color w:val="auto"/>
              </w:rPr>
            </w:pPr>
          </w:p>
        </w:tc>
        <w:tc>
          <w:tcPr>
            <w:tcW w:w="2000" w:type="dxa"/>
            <w:vAlign w:val="bottom"/>
            <w:tcBorders>
              <w:bottom w:val="single" w:sz="8" w:color="E5FFFF"/>
            </w:tcBorders>
            <w:gridSpan w:val="3"/>
            <w:vMerge w:val="continue"/>
            <w:shd w:val="clear" w:color="auto" w:fill="E5FFFF"/>
          </w:tcPr>
          <w:p>
            <w:pPr>
              <w:spacing w:after="0"/>
              <w:rPr>
                <w:sz w:val="5"/>
                <w:szCs w:val="5"/>
                <w:color w:val="auto"/>
              </w:rPr>
            </w:pPr>
          </w:p>
        </w:tc>
        <w:tc>
          <w:tcPr>
            <w:tcW w:w="1680" w:type="dxa"/>
            <w:vAlign w:val="bottom"/>
            <w:tcBorders>
              <w:bottom w:val="single" w:sz="8" w:color="E5FFFF"/>
            </w:tcBorders>
            <w:vMerge w:val="continue"/>
            <w:shd w:val="clear" w:color="auto" w:fill="E5FF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tcBorders>
              <w:top w:val="single" w:sz="8" w:color="E5FFFF"/>
            </w:tcBorders>
          </w:tcPr>
          <w:p>
            <w:pPr>
              <w:ind w:left="120"/>
              <w:spacing w:after="0" w:line="189" w:lineRule="exact"/>
              <w:rPr>
                <w:sz w:val="20"/>
                <w:szCs w:val="20"/>
                <w:color w:val="auto"/>
              </w:rPr>
            </w:pPr>
            <w:r>
              <w:rPr>
                <w:rFonts w:ascii="Arial" w:cs="Arial" w:eastAsia="Arial" w:hAnsi="Arial"/>
                <w:sz w:val="19"/>
                <w:szCs w:val="19"/>
                <w:color w:val="auto"/>
              </w:rPr>
              <w:t>4.1</w:t>
            </w:r>
          </w:p>
        </w:tc>
        <w:tc>
          <w:tcPr>
            <w:tcW w:w="300" w:type="dxa"/>
            <w:vAlign w:val="bottom"/>
            <w:tcBorders>
              <w:top w:val="single" w:sz="8" w:color="E5FFFF"/>
            </w:tcBorders>
          </w:tcPr>
          <w:p>
            <w:pPr>
              <w:spacing w:after="0"/>
              <w:rPr>
                <w:sz w:val="16"/>
                <w:szCs w:val="16"/>
                <w:color w:val="auto"/>
              </w:rPr>
            </w:pPr>
          </w:p>
        </w:tc>
        <w:tc>
          <w:tcPr>
            <w:tcW w:w="10060" w:type="dxa"/>
            <w:vAlign w:val="bottom"/>
            <w:tcBorders>
              <w:top w:val="single" w:sz="8" w:color="E5FFFF"/>
            </w:tcBorders>
            <w:gridSpan w:val="17"/>
          </w:tcPr>
          <w:p>
            <w:pPr>
              <w:spacing w:after="0" w:line="189" w:lineRule="exact"/>
              <w:rPr>
                <w:sz w:val="20"/>
                <w:szCs w:val="20"/>
                <w:color w:val="auto"/>
              </w:rPr>
            </w:pPr>
            <w:r>
              <w:rPr>
                <w:rFonts w:ascii="Arial" w:cs="Arial" w:eastAsia="Arial" w:hAnsi="Arial"/>
                <w:sz w:val="19"/>
                <w:szCs w:val="19"/>
                <w:color w:val="0000EE"/>
              </w:rPr>
              <w:t>Form of Indenture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1040" w:type="dxa"/>
            <w:vAlign w:val="bottom"/>
            <w:shd w:val="clear" w:color="auto" w:fill="E5FFFF"/>
          </w:tcPr>
          <w:p>
            <w:pPr>
              <w:ind w:left="120"/>
              <w:spacing w:after="0"/>
              <w:rPr>
                <w:sz w:val="20"/>
                <w:szCs w:val="20"/>
                <w:color w:val="auto"/>
              </w:rPr>
            </w:pPr>
            <w:r>
              <w:rPr>
                <w:rFonts w:ascii="Arial" w:cs="Arial" w:eastAsia="Arial" w:hAnsi="Arial"/>
                <w:sz w:val="19"/>
                <w:szCs w:val="19"/>
                <w:color w:val="auto"/>
              </w:rPr>
              <w:t>4.2</w:t>
            </w:r>
          </w:p>
        </w:tc>
        <w:tc>
          <w:tcPr>
            <w:tcW w:w="300" w:type="dxa"/>
            <w:vAlign w:val="bottom"/>
            <w:shd w:val="clear" w:color="auto" w:fill="E5FFFF"/>
          </w:tcPr>
          <w:p>
            <w:pPr>
              <w:spacing w:after="0"/>
              <w:rPr>
                <w:sz w:val="21"/>
                <w:szCs w:val="21"/>
                <w:color w:val="auto"/>
              </w:rPr>
            </w:pPr>
          </w:p>
        </w:tc>
        <w:tc>
          <w:tcPr>
            <w:tcW w:w="10060" w:type="dxa"/>
            <w:vAlign w:val="bottom"/>
            <w:gridSpan w:val="17"/>
            <w:shd w:val="clear" w:color="auto" w:fill="E5FFFF"/>
          </w:tcPr>
          <w:p>
            <w:pPr>
              <w:spacing w:after="0"/>
              <w:rPr>
                <w:sz w:val="20"/>
                <w:szCs w:val="20"/>
                <w:color w:val="auto"/>
              </w:rPr>
            </w:pPr>
            <w:r>
              <w:rPr>
                <w:rFonts w:ascii="Arial" w:cs="Arial" w:eastAsia="Arial" w:hAnsi="Arial"/>
                <w:sz w:val="19"/>
                <w:szCs w:val="19"/>
                <w:color w:val="auto"/>
              </w:rPr>
              <w:t>Form of Debt Securities</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4.3</w:t>
            </w:r>
          </w:p>
        </w:tc>
        <w:tc>
          <w:tcPr>
            <w:tcW w:w="300" w:type="dxa"/>
            <w:vAlign w:val="bottom"/>
          </w:tcPr>
          <w:p>
            <w:pPr>
              <w:spacing w:after="0"/>
              <w:rPr>
                <w:sz w:val="21"/>
                <w:szCs w:val="21"/>
                <w:color w:val="auto"/>
              </w:rPr>
            </w:pPr>
          </w:p>
        </w:tc>
        <w:tc>
          <w:tcPr>
            <w:tcW w:w="10060" w:type="dxa"/>
            <w:vAlign w:val="bottom"/>
            <w:gridSpan w:val="17"/>
          </w:tcPr>
          <w:p>
            <w:pPr>
              <w:spacing w:after="0"/>
              <w:rPr>
                <w:sz w:val="20"/>
                <w:szCs w:val="20"/>
                <w:color w:val="auto"/>
              </w:rPr>
            </w:pPr>
            <w:r>
              <w:rPr>
                <w:rFonts w:ascii="Arial" w:cs="Arial" w:eastAsia="Arial" w:hAnsi="Arial"/>
                <w:sz w:val="19"/>
                <w:szCs w:val="19"/>
                <w:color w:val="auto"/>
              </w:rPr>
              <w:t>Form of Warrant Agreement</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shd w:val="clear" w:color="auto" w:fill="E5FFFF"/>
          </w:tcPr>
          <w:p>
            <w:pPr>
              <w:ind w:left="120"/>
              <w:spacing w:after="0"/>
              <w:rPr>
                <w:sz w:val="20"/>
                <w:szCs w:val="20"/>
                <w:color w:val="auto"/>
              </w:rPr>
            </w:pPr>
            <w:r>
              <w:rPr>
                <w:rFonts w:ascii="Arial" w:cs="Arial" w:eastAsia="Arial" w:hAnsi="Arial"/>
                <w:sz w:val="19"/>
                <w:szCs w:val="19"/>
                <w:color w:val="auto"/>
              </w:rPr>
              <w:t>4.4</w:t>
            </w:r>
          </w:p>
        </w:tc>
        <w:tc>
          <w:tcPr>
            <w:tcW w:w="300" w:type="dxa"/>
            <w:vAlign w:val="bottom"/>
            <w:shd w:val="clear" w:color="auto" w:fill="E5FFFF"/>
          </w:tcPr>
          <w:p>
            <w:pPr>
              <w:spacing w:after="0"/>
              <w:rPr>
                <w:sz w:val="21"/>
                <w:szCs w:val="21"/>
                <w:color w:val="auto"/>
              </w:rPr>
            </w:pPr>
          </w:p>
        </w:tc>
        <w:tc>
          <w:tcPr>
            <w:tcW w:w="10060" w:type="dxa"/>
            <w:vAlign w:val="bottom"/>
            <w:gridSpan w:val="17"/>
            <w:shd w:val="clear" w:color="auto" w:fill="E5FFFF"/>
          </w:tcPr>
          <w:p>
            <w:pPr>
              <w:spacing w:after="0"/>
              <w:rPr>
                <w:sz w:val="20"/>
                <w:szCs w:val="20"/>
                <w:color w:val="auto"/>
              </w:rPr>
            </w:pPr>
            <w:r>
              <w:rPr>
                <w:rFonts w:ascii="Arial" w:cs="Arial" w:eastAsia="Arial" w:hAnsi="Arial"/>
                <w:sz w:val="19"/>
                <w:szCs w:val="19"/>
                <w:color w:val="auto"/>
              </w:rPr>
              <w:t>Form of Warrant Certificate</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4.5</w:t>
            </w:r>
          </w:p>
        </w:tc>
        <w:tc>
          <w:tcPr>
            <w:tcW w:w="300" w:type="dxa"/>
            <w:vAlign w:val="bottom"/>
          </w:tcPr>
          <w:p>
            <w:pPr>
              <w:spacing w:after="0"/>
              <w:rPr>
                <w:sz w:val="21"/>
                <w:szCs w:val="21"/>
                <w:color w:val="auto"/>
              </w:rPr>
            </w:pPr>
          </w:p>
        </w:tc>
        <w:tc>
          <w:tcPr>
            <w:tcW w:w="10060" w:type="dxa"/>
            <w:vAlign w:val="bottom"/>
            <w:gridSpan w:val="17"/>
          </w:tcPr>
          <w:p>
            <w:pPr>
              <w:spacing w:after="0"/>
              <w:rPr>
                <w:sz w:val="20"/>
                <w:szCs w:val="20"/>
                <w:color w:val="auto"/>
              </w:rPr>
            </w:pPr>
            <w:r>
              <w:rPr>
                <w:rFonts w:ascii="Arial" w:cs="Arial" w:eastAsia="Arial" w:hAnsi="Arial"/>
                <w:sz w:val="19"/>
                <w:szCs w:val="19"/>
                <w:color w:val="auto"/>
              </w:rPr>
              <w:t>Form of Rights Agreement</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shd w:val="clear" w:color="auto" w:fill="E5FFFF"/>
          </w:tcPr>
          <w:p>
            <w:pPr>
              <w:ind w:left="120"/>
              <w:spacing w:after="0"/>
              <w:rPr>
                <w:sz w:val="20"/>
                <w:szCs w:val="20"/>
                <w:color w:val="auto"/>
              </w:rPr>
            </w:pPr>
            <w:r>
              <w:rPr>
                <w:rFonts w:ascii="Arial" w:cs="Arial" w:eastAsia="Arial" w:hAnsi="Arial"/>
                <w:sz w:val="19"/>
                <w:szCs w:val="19"/>
                <w:color w:val="auto"/>
              </w:rPr>
              <w:t>4.6</w:t>
            </w:r>
          </w:p>
        </w:tc>
        <w:tc>
          <w:tcPr>
            <w:tcW w:w="300" w:type="dxa"/>
            <w:vAlign w:val="bottom"/>
            <w:shd w:val="clear" w:color="auto" w:fill="E5FFFF"/>
          </w:tcPr>
          <w:p>
            <w:pPr>
              <w:spacing w:after="0"/>
              <w:rPr>
                <w:sz w:val="21"/>
                <w:szCs w:val="21"/>
                <w:color w:val="auto"/>
              </w:rPr>
            </w:pPr>
          </w:p>
        </w:tc>
        <w:tc>
          <w:tcPr>
            <w:tcW w:w="10060" w:type="dxa"/>
            <w:vAlign w:val="bottom"/>
            <w:gridSpan w:val="17"/>
            <w:shd w:val="clear" w:color="auto" w:fill="E5FFFF"/>
          </w:tcPr>
          <w:p>
            <w:pPr>
              <w:spacing w:after="0"/>
              <w:rPr>
                <w:sz w:val="20"/>
                <w:szCs w:val="20"/>
                <w:color w:val="auto"/>
              </w:rPr>
            </w:pPr>
            <w:r>
              <w:rPr>
                <w:rFonts w:ascii="Arial" w:cs="Arial" w:eastAsia="Arial" w:hAnsi="Arial"/>
                <w:sz w:val="19"/>
                <w:szCs w:val="19"/>
                <w:color w:val="auto"/>
              </w:rPr>
              <w:t>Form of Rights Certificate</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tcPr>
          <w:p>
            <w:pPr>
              <w:ind w:left="120"/>
              <w:spacing w:after="0"/>
              <w:rPr>
                <w:sz w:val="20"/>
                <w:szCs w:val="20"/>
                <w:color w:val="auto"/>
              </w:rPr>
            </w:pPr>
            <w:r>
              <w:rPr>
                <w:rFonts w:ascii="Arial" w:cs="Arial" w:eastAsia="Arial" w:hAnsi="Arial"/>
                <w:sz w:val="19"/>
                <w:szCs w:val="19"/>
                <w:color w:val="auto"/>
              </w:rPr>
              <w:t>4.7</w:t>
            </w:r>
          </w:p>
        </w:tc>
        <w:tc>
          <w:tcPr>
            <w:tcW w:w="300" w:type="dxa"/>
            <w:vAlign w:val="bottom"/>
          </w:tcPr>
          <w:p>
            <w:pPr>
              <w:spacing w:after="0"/>
              <w:rPr>
                <w:sz w:val="21"/>
                <w:szCs w:val="21"/>
                <w:color w:val="auto"/>
              </w:rPr>
            </w:pPr>
          </w:p>
        </w:tc>
        <w:tc>
          <w:tcPr>
            <w:tcW w:w="10060" w:type="dxa"/>
            <w:vAlign w:val="bottom"/>
            <w:gridSpan w:val="17"/>
          </w:tcPr>
          <w:p>
            <w:pPr>
              <w:spacing w:after="0"/>
              <w:rPr>
                <w:sz w:val="20"/>
                <w:szCs w:val="20"/>
                <w:color w:val="auto"/>
              </w:rPr>
            </w:pPr>
            <w:r>
              <w:rPr>
                <w:rFonts w:ascii="Arial" w:cs="Arial" w:eastAsia="Arial" w:hAnsi="Arial"/>
                <w:sz w:val="19"/>
                <w:szCs w:val="19"/>
                <w:color w:val="auto"/>
              </w:rPr>
              <w:t>Form of Unit Agreement</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40" w:type="dxa"/>
            <w:vAlign w:val="bottom"/>
            <w:shd w:val="clear" w:color="auto" w:fill="E5FFFF"/>
          </w:tcPr>
          <w:p>
            <w:pPr>
              <w:ind w:left="120"/>
              <w:spacing w:after="0"/>
              <w:rPr>
                <w:sz w:val="20"/>
                <w:szCs w:val="20"/>
                <w:color w:val="auto"/>
              </w:rPr>
            </w:pPr>
            <w:r>
              <w:rPr>
                <w:rFonts w:ascii="Arial" w:cs="Arial" w:eastAsia="Arial" w:hAnsi="Arial"/>
                <w:sz w:val="19"/>
                <w:szCs w:val="19"/>
                <w:color w:val="auto"/>
              </w:rPr>
              <w:t>4.8</w:t>
            </w:r>
          </w:p>
        </w:tc>
        <w:tc>
          <w:tcPr>
            <w:tcW w:w="300" w:type="dxa"/>
            <w:vAlign w:val="bottom"/>
            <w:shd w:val="clear" w:color="auto" w:fill="E5FFFF"/>
          </w:tcPr>
          <w:p>
            <w:pPr>
              <w:spacing w:after="0"/>
              <w:rPr>
                <w:sz w:val="21"/>
                <w:szCs w:val="21"/>
                <w:color w:val="auto"/>
              </w:rPr>
            </w:pPr>
          </w:p>
        </w:tc>
        <w:tc>
          <w:tcPr>
            <w:tcW w:w="10060" w:type="dxa"/>
            <w:vAlign w:val="bottom"/>
            <w:gridSpan w:val="17"/>
            <w:shd w:val="clear" w:color="auto" w:fill="E5FFFF"/>
          </w:tcPr>
          <w:p>
            <w:pPr>
              <w:spacing w:after="0"/>
              <w:rPr>
                <w:sz w:val="20"/>
                <w:szCs w:val="20"/>
                <w:color w:val="auto"/>
              </w:rPr>
            </w:pPr>
            <w:r>
              <w:rPr>
                <w:rFonts w:ascii="Arial" w:cs="Arial" w:eastAsia="Arial" w:hAnsi="Arial"/>
                <w:sz w:val="19"/>
                <w:szCs w:val="19"/>
                <w:color w:val="auto"/>
              </w:rPr>
              <w:t>Form of Unit Certificate</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tcPr>
          <w:p>
            <w:pPr>
              <w:ind w:left="120"/>
              <w:spacing w:after="0" w:line="189" w:lineRule="exact"/>
              <w:rPr>
                <w:sz w:val="20"/>
                <w:szCs w:val="20"/>
                <w:color w:val="auto"/>
              </w:rPr>
            </w:pPr>
            <w:r>
              <w:rPr>
                <w:rFonts w:ascii="Arial" w:cs="Arial" w:eastAsia="Arial" w:hAnsi="Arial"/>
                <w:sz w:val="19"/>
                <w:szCs w:val="19"/>
                <w:color w:val="auto"/>
              </w:rPr>
              <w:t>5.1</w:t>
            </w:r>
          </w:p>
        </w:tc>
        <w:tc>
          <w:tcPr>
            <w:tcW w:w="300" w:type="dxa"/>
            <w:vAlign w:val="bottom"/>
          </w:tcPr>
          <w:p>
            <w:pPr>
              <w:spacing w:after="0"/>
              <w:rPr>
                <w:sz w:val="16"/>
                <w:szCs w:val="16"/>
                <w:color w:val="auto"/>
              </w:rPr>
            </w:pPr>
          </w:p>
        </w:tc>
        <w:tc>
          <w:tcPr>
            <w:tcW w:w="10060" w:type="dxa"/>
            <w:vAlign w:val="bottom"/>
            <w:gridSpan w:val="17"/>
          </w:tcPr>
          <w:p>
            <w:pPr>
              <w:spacing w:after="0" w:line="189" w:lineRule="exact"/>
              <w:rPr>
                <w:sz w:val="20"/>
                <w:szCs w:val="20"/>
                <w:color w:val="auto"/>
              </w:rPr>
            </w:pPr>
            <w:r>
              <w:rPr>
                <w:rFonts w:ascii="Arial" w:cs="Arial" w:eastAsia="Arial" w:hAnsi="Arial"/>
                <w:sz w:val="19"/>
                <w:szCs w:val="19"/>
                <w:color w:val="0000EE"/>
              </w:rPr>
              <w:t>Opinion of Cozen O’Connor, special counsel to the Company as to the Republic of the Marshall Islands law</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40" w:type="dxa"/>
            <w:vAlign w:val="bottom"/>
            <w:tcBorders>
              <w:bottom w:val="single" w:sz="8" w:color="E5FFFF"/>
            </w:tcBorders>
            <w:shd w:val="clear" w:color="auto" w:fill="E5FFFF"/>
          </w:tcPr>
          <w:p>
            <w:pPr>
              <w:ind w:left="120"/>
              <w:spacing w:after="0" w:line="189" w:lineRule="exact"/>
              <w:rPr>
                <w:sz w:val="20"/>
                <w:szCs w:val="20"/>
                <w:color w:val="auto"/>
              </w:rPr>
            </w:pPr>
            <w:r>
              <w:rPr>
                <w:rFonts w:ascii="Arial" w:cs="Arial" w:eastAsia="Arial" w:hAnsi="Arial"/>
                <w:sz w:val="19"/>
                <w:szCs w:val="19"/>
                <w:color w:val="auto"/>
              </w:rPr>
              <w:t>5.2</w:t>
            </w:r>
          </w:p>
        </w:tc>
        <w:tc>
          <w:tcPr>
            <w:tcW w:w="300" w:type="dxa"/>
            <w:vAlign w:val="bottom"/>
            <w:tcBorders>
              <w:bottom w:val="single" w:sz="8" w:color="E5FFFF"/>
            </w:tcBorders>
            <w:shd w:val="clear" w:color="auto" w:fill="E5FFFF"/>
          </w:tcPr>
          <w:p>
            <w:pPr>
              <w:spacing w:after="0"/>
              <w:rPr>
                <w:sz w:val="19"/>
                <w:szCs w:val="19"/>
                <w:color w:val="auto"/>
              </w:rPr>
            </w:pPr>
          </w:p>
        </w:tc>
        <w:tc>
          <w:tcPr>
            <w:tcW w:w="6380" w:type="dxa"/>
            <w:vAlign w:val="bottom"/>
            <w:tcBorders>
              <w:bottom w:val="single" w:sz="8" w:color="0000EE"/>
            </w:tcBorders>
            <w:gridSpan w:val="13"/>
            <w:shd w:val="clear" w:color="auto" w:fill="E5FFFF"/>
          </w:tcPr>
          <w:p>
            <w:pPr>
              <w:spacing w:after="0" w:line="189" w:lineRule="exact"/>
              <w:rPr>
                <w:sz w:val="20"/>
                <w:szCs w:val="20"/>
                <w:color w:val="auto"/>
              </w:rPr>
            </w:pPr>
            <w:r>
              <w:rPr>
                <w:rFonts w:ascii="Arial" w:cs="Arial" w:eastAsia="Arial" w:hAnsi="Arial"/>
                <w:sz w:val="19"/>
                <w:szCs w:val="19"/>
                <w:color w:val="0000EE"/>
                <w:w w:val="93"/>
              </w:rPr>
              <w:t>Opinion of Cravath, Swaine &amp; Moore LLP, United States counsel to the Company</w:t>
            </w:r>
          </w:p>
        </w:tc>
        <w:tc>
          <w:tcPr>
            <w:tcW w:w="3680" w:type="dxa"/>
            <w:vAlign w:val="bottom"/>
            <w:tcBorders>
              <w:bottom w:val="single" w:sz="8" w:color="E5FFFF"/>
            </w:tcBorders>
            <w:gridSpan w:val="4"/>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tcPr>
          <w:p>
            <w:pPr>
              <w:ind w:left="120"/>
              <w:spacing w:after="0" w:line="189" w:lineRule="exact"/>
              <w:rPr>
                <w:sz w:val="20"/>
                <w:szCs w:val="20"/>
                <w:color w:val="auto"/>
              </w:rPr>
            </w:pPr>
            <w:r>
              <w:rPr>
                <w:rFonts w:ascii="Arial" w:cs="Arial" w:eastAsia="Arial" w:hAnsi="Arial"/>
                <w:sz w:val="19"/>
                <w:szCs w:val="19"/>
                <w:color w:val="auto"/>
              </w:rPr>
              <w:t>23.1</w:t>
            </w:r>
          </w:p>
        </w:tc>
        <w:tc>
          <w:tcPr>
            <w:tcW w:w="300" w:type="dxa"/>
            <w:vAlign w:val="bottom"/>
          </w:tcPr>
          <w:p>
            <w:pPr>
              <w:spacing w:after="0"/>
              <w:rPr>
                <w:sz w:val="16"/>
                <w:szCs w:val="16"/>
                <w:color w:val="auto"/>
              </w:rPr>
            </w:pPr>
          </w:p>
        </w:tc>
        <w:tc>
          <w:tcPr>
            <w:tcW w:w="10060" w:type="dxa"/>
            <w:vAlign w:val="bottom"/>
            <w:gridSpan w:val="17"/>
          </w:tcPr>
          <w:p>
            <w:pPr>
              <w:spacing w:after="0" w:line="189" w:lineRule="exact"/>
              <w:rPr>
                <w:sz w:val="20"/>
                <w:szCs w:val="20"/>
                <w:color w:val="auto"/>
              </w:rPr>
            </w:pPr>
            <w:r>
              <w:rPr>
                <w:rFonts w:ascii="Arial" w:cs="Arial" w:eastAsia="Arial" w:hAnsi="Arial"/>
                <w:sz w:val="19"/>
                <w:szCs w:val="19"/>
                <w:color w:val="0000EE"/>
              </w:rPr>
              <w:t>Consent of Deloitte LLP</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40" w:type="dxa"/>
            <w:vAlign w:val="bottom"/>
            <w:tcBorders>
              <w:bottom w:val="single" w:sz="8" w:color="E5FFFF"/>
            </w:tcBorders>
            <w:shd w:val="clear" w:color="auto" w:fill="E5FFFF"/>
          </w:tcPr>
          <w:p>
            <w:pPr>
              <w:ind w:left="120"/>
              <w:spacing w:after="0" w:line="189" w:lineRule="exact"/>
              <w:rPr>
                <w:sz w:val="20"/>
                <w:szCs w:val="20"/>
                <w:color w:val="auto"/>
              </w:rPr>
            </w:pPr>
            <w:r>
              <w:rPr>
                <w:rFonts w:ascii="Arial" w:cs="Arial" w:eastAsia="Arial" w:hAnsi="Arial"/>
                <w:sz w:val="19"/>
                <w:szCs w:val="19"/>
                <w:color w:val="auto"/>
              </w:rPr>
              <w:t>23.2</w:t>
            </w:r>
          </w:p>
        </w:tc>
        <w:tc>
          <w:tcPr>
            <w:tcW w:w="300" w:type="dxa"/>
            <w:vAlign w:val="bottom"/>
            <w:tcBorders>
              <w:bottom w:val="single" w:sz="8" w:color="E5FFFF"/>
            </w:tcBorders>
            <w:shd w:val="clear" w:color="auto" w:fill="E5FFFF"/>
          </w:tcPr>
          <w:p>
            <w:pPr>
              <w:spacing w:after="0"/>
              <w:rPr>
                <w:sz w:val="19"/>
                <w:szCs w:val="19"/>
                <w:color w:val="auto"/>
              </w:rPr>
            </w:pPr>
          </w:p>
        </w:tc>
        <w:tc>
          <w:tcPr>
            <w:tcW w:w="4180" w:type="dxa"/>
            <w:vAlign w:val="bottom"/>
            <w:tcBorders>
              <w:bottom w:val="single" w:sz="8" w:color="0000EE"/>
            </w:tcBorders>
            <w:gridSpan w:val="5"/>
            <w:shd w:val="clear" w:color="auto" w:fill="E5FFFF"/>
          </w:tcPr>
          <w:p>
            <w:pPr>
              <w:spacing w:after="0" w:line="189" w:lineRule="exact"/>
              <w:rPr>
                <w:sz w:val="20"/>
                <w:szCs w:val="20"/>
                <w:color w:val="auto"/>
              </w:rPr>
            </w:pPr>
            <w:r>
              <w:rPr>
                <w:rFonts w:ascii="Arial" w:cs="Arial" w:eastAsia="Arial" w:hAnsi="Arial"/>
                <w:sz w:val="19"/>
                <w:szCs w:val="19"/>
                <w:color w:val="0000EE"/>
                <w:w w:val="94"/>
              </w:rPr>
              <w:t>Consent of Cozen O’Connor (included in Exhibit 5.1)</w:t>
            </w:r>
          </w:p>
        </w:tc>
        <w:tc>
          <w:tcPr>
            <w:tcW w:w="5880" w:type="dxa"/>
            <w:vAlign w:val="bottom"/>
            <w:tcBorders>
              <w:bottom w:val="single" w:sz="8" w:color="E5FFFF"/>
            </w:tcBorders>
            <w:gridSpan w:val="12"/>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tcPr>
          <w:p>
            <w:pPr>
              <w:ind w:left="120"/>
              <w:spacing w:after="0" w:line="189" w:lineRule="exact"/>
              <w:rPr>
                <w:sz w:val="20"/>
                <w:szCs w:val="20"/>
                <w:color w:val="auto"/>
              </w:rPr>
            </w:pPr>
            <w:r>
              <w:rPr>
                <w:rFonts w:ascii="Arial" w:cs="Arial" w:eastAsia="Arial" w:hAnsi="Arial"/>
                <w:sz w:val="19"/>
                <w:szCs w:val="19"/>
                <w:color w:val="auto"/>
              </w:rPr>
              <w:t>23.3</w:t>
            </w:r>
          </w:p>
        </w:tc>
        <w:tc>
          <w:tcPr>
            <w:tcW w:w="300" w:type="dxa"/>
            <w:vAlign w:val="bottom"/>
          </w:tcPr>
          <w:p>
            <w:pPr>
              <w:spacing w:after="0"/>
              <w:rPr>
                <w:sz w:val="16"/>
                <w:szCs w:val="16"/>
                <w:color w:val="auto"/>
              </w:rPr>
            </w:pPr>
          </w:p>
        </w:tc>
        <w:tc>
          <w:tcPr>
            <w:tcW w:w="10060" w:type="dxa"/>
            <w:vAlign w:val="bottom"/>
            <w:gridSpan w:val="17"/>
          </w:tcPr>
          <w:p>
            <w:pPr>
              <w:spacing w:after="0" w:line="189" w:lineRule="exact"/>
              <w:rPr>
                <w:sz w:val="20"/>
                <w:szCs w:val="20"/>
                <w:color w:val="auto"/>
              </w:rPr>
            </w:pPr>
            <w:r>
              <w:rPr>
                <w:rFonts w:ascii="Arial" w:cs="Arial" w:eastAsia="Arial" w:hAnsi="Arial"/>
                <w:sz w:val="19"/>
                <w:szCs w:val="19"/>
                <w:color w:val="0000EE"/>
              </w:rPr>
              <w:t>Consent of Cravath, Swaine &amp; Moore LLP (included in Exhibit 5.2)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40" w:type="dxa"/>
            <w:vAlign w:val="bottom"/>
            <w:shd w:val="clear" w:color="auto" w:fill="E5FFFF"/>
          </w:tcPr>
          <w:p>
            <w:pPr>
              <w:ind w:left="120"/>
              <w:spacing w:after="0" w:line="189" w:lineRule="exact"/>
              <w:rPr>
                <w:sz w:val="20"/>
                <w:szCs w:val="20"/>
                <w:color w:val="auto"/>
              </w:rPr>
            </w:pPr>
            <w:r>
              <w:rPr>
                <w:rFonts w:ascii="Arial" w:cs="Arial" w:eastAsia="Arial" w:hAnsi="Arial"/>
                <w:sz w:val="19"/>
                <w:szCs w:val="19"/>
                <w:color w:val="auto"/>
              </w:rPr>
              <w:t>24.1</w:t>
            </w:r>
          </w:p>
        </w:tc>
        <w:tc>
          <w:tcPr>
            <w:tcW w:w="300" w:type="dxa"/>
            <w:vAlign w:val="bottom"/>
            <w:shd w:val="clear" w:color="auto" w:fill="E5FFFF"/>
          </w:tcPr>
          <w:p>
            <w:pPr>
              <w:spacing w:after="0"/>
              <w:rPr>
                <w:sz w:val="19"/>
                <w:szCs w:val="19"/>
                <w:color w:val="auto"/>
              </w:rPr>
            </w:pPr>
          </w:p>
        </w:tc>
        <w:tc>
          <w:tcPr>
            <w:tcW w:w="10060" w:type="dxa"/>
            <w:vAlign w:val="bottom"/>
            <w:gridSpan w:val="17"/>
            <w:shd w:val="clear" w:color="auto" w:fill="E5FFFF"/>
          </w:tcPr>
          <w:p>
            <w:pPr>
              <w:spacing w:after="0" w:line="189" w:lineRule="exact"/>
              <w:rPr>
                <w:rFonts w:ascii="Arial" w:cs="Arial" w:eastAsia="Arial" w:hAnsi="Arial"/>
                <w:sz w:val="19"/>
                <w:szCs w:val="19"/>
                <w:color w:val="0000EE"/>
              </w:rPr>
            </w:pPr>
            <w:hyperlink w:anchor="page60">
              <w:r>
                <w:rPr>
                  <w:rFonts w:ascii="Arial" w:cs="Arial" w:eastAsia="Arial" w:hAnsi="Arial"/>
                  <w:sz w:val="19"/>
                  <w:szCs w:val="19"/>
                  <w:color w:val="0000EE"/>
                </w:rPr>
                <w:t>Power of Attorney (included on the signature page hereto)</w:t>
              </w:r>
            </w:hyperlink>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40" w:type="dxa"/>
            <w:vAlign w:val="bottom"/>
            <w:tcBorders>
              <w:top w:val="single" w:sz="8" w:color="E5FFFF"/>
            </w:tcBorders>
          </w:tcPr>
          <w:p>
            <w:pPr>
              <w:ind w:left="120"/>
              <w:spacing w:after="0"/>
              <w:rPr>
                <w:sz w:val="20"/>
                <w:szCs w:val="20"/>
                <w:color w:val="auto"/>
              </w:rPr>
            </w:pPr>
            <w:r>
              <w:rPr>
                <w:rFonts w:ascii="Arial" w:cs="Arial" w:eastAsia="Arial" w:hAnsi="Arial"/>
                <w:sz w:val="19"/>
                <w:szCs w:val="19"/>
                <w:color w:val="auto"/>
              </w:rPr>
              <w:t>25.1</w:t>
            </w:r>
          </w:p>
        </w:tc>
        <w:tc>
          <w:tcPr>
            <w:tcW w:w="300" w:type="dxa"/>
            <w:vAlign w:val="bottom"/>
            <w:tcBorders>
              <w:top w:val="single" w:sz="8" w:color="E5FFFF"/>
            </w:tcBorders>
          </w:tcPr>
          <w:p>
            <w:pPr>
              <w:spacing w:after="0"/>
              <w:rPr>
                <w:sz w:val="21"/>
                <w:szCs w:val="21"/>
                <w:color w:val="auto"/>
              </w:rPr>
            </w:pPr>
          </w:p>
        </w:tc>
        <w:tc>
          <w:tcPr>
            <w:tcW w:w="4520" w:type="dxa"/>
            <w:vAlign w:val="bottom"/>
            <w:tcBorders>
              <w:top w:val="single" w:sz="8" w:color="0000EE"/>
            </w:tcBorders>
            <w:gridSpan w:val="8"/>
          </w:tcPr>
          <w:p>
            <w:pPr>
              <w:spacing w:after="0"/>
              <w:rPr>
                <w:sz w:val="20"/>
                <w:szCs w:val="20"/>
                <w:color w:val="auto"/>
              </w:rPr>
            </w:pPr>
            <w:r>
              <w:rPr>
                <w:rFonts w:ascii="Arial" w:cs="Arial" w:eastAsia="Arial" w:hAnsi="Arial"/>
                <w:sz w:val="19"/>
                <w:szCs w:val="19"/>
                <w:color w:val="auto"/>
              </w:rPr>
              <w:t>Form T-1 Statement of Eligibility for Indenture</w:t>
            </w:r>
            <w:r>
              <w:rPr>
                <w:rFonts w:ascii="Arial" w:cs="Arial" w:eastAsia="Arial" w:hAnsi="Arial"/>
                <w:sz w:val="10"/>
                <w:szCs w:val="10"/>
                <w:color w:val="auto"/>
              </w:rPr>
              <w:t>(4)</w:t>
            </w:r>
          </w:p>
        </w:tc>
        <w:tc>
          <w:tcPr>
            <w:tcW w:w="5540" w:type="dxa"/>
            <w:vAlign w:val="bottom"/>
            <w:tcBorders>
              <w:top w:val="single" w:sz="8" w:color="E5FFFF"/>
            </w:tcBorders>
            <w:gridSpan w:val="9"/>
          </w:tcPr>
          <w:p>
            <w:pPr>
              <w:spacing w:after="0"/>
              <w:rPr>
                <w:sz w:val="21"/>
                <w:szCs w:val="2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5560" w:right="4400" w:hanging="5473"/>
        <w:spacing w:after="0" w:line="391" w:lineRule="auto"/>
        <w:tabs>
          <w:tab w:leader="none" w:pos="297" w:val="left"/>
        </w:tabs>
        <w:numPr>
          <w:ilvl w:val="0"/>
          <w:numId w:val="59"/>
        </w:numPr>
        <w:rPr>
          <w:rFonts w:ascii="Arial" w:cs="Arial" w:eastAsia="Arial" w:hAnsi="Arial"/>
          <w:sz w:val="21"/>
          <w:szCs w:val="21"/>
          <w:color w:val="auto"/>
          <w:vertAlign w:val="superscript"/>
        </w:rPr>
      </w:pPr>
      <w:r>
        <w:rPr>
          <w:rFonts w:ascii="Arial" w:cs="Arial" w:eastAsia="Arial" w:hAnsi="Arial"/>
          <w:sz w:val="19"/>
          <w:szCs w:val="19"/>
          <w:color w:val="auto"/>
        </w:rPr>
        <w:t>To be filed as an exhibit to a report on Form 6-K and incorporated herein by reference.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5" w:name="page56"/>
    <w:bookmarkEnd w:id="55"/>
    <w:p>
      <w:pPr>
        <w:ind w:left="300" w:right="20" w:hanging="213"/>
        <w:spacing w:after="0" w:line="258" w:lineRule="auto"/>
        <w:tabs>
          <w:tab w:leader="none" w:pos="300" w:val="left"/>
        </w:tabs>
        <w:numPr>
          <w:ilvl w:val="0"/>
          <w:numId w:val="60"/>
        </w:numPr>
        <w:rPr>
          <w:rFonts w:ascii="Arial" w:cs="Arial" w:eastAsia="Arial" w:hAnsi="Arial"/>
          <w:sz w:val="21"/>
          <w:szCs w:val="21"/>
          <w:color w:val="auto"/>
          <w:vertAlign w:val="superscript"/>
        </w:rPr>
      </w:pPr>
      <w:r>
        <w:rPr>
          <w:rFonts w:ascii="Arial" w:cs="Arial" w:eastAsia="Arial" w:hAnsi="Arial"/>
          <w:sz w:val="19"/>
          <w:szCs w:val="19"/>
          <w:color w:val="auto"/>
        </w:rPr>
        <w:t>Previously filed as an exhibit to GasLog Partners LP’s Registration Statement on Form F-1 (File No. 333-195109), filed with the SEC on April 7, 2014, or an amendment thereto, and hereby incorporated by reference to such Registration Statement.</w:t>
      </w:r>
    </w:p>
    <w:p>
      <w:pPr>
        <w:spacing w:after="0" w:line="59" w:lineRule="exact"/>
        <w:rPr>
          <w:rFonts w:ascii="Arial" w:cs="Arial" w:eastAsia="Arial" w:hAnsi="Arial"/>
          <w:sz w:val="21"/>
          <w:szCs w:val="21"/>
          <w:color w:val="auto"/>
          <w:vertAlign w:val="superscript"/>
        </w:rPr>
      </w:pPr>
    </w:p>
    <w:p>
      <w:pPr>
        <w:ind w:left="300" w:right="360" w:hanging="213"/>
        <w:spacing w:after="0" w:line="258" w:lineRule="auto"/>
        <w:tabs>
          <w:tab w:leader="none" w:pos="300" w:val="left"/>
        </w:tabs>
        <w:numPr>
          <w:ilvl w:val="0"/>
          <w:numId w:val="60"/>
        </w:numPr>
        <w:rPr>
          <w:rFonts w:ascii="Arial" w:cs="Arial" w:eastAsia="Arial" w:hAnsi="Arial"/>
          <w:sz w:val="21"/>
          <w:szCs w:val="21"/>
          <w:color w:val="auto"/>
          <w:vertAlign w:val="superscript"/>
        </w:rPr>
      </w:pPr>
      <w:r>
        <w:rPr>
          <w:rFonts w:ascii="Arial" w:cs="Arial" w:eastAsia="Arial" w:hAnsi="Arial"/>
          <w:sz w:val="19"/>
          <w:szCs w:val="19"/>
          <w:color w:val="auto"/>
        </w:rPr>
        <w:t>Previously filed as Exhibit 4.1 to GasLog Partners LP’s Report on Form 6-K, filed with the SEC on May 15, 2017, hereby incorporated by reference to such Report.</w:t>
      </w:r>
    </w:p>
    <w:p>
      <w:pPr>
        <w:spacing w:after="0" w:line="59" w:lineRule="exact"/>
        <w:rPr>
          <w:rFonts w:ascii="Arial" w:cs="Arial" w:eastAsia="Arial" w:hAnsi="Arial"/>
          <w:sz w:val="21"/>
          <w:szCs w:val="21"/>
          <w:color w:val="auto"/>
          <w:vertAlign w:val="superscript"/>
        </w:rPr>
      </w:pPr>
    </w:p>
    <w:p>
      <w:pPr>
        <w:ind w:left="300" w:hanging="213"/>
        <w:spacing w:after="0"/>
        <w:tabs>
          <w:tab w:leader="none" w:pos="300" w:val="left"/>
        </w:tabs>
        <w:numPr>
          <w:ilvl w:val="0"/>
          <w:numId w:val="60"/>
        </w:numPr>
        <w:rPr>
          <w:rFonts w:ascii="Arial" w:cs="Arial" w:eastAsia="Arial" w:hAnsi="Arial"/>
          <w:sz w:val="21"/>
          <w:szCs w:val="21"/>
          <w:color w:val="auto"/>
          <w:vertAlign w:val="superscript"/>
        </w:rPr>
      </w:pPr>
      <w:r>
        <w:rPr>
          <w:rFonts w:ascii="Arial" w:cs="Arial" w:eastAsia="Arial" w:hAnsi="Arial"/>
          <w:sz w:val="19"/>
          <w:szCs w:val="19"/>
          <w:color w:val="auto"/>
        </w:rPr>
        <w:t>To be filed in accordance with Section 305(b)(2) of the Trust Indenture Act of 1939, as amended.</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10. </w:t>
      </w:r>
      <w:r>
        <w:rPr>
          <w:rFonts w:ascii="Arial" w:cs="Arial" w:eastAsia="Arial" w:hAnsi="Arial"/>
          <w:sz w:val="19"/>
          <w:szCs w:val="19"/>
          <w:b w:val="1"/>
          <w:bCs w:val="1"/>
          <w:i w:val="1"/>
          <w:iCs w:val="1"/>
          <w:color w:val="auto"/>
        </w:rPr>
        <w:t>Undertakings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undersigned registrant hereby undertakes: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To file, during any period in which offers or sales are being made, a post-effective amendment to this registration statement:</w:t>
      </w:r>
    </w:p>
    <w:p>
      <w:pPr>
        <w:spacing w:after="0" w:line="119" w:lineRule="exact"/>
        <w:rPr>
          <w:sz w:val="20"/>
          <w:szCs w:val="20"/>
          <w:color w:val="auto"/>
        </w:rPr>
      </w:pPr>
    </w:p>
    <w:p>
      <w:pPr>
        <w:ind w:left="960" w:hanging="237"/>
        <w:spacing w:after="0"/>
        <w:tabs>
          <w:tab w:leader="none" w:pos="9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to include any prospectus required by Section 10(a)(3) of the Securities Act of 1933, as amended;</w:t>
      </w:r>
    </w:p>
    <w:p>
      <w:pPr>
        <w:spacing w:after="0" w:line="105" w:lineRule="exact"/>
        <w:rPr>
          <w:rFonts w:ascii="Arial" w:cs="Arial" w:eastAsia="Arial" w:hAnsi="Arial"/>
          <w:sz w:val="19"/>
          <w:szCs w:val="19"/>
          <w:color w:val="auto"/>
        </w:rPr>
      </w:pPr>
    </w:p>
    <w:p>
      <w:pPr>
        <w:ind w:left="360" w:firstLine="363"/>
        <w:spacing w:after="0" w:line="273" w:lineRule="auto"/>
        <w:tabs>
          <w:tab w:leader="none" w:pos="10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of the Securities Act of 1933, as amended, if, in the aggregate, the changes in volume and price represent no more than 20 percent change in the maximum aggregate offering price set forth in the “Calculation of Registration Fee” table in the effective registration statement; and</w:t>
      </w:r>
    </w:p>
    <w:p>
      <w:pPr>
        <w:spacing w:after="0" w:line="67" w:lineRule="exact"/>
        <w:rPr>
          <w:rFonts w:ascii="Arial" w:cs="Arial" w:eastAsia="Arial" w:hAnsi="Arial"/>
          <w:sz w:val="18"/>
          <w:szCs w:val="18"/>
          <w:color w:val="auto"/>
        </w:rPr>
      </w:pPr>
    </w:p>
    <w:p>
      <w:pPr>
        <w:ind w:left="360" w:right="240" w:firstLine="363"/>
        <w:spacing w:after="0" w:line="283" w:lineRule="auto"/>
        <w:tabs>
          <w:tab w:leader="none" w:pos="1057" w:val="left"/>
        </w:tabs>
        <w:numPr>
          <w:ilvl w:val="0"/>
          <w:numId w:val="61"/>
        </w:numPr>
        <w:rPr>
          <w:rFonts w:ascii="Arial" w:cs="Arial" w:eastAsia="Arial" w:hAnsi="Arial"/>
          <w:sz w:val="19"/>
          <w:szCs w:val="19"/>
          <w:color w:val="auto"/>
        </w:rPr>
      </w:pPr>
      <w:r>
        <w:rPr>
          <w:rFonts w:ascii="Arial" w:cs="Arial" w:eastAsia="Arial" w:hAnsi="Arial"/>
          <w:sz w:val="19"/>
          <w:szCs w:val="19"/>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paragraphs (i), (ii) and (iii) do not apply if the information required to be included in a post-effective amendment by those</w:t>
      </w:r>
      <w:r>
        <w:rPr>
          <w:rFonts w:ascii="Arial" w:cs="Arial" w:eastAsia="Arial" w:hAnsi="Arial"/>
          <w:sz w:val="19"/>
          <w:szCs w:val="19"/>
          <w:i w:val="1"/>
          <w:iCs w:val="1"/>
          <w:color w:val="auto"/>
        </w:rPr>
        <w:t xml:space="preserve"> </w:t>
      </w:r>
      <w:r>
        <w:rPr>
          <w:rFonts w:ascii="Arial" w:cs="Arial" w:eastAsia="Arial" w:hAnsi="Arial"/>
          <w:sz w:val="19"/>
          <w:szCs w:val="19"/>
          <w:color w:val="auto"/>
        </w:rPr>
        <w:t>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this registration statement.</w:t>
      </w:r>
    </w:p>
    <w:p>
      <w:pPr>
        <w:spacing w:after="0" w:line="72" w:lineRule="exact"/>
        <w:rPr>
          <w:sz w:val="20"/>
          <w:szCs w:val="20"/>
          <w:color w:val="auto"/>
        </w:rPr>
      </w:pPr>
    </w:p>
    <w:p>
      <w:pPr>
        <w:jc w:val="both"/>
        <w:ind w:right="100" w:firstLine="357"/>
        <w:spacing w:after="0" w:line="267" w:lineRule="auto"/>
        <w:rPr>
          <w:sz w:val="20"/>
          <w:szCs w:val="20"/>
          <w:color w:val="auto"/>
        </w:rPr>
      </w:pPr>
      <w:r>
        <w:rPr>
          <w:rFonts w:ascii="Arial" w:cs="Arial" w:eastAsia="Arial" w:hAnsi="Arial"/>
          <w:sz w:val="19"/>
          <w:szCs w:val="19"/>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68" w:lineRule="exact"/>
        <w:rPr>
          <w:sz w:val="20"/>
          <w:szCs w:val="20"/>
          <w:color w:val="auto"/>
        </w:rPr>
      </w:pPr>
    </w:p>
    <w:p>
      <w:pPr>
        <w:ind w:right="620" w:firstLine="357"/>
        <w:spacing w:after="0" w:line="283" w:lineRule="auto"/>
        <w:rPr>
          <w:sz w:val="20"/>
          <w:szCs w:val="20"/>
          <w:color w:val="auto"/>
        </w:rPr>
      </w:pPr>
      <w:r>
        <w:rPr>
          <w:rFonts w:ascii="Arial" w:cs="Arial" w:eastAsia="Arial" w:hAnsi="Arial"/>
          <w:sz w:val="19"/>
          <w:szCs w:val="19"/>
          <w:color w:val="auto"/>
        </w:rPr>
        <w:t>To remove from registration by means of a post-effective amendment any of the securities being registered which remain unsold at the termination of the offering.</w:t>
      </w:r>
    </w:p>
    <w:p>
      <w:pPr>
        <w:spacing w:after="0" w:line="52"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 (3) of the Securities Act of 1933, as amended,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as amended, or Rule 3-19 of the Securities Act of 1933, as amended, if such financial statements and information are contained in periodic reports filed with or furnished to the SEC by the registrant pursuant to Section 13 or Section 15(d) of the Securities Exchange Act of 1934, as amended, that are incorporated by reference in the Form F-3.</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56" w:name="page57"/>
    <w:bookmarkEnd w:id="56"/>
    <w:p>
      <w:pPr>
        <w:ind w:left="360"/>
        <w:spacing w:after="0"/>
        <w:rPr>
          <w:sz w:val="20"/>
          <w:szCs w:val="20"/>
          <w:color w:val="auto"/>
        </w:rPr>
      </w:pPr>
      <w:r>
        <w:rPr>
          <w:rFonts w:ascii="Arial" w:cs="Arial" w:eastAsia="Arial" w:hAnsi="Arial"/>
          <w:sz w:val="19"/>
          <w:szCs w:val="19"/>
          <w:color w:val="auto"/>
        </w:rPr>
        <w:t>That, for the purpose of determining liability under the Securities Act of 1933, as amended, to any purchaser:</w:t>
      </w:r>
    </w:p>
    <w:p>
      <w:pPr>
        <w:spacing w:after="0" w:line="119" w:lineRule="exact"/>
        <w:rPr>
          <w:sz w:val="20"/>
          <w:szCs w:val="20"/>
          <w:color w:val="auto"/>
        </w:rPr>
      </w:pPr>
    </w:p>
    <w:p>
      <w:pPr>
        <w:ind w:left="360" w:right="260" w:firstLine="363"/>
        <w:spacing w:after="0" w:line="283" w:lineRule="auto"/>
        <w:tabs>
          <w:tab w:leader="none" w:pos="1035"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1" w:lineRule="exact"/>
        <w:rPr>
          <w:rFonts w:ascii="Arial" w:cs="Arial" w:eastAsia="Arial" w:hAnsi="Arial"/>
          <w:sz w:val="19"/>
          <w:szCs w:val="19"/>
          <w:color w:val="auto"/>
        </w:rPr>
      </w:pPr>
    </w:p>
    <w:p>
      <w:pPr>
        <w:ind w:left="360" w:firstLine="363"/>
        <w:spacing w:after="0" w:line="288" w:lineRule="auto"/>
        <w:tabs>
          <w:tab w:leader="none" w:pos="1024"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3"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 any preliminary prospectus or prospectus of the undersigned registrant relating to the offering required to be filed pursuant to Rule</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424;</w:t>
      </w:r>
    </w:p>
    <w:p>
      <w:pPr>
        <w:spacing w:after="0" w:line="103" w:lineRule="exact"/>
        <w:rPr>
          <w:sz w:val="20"/>
          <w:szCs w:val="20"/>
          <w:color w:val="auto"/>
        </w:rPr>
      </w:pPr>
    </w:p>
    <w:p>
      <w:pPr>
        <w:ind w:left="360" w:right="40" w:firstLine="363"/>
        <w:spacing w:after="0" w:line="283" w:lineRule="auto"/>
        <w:tabs>
          <w:tab w:leader="none" w:pos="1003"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free writing prospectus relating to the offering prepared by or on behalf of the undersigned registrant or used or referred to by the undersigned registrant;</w:t>
      </w:r>
    </w:p>
    <w:p>
      <w:pPr>
        <w:spacing w:after="0" w:line="38" w:lineRule="exact"/>
        <w:rPr>
          <w:rFonts w:ascii="Arial" w:cs="Arial" w:eastAsia="Arial" w:hAnsi="Arial"/>
          <w:sz w:val="19"/>
          <w:szCs w:val="19"/>
          <w:color w:val="auto"/>
        </w:rPr>
      </w:pPr>
    </w:p>
    <w:p>
      <w:pPr>
        <w:ind w:left="360" w:right="600" w:firstLine="363"/>
        <w:spacing w:after="0" w:line="283" w:lineRule="auto"/>
        <w:tabs>
          <w:tab w:leader="none" w:pos="1057"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portion of any other free writing prospectus relating to the offering containing material information about the undersigned registrant or its securities provided by or on behalf of the undersigned registrant; and</w:t>
      </w:r>
    </w:p>
    <w:p>
      <w:pPr>
        <w:spacing w:after="0" w:line="51" w:lineRule="exact"/>
        <w:rPr>
          <w:rFonts w:ascii="Arial" w:cs="Arial" w:eastAsia="Arial" w:hAnsi="Arial"/>
          <w:sz w:val="19"/>
          <w:szCs w:val="19"/>
          <w:color w:val="auto"/>
        </w:rPr>
      </w:pPr>
    </w:p>
    <w:p>
      <w:pPr>
        <w:ind w:left="1060" w:hanging="337"/>
        <w:spacing w:after="0"/>
        <w:tabs>
          <w:tab w:leader="none" w:pos="10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other communication that is an offer in the offering made by the undersigned registrant to the purchaser.</w:t>
      </w:r>
    </w:p>
    <w:p>
      <w:pPr>
        <w:spacing w:after="0" w:line="119"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That, for purposes of determining any liability under the Securities Act of 1933, as amended, each filing of the registrant’s annual report pursuant to Section 13(a) or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7" w:lineRule="exact"/>
        <w:rPr>
          <w:sz w:val="20"/>
          <w:szCs w:val="20"/>
          <w:color w:val="auto"/>
        </w:rPr>
      </w:pPr>
    </w:p>
    <w:p>
      <w:pPr>
        <w:ind w:right="120" w:firstLine="357"/>
        <w:spacing w:after="0" w:line="281" w:lineRule="auto"/>
        <w:rPr>
          <w:sz w:val="20"/>
          <w:szCs w:val="20"/>
          <w:color w:val="auto"/>
        </w:rPr>
      </w:pPr>
      <w:r>
        <w:rPr>
          <w:rFonts w:ascii="Arial" w:cs="Arial" w:eastAsia="Arial" w:hAnsi="Arial"/>
          <w:sz w:val="18"/>
          <w:szCs w:val="18"/>
          <w:color w:val="auto"/>
        </w:rPr>
        <w:t>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7" w:name="page58"/>
    <w:bookmarkEnd w:id="57"/>
    <w:p>
      <w:pPr>
        <w:ind w:firstLine="357"/>
        <w:spacing w:after="0" w:line="256" w:lineRule="auto"/>
        <w:rPr>
          <w:sz w:val="20"/>
          <w:szCs w:val="20"/>
          <w:color w:val="auto"/>
        </w:rPr>
      </w:pPr>
      <w:r>
        <w:rPr>
          <w:rFonts w:ascii="Arial" w:cs="Arial" w:eastAsia="Arial" w:hAnsi="Arial"/>
          <w:sz w:val="19"/>
          <w:szCs w:val="19"/>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77" w:lineRule="exact"/>
        <w:rPr>
          <w:sz w:val="20"/>
          <w:szCs w:val="20"/>
          <w:color w:val="auto"/>
        </w:rPr>
      </w:pPr>
    </w:p>
    <w:p>
      <w:pPr>
        <w:ind w:right="600" w:firstLine="357"/>
        <w:spacing w:after="0" w:line="344" w:lineRule="auto"/>
        <w:rPr>
          <w:sz w:val="20"/>
          <w:szCs w:val="20"/>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9"/>
          <w:szCs w:val="19"/>
          <w:b w:val="1"/>
          <w:bCs w:val="1"/>
          <w:color w:val="auto"/>
        </w:rPr>
        <w:t>SIGNATURES</w:t>
      </w:r>
    </w:p>
    <w:p>
      <w:pPr>
        <w:spacing w:after="0" w:line="125"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Pursuant to the requirements of the Securities Act of 1933, the undersigned Registrant certifies that it has reasonable grounds to believe that it meets all of the requirements for filing on Form F-3 and has duly caused this Registration Statement to be signed on its behalf by the undersigned, thereunto duly authorized, in the City of New York, State of New York, on September 29, 2017.</w:t>
      </w:r>
    </w:p>
    <w:p>
      <w:pPr>
        <w:spacing w:after="0" w:line="28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AS</w:t>
      </w:r>
      <w:r>
        <w:rPr>
          <w:rFonts w:ascii="Arial" w:cs="Arial" w:eastAsia="Arial" w:hAnsi="Arial"/>
          <w:sz w:val="19"/>
          <w:szCs w:val="19"/>
          <w:color w:val="auto"/>
        </w:rPr>
        <w:t>L</w:t>
      </w:r>
      <w:r>
        <w:rPr>
          <w:rFonts w:ascii="Arial" w:cs="Arial" w:eastAsia="Arial" w:hAnsi="Arial"/>
          <w:sz w:val="14"/>
          <w:szCs w:val="14"/>
          <w:color w:val="auto"/>
        </w:rPr>
        <w:t>OG</w:t>
      </w:r>
      <w:r>
        <w:rPr>
          <w:rFonts w:ascii="Arial" w:cs="Arial" w:eastAsia="Arial" w:hAnsi="Arial"/>
          <w:sz w:val="19"/>
          <w:szCs w:val="19"/>
          <w:color w:val="auto"/>
        </w:rPr>
        <w:t xml:space="preserve"> P</w:t>
      </w:r>
      <w:r>
        <w:rPr>
          <w:rFonts w:ascii="Arial" w:cs="Arial" w:eastAsia="Arial" w:hAnsi="Arial"/>
          <w:sz w:val="14"/>
          <w:szCs w:val="14"/>
          <w:color w:val="auto"/>
        </w:rPr>
        <w:t>ARTNERS</w:t>
      </w:r>
      <w:r>
        <w:rPr>
          <w:rFonts w:ascii="Arial" w:cs="Arial" w:eastAsia="Arial" w:hAnsi="Arial"/>
          <w:sz w:val="19"/>
          <w:szCs w:val="19"/>
          <w:color w:val="auto"/>
        </w:rPr>
        <w:t xml:space="preserve"> LP</w:t>
      </w:r>
    </w:p>
    <w:p>
      <w:pPr>
        <w:spacing w:after="0" w:line="200" w:lineRule="exact"/>
        <w:rPr>
          <w:sz w:val="20"/>
          <w:szCs w:val="20"/>
          <w:color w:val="auto"/>
        </w:rPr>
      </w:pPr>
    </w:p>
    <w:p>
      <w:pPr>
        <w:spacing w:after="0" w:line="311" w:lineRule="exact"/>
        <w:rPr>
          <w:sz w:val="20"/>
          <w:szCs w:val="20"/>
          <w:color w:val="auto"/>
        </w:rPr>
      </w:pPr>
    </w:p>
    <w:p>
      <w:pPr>
        <w:ind w:left="4140"/>
        <w:spacing w:after="0"/>
        <w:tabs>
          <w:tab w:leader="none" w:pos="45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3"/>
          <w:szCs w:val="13"/>
          <w:color w:val="auto"/>
        </w:rPr>
        <w:t>NDREW</w:t>
      </w:r>
      <w:r>
        <w:rPr>
          <w:rFonts w:ascii="Arial" w:cs="Arial" w:eastAsia="Arial" w:hAnsi="Arial"/>
          <w:sz w:val="18"/>
          <w:szCs w:val="18"/>
          <w:color w:val="auto"/>
        </w:rPr>
        <w:t xml:space="preserve"> J. O</w:t>
      </w:r>
      <w:r>
        <w:rPr>
          <w:rFonts w:ascii="Arial" w:cs="Arial" w:eastAsia="Arial" w:hAnsi="Arial"/>
          <w:sz w:val="13"/>
          <w:szCs w:val="13"/>
          <w:color w:val="auto"/>
        </w:rPr>
        <w:t>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2090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 Andrew J. Orekar</w:t>
      </w:r>
    </w:p>
    <w:p>
      <w:pPr>
        <w:spacing w:after="0" w:line="6"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Title: Chief Executive Officer</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59" w:name="page60"/>
    <w:bookmarkEnd w:id="59"/>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125"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Andrew J. Orekar and Alastair Maxwell his or her true and lawful attorney-in-fact and agent, with full powers of substitution and re-substitution, for him or her and in his or her name, place and stead, in any and all capacities, to sign any or all amendments (including post-effective amendments) and exhibits to this Registration Statement on Form F-3, and to any registration statement filed under Rule 462(b) under the Securities Act of 1933, as amended, and to file the same, with all exhibits thereto, and other documents in connection therewith, with the SEC, granting unto said attorney-in-fact and agent full power and authority to do and perform each and every act and thing requisite and necessary to be done, as fully for all intents and purposes as he or she might or could do in person, hereby ratifying and confirming all that said attorney-in-fact and agent, or his substitute or substitutes, may lawfully do or cause to be done by virtue hereof.</w:t>
      </w:r>
    </w:p>
    <w:p>
      <w:pPr>
        <w:spacing w:after="0" w:line="68" w:lineRule="exact"/>
        <w:rPr>
          <w:sz w:val="20"/>
          <w:szCs w:val="20"/>
          <w:color w:val="auto"/>
        </w:rPr>
      </w:pPr>
    </w:p>
    <w:p>
      <w:pPr>
        <w:ind w:right="620" w:firstLine="357"/>
        <w:spacing w:after="0" w:line="261" w:lineRule="auto"/>
        <w:rPr>
          <w:sz w:val="20"/>
          <w:szCs w:val="20"/>
          <w:color w:val="auto"/>
        </w:rPr>
      </w:pPr>
      <w:r>
        <w:rPr>
          <w:rFonts w:ascii="Arial" w:cs="Arial" w:eastAsia="Arial" w:hAnsi="Arial"/>
          <w:sz w:val="19"/>
          <w:szCs w:val="19"/>
          <w:color w:val="auto"/>
        </w:rPr>
        <w:t>Pursuant to the requirements of the Securities Act of 1933, this Registration Statement has been signed by the following persons in the capacities indicated on the 29th day of September, 2017.</w:t>
      </w:r>
    </w:p>
    <w:p>
      <w:pPr>
        <w:spacing w:after="0" w:line="1" w:lineRule="exact"/>
        <w:rPr>
          <w:sz w:val="20"/>
          <w:szCs w:val="20"/>
          <w:color w:val="auto"/>
        </w:rPr>
      </w:pPr>
    </w:p>
    <w:p>
      <w:pPr>
        <w:ind w:left="1260"/>
        <w:spacing w:after="0"/>
        <w:tabs>
          <w:tab w:leader="none" w:pos="750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9"/>
                <w:szCs w:val="19"/>
                <w:color w:val="auto"/>
                <w:w w:val="97"/>
              </w:rPr>
              <w:t>/</w:t>
            </w:r>
            <w:r>
              <w:rPr>
                <w:rFonts w:ascii="Arial" w:cs="Arial" w:eastAsia="Arial" w:hAnsi="Arial"/>
                <w:sz w:val="14"/>
                <w:szCs w:val="14"/>
                <w:color w:val="auto"/>
                <w:w w:val="97"/>
              </w:rPr>
              <w:t>S</w:t>
            </w:r>
            <w:r>
              <w:rPr>
                <w:rFonts w:ascii="Arial" w:cs="Arial" w:eastAsia="Arial" w:hAnsi="Arial"/>
                <w:sz w:val="19"/>
                <w:szCs w:val="19"/>
                <w:color w:val="auto"/>
                <w:w w:val="97"/>
              </w:rPr>
              <w:t>/ A</w:t>
            </w:r>
            <w:r>
              <w:rPr>
                <w:rFonts w:ascii="Arial" w:cs="Arial" w:eastAsia="Arial" w:hAnsi="Arial"/>
                <w:sz w:val="14"/>
                <w:szCs w:val="14"/>
                <w:color w:val="auto"/>
                <w:w w:val="97"/>
              </w:rPr>
              <w:t>NDREW</w:t>
            </w:r>
            <w:r>
              <w:rPr>
                <w:rFonts w:ascii="Arial" w:cs="Arial" w:eastAsia="Arial" w:hAnsi="Arial"/>
                <w:sz w:val="19"/>
                <w:szCs w:val="19"/>
                <w:color w:val="auto"/>
                <w:w w:val="97"/>
              </w:rPr>
              <w:t xml:space="preserve"> J. O</w:t>
            </w:r>
            <w:r>
              <w:rPr>
                <w:rFonts w:ascii="Arial" w:cs="Arial" w:eastAsia="Arial" w:hAnsi="Arial"/>
                <w:sz w:val="14"/>
                <w:szCs w:val="14"/>
                <w:color w:val="auto"/>
                <w:w w:val="97"/>
              </w:rPr>
              <w:t>REKAR</w:t>
            </w:r>
          </w:p>
        </w:tc>
        <w:tc>
          <w:tcPr>
            <w:tcW w:w="8260" w:type="dxa"/>
            <w:vAlign w:val="bottom"/>
          </w:tcPr>
          <w:p>
            <w:pPr>
              <w:ind w:left="780"/>
              <w:spacing w:after="0"/>
              <w:rPr>
                <w:sz w:val="20"/>
                <w:szCs w:val="20"/>
                <w:color w:val="auto"/>
              </w:rPr>
            </w:pPr>
            <w:r>
              <w:rPr>
                <w:rFonts w:ascii="Arial" w:cs="Arial" w:eastAsia="Arial" w:hAnsi="Arial"/>
                <w:sz w:val="19"/>
                <w:szCs w:val="19"/>
                <w:color w:val="auto"/>
              </w:rPr>
              <w:t>Chief Executive Officer and Director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8260" w:type="dxa"/>
            <w:vAlign w:val="bottom"/>
            <w:vMerge w:val="restart"/>
          </w:tcPr>
          <w:p>
            <w:pPr>
              <w:ind w:left="960"/>
              <w:spacing w:after="0"/>
              <w:rPr>
                <w:sz w:val="20"/>
                <w:szCs w:val="20"/>
                <w:color w:val="auto"/>
              </w:rPr>
            </w:pPr>
            <w:r>
              <w:rPr>
                <w:rFonts w:ascii="Arial" w:cs="Arial" w:eastAsia="Arial" w:hAnsi="Arial"/>
                <w:sz w:val="19"/>
                <w:szCs w:val="19"/>
                <w:i w:val="1"/>
                <w:iCs w:val="1"/>
                <w:color w:val="auto"/>
              </w:rPr>
              <w:t>(Principal Executive Officer)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Name: Andrew J. Orekar</w:t>
            </w:r>
          </w:p>
        </w:tc>
        <w:tc>
          <w:tcPr>
            <w:tcW w:w="8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40" w:type="dxa"/>
            <w:vAlign w:val="bottom"/>
            <w:vMerge w:val="continue"/>
          </w:tcPr>
          <w:p>
            <w:pPr>
              <w:spacing w:after="0"/>
              <w:rPr>
                <w:sz w:val="23"/>
                <w:szCs w:val="23"/>
                <w:color w:val="auto"/>
              </w:rPr>
            </w:pPr>
          </w:p>
        </w:tc>
        <w:tc>
          <w:tcPr>
            <w:tcW w:w="8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4"/>
                <w:szCs w:val="14"/>
                <w:color w:val="auto"/>
              </w:rPr>
              <w:t>S</w:t>
            </w:r>
            <w:r>
              <w:rPr>
                <w:rFonts w:ascii="Arial" w:cs="Arial" w:eastAsia="Arial" w:hAnsi="Arial"/>
                <w:sz w:val="19"/>
                <w:szCs w:val="19"/>
                <w:color w:val="auto"/>
              </w:rPr>
              <w:t>/ A</w:t>
            </w:r>
            <w:r>
              <w:rPr>
                <w:rFonts w:ascii="Arial" w:cs="Arial" w:eastAsia="Arial" w:hAnsi="Arial"/>
                <w:sz w:val="14"/>
                <w:szCs w:val="14"/>
                <w:color w:val="auto"/>
              </w:rPr>
              <w:t>LASTAIR</w:t>
            </w:r>
            <w:r>
              <w:rPr>
                <w:rFonts w:ascii="Arial" w:cs="Arial" w:eastAsia="Arial" w:hAnsi="Arial"/>
                <w:sz w:val="19"/>
                <w:szCs w:val="19"/>
                <w:color w:val="auto"/>
              </w:rPr>
              <w:t xml:space="preserve"> M</w:t>
            </w:r>
            <w:r>
              <w:rPr>
                <w:rFonts w:ascii="Arial" w:cs="Arial" w:eastAsia="Arial" w:hAnsi="Arial"/>
                <w:sz w:val="14"/>
                <w:szCs w:val="14"/>
                <w:color w:val="auto"/>
              </w:rPr>
              <w:t>AXWELL</w:t>
            </w:r>
          </w:p>
        </w:tc>
        <w:tc>
          <w:tcPr>
            <w:tcW w:w="8260" w:type="dxa"/>
            <w:vAlign w:val="bottom"/>
          </w:tcPr>
          <w:p>
            <w:pPr>
              <w:ind w:left="780"/>
              <w:spacing w:after="0"/>
              <w:rPr>
                <w:sz w:val="20"/>
                <w:szCs w:val="20"/>
                <w:color w:val="auto"/>
              </w:rPr>
            </w:pPr>
            <w:r>
              <w:rPr>
                <w:rFonts w:ascii="Arial" w:cs="Arial" w:eastAsia="Arial" w:hAnsi="Arial"/>
                <w:sz w:val="19"/>
                <w:szCs w:val="19"/>
                <w:color w:val="auto"/>
              </w:rPr>
              <w:t>Chief Financial Officer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8260" w:type="dxa"/>
            <w:vAlign w:val="bottom"/>
            <w:vMerge w:val="restart"/>
          </w:tcPr>
          <w:p>
            <w:pPr>
              <w:ind w:left="960"/>
              <w:spacing w:after="0"/>
              <w:rPr>
                <w:sz w:val="20"/>
                <w:szCs w:val="20"/>
                <w:color w:val="auto"/>
              </w:rPr>
            </w:pPr>
            <w:r>
              <w:rPr>
                <w:rFonts w:ascii="Arial" w:cs="Arial" w:eastAsia="Arial" w:hAnsi="Arial"/>
                <w:sz w:val="19"/>
                <w:szCs w:val="19"/>
                <w:i w:val="1"/>
                <w:iCs w:val="1"/>
                <w:color w:val="auto"/>
              </w:rPr>
              <w:t>(Principal Financial and Accounting Officer)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Name: Alastair Maxwell</w:t>
            </w:r>
          </w:p>
        </w:tc>
        <w:tc>
          <w:tcPr>
            <w:tcW w:w="8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40" w:type="dxa"/>
            <w:vAlign w:val="bottom"/>
            <w:vMerge w:val="continue"/>
          </w:tcPr>
          <w:p>
            <w:pPr>
              <w:spacing w:after="0"/>
              <w:rPr>
                <w:sz w:val="23"/>
                <w:szCs w:val="23"/>
                <w:color w:val="auto"/>
              </w:rPr>
            </w:pPr>
          </w:p>
        </w:tc>
        <w:tc>
          <w:tcPr>
            <w:tcW w:w="8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9"/>
                <w:szCs w:val="19"/>
                <w:color w:val="auto"/>
                <w:w w:val="96"/>
              </w:rPr>
              <w:t>/</w:t>
            </w:r>
            <w:r>
              <w:rPr>
                <w:rFonts w:ascii="Arial" w:cs="Arial" w:eastAsia="Arial" w:hAnsi="Arial"/>
                <w:sz w:val="14"/>
                <w:szCs w:val="14"/>
                <w:color w:val="auto"/>
                <w:w w:val="96"/>
              </w:rPr>
              <w:t>S</w:t>
            </w:r>
            <w:r>
              <w:rPr>
                <w:rFonts w:ascii="Arial" w:cs="Arial" w:eastAsia="Arial" w:hAnsi="Arial"/>
                <w:sz w:val="19"/>
                <w:szCs w:val="19"/>
                <w:color w:val="auto"/>
                <w:w w:val="96"/>
              </w:rPr>
              <w:t>/ C</w:t>
            </w:r>
            <w:r>
              <w:rPr>
                <w:rFonts w:ascii="Arial" w:cs="Arial" w:eastAsia="Arial" w:hAnsi="Arial"/>
                <w:sz w:val="14"/>
                <w:szCs w:val="14"/>
                <w:color w:val="auto"/>
                <w:w w:val="96"/>
              </w:rPr>
              <w:t>URTIS</w:t>
            </w:r>
            <w:r>
              <w:rPr>
                <w:rFonts w:ascii="Arial" w:cs="Arial" w:eastAsia="Arial" w:hAnsi="Arial"/>
                <w:sz w:val="19"/>
                <w:szCs w:val="19"/>
                <w:color w:val="auto"/>
                <w:w w:val="96"/>
              </w:rPr>
              <w:t xml:space="preserve"> V. A</w:t>
            </w:r>
            <w:r>
              <w:rPr>
                <w:rFonts w:ascii="Arial" w:cs="Arial" w:eastAsia="Arial" w:hAnsi="Arial"/>
                <w:sz w:val="14"/>
                <w:szCs w:val="14"/>
                <w:color w:val="auto"/>
                <w:w w:val="96"/>
              </w:rPr>
              <w:t>NASTASIO</w:t>
            </w:r>
          </w:p>
        </w:tc>
        <w:tc>
          <w:tcPr>
            <w:tcW w:w="8260" w:type="dxa"/>
            <w:vAlign w:val="bottom"/>
          </w:tcPr>
          <w:p>
            <w:pPr>
              <w:ind w:left="780"/>
              <w:spacing w:after="0"/>
              <w:rPr>
                <w:sz w:val="20"/>
                <w:szCs w:val="20"/>
                <w:color w:val="auto"/>
              </w:rPr>
            </w:pPr>
            <w:r>
              <w:rPr>
                <w:rFonts w:ascii="Arial" w:cs="Arial" w:eastAsia="Arial" w:hAnsi="Arial"/>
                <w:sz w:val="19"/>
                <w:szCs w:val="19"/>
                <w:color w:val="auto"/>
              </w:rPr>
              <w:t>Chairman of the Board of Directors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Borders>
              <w:bottom w:val="single" w:sz="8" w:color="auto"/>
            </w:tcBorders>
          </w:tcPr>
          <w:p>
            <w:pPr>
              <w:spacing w:after="0"/>
              <w:rPr>
                <w:sz w:val="12"/>
                <w:szCs w:val="12"/>
                <w:color w:val="auto"/>
              </w:rPr>
            </w:pPr>
          </w:p>
        </w:tc>
        <w:tc>
          <w:tcPr>
            <w:tcW w:w="8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88"/>
              </w:rPr>
              <w:t>Name: Curtis V. Anastasio</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9"/>
                <w:szCs w:val="19"/>
                <w:color w:val="auto"/>
                <w:w w:val="98"/>
              </w:rPr>
              <w:t>/</w:t>
            </w:r>
            <w:r>
              <w:rPr>
                <w:rFonts w:ascii="Arial" w:cs="Arial" w:eastAsia="Arial" w:hAnsi="Arial"/>
                <w:sz w:val="14"/>
                <w:szCs w:val="14"/>
                <w:color w:val="auto"/>
                <w:w w:val="98"/>
              </w:rPr>
              <w:t>S</w:t>
            </w:r>
            <w:r>
              <w:rPr>
                <w:rFonts w:ascii="Arial" w:cs="Arial" w:eastAsia="Arial" w:hAnsi="Arial"/>
                <w:sz w:val="19"/>
                <w:szCs w:val="19"/>
                <w:color w:val="auto"/>
                <w:w w:val="98"/>
              </w:rPr>
              <w:t>/ R</w:t>
            </w:r>
            <w:r>
              <w:rPr>
                <w:rFonts w:ascii="Arial" w:cs="Arial" w:eastAsia="Arial" w:hAnsi="Arial"/>
                <w:sz w:val="14"/>
                <w:szCs w:val="14"/>
                <w:color w:val="auto"/>
                <w:w w:val="98"/>
              </w:rPr>
              <w:t>OBERT</w:t>
            </w:r>
            <w:r>
              <w:rPr>
                <w:rFonts w:ascii="Arial" w:cs="Arial" w:eastAsia="Arial" w:hAnsi="Arial"/>
                <w:sz w:val="19"/>
                <w:szCs w:val="19"/>
                <w:color w:val="auto"/>
                <w:w w:val="98"/>
              </w:rPr>
              <w:t xml:space="preserve"> B. A</w:t>
            </w:r>
            <w:r>
              <w:rPr>
                <w:rFonts w:ascii="Arial" w:cs="Arial" w:eastAsia="Arial" w:hAnsi="Arial"/>
                <w:sz w:val="14"/>
                <w:szCs w:val="14"/>
                <w:color w:val="auto"/>
                <w:w w:val="98"/>
              </w:rPr>
              <w:t>LLARDICE</w:t>
            </w:r>
          </w:p>
        </w:tc>
        <w:tc>
          <w:tcPr>
            <w:tcW w:w="8260" w:type="dxa"/>
            <w:vAlign w:val="bottom"/>
          </w:tcPr>
          <w:p>
            <w:pPr>
              <w:ind w:left="78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Borders>
              <w:bottom w:val="single" w:sz="8" w:color="auto"/>
            </w:tcBorders>
          </w:tcPr>
          <w:p>
            <w:pPr>
              <w:spacing w:after="0"/>
              <w:rPr>
                <w:sz w:val="12"/>
                <w:szCs w:val="12"/>
                <w:color w:val="auto"/>
              </w:rPr>
            </w:pPr>
          </w:p>
        </w:tc>
        <w:tc>
          <w:tcPr>
            <w:tcW w:w="8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2"/>
              </w:rPr>
              <w:t>Name: Robert B. Allardice</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4"/>
                <w:szCs w:val="14"/>
                <w:color w:val="auto"/>
              </w:rPr>
              <w:t>S</w:t>
            </w:r>
            <w:r>
              <w:rPr>
                <w:rFonts w:ascii="Arial" w:cs="Arial" w:eastAsia="Arial" w:hAnsi="Arial"/>
                <w:sz w:val="19"/>
                <w:szCs w:val="19"/>
                <w:color w:val="auto"/>
              </w:rPr>
              <w:t>/ D</w:t>
            </w:r>
            <w:r>
              <w:rPr>
                <w:rFonts w:ascii="Arial" w:cs="Arial" w:eastAsia="Arial" w:hAnsi="Arial"/>
                <w:sz w:val="14"/>
                <w:szCs w:val="14"/>
                <w:color w:val="auto"/>
              </w:rPr>
              <w:t>ANIEL</w:t>
            </w:r>
            <w:r>
              <w:rPr>
                <w:rFonts w:ascii="Arial" w:cs="Arial" w:eastAsia="Arial" w:hAnsi="Arial"/>
                <w:sz w:val="19"/>
                <w:szCs w:val="19"/>
                <w:color w:val="auto"/>
              </w:rPr>
              <w:t xml:space="preserve"> B</w:t>
            </w:r>
            <w:r>
              <w:rPr>
                <w:rFonts w:ascii="Arial" w:cs="Arial" w:eastAsia="Arial" w:hAnsi="Arial"/>
                <w:sz w:val="14"/>
                <w:szCs w:val="14"/>
                <w:color w:val="auto"/>
              </w:rPr>
              <w:t>RADSHAW</w:t>
            </w:r>
          </w:p>
        </w:tc>
        <w:tc>
          <w:tcPr>
            <w:tcW w:w="8260" w:type="dxa"/>
            <w:vAlign w:val="bottom"/>
          </w:tcPr>
          <w:p>
            <w:pPr>
              <w:ind w:left="78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Borders>
              <w:bottom w:val="single" w:sz="8" w:color="auto"/>
            </w:tcBorders>
          </w:tcPr>
          <w:p>
            <w:pPr>
              <w:spacing w:after="0"/>
              <w:rPr>
                <w:sz w:val="12"/>
                <w:szCs w:val="12"/>
                <w:color w:val="auto"/>
              </w:rPr>
            </w:pPr>
          </w:p>
        </w:tc>
        <w:tc>
          <w:tcPr>
            <w:tcW w:w="8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1"/>
              </w:rPr>
              <w:t>Name: Daniel Bradshaw</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9"/>
                <w:szCs w:val="19"/>
                <w:color w:val="auto"/>
                <w:w w:val="97"/>
              </w:rPr>
              <w:t>/</w:t>
            </w:r>
            <w:r>
              <w:rPr>
                <w:rFonts w:ascii="Arial" w:cs="Arial" w:eastAsia="Arial" w:hAnsi="Arial"/>
                <w:sz w:val="14"/>
                <w:szCs w:val="14"/>
                <w:color w:val="auto"/>
                <w:w w:val="97"/>
              </w:rPr>
              <w:t>S</w:t>
            </w:r>
            <w:r>
              <w:rPr>
                <w:rFonts w:ascii="Arial" w:cs="Arial" w:eastAsia="Arial" w:hAnsi="Arial"/>
                <w:sz w:val="19"/>
                <w:szCs w:val="19"/>
                <w:color w:val="auto"/>
                <w:w w:val="97"/>
              </w:rPr>
              <w:t>/ P</w:t>
            </w:r>
            <w:r>
              <w:rPr>
                <w:rFonts w:ascii="Arial" w:cs="Arial" w:eastAsia="Arial" w:hAnsi="Arial"/>
                <w:sz w:val="14"/>
                <w:szCs w:val="14"/>
                <w:color w:val="auto"/>
                <w:w w:val="97"/>
              </w:rPr>
              <w:t>AMELA</w:t>
            </w:r>
            <w:r>
              <w:rPr>
                <w:rFonts w:ascii="Arial" w:cs="Arial" w:eastAsia="Arial" w:hAnsi="Arial"/>
                <w:sz w:val="19"/>
                <w:szCs w:val="19"/>
                <w:color w:val="auto"/>
                <w:w w:val="97"/>
              </w:rPr>
              <w:t xml:space="preserve"> G</w:t>
            </w:r>
            <w:r>
              <w:rPr>
                <w:rFonts w:ascii="Arial" w:cs="Arial" w:eastAsia="Arial" w:hAnsi="Arial"/>
                <w:sz w:val="14"/>
                <w:szCs w:val="14"/>
                <w:color w:val="auto"/>
                <w:w w:val="97"/>
              </w:rPr>
              <w:t>IBSON</w:t>
            </w:r>
          </w:p>
        </w:tc>
        <w:tc>
          <w:tcPr>
            <w:tcW w:w="8260" w:type="dxa"/>
            <w:vAlign w:val="bottom"/>
          </w:tcPr>
          <w:p>
            <w:pPr>
              <w:ind w:left="78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Borders>
              <w:bottom w:val="single" w:sz="8" w:color="auto"/>
            </w:tcBorders>
          </w:tcPr>
          <w:p>
            <w:pPr>
              <w:spacing w:after="0"/>
              <w:rPr>
                <w:sz w:val="12"/>
                <w:szCs w:val="12"/>
                <w:color w:val="auto"/>
              </w:rPr>
            </w:pPr>
          </w:p>
        </w:tc>
        <w:tc>
          <w:tcPr>
            <w:tcW w:w="8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88"/>
              </w:rPr>
              <w:t>Name: Pamela Gibson</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9"/>
                <w:szCs w:val="19"/>
                <w:color w:val="auto"/>
                <w:w w:val="95"/>
              </w:rPr>
              <w:t>/</w:t>
            </w:r>
            <w:r>
              <w:rPr>
                <w:rFonts w:ascii="Arial" w:cs="Arial" w:eastAsia="Arial" w:hAnsi="Arial"/>
                <w:sz w:val="14"/>
                <w:szCs w:val="14"/>
                <w:color w:val="auto"/>
                <w:w w:val="95"/>
              </w:rPr>
              <w:t>S</w:t>
            </w:r>
            <w:r>
              <w:rPr>
                <w:rFonts w:ascii="Arial" w:cs="Arial" w:eastAsia="Arial" w:hAnsi="Arial"/>
                <w:sz w:val="19"/>
                <w:szCs w:val="19"/>
                <w:color w:val="auto"/>
                <w:w w:val="95"/>
              </w:rPr>
              <w:t>/ P</w:t>
            </w:r>
            <w:r>
              <w:rPr>
                <w:rFonts w:ascii="Arial" w:cs="Arial" w:eastAsia="Arial" w:hAnsi="Arial"/>
                <w:sz w:val="14"/>
                <w:szCs w:val="14"/>
                <w:color w:val="auto"/>
                <w:w w:val="95"/>
              </w:rPr>
              <w:t>ETER</w:t>
            </w:r>
            <w:r>
              <w:rPr>
                <w:rFonts w:ascii="Arial" w:cs="Arial" w:eastAsia="Arial" w:hAnsi="Arial"/>
                <w:sz w:val="19"/>
                <w:szCs w:val="19"/>
                <w:color w:val="auto"/>
                <w:w w:val="95"/>
              </w:rPr>
              <w:t xml:space="preserve"> G. L</w:t>
            </w:r>
            <w:r>
              <w:rPr>
                <w:rFonts w:ascii="Arial" w:cs="Arial" w:eastAsia="Arial" w:hAnsi="Arial"/>
                <w:sz w:val="14"/>
                <w:szCs w:val="14"/>
                <w:color w:val="auto"/>
                <w:w w:val="95"/>
              </w:rPr>
              <w:t>IVANOS</w:t>
            </w:r>
          </w:p>
        </w:tc>
        <w:tc>
          <w:tcPr>
            <w:tcW w:w="8260" w:type="dxa"/>
            <w:vAlign w:val="bottom"/>
          </w:tcPr>
          <w:p>
            <w:pPr>
              <w:ind w:left="78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Borders>
              <w:bottom w:val="single" w:sz="8" w:color="auto"/>
            </w:tcBorders>
          </w:tcPr>
          <w:p>
            <w:pPr>
              <w:spacing w:after="0"/>
              <w:rPr>
                <w:sz w:val="12"/>
                <w:szCs w:val="12"/>
                <w:color w:val="auto"/>
              </w:rPr>
            </w:pPr>
          </w:p>
        </w:tc>
        <w:tc>
          <w:tcPr>
            <w:tcW w:w="8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0"/>
              </w:rPr>
              <w:t>Name: Peter G. Livanos</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9"/>
                <w:szCs w:val="19"/>
                <w:color w:val="auto"/>
                <w:w w:val="99"/>
              </w:rPr>
              <w:t>/</w:t>
            </w:r>
            <w:r>
              <w:rPr>
                <w:rFonts w:ascii="Arial" w:cs="Arial" w:eastAsia="Arial" w:hAnsi="Arial"/>
                <w:sz w:val="14"/>
                <w:szCs w:val="14"/>
                <w:color w:val="auto"/>
                <w:w w:val="99"/>
              </w:rPr>
              <w:t>S</w:t>
            </w:r>
            <w:r>
              <w:rPr>
                <w:rFonts w:ascii="Arial" w:cs="Arial" w:eastAsia="Arial" w:hAnsi="Arial"/>
                <w:sz w:val="19"/>
                <w:szCs w:val="19"/>
                <w:color w:val="auto"/>
                <w:w w:val="99"/>
              </w:rPr>
              <w:t>/ A</w:t>
            </w:r>
            <w:r>
              <w:rPr>
                <w:rFonts w:ascii="Arial" w:cs="Arial" w:eastAsia="Arial" w:hAnsi="Arial"/>
                <w:sz w:val="14"/>
                <w:szCs w:val="14"/>
                <w:color w:val="auto"/>
                <w:w w:val="99"/>
              </w:rPr>
              <w:t>NTHONY</w:t>
            </w:r>
            <w:r>
              <w:rPr>
                <w:rFonts w:ascii="Arial" w:cs="Arial" w:eastAsia="Arial" w:hAnsi="Arial"/>
                <w:sz w:val="19"/>
                <w:szCs w:val="19"/>
                <w:color w:val="auto"/>
                <w:w w:val="99"/>
              </w:rPr>
              <w:t xml:space="preserve"> S. P</w:t>
            </w:r>
            <w:r>
              <w:rPr>
                <w:rFonts w:ascii="Arial" w:cs="Arial" w:eastAsia="Arial" w:hAnsi="Arial"/>
                <w:sz w:val="14"/>
                <w:szCs w:val="14"/>
                <w:color w:val="auto"/>
                <w:w w:val="99"/>
              </w:rPr>
              <w:t>APADIMITRIOU</w:t>
            </w:r>
          </w:p>
        </w:tc>
        <w:tc>
          <w:tcPr>
            <w:tcW w:w="8260" w:type="dxa"/>
            <w:vAlign w:val="bottom"/>
          </w:tcPr>
          <w:p>
            <w:pPr>
              <w:ind w:left="78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Borders>
              <w:bottom w:val="single" w:sz="8" w:color="auto"/>
            </w:tcBorders>
          </w:tcPr>
          <w:p>
            <w:pPr>
              <w:spacing w:after="0"/>
              <w:rPr>
                <w:sz w:val="12"/>
                <w:szCs w:val="12"/>
                <w:color w:val="auto"/>
              </w:rPr>
            </w:pPr>
          </w:p>
        </w:tc>
        <w:tc>
          <w:tcPr>
            <w:tcW w:w="8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0"/>
              </w:rPr>
              <w:t>Name: Anthony S. Papadimitriou</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260" w:type="dxa"/>
            <w:vAlign w:val="bottom"/>
          </w:tcPr>
          <w:p>
            <w:pPr>
              <w:ind w:left="2400"/>
              <w:spacing w:after="0"/>
              <w:rPr>
                <w:sz w:val="20"/>
                <w:szCs w:val="20"/>
                <w:color w:val="auto"/>
              </w:rPr>
            </w:pPr>
            <w:r>
              <w:rPr>
                <w:rFonts w:ascii="Arial" w:cs="Arial" w:eastAsia="Arial" w:hAnsi="Arial"/>
                <w:sz w:val="19"/>
                <w:szCs w:val="19"/>
                <w:color w:val="auto"/>
              </w:rPr>
              <w:t>II-6</w:t>
            </w:r>
          </w:p>
        </w:tc>
        <w:tc>
          <w:tcPr>
            <w:tcW w:w="0" w:type="dxa"/>
            <w:vAlign w:val="bottom"/>
          </w:tcPr>
          <w:p>
            <w:pPr>
              <w:spacing w:after="0"/>
              <w:rPr>
                <w:sz w:val="1"/>
                <w:szCs w:val="1"/>
                <w:color w:val="auto"/>
              </w:rPr>
            </w:pPr>
          </w:p>
        </w:tc>
      </w:tr>
      <w:tr>
        <w:trPr>
          <w:trHeight w:val="222"/>
        </w:trPr>
        <w:tc>
          <w:tcPr>
            <w:tcW w:w="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8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0" w:name="page61"/>
    <w:bookmarkEnd w:id="60"/>
    <w:p>
      <w:pPr>
        <w:jc w:val="center"/>
        <w:ind w:right="-499"/>
        <w:spacing w:after="0"/>
        <w:rPr>
          <w:sz w:val="20"/>
          <w:szCs w:val="20"/>
          <w:color w:val="auto"/>
        </w:rPr>
      </w:pPr>
      <w:r>
        <w:rPr>
          <w:rFonts w:ascii="Arial" w:cs="Arial" w:eastAsia="Arial" w:hAnsi="Arial"/>
          <w:sz w:val="19"/>
          <w:szCs w:val="19"/>
          <w:b w:val="1"/>
          <w:bCs w:val="1"/>
          <w:color w:val="auto"/>
        </w:rPr>
        <w:t>AUTHORIZED UNITED STATES REPRESENTATIVE</w:t>
      </w:r>
    </w:p>
    <w:p>
      <w:pPr>
        <w:spacing w:after="0" w:line="125"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Pursuant to the requirement of the Securities Act of 1933, the undersigned, the duly authorized representative in the United States of the aforementioned Registrant, has signed this Registration Statement on September 29, 2017.</w:t>
      </w:r>
    </w:p>
    <w:p>
      <w:pPr>
        <w:spacing w:after="0" w:line="26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P</w:t>
      </w:r>
      <w:r>
        <w:rPr>
          <w:rFonts w:ascii="Arial" w:cs="Arial" w:eastAsia="Arial" w:hAnsi="Arial"/>
          <w:sz w:val="14"/>
          <w:szCs w:val="14"/>
          <w:color w:val="auto"/>
        </w:rPr>
        <w:t>UGLISI &amp;</w:t>
      </w:r>
      <w:r>
        <w:rPr>
          <w:rFonts w:ascii="Arial" w:cs="Arial" w:eastAsia="Arial" w:hAnsi="Arial"/>
          <w:sz w:val="19"/>
          <w:szCs w:val="19"/>
          <w:color w:val="auto"/>
        </w:rPr>
        <w:t xml:space="preserve"> A</w:t>
      </w:r>
      <w:r>
        <w:rPr>
          <w:rFonts w:ascii="Arial" w:cs="Arial" w:eastAsia="Arial" w:hAnsi="Arial"/>
          <w:sz w:val="14"/>
          <w:szCs w:val="14"/>
          <w:color w:val="auto"/>
        </w:rPr>
        <w:t>SSOCIATES</w:t>
      </w:r>
    </w:p>
    <w:p>
      <w:pPr>
        <w:spacing w:after="0" w:line="200" w:lineRule="exact"/>
        <w:rPr>
          <w:sz w:val="20"/>
          <w:szCs w:val="20"/>
          <w:color w:val="auto"/>
        </w:rPr>
      </w:pPr>
    </w:p>
    <w:p>
      <w:pPr>
        <w:spacing w:after="0" w:line="311" w:lineRule="exact"/>
        <w:rPr>
          <w:sz w:val="20"/>
          <w:szCs w:val="20"/>
          <w:color w:val="auto"/>
        </w:rPr>
      </w:pPr>
    </w:p>
    <w:p>
      <w:pPr>
        <w:ind w:left="4140"/>
        <w:spacing w:after="0"/>
        <w:tabs>
          <w:tab w:leader="none" w:pos="45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3"/>
          <w:szCs w:val="13"/>
          <w:color w:val="auto"/>
        </w:rPr>
        <w:t>ONALD</w:t>
      </w:r>
      <w:r>
        <w:rPr>
          <w:rFonts w:ascii="Arial" w:cs="Arial" w:eastAsia="Arial" w:hAnsi="Arial"/>
          <w:sz w:val="18"/>
          <w:szCs w:val="18"/>
          <w:color w:val="auto"/>
        </w:rPr>
        <w:t xml:space="preserve"> J. P</w:t>
      </w:r>
      <w:r>
        <w:rPr>
          <w:rFonts w:ascii="Arial" w:cs="Arial" w:eastAsia="Arial" w:hAnsi="Arial"/>
          <w:sz w:val="13"/>
          <w:szCs w:val="13"/>
          <w:color w:val="auto"/>
        </w:rPr>
        <w:t>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0636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 Donald J. Puglisi</w:t>
      </w:r>
    </w:p>
    <w:p>
      <w:pPr>
        <w:spacing w:after="0" w:line="6"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Title: Managing Director</w:t>
      </w:r>
    </w:p>
    <w:p>
      <w:pPr>
        <w:spacing w:after="0" w:line="133" w:lineRule="exact"/>
        <w:rPr>
          <w:sz w:val="20"/>
          <w:szCs w:val="20"/>
          <w:color w:val="auto"/>
        </w:rPr>
      </w:pPr>
    </w:p>
    <w:p>
      <w:pPr>
        <w:jc w:val="center"/>
        <w:ind w:right="-499"/>
        <w:spacing w:after="0"/>
        <w:rPr>
          <w:sz w:val="20"/>
          <w:szCs w:val="20"/>
          <w:color w:val="auto"/>
        </w:rPr>
      </w:pPr>
      <w:r>
        <w:rPr>
          <w:rFonts w:ascii="Arial" w:cs="Arial" w:eastAsia="Arial" w:hAnsi="Arial"/>
          <w:sz w:val="19"/>
          <w:szCs w:val="19"/>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79" w:right="7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52"/>
        </w:trPr>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60" w:type="dxa"/>
            <w:vAlign w:val="bottom"/>
          </w:tcPr>
          <w:p>
            <w:pPr>
              <w:ind w:left="3380"/>
              <w:spacing w:after="0"/>
              <w:rPr>
                <w:sz w:val="20"/>
                <w:szCs w:val="20"/>
                <w:color w:val="auto"/>
              </w:rPr>
            </w:pPr>
            <w:r>
              <w:rPr>
                <w:rFonts w:ascii="Arial" w:cs="Arial" w:eastAsia="Arial" w:hAnsi="Arial"/>
                <w:sz w:val="19"/>
                <w:szCs w:val="19"/>
                <w:b w:val="1"/>
                <w:bCs w:val="1"/>
                <w:color w:val="auto"/>
              </w:rPr>
              <w:t>INDEX TO EXHIBITS</w:t>
            </w:r>
          </w:p>
        </w:tc>
      </w:tr>
      <w:tr>
        <w:trPr>
          <w:trHeight w:val="199"/>
        </w:trPr>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Exhibit No.</w:t>
            </w:r>
          </w:p>
        </w:tc>
        <w:tc>
          <w:tcPr>
            <w:tcW w:w="300" w:type="dxa"/>
            <w:vAlign w:val="bottom"/>
          </w:tcPr>
          <w:p>
            <w:pPr>
              <w:spacing w:after="0"/>
              <w:rPr>
                <w:sz w:val="17"/>
                <w:szCs w:val="17"/>
                <w:color w:val="auto"/>
              </w:rPr>
            </w:pPr>
          </w:p>
        </w:tc>
        <w:tc>
          <w:tcPr>
            <w:tcW w:w="10060" w:type="dxa"/>
            <w:vAlign w:val="bottom"/>
            <w:tcBorders>
              <w:bottom w:val="single" w:sz="8" w:color="auto"/>
            </w:tcBorders>
          </w:tcPr>
          <w:p>
            <w:pPr>
              <w:ind w:left="4640"/>
              <w:spacing w:after="0"/>
              <w:rPr>
                <w:sz w:val="20"/>
                <w:szCs w:val="20"/>
                <w:color w:val="auto"/>
              </w:rPr>
            </w:pPr>
            <w:r>
              <w:rPr>
                <w:rFonts w:ascii="Arial" w:cs="Arial" w:eastAsia="Arial" w:hAnsi="Arial"/>
                <w:sz w:val="16"/>
                <w:szCs w:val="16"/>
                <w:b w:val="1"/>
                <w:bCs w:val="1"/>
                <w:color w:val="auto"/>
              </w:rPr>
              <w:t>Description</w:t>
            </w:r>
          </w:p>
        </w:tc>
      </w:tr>
      <w:tr>
        <w:trPr>
          <w:trHeight w:val="237"/>
        </w:trPr>
        <w:tc>
          <w:tcPr>
            <w:tcW w:w="1060" w:type="dxa"/>
            <w:vAlign w:val="bottom"/>
            <w:shd w:val="clear" w:color="auto" w:fill="E5FFFF"/>
          </w:tcPr>
          <w:p>
            <w:pPr>
              <w:ind w:left="140"/>
              <w:spacing w:after="0"/>
              <w:rPr>
                <w:sz w:val="20"/>
                <w:szCs w:val="20"/>
                <w:color w:val="auto"/>
              </w:rPr>
            </w:pPr>
            <w:r>
              <w:rPr>
                <w:rFonts w:ascii="Arial" w:cs="Arial" w:eastAsia="Arial" w:hAnsi="Arial"/>
                <w:sz w:val="19"/>
                <w:szCs w:val="19"/>
                <w:color w:val="auto"/>
              </w:rPr>
              <w:t>1.1</w:t>
            </w:r>
          </w:p>
        </w:tc>
        <w:tc>
          <w:tcPr>
            <w:tcW w:w="300" w:type="dxa"/>
            <w:vAlign w:val="bottom"/>
            <w:shd w:val="clear" w:color="auto" w:fill="E5FFFF"/>
          </w:tcPr>
          <w:p>
            <w:pPr>
              <w:spacing w:after="0"/>
              <w:rPr>
                <w:sz w:val="20"/>
                <w:szCs w:val="20"/>
                <w:color w:val="auto"/>
              </w:rPr>
            </w:pPr>
          </w:p>
        </w:tc>
        <w:tc>
          <w:tcPr>
            <w:tcW w:w="10060" w:type="dxa"/>
            <w:vAlign w:val="bottom"/>
            <w:shd w:val="clear" w:color="auto" w:fill="E5FFFF"/>
          </w:tcPr>
          <w:p>
            <w:pPr>
              <w:spacing w:after="0"/>
              <w:rPr>
                <w:sz w:val="20"/>
                <w:szCs w:val="20"/>
                <w:color w:val="auto"/>
              </w:rPr>
            </w:pPr>
            <w:r>
              <w:rPr>
                <w:rFonts w:ascii="Arial" w:cs="Arial" w:eastAsia="Arial" w:hAnsi="Arial"/>
                <w:sz w:val="19"/>
                <w:szCs w:val="19"/>
                <w:color w:val="auto"/>
              </w:rPr>
              <w:t>Form of Underwriting Agreement</w:t>
            </w:r>
          </w:p>
        </w:tc>
      </w:tr>
      <w:tr>
        <w:trPr>
          <w:trHeight w:val="243"/>
        </w:trPr>
        <w:tc>
          <w:tcPr>
            <w:tcW w:w="1060" w:type="dxa"/>
            <w:vAlign w:val="bottom"/>
          </w:tcPr>
          <w:p>
            <w:pPr>
              <w:ind w:left="140"/>
              <w:spacing w:after="0"/>
              <w:rPr>
                <w:sz w:val="20"/>
                <w:szCs w:val="20"/>
                <w:color w:val="auto"/>
              </w:rPr>
            </w:pPr>
            <w:r>
              <w:rPr>
                <w:rFonts w:ascii="Arial" w:cs="Arial" w:eastAsia="Arial" w:hAnsi="Arial"/>
                <w:sz w:val="19"/>
                <w:szCs w:val="19"/>
                <w:color w:val="auto"/>
              </w:rPr>
              <w:t>3.1</w:t>
            </w:r>
          </w:p>
        </w:tc>
        <w:tc>
          <w:tcPr>
            <w:tcW w:w="300" w:type="dxa"/>
            <w:vAlign w:val="bottom"/>
          </w:tcPr>
          <w:p>
            <w:pPr>
              <w:spacing w:after="0"/>
              <w:rPr>
                <w:sz w:val="21"/>
                <w:szCs w:val="21"/>
                <w:color w:val="auto"/>
              </w:rPr>
            </w:pPr>
          </w:p>
        </w:tc>
        <w:tc>
          <w:tcPr>
            <w:tcW w:w="10060" w:type="dxa"/>
            <w:vAlign w:val="bottom"/>
          </w:tcPr>
          <w:p>
            <w:pPr>
              <w:spacing w:after="0"/>
              <w:rPr>
                <w:sz w:val="20"/>
                <w:szCs w:val="20"/>
                <w:color w:val="auto"/>
              </w:rPr>
            </w:pPr>
            <w:r>
              <w:rPr>
                <w:rFonts w:ascii="Arial" w:cs="Arial" w:eastAsia="Arial" w:hAnsi="Arial"/>
                <w:sz w:val="19"/>
                <w:szCs w:val="19"/>
                <w:color w:val="auto"/>
              </w:rPr>
              <w:t>Certificate of Limited Partnership of GasLog Partners LP</w:t>
            </w:r>
            <w:r>
              <w:rPr>
                <w:rFonts w:ascii="Arial" w:cs="Arial" w:eastAsia="Arial" w:hAnsi="Arial"/>
                <w:sz w:val="10"/>
                <w:szCs w:val="10"/>
                <w:color w:val="auto"/>
              </w:rPr>
              <w:t>(2)</w:t>
            </w:r>
          </w:p>
        </w:tc>
      </w:tr>
      <w:tr>
        <w:trPr>
          <w:trHeight w:val="243"/>
        </w:trPr>
        <w:tc>
          <w:tcPr>
            <w:tcW w:w="1060" w:type="dxa"/>
            <w:vAlign w:val="bottom"/>
            <w:shd w:val="clear" w:color="auto" w:fill="E5FFFF"/>
          </w:tcPr>
          <w:p>
            <w:pPr>
              <w:ind w:left="140"/>
              <w:spacing w:after="0"/>
              <w:rPr>
                <w:sz w:val="20"/>
                <w:szCs w:val="20"/>
                <w:color w:val="auto"/>
              </w:rPr>
            </w:pPr>
            <w:r>
              <w:rPr>
                <w:rFonts w:ascii="Arial" w:cs="Arial" w:eastAsia="Arial" w:hAnsi="Arial"/>
                <w:sz w:val="19"/>
                <w:szCs w:val="19"/>
                <w:color w:val="auto"/>
              </w:rPr>
              <w:t>3.2</w:t>
            </w:r>
          </w:p>
        </w:tc>
        <w:tc>
          <w:tcPr>
            <w:tcW w:w="300" w:type="dxa"/>
            <w:vAlign w:val="bottom"/>
            <w:shd w:val="clear" w:color="auto" w:fill="E5FFFF"/>
          </w:tcPr>
          <w:p>
            <w:pPr>
              <w:spacing w:after="0"/>
              <w:rPr>
                <w:sz w:val="21"/>
                <w:szCs w:val="21"/>
                <w:color w:val="auto"/>
              </w:rPr>
            </w:pPr>
          </w:p>
        </w:tc>
        <w:tc>
          <w:tcPr>
            <w:tcW w:w="10060" w:type="dxa"/>
            <w:vAlign w:val="bottom"/>
            <w:shd w:val="clear" w:color="auto" w:fill="E5FFFF"/>
          </w:tcPr>
          <w:p>
            <w:pPr>
              <w:spacing w:after="0"/>
              <w:rPr>
                <w:sz w:val="20"/>
                <w:szCs w:val="20"/>
                <w:color w:val="auto"/>
              </w:rPr>
            </w:pPr>
            <w:r>
              <w:rPr>
                <w:rFonts w:ascii="Arial" w:cs="Arial" w:eastAsia="Arial" w:hAnsi="Arial"/>
                <w:sz w:val="19"/>
                <w:szCs w:val="19"/>
                <w:color w:val="auto"/>
              </w:rPr>
              <w:t>Second Amended and Restated Agreement of Limited Partnership of GasLog Partners LP</w:t>
            </w:r>
            <w:r>
              <w:rPr>
                <w:rFonts w:ascii="Arial" w:cs="Arial" w:eastAsia="Arial" w:hAnsi="Arial"/>
                <w:sz w:val="10"/>
                <w:szCs w:val="10"/>
                <w:color w:val="auto"/>
              </w:rPr>
              <w:t>(3)</w:t>
            </w:r>
          </w:p>
        </w:tc>
      </w:tr>
      <w:tr>
        <w:trPr>
          <w:trHeight w:val="243"/>
        </w:trPr>
        <w:tc>
          <w:tcPr>
            <w:tcW w:w="1060" w:type="dxa"/>
            <w:vAlign w:val="bottom"/>
          </w:tcPr>
          <w:p>
            <w:pPr>
              <w:ind w:left="140"/>
              <w:spacing w:after="0"/>
              <w:rPr>
                <w:sz w:val="20"/>
                <w:szCs w:val="20"/>
                <w:color w:val="auto"/>
              </w:rPr>
            </w:pPr>
            <w:r>
              <w:rPr>
                <w:rFonts w:ascii="Arial" w:cs="Arial" w:eastAsia="Arial" w:hAnsi="Arial"/>
                <w:sz w:val="19"/>
                <w:szCs w:val="19"/>
                <w:color w:val="auto"/>
              </w:rPr>
              <w:t>3.3</w:t>
            </w:r>
          </w:p>
        </w:tc>
        <w:tc>
          <w:tcPr>
            <w:tcW w:w="300" w:type="dxa"/>
            <w:vAlign w:val="bottom"/>
          </w:tcPr>
          <w:p>
            <w:pPr>
              <w:spacing w:after="0"/>
              <w:rPr>
                <w:sz w:val="21"/>
                <w:szCs w:val="21"/>
                <w:color w:val="auto"/>
              </w:rPr>
            </w:pPr>
          </w:p>
        </w:tc>
        <w:tc>
          <w:tcPr>
            <w:tcW w:w="10060" w:type="dxa"/>
            <w:vAlign w:val="bottom"/>
          </w:tcPr>
          <w:p>
            <w:pPr>
              <w:spacing w:after="0"/>
              <w:rPr>
                <w:sz w:val="20"/>
                <w:szCs w:val="20"/>
                <w:color w:val="auto"/>
              </w:rPr>
            </w:pPr>
            <w:r>
              <w:rPr>
                <w:rFonts w:ascii="Arial" w:cs="Arial" w:eastAsia="Arial" w:hAnsi="Arial"/>
                <w:sz w:val="19"/>
                <w:szCs w:val="19"/>
                <w:color w:val="auto"/>
              </w:rPr>
              <w:t>Certificate of Formation of GasLog Partners GP LLC</w:t>
            </w:r>
            <w:r>
              <w:rPr>
                <w:rFonts w:ascii="Arial" w:cs="Arial" w:eastAsia="Arial" w:hAnsi="Arial"/>
                <w:sz w:val="10"/>
                <w:szCs w:val="10"/>
                <w:color w:val="auto"/>
              </w:rPr>
              <w:t>(2)</w:t>
            </w:r>
          </w:p>
        </w:tc>
      </w:tr>
      <w:tr>
        <w:trPr>
          <w:trHeight w:val="243"/>
        </w:trPr>
        <w:tc>
          <w:tcPr>
            <w:tcW w:w="1060" w:type="dxa"/>
            <w:vAlign w:val="bottom"/>
            <w:shd w:val="clear" w:color="auto" w:fill="E5FFFF"/>
          </w:tcPr>
          <w:p>
            <w:pPr>
              <w:ind w:left="140"/>
              <w:spacing w:after="0"/>
              <w:rPr>
                <w:sz w:val="20"/>
                <w:szCs w:val="20"/>
                <w:color w:val="auto"/>
              </w:rPr>
            </w:pPr>
            <w:r>
              <w:rPr>
                <w:rFonts w:ascii="Arial" w:cs="Arial" w:eastAsia="Arial" w:hAnsi="Arial"/>
                <w:sz w:val="19"/>
                <w:szCs w:val="19"/>
                <w:color w:val="auto"/>
              </w:rPr>
              <w:t>3.4</w:t>
            </w:r>
          </w:p>
        </w:tc>
        <w:tc>
          <w:tcPr>
            <w:tcW w:w="300" w:type="dxa"/>
            <w:vAlign w:val="bottom"/>
            <w:shd w:val="clear" w:color="auto" w:fill="E5FFFF"/>
          </w:tcPr>
          <w:p>
            <w:pPr>
              <w:spacing w:after="0"/>
              <w:rPr>
                <w:sz w:val="21"/>
                <w:szCs w:val="21"/>
                <w:color w:val="auto"/>
              </w:rPr>
            </w:pPr>
          </w:p>
        </w:tc>
        <w:tc>
          <w:tcPr>
            <w:tcW w:w="10060" w:type="dxa"/>
            <w:vAlign w:val="bottom"/>
            <w:shd w:val="clear" w:color="auto" w:fill="E5FFFF"/>
          </w:tcPr>
          <w:p>
            <w:pPr>
              <w:spacing w:after="0"/>
              <w:rPr>
                <w:sz w:val="20"/>
                <w:szCs w:val="20"/>
                <w:color w:val="auto"/>
              </w:rPr>
            </w:pPr>
            <w:r>
              <w:rPr>
                <w:rFonts w:ascii="Arial" w:cs="Arial" w:eastAsia="Arial" w:hAnsi="Arial"/>
                <w:sz w:val="19"/>
                <w:szCs w:val="19"/>
                <w:color w:val="auto"/>
              </w:rPr>
              <w:t>Limited Liability Company Agreement of GasLog Partners GP LLC</w:t>
            </w:r>
            <w:r>
              <w:rPr>
                <w:rFonts w:ascii="Arial" w:cs="Arial" w:eastAsia="Arial" w:hAnsi="Arial"/>
                <w:sz w:val="10"/>
                <w:szCs w:val="10"/>
                <w:color w:val="auto"/>
              </w:rPr>
              <w:t>(2)</w:t>
            </w:r>
          </w:p>
        </w:tc>
      </w:tr>
      <w:tr>
        <w:trPr>
          <w:trHeight w:val="243"/>
        </w:trPr>
        <w:tc>
          <w:tcPr>
            <w:tcW w:w="1060" w:type="dxa"/>
            <w:vAlign w:val="bottom"/>
          </w:tcPr>
          <w:p>
            <w:pPr>
              <w:ind w:left="140"/>
              <w:spacing w:after="0"/>
              <w:rPr>
                <w:sz w:val="20"/>
                <w:szCs w:val="20"/>
                <w:color w:val="auto"/>
              </w:rPr>
            </w:pPr>
            <w:r>
              <w:rPr>
                <w:rFonts w:ascii="Arial" w:cs="Arial" w:eastAsia="Arial" w:hAnsi="Arial"/>
                <w:sz w:val="19"/>
                <w:szCs w:val="19"/>
                <w:color w:val="auto"/>
              </w:rPr>
              <w:t>4.1</w:t>
            </w:r>
          </w:p>
        </w:tc>
        <w:tc>
          <w:tcPr>
            <w:tcW w:w="300" w:type="dxa"/>
            <w:vAlign w:val="bottom"/>
          </w:tcPr>
          <w:p>
            <w:pPr>
              <w:spacing w:after="0"/>
              <w:rPr>
                <w:sz w:val="21"/>
                <w:szCs w:val="21"/>
                <w:color w:val="auto"/>
              </w:rPr>
            </w:pPr>
          </w:p>
        </w:tc>
        <w:tc>
          <w:tcPr>
            <w:tcW w:w="10060" w:type="dxa"/>
            <w:vAlign w:val="bottom"/>
          </w:tcPr>
          <w:p>
            <w:pPr>
              <w:spacing w:after="0"/>
              <w:rPr>
                <w:sz w:val="20"/>
                <w:szCs w:val="20"/>
                <w:color w:val="auto"/>
              </w:rPr>
            </w:pPr>
            <w:r>
              <w:rPr>
                <w:rFonts w:ascii="Arial" w:cs="Arial" w:eastAsia="Arial" w:hAnsi="Arial"/>
                <w:sz w:val="19"/>
                <w:szCs w:val="19"/>
                <w:color w:val="auto"/>
              </w:rPr>
              <w:t>Form of Indenture</w:t>
            </w:r>
          </w:p>
        </w:tc>
      </w:tr>
      <w:tr>
        <w:trPr>
          <w:trHeight w:val="243"/>
        </w:trPr>
        <w:tc>
          <w:tcPr>
            <w:tcW w:w="1060" w:type="dxa"/>
            <w:vAlign w:val="bottom"/>
            <w:shd w:val="clear" w:color="auto" w:fill="E5FFFF"/>
          </w:tcPr>
          <w:p>
            <w:pPr>
              <w:ind w:left="140"/>
              <w:spacing w:after="0"/>
              <w:rPr>
                <w:sz w:val="20"/>
                <w:szCs w:val="20"/>
                <w:color w:val="auto"/>
              </w:rPr>
            </w:pPr>
            <w:r>
              <w:rPr>
                <w:rFonts w:ascii="Arial" w:cs="Arial" w:eastAsia="Arial" w:hAnsi="Arial"/>
                <w:sz w:val="19"/>
                <w:szCs w:val="19"/>
                <w:color w:val="auto"/>
              </w:rPr>
              <w:t>4.2</w:t>
            </w:r>
          </w:p>
        </w:tc>
        <w:tc>
          <w:tcPr>
            <w:tcW w:w="300" w:type="dxa"/>
            <w:vAlign w:val="bottom"/>
            <w:shd w:val="clear" w:color="auto" w:fill="E5FFFF"/>
          </w:tcPr>
          <w:p>
            <w:pPr>
              <w:spacing w:after="0"/>
              <w:rPr>
                <w:sz w:val="21"/>
                <w:szCs w:val="21"/>
                <w:color w:val="auto"/>
              </w:rPr>
            </w:pPr>
          </w:p>
        </w:tc>
        <w:tc>
          <w:tcPr>
            <w:tcW w:w="10060" w:type="dxa"/>
            <w:vAlign w:val="bottom"/>
            <w:shd w:val="clear" w:color="auto" w:fill="E5FFFF"/>
          </w:tcPr>
          <w:p>
            <w:pPr>
              <w:spacing w:after="0"/>
              <w:rPr>
                <w:sz w:val="20"/>
                <w:szCs w:val="20"/>
                <w:color w:val="auto"/>
              </w:rPr>
            </w:pPr>
            <w:r>
              <w:rPr>
                <w:rFonts w:ascii="Arial" w:cs="Arial" w:eastAsia="Arial" w:hAnsi="Arial"/>
                <w:sz w:val="19"/>
                <w:szCs w:val="19"/>
                <w:color w:val="auto"/>
              </w:rPr>
              <w:t>Form of Debt Securities</w:t>
            </w:r>
            <w:r>
              <w:rPr>
                <w:rFonts w:ascii="Arial" w:cs="Arial" w:eastAsia="Arial" w:hAnsi="Arial"/>
                <w:sz w:val="10"/>
                <w:szCs w:val="10"/>
                <w:color w:val="auto"/>
              </w:rPr>
              <w:t>(1)</w:t>
            </w:r>
          </w:p>
        </w:tc>
      </w:tr>
      <w:tr>
        <w:trPr>
          <w:trHeight w:val="243"/>
        </w:trPr>
        <w:tc>
          <w:tcPr>
            <w:tcW w:w="1060" w:type="dxa"/>
            <w:vAlign w:val="bottom"/>
          </w:tcPr>
          <w:p>
            <w:pPr>
              <w:ind w:left="140"/>
              <w:spacing w:after="0"/>
              <w:rPr>
                <w:sz w:val="20"/>
                <w:szCs w:val="20"/>
                <w:color w:val="auto"/>
              </w:rPr>
            </w:pPr>
            <w:r>
              <w:rPr>
                <w:rFonts w:ascii="Arial" w:cs="Arial" w:eastAsia="Arial" w:hAnsi="Arial"/>
                <w:sz w:val="19"/>
                <w:szCs w:val="19"/>
                <w:color w:val="auto"/>
              </w:rPr>
              <w:t>4.3</w:t>
            </w:r>
          </w:p>
        </w:tc>
        <w:tc>
          <w:tcPr>
            <w:tcW w:w="300" w:type="dxa"/>
            <w:vAlign w:val="bottom"/>
          </w:tcPr>
          <w:p>
            <w:pPr>
              <w:spacing w:after="0"/>
              <w:rPr>
                <w:sz w:val="21"/>
                <w:szCs w:val="21"/>
                <w:color w:val="auto"/>
              </w:rPr>
            </w:pPr>
          </w:p>
        </w:tc>
        <w:tc>
          <w:tcPr>
            <w:tcW w:w="10060" w:type="dxa"/>
            <w:vAlign w:val="bottom"/>
          </w:tcPr>
          <w:p>
            <w:pPr>
              <w:spacing w:after="0"/>
              <w:rPr>
                <w:sz w:val="20"/>
                <w:szCs w:val="20"/>
                <w:color w:val="auto"/>
              </w:rPr>
            </w:pPr>
            <w:r>
              <w:rPr>
                <w:rFonts w:ascii="Arial" w:cs="Arial" w:eastAsia="Arial" w:hAnsi="Arial"/>
                <w:sz w:val="19"/>
                <w:szCs w:val="19"/>
                <w:color w:val="auto"/>
              </w:rPr>
              <w:t>Form of Warrant Agreement</w:t>
            </w:r>
            <w:r>
              <w:rPr>
                <w:rFonts w:ascii="Arial" w:cs="Arial" w:eastAsia="Arial" w:hAnsi="Arial"/>
                <w:sz w:val="10"/>
                <w:szCs w:val="10"/>
                <w:color w:val="auto"/>
              </w:rPr>
              <w:t>(1)</w:t>
            </w:r>
          </w:p>
        </w:tc>
      </w:tr>
      <w:tr>
        <w:trPr>
          <w:trHeight w:val="243"/>
        </w:trPr>
        <w:tc>
          <w:tcPr>
            <w:tcW w:w="1060" w:type="dxa"/>
            <w:vAlign w:val="bottom"/>
            <w:shd w:val="clear" w:color="auto" w:fill="E5FFFF"/>
          </w:tcPr>
          <w:p>
            <w:pPr>
              <w:ind w:left="140"/>
              <w:spacing w:after="0"/>
              <w:rPr>
                <w:sz w:val="20"/>
                <w:szCs w:val="20"/>
                <w:color w:val="auto"/>
              </w:rPr>
            </w:pPr>
            <w:r>
              <w:rPr>
                <w:rFonts w:ascii="Arial" w:cs="Arial" w:eastAsia="Arial" w:hAnsi="Arial"/>
                <w:sz w:val="19"/>
                <w:szCs w:val="19"/>
                <w:color w:val="auto"/>
              </w:rPr>
              <w:t>4.4</w:t>
            </w:r>
          </w:p>
        </w:tc>
        <w:tc>
          <w:tcPr>
            <w:tcW w:w="300" w:type="dxa"/>
            <w:vAlign w:val="bottom"/>
            <w:shd w:val="clear" w:color="auto" w:fill="E5FFFF"/>
          </w:tcPr>
          <w:p>
            <w:pPr>
              <w:spacing w:after="0"/>
              <w:rPr>
                <w:sz w:val="21"/>
                <w:szCs w:val="21"/>
                <w:color w:val="auto"/>
              </w:rPr>
            </w:pPr>
          </w:p>
        </w:tc>
        <w:tc>
          <w:tcPr>
            <w:tcW w:w="10060" w:type="dxa"/>
            <w:vAlign w:val="bottom"/>
            <w:shd w:val="clear" w:color="auto" w:fill="E5FFFF"/>
          </w:tcPr>
          <w:p>
            <w:pPr>
              <w:spacing w:after="0"/>
              <w:rPr>
                <w:sz w:val="20"/>
                <w:szCs w:val="20"/>
                <w:color w:val="auto"/>
              </w:rPr>
            </w:pPr>
            <w:r>
              <w:rPr>
                <w:rFonts w:ascii="Arial" w:cs="Arial" w:eastAsia="Arial" w:hAnsi="Arial"/>
                <w:sz w:val="19"/>
                <w:szCs w:val="19"/>
                <w:color w:val="auto"/>
              </w:rPr>
              <w:t>Form of Warrant Certificate</w:t>
            </w:r>
            <w:r>
              <w:rPr>
                <w:rFonts w:ascii="Arial" w:cs="Arial" w:eastAsia="Arial" w:hAnsi="Arial"/>
                <w:sz w:val="10"/>
                <w:szCs w:val="10"/>
                <w:color w:val="auto"/>
              </w:rPr>
              <w:t>(1)</w:t>
            </w:r>
          </w:p>
        </w:tc>
      </w:tr>
      <w:tr>
        <w:trPr>
          <w:trHeight w:val="243"/>
        </w:trPr>
        <w:tc>
          <w:tcPr>
            <w:tcW w:w="1060" w:type="dxa"/>
            <w:vAlign w:val="bottom"/>
          </w:tcPr>
          <w:p>
            <w:pPr>
              <w:ind w:left="140"/>
              <w:spacing w:after="0"/>
              <w:rPr>
                <w:sz w:val="20"/>
                <w:szCs w:val="20"/>
                <w:color w:val="auto"/>
              </w:rPr>
            </w:pPr>
            <w:r>
              <w:rPr>
                <w:rFonts w:ascii="Arial" w:cs="Arial" w:eastAsia="Arial" w:hAnsi="Arial"/>
                <w:sz w:val="19"/>
                <w:szCs w:val="19"/>
                <w:color w:val="auto"/>
              </w:rPr>
              <w:t>4.5</w:t>
            </w:r>
          </w:p>
        </w:tc>
        <w:tc>
          <w:tcPr>
            <w:tcW w:w="300" w:type="dxa"/>
            <w:vAlign w:val="bottom"/>
          </w:tcPr>
          <w:p>
            <w:pPr>
              <w:spacing w:after="0"/>
              <w:rPr>
                <w:sz w:val="21"/>
                <w:szCs w:val="21"/>
                <w:color w:val="auto"/>
              </w:rPr>
            </w:pPr>
          </w:p>
        </w:tc>
        <w:tc>
          <w:tcPr>
            <w:tcW w:w="10060" w:type="dxa"/>
            <w:vAlign w:val="bottom"/>
          </w:tcPr>
          <w:p>
            <w:pPr>
              <w:spacing w:after="0"/>
              <w:rPr>
                <w:sz w:val="20"/>
                <w:szCs w:val="20"/>
                <w:color w:val="auto"/>
              </w:rPr>
            </w:pPr>
            <w:r>
              <w:rPr>
                <w:rFonts w:ascii="Arial" w:cs="Arial" w:eastAsia="Arial" w:hAnsi="Arial"/>
                <w:sz w:val="19"/>
                <w:szCs w:val="19"/>
                <w:color w:val="auto"/>
              </w:rPr>
              <w:t>Form of Rights Agreement</w:t>
            </w:r>
            <w:r>
              <w:rPr>
                <w:rFonts w:ascii="Arial" w:cs="Arial" w:eastAsia="Arial" w:hAnsi="Arial"/>
                <w:sz w:val="10"/>
                <w:szCs w:val="10"/>
                <w:color w:val="auto"/>
              </w:rPr>
              <w:t>(1)</w:t>
            </w:r>
          </w:p>
        </w:tc>
      </w:tr>
      <w:tr>
        <w:trPr>
          <w:trHeight w:val="243"/>
        </w:trPr>
        <w:tc>
          <w:tcPr>
            <w:tcW w:w="1060" w:type="dxa"/>
            <w:vAlign w:val="bottom"/>
            <w:shd w:val="clear" w:color="auto" w:fill="E5FFFF"/>
          </w:tcPr>
          <w:p>
            <w:pPr>
              <w:ind w:left="140"/>
              <w:spacing w:after="0"/>
              <w:rPr>
                <w:sz w:val="20"/>
                <w:szCs w:val="20"/>
                <w:color w:val="auto"/>
              </w:rPr>
            </w:pPr>
            <w:r>
              <w:rPr>
                <w:rFonts w:ascii="Arial" w:cs="Arial" w:eastAsia="Arial" w:hAnsi="Arial"/>
                <w:sz w:val="19"/>
                <w:szCs w:val="19"/>
                <w:color w:val="auto"/>
              </w:rPr>
              <w:t>4.6</w:t>
            </w:r>
          </w:p>
        </w:tc>
        <w:tc>
          <w:tcPr>
            <w:tcW w:w="300" w:type="dxa"/>
            <w:vAlign w:val="bottom"/>
            <w:shd w:val="clear" w:color="auto" w:fill="E5FFFF"/>
          </w:tcPr>
          <w:p>
            <w:pPr>
              <w:spacing w:after="0"/>
              <w:rPr>
                <w:sz w:val="21"/>
                <w:szCs w:val="21"/>
                <w:color w:val="auto"/>
              </w:rPr>
            </w:pPr>
          </w:p>
        </w:tc>
        <w:tc>
          <w:tcPr>
            <w:tcW w:w="10060" w:type="dxa"/>
            <w:vAlign w:val="bottom"/>
            <w:shd w:val="clear" w:color="auto" w:fill="E5FFFF"/>
          </w:tcPr>
          <w:p>
            <w:pPr>
              <w:spacing w:after="0"/>
              <w:rPr>
                <w:sz w:val="20"/>
                <w:szCs w:val="20"/>
                <w:color w:val="auto"/>
              </w:rPr>
            </w:pPr>
            <w:r>
              <w:rPr>
                <w:rFonts w:ascii="Arial" w:cs="Arial" w:eastAsia="Arial" w:hAnsi="Arial"/>
                <w:sz w:val="19"/>
                <w:szCs w:val="19"/>
                <w:color w:val="auto"/>
              </w:rPr>
              <w:t>Form of Rights Certificate</w:t>
            </w:r>
            <w:r>
              <w:rPr>
                <w:rFonts w:ascii="Arial" w:cs="Arial" w:eastAsia="Arial" w:hAnsi="Arial"/>
                <w:sz w:val="10"/>
                <w:szCs w:val="10"/>
                <w:color w:val="auto"/>
              </w:rPr>
              <w:t>(1)</w:t>
            </w:r>
          </w:p>
        </w:tc>
      </w:tr>
      <w:tr>
        <w:trPr>
          <w:trHeight w:val="243"/>
        </w:trPr>
        <w:tc>
          <w:tcPr>
            <w:tcW w:w="1060" w:type="dxa"/>
            <w:vAlign w:val="bottom"/>
          </w:tcPr>
          <w:p>
            <w:pPr>
              <w:ind w:left="140"/>
              <w:spacing w:after="0"/>
              <w:rPr>
                <w:sz w:val="20"/>
                <w:szCs w:val="20"/>
                <w:color w:val="auto"/>
              </w:rPr>
            </w:pPr>
            <w:r>
              <w:rPr>
                <w:rFonts w:ascii="Arial" w:cs="Arial" w:eastAsia="Arial" w:hAnsi="Arial"/>
                <w:sz w:val="19"/>
                <w:szCs w:val="19"/>
                <w:color w:val="auto"/>
              </w:rPr>
              <w:t>4.7</w:t>
            </w:r>
          </w:p>
        </w:tc>
        <w:tc>
          <w:tcPr>
            <w:tcW w:w="300" w:type="dxa"/>
            <w:vAlign w:val="bottom"/>
          </w:tcPr>
          <w:p>
            <w:pPr>
              <w:spacing w:after="0"/>
              <w:rPr>
                <w:sz w:val="21"/>
                <w:szCs w:val="21"/>
                <w:color w:val="auto"/>
              </w:rPr>
            </w:pPr>
          </w:p>
        </w:tc>
        <w:tc>
          <w:tcPr>
            <w:tcW w:w="10060" w:type="dxa"/>
            <w:vAlign w:val="bottom"/>
          </w:tcPr>
          <w:p>
            <w:pPr>
              <w:spacing w:after="0"/>
              <w:rPr>
                <w:sz w:val="20"/>
                <w:szCs w:val="20"/>
                <w:color w:val="auto"/>
              </w:rPr>
            </w:pPr>
            <w:r>
              <w:rPr>
                <w:rFonts w:ascii="Arial" w:cs="Arial" w:eastAsia="Arial" w:hAnsi="Arial"/>
                <w:sz w:val="19"/>
                <w:szCs w:val="19"/>
                <w:color w:val="auto"/>
              </w:rPr>
              <w:t>Form of Unit Agreement</w:t>
            </w:r>
            <w:r>
              <w:rPr>
                <w:rFonts w:ascii="Arial" w:cs="Arial" w:eastAsia="Arial" w:hAnsi="Arial"/>
                <w:sz w:val="10"/>
                <w:szCs w:val="10"/>
                <w:color w:val="auto"/>
              </w:rPr>
              <w:t>(1)</w:t>
            </w:r>
          </w:p>
        </w:tc>
      </w:tr>
      <w:tr>
        <w:trPr>
          <w:trHeight w:val="243"/>
        </w:trPr>
        <w:tc>
          <w:tcPr>
            <w:tcW w:w="1060" w:type="dxa"/>
            <w:vAlign w:val="bottom"/>
            <w:shd w:val="clear" w:color="auto" w:fill="E5FFFF"/>
          </w:tcPr>
          <w:p>
            <w:pPr>
              <w:ind w:left="140"/>
              <w:spacing w:after="0"/>
              <w:rPr>
                <w:sz w:val="20"/>
                <w:szCs w:val="20"/>
                <w:color w:val="auto"/>
              </w:rPr>
            </w:pPr>
            <w:r>
              <w:rPr>
                <w:rFonts w:ascii="Arial" w:cs="Arial" w:eastAsia="Arial" w:hAnsi="Arial"/>
                <w:sz w:val="19"/>
                <w:szCs w:val="19"/>
                <w:color w:val="auto"/>
              </w:rPr>
              <w:t>4.8</w:t>
            </w:r>
          </w:p>
        </w:tc>
        <w:tc>
          <w:tcPr>
            <w:tcW w:w="300" w:type="dxa"/>
            <w:vAlign w:val="bottom"/>
            <w:shd w:val="clear" w:color="auto" w:fill="E5FFFF"/>
          </w:tcPr>
          <w:p>
            <w:pPr>
              <w:spacing w:after="0"/>
              <w:rPr>
                <w:sz w:val="21"/>
                <w:szCs w:val="21"/>
                <w:color w:val="auto"/>
              </w:rPr>
            </w:pPr>
          </w:p>
        </w:tc>
        <w:tc>
          <w:tcPr>
            <w:tcW w:w="10060" w:type="dxa"/>
            <w:vAlign w:val="bottom"/>
            <w:shd w:val="clear" w:color="auto" w:fill="E5FFFF"/>
          </w:tcPr>
          <w:p>
            <w:pPr>
              <w:spacing w:after="0"/>
              <w:rPr>
                <w:sz w:val="20"/>
                <w:szCs w:val="20"/>
                <w:color w:val="auto"/>
              </w:rPr>
            </w:pPr>
            <w:r>
              <w:rPr>
                <w:rFonts w:ascii="Arial" w:cs="Arial" w:eastAsia="Arial" w:hAnsi="Arial"/>
                <w:sz w:val="19"/>
                <w:szCs w:val="19"/>
                <w:color w:val="auto"/>
              </w:rPr>
              <w:t>Form of Unit Certificate</w:t>
            </w:r>
            <w:r>
              <w:rPr>
                <w:rFonts w:ascii="Arial" w:cs="Arial" w:eastAsia="Arial" w:hAnsi="Arial"/>
                <w:sz w:val="10"/>
                <w:szCs w:val="10"/>
                <w:color w:val="auto"/>
              </w:rPr>
              <w:t>(1)</w:t>
            </w:r>
          </w:p>
        </w:tc>
      </w:tr>
      <w:tr>
        <w:trPr>
          <w:trHeight w:val="243"/>
        </w:trPr>
        <w:tc>
          <w:tcPr>
            <w:tcW w:w="1060" w:type="dxa"/>
            <w:vAlign w:val="bottom"/>
          </w:tcPr>
          <w:p>
            <w:pPr>
              <w:ind w:left="140"/>
              <w:spacing w:after="0"/>
              <w:rPr>
                <w:sz w:val="20"/>
                <w:szCs w:val="20"/>
                <w:color w:val="auto"/>
              </w:rPr>
            </w:pPr>
            <w:r>
              <w:rPr>
                <w:rFonts w:ascii="Arial" w:cs="Arial" w:eastAsia="Arial" w:hAnsi="Arial"/>
                <w:sz w:val="19"/>
                <w:szCs w:val="19"/>
                <w:color w:val="auto"/>
              </w:rPr>
              <w:t>5.1</w:t>
            </w:r>
          </w:p>
        </w:tc>
        <w:tc>
          <w:tcPr>
            <w:tcW w:w="300" w:type="dxa"/>
            <w:vAlign w:val="bottom"/>
          </w:tcPr>
          <w:p>
            <w:pPr>
              <w:spacing w:after="0"/>
              <w:rPr>
                <w:sz w:val="21"/>
                <w:szCs w:val="21"/>
                <w:color w:val="auto"/>
              </w:rPr>
            </w:pPr>
          </w:p>
        </w:tc>
        <w:tc>
          <w:tcPr>
            <w:tcW w:w="10060" w:type="dxa"/>
            <w:vAlign w:val="bottom"/>
          </w:tcPr>
          <w:p>
            <w:pPr>
              <w:spacing w:after="0"/>
              <w:rPr>
                <w:sz w:val="20"/>
                <w:szCs w:val="20"/>
                <w:color w:val="auto"/>
              </w:rPr>
            </w:pPr>
            <w:r>
              <w:rPr>
                <w:rFonts w:ascii="Arial" w:cs="Arial" w:eastAsia="Arial" w:hAnsi="Arial"/>
                <w:sz w:val="19"/>
                <w:szCs w:val="19"/>
                <w:color w:val="auto"/>
              </w:rPr>
              <w:t>Opinion of Cozen O’Connor, special counsel to the Company as to the Republic of the Marshall Islands law</w:t>
            </w:r>
          </w:p>
        </w:tc>
      </w:tr>
      <w:tr>
        <w:trPr>
          <w:trHeight w:val="243"/>
        </w:trPr>
        <w:tc>
          <w:tcPr>
            <w:tcW w:w="1060" w:type="dxa"/>
            <w:vAlign w:val="bottom"/>
            <w:shd w:val="clear" w:color="auto" w:fill="E5FFFF"/>
          </w:tcPr>
          <w:p>
            <w:pPr>
              <w:ind w:left="140"/>
              <w:spacing w:after="0"/>
              <w:rPr>
                <w:sz w:val="20"/>
                <w:szCs w:val="20"/>
                <w:color w:val="auto"/>
              </w:rPr>
            </w:pPr>
            <w:r>
              <w:rPr>
                <w:rFonts w:ascii="Arial" w:cs="Arial" w:eastAsia="Arial" w:hAnsi="Arial"/>
                <w:sz w:val="19"/>
                <w:szCs w:val="19"/>
                <w:color w:val="auto"/>
              </w:rPr>
              <w:t>5.2</w:t>
            </w:r>
          </w:p>
        </w:tc>
        <w:tc>
          <w:tcPr>
            <w:tcW w:w="300" w:type="dxa"/>
            <w:vAlign w:val="bottom"/>
            <w:shd w:val="clear" w:color="auto" w:fill="E5FFFF"/>
          </w:tcPr>
          <w:p>
            <w:pPr>
              <w:spacing w:after="0"/>
              <w:rPr>
                <w:sz w:val="21"/>
                <w:szCs w:val="21"/>
                <w:color w:val="auto"/>
              </w:rPr>
            </w:pPr>
          </w:p>
        </w:tc>
        <w:tc>
          <w:tcPr>
            <w:tcW w:w="10060" w:type="dxa"/>
            <w:vAlign w:val="bottom"/>
            <w:shd w:val="clear" w:color="auto" w:fill="E5FFFF"/>
          </w:tcPr>
          <w:p>
            <w:pPr>
              <w:spacing w:after="0"/>
              <w:rPr>
                <w:sz w:val="20"/>
                <w:szCs w:val="20"/>
                <w:color w:val="auto"/>
              </w:rPr>
            </w:pPr>
            <w:r>
              <w:rPr>
                <w:rFonts w:ascii="Arial" w:cs="Arial" w:eastAsia="Arial" w:hAnsi="Arial"/>
                <w:sz w:val="19"/>
                <w:szCs w:val="19"/>
                <w:color w:val="auto"/>
              </w:rPr>
              <w:t>Opinion of Cravath, Swaine &amp; Moore LLP, United States counsel to the Company</w:t>
            </w:r>
          </w:p>
        </w:tc>
      </w:tr>
      <w:tr>
        <w:trPr>
          <w:trHeight w:val="243"/>
        </w:trPr>
        <w:tc>
          <w:tcPr>
            <w:tcW w:w="1060" w:type="dxa"/>
            <w:vAlign w:val="bottom"/>
          </w:tcPr>
          <w:p>
            <w:pPr>
              <w:ind w:left="140"/>
              <w:spacing w:after="0"/>
              <w:rPr>
                <w:sz w:val="20"/>
                <w:szCs w:val="20"/>
                <w:color w:val="auto"/>
              </w:rPr>
            </w:pPr>
            <w:r>
              <w:rPr>
                <w:rFonts w:ascii="Arial" w:cs="Arial" w:eastAsia="Arial" w:hAnsi="Arial"/>
                <w:sz w:val="19"/>
                <w:szCs w:val="19"/>
                <w:color w:val="auto"/>
              </w:rPr>
              <w:t>23.1</w:t>
            </w:r>
          </w:p>
        </w:tc>
        <w:tc>
          <w:tcPr>
            <w:tcW w:w="300" w:type="dxa"/>
            <w:vAlign w:val="bottom"/>
          </w:tcPr>
          <w:p>
            <w:pPr>
              <w:spacing w:after="0"/>
              <w:rPr>
                <w:sz w:val="21"/>
                <w:szCs w:val="21"/>
                <w:color w:val="auto"/>
              </w:rPr>
            </w:pPr>
          </w:p>
        </w:tc>
        <w:tc>
          <w:tcPr>
            <w:tcW w:w="10060" w:type="dxa"/>
            <w:vAlign w:val="bottom"/>
          </w:tcPr>
          <w:p>
            <w:pPr>
              <w:spacing w:after="0"/>
              <w:rPr>
                <w:sz w:val="20"/>
                <w:szCs w:val="20"/>
                <w:color w:val="auto"/>
              </w:rPr>
            </w:pPr>
            <w:r>
              <w:rPr>
                <w:rFonts w:ascii="Arial" w:cs="Arial" w:eastAsia="Arial" w:hAnsi="Arial"/>
                <w:sz w:val="19"/>
                <w:szCs w:val="19"/>
                <w:color w:val="auto"/>
              </w:rPr>
              <w:t>Consent of Deloitte LLP</w:t>
            </w:r>
          </w:p>
        </w:tc>
      </w:tr>
      <w:tr>
        <w:trPr>
          <w:trHeight w:val="243"/>
        </w:trPr>
        <w:tc>
          <w:tcPr>
            <w:tcW w:w="1060" w:type="dxa"/>
            <w:vAlign w:val="bottom"/>
            <w:shd w:val="clear" w:color="auto" w:fill="E5FFFF"/>
          </w:tcPr>
          <w:p>
            <w:pPr>
              <w:ind w:left="140"/>
              <w:spacing w:after="0"/>
              <w:rPr>
                <w:sz w:val="20"/>
                <w:szCs w:val="20"/>
                <w:color w:val="auto"/>
              </w:rPr>
            </w:pPr>
            <w:r>
              <w:rPr>
                <w:rFonts w:ascii="Arial" w:cs="Arial" w:eastAsia="Arial" w:hAnsi="Arial"/>
                <w:sz w:val="19"/>
                <w:szCs w:val="19"/>
                <w:color w:val="auto"/>
              </w:rPr>
              <w:t>23.2</w:t>
            </w:r>
          </w:p>
        </w:tc>
        <w:tc>
          <w:tcPr>
            <w:tcW w:w="300" w:type="dxa"/>
            <w:vAlign w:val="bottom"/>
            <w:shd w:val="clear" w:color="auto" w:fill="E5FFFF"/>
          </w:tcPr>
          <w:p>
            <w:pPr>
              <w:spacing w:after="0"/>
              <w:rPr>
                <w:sz w:val="21"/>
                <w:szCs w:val="21"/>
                <w:color w:val="auto"/>
              </w:rPr>
            </w:pPr>
          </w:p>
        </w:tc>
        <w:tc>
          <w:tcPr>
            <w:tcW w:w="10060" w:type="dxa"/>
            <w:vAlign w:val="bottom"/>
            <w:shd w:val="clear" w:color="auto" w:fill="E5FFFF"/>
          </w:tcPr>
          <w:p>
            <w:pPr>
              <w:spacing w:after="0"/>
              <w:rPr>
                <w:sz w:val="20"/>
                <w:szCs w:val="20"/>
                <w:color w:val="auto"/>
              </w:rPr>
            </w:pPr>
            <w:r>
              <w:rPr>
                <w:rFonts w:ascii="Arial" w:cs="Arial" w:eastAsia="Arial" w:hAnsi="Arial"/>
                <w:sz w:val="19"/>
                <w:szCs w:val="19"/>
                <w:color w:val="auto"/>
              </w:rPr>
              <w:t>Consent of Cozen O’Connor (included in Exhibit 5.1)</w:t>
            </w:r>
          </w:p>
        </w:tc>
      </w:tr>
      <w:tr>
        <w:trPr>
          <w:trHeight w:val="243"/>
        </w:trPr>
        <w:tc>
          <w:tcPr>
            <w:tcW w:w="1060" w:type="dxa"/>
            <w:vAlign w:val="bottom"/>
          </w:tcPr>
          <w:p>
            <w:pPr>
              <w:ind w:left="140"/>
              <w:spacing w:after="0"/>
              <w:rPr>
                <w:sz w:val="20"/>
                <w:szCs w:val="20"/>
                <w:color w:val="auto"/>
              </w:rPr>
            </w:pPr>
            <w:r>
              <w:rPr>
                <w:rFonts w:ascii="Arial" w:cs="Arial" w:eastAsia="Arial" w:hAnsi="Arial"/>
                <w:sz w:val="19"/>
                <w:szCs w:val="19"/>
                <w:color w:val="auto"/>
              </w:rPr>
              <w:t>23.3</w:t>
            </w:r>
          </w:p>
        </w:tc>
        <w:tc>
          <w:tcPr>
            <w:tcW w:w="300" w:type="dxa"/>
            <w:vAlign w:val="bottom"/>
          </w:tcPr>
          <w:p>
            <w:pPr>
              <w:spacing w:after="0"/>
              <w:rPr>
                <w:sz w:val="21"/>
                <w:szCs w:val="21"/>
                <w:color w:val="auto"/>
              </w:rPr>
            </w:pPr>
          </w:p>
        </w:tc>
        <w:tc>
          <w:tcPr>
            <w:tcW w:w="10060" w:type="dxa"/>
            <w:vAlign w:val="bottom"/>
          </w:tcPr>
          <w:p>
            <w:pPr>
              <w:spacing w:after="0"/>
              <w:rPr>
                <w:sz w:val="20"/>
                <w:szCs w:val="20"/>
                <w:color w:val="auto"/>
              </w:rPr>
            </w:pPr>
            <w:r>
              <w:rPr>
                <w:rFonts w:ascii="Arial" w:cs="Arial" w:eastAsia="Arial" w:hAnsi="Arial"/>
                <w:sz w:val="19"/>
                <w:szCs w:val="19"/>
                <w:color w:val="auto"/>
              </w:rPr>
              <w:t>Consent of Cravath, Swaine &amp; Moore LLP (included in Exhibit 5.2)</w:t>
            </w:r>
          </w:p>
        </w:tc>
      </w:tr>
      <w:tr>
        <w:trPr>
          <w:trHeight w:val="243"/>
        </w:trPr>
        <w:tc>
          <w:tcPr>
            <w:tcW w:w="1060" w:type="dxa"/>
            <w:vAlign w:val="bottom"/>
            <w:shd w:val="clear" w:color="auto" w:fill="E5FFFF"/>
          </w:tcPr>
          <w:p>
            <w:pPr>
              <w:ind w:left="140"/>
              <w:spacing w:after="0"/>
              <w:rPr>
                <w:sz w:val="20"/>
                <w:szCs w:val="20"/>
                <w:color w:val="auto"/>
              </w:rPr>
            </w:pPr>
            <w:r>
              <w:rPr>
                <w:rFonts w:ascii="Arial" w:cs="Arial" w:eastAsia="Arial" w:hAnsi="Arial"/>
                <w:sz w:val="19"/>
                <w:szCs w:val="19"/>
                <w:color w:val="auto"/>
              </w:rPr>
              <w:t>24.1</w:t>
            </w:r>
          </w:p>
        </w:tc>
        <w:tc>
          <w:tcPr>
            <w:tcW w:w="300" w:type="dxa"/>
            <w:vAlign w:val="bottom"/>
            <w:shd w:val="clear" w:color="auto" w:fill="E5FFFF"/>
          </w:tcPr>
          <w:p>
            <w:pPr>
              <w:spacing w:after="0"/>
              <w:rPr>
                <w:sz w:val="21"/>
                <w:szCs w:val="21"/>
                <w:color w:val="auto"/>
              </w:rPr>
            </w:pPr>
          </w:p>
        </w:tc>
        <w:tc>
          <w:tcPr>
            <w:tcW w:w="10060" w:type="dxa"/>
            <w:vAlign w:val="bottom"/>
            <w:shd w:val="clear" w:color="auto" w:fill="E5FFFF"/>
          </w:tcPr>
          <w:p>
            <w:pPr>
              <w:spacing w:after="0"/>
              <w:rPr>
                <w:sz w:val="20"/>
                <w:szCs w:val="20"/>
                <w:color w:val="auto"/>
              </w:rPr>
            </w:pPr>
            <w:r>
              <w:rPr>
                <w:rFonts w:ascii="Arial" w:cs="Arial" w:eastAsia="Arial" w:hAnsi="Arial"/>
                <w:sz w:val="19"/>
                <w:szCs w:val="19"/>
                <w:color w:val="auto"/>
              </w:rPr>
              <w:t>Power of Attorney (included on the signature page hereto)</w:t>
            </w:r>
          </w:p>
        </w:tc>
      </w:tr>
      <w:tr>
        <w:trPr>
          <w:trHeight w:val="247"/>
        </w:trPr>
        <w:tc>
          <w:tcPr>
            <w:tcW w:w="1060" w:type="dxa"/>
            <w:vAlign w:val="bottom"/>
          </w:tcPr>
          <w:p>
            <w:pPr>
              <w:ind w:left="140"/>
              <w:spacing w:after="0"/>
              <w:rPr>
                <w:sz w:val="20"/>
                <w:szCs w:val="20"/>
                <w:color w:val="auto"/>
              </w:rPr>
            </w:pPr>
            <w:r>
              <w:rPr>
                <w:rFonts w:ascii="Arial" w:cs="Arial" w:eastAsia="Arial" w:hAnsi="Arial"/>
                <w:sz w:val="19"/>
                <w:szCs w:val="19"/>
                <w:color w:val="auto"/>
              </w:rPr>
              <w:t>25.1</w:t>
            </w:r>
          </w:p>
        </w:tc>
        <w:tc>
          <w:tcPr>
            <w:tcW w:w="300" w:type="dxa"/>
            <w:vAlign w:val="bottom"/>
          </w:tcPr>
          <w:p>
            <w:pPr>
              <w:spacing w:after="0"/>
              <w:rPr>
                <w:sz w:val="21"/>
                <w:szCs w:val="21"/>
                <w:color w:val="auto"/>
              </w:rPr>
            </w:pPr>
          </w:p>
        </w:tc>
        <w:tc>
          <w:tcPr>
            <w:tcW w:w="10060" w:type="dxa"/>
            <w:vAlign w:val="bottom"/>
          </w:tcPr>
          <w:p>
            <w:pPr>
              <w:spacing w:after="0"/>
              <w:rPr>
                <w:sz w:val="20"/>
                <w:szCs w:val="20"/>
                <w:color w:val="auto"/>
              </w:rPr>
            </w:pPr>
            <w:r>
              <w:rPr>
                <w:rFonts w:ascii="Arial" w:cs="Arial" w:eastAsia="Arial" w:hAnsi="Arial"/>
                <w:sz w:val="19"/>
                <w:szCs w:val="19"/>
                <w:color w:val="auto"/>
              </w:rPr>
              <w:t>Form T-1 Statement of Eligibility for Indenture</w:t>
            </w:r>
            <w:r>
              <w:rPr>
                <w:rFonts w:ascii="Arial" w:cs="Arial" w:eastAsia="Arial" w:hAnsi="Arial"/>
                <w:sz w:val="10"/>
                <w:szCs w:val="10"/>
                <w:color w:val="auto"/>
              </w:rPr>
              <w:t>(4)</w:t>
            </w:r>
          </w:p>
        </w:tc>
      </w:tr>
    </w:tbl>
    <w:p>
      <w:pPr>
        <w:spacing w:after="0" w:line="307" w:lineRule="exact"/>
        <w:rPr>
          <w:sz w:val="20"/>
          <w:szCs w:val="20"/>
          <w:color w:val="auto"/>
        </w:rPr>
      </w:pPr>
    </w:p>
    <w:p>
      <w:pPr>
        <w:ind w:left="300" w:hanging="213"/>
        <w:spacing w:after="0"/>
        <w:tabs>
          <w:tab w:leader="none" w:pos="300" w:val="left"/>
        </w:tabs>
        <w:numPr>
          <w:ilvl w:val="0"/>
          <w:numId w:val="64"/>
        </w:numPr>
        <w:rPr>
          <w:rFonts w:ascii="Arial" w:cs="Arial" w:eastAsia="Arial" w:hAnsi="Arial"/>
          <w:sz w:val="21"/>
          <w:szCs w:val="21"/>
          <w:color w:val="auto"/>
          <w:vertAlign w:val="superscript"/>
        </w:rPr>
      </w:pPr>
      <w:r>
        <w:rPr>
          <w:rFonts w:ascii="Arial" w:cs="Arial" w:eastAsia="Arial" w:hAnsi="Arial"/>
          <w:sz w:val="19"/>
          <w:szCs w:val="19"/>
          <w:color w:val="auto"/>
        </w:rPr>
        <w:t>To be filed as an exhibit to a report on Form 6-K and incorporated herein by reference.</w:t>
      </w:r>
    </w:p>
    <w:p>
      <w:pPr>
        <w:spacing w:after="0" w:line="82" w:lineRule="exact"/>
        <w:rPr>
          <w:rFonts w:ascii="Arial" w:cs="Arial" w:eastAsia="Arial" w:hAnsi="Arial"/>
          <w:sz w:val="21"/>
          <w:szCs w:val="21"/>
          <w:color w:val="auto"/>
          <w:vertAlign w:val="superscript"/>
        </w:rPr>
      </w:pPr>
    </w:p>
    <w:p>
      <w:pPr>
        <w:ind w:left="300" w:right="20" w:hanging="213"/>
        <w:spacing w:after="0" w:line="258" w:lineRule="auto"/>
        <w:tabs>
          <w:tab w:leader="none" w:pos="300" w:val="left"/>
        </w:tabs>
        <w:numPr>
          <w:ilvl w:val="0"/>
          <w:numId w:val="64"/>
        </w:numPr>
        <w:rPr>
          <w:rFonts w:ascii="Arial" w:cs="Arial" w:eastAsia="Arial" w:hAnsi="Arial"/>
          <w:sz w:val="21"/>
          <w:szCs w:val="21"/>
          <w:color w:val="auto"/>
          <w:vertAlign w:val="superscript"/>
        </w:rPr>
      </w:pPr>
      <w:r>
        <w:rPr>
          <w:rFonts w:ascii="Arial" w:cs="Arial" w:eastAsia="Arial" w:hAnsi="Arial"/>
          <w:sz w:val="19"/>
          <w:szCs w:val="19"/>
          <w:color w:val="auto"/>
        </w:rPr>
        <w:t>Previously filed as an exhibit to GasLog Partners LP’s Registration Statement on Form F-1 (File No. 333-195109), filed with the SEC on April 7, 2014, or an amendment thereto, and hereby incorporated by reference to such Registration Statement.</w:t>
      </w:r>
    </w:p>
    <w:p>
      <w:pPr>
        <w:spacing w:after="0" w:line="59" w:lineRule="exact"/>
        <w:rPr>
          <w:rFonts w:ascii="Arial" w:cs="Arial" w:eastAsia="Arial" w:hAnsi="Arial"/>
          <w:sz w:val="21"/>
          <w:szCs w:val="21"/>
          <w:color w:val="auto"/>
          <w:vertAlign w:val="superscript"/>
        </w:rPr>
      </w:pPr>
    </w:p>
    <w:p>
      <w:pPr>
        <w:ind w:left="300" w:right="360" w:hanging="213"/>
        <w:spacing w:after="0" w:line="258" w:lineRule="auto"/>
        <w:tabs>
          <w:tab w:leader="none" w:pos="300" w:val="left"/>
        </w:tabs>
        <w:numPr>
          <w:ilvl w:val="0"/>
          <w:numId w:val="64"/>
        </w:numPr>
        <w:rPr>
          <w:rFonts w:ascii="Arial" w:cs="Arial" w:eastAsia="Arial" w:hAnsi="Arial"/>
          <w:sz w:val="21"/>
          <w:szCs w:val="21"/>
          <w:color w:val="auto"/>
          <w:vertAlign w:val="superscript"/>
        </w:rPr>
      </w:pPr>
      <w:r>
        <w:rPr>
          <w:rFonts w:ascii="Arial" w:cs="Arial" w:eastAsia="Arial" w:hAnsi="Arial"/>
          <w:sz w:val="19"/>
          <w:szCs w:val="19"/>
          <w:color w:val="auto"/>
        </w:rPr>
        <w:t>Previously filed as Exhibit 4.1 to GasLog Partners LP’s Report on Form 6-K, filed with the SEC on May 15, 2017, hereby incorporated by reference to such Report.</w:t>
      </w:r>
    </w:p>
    <w:p>
      <w:pPr>
        <w:spacing w:after="0" w:line="59" w:lineRule="exact"/>
        <w:rPr>
          <w:rFonts w:ascii="Arial" w:cs="Arial" w:eastAsia="Arial" w:hAnsi="Arial"/>
          <w:sz w:val="21"/>
          <w:szCs w:val="21"/>
          <w:color w:val="auto"/>
          <w:vertAlign w:val="superscript"/>
        </w:rPr>
      </w:pPr>
    </w:p>
    <w:p>
      <w:pPr>
        <w:ind w:left="300" w:hanging="213"/>
        <w:spacing w:after="0"/>
        <w:tabs>
          <w:tab w:leader="none" w:pos="300" w:val="left"/>
        </w:tabs>
        <w:numPr>
          <w:ilvl w:val="0"/>
          <w:numId w:val="64"/>
        </w:numPr>
        <w:rPr>
          <w:rFonts w:ascii="Arial" w:cs="Arial" w:eastAsia="Arial" w:hAnsi="Arial"/>
          <w:sz w:val="21"/>
          <w:szCs w:val="21"/>
          <w:color w:val="auto"/>
          <w:vertAlign w:val="superscript"/>
        </w:rPr>
      </w:pPr>
      <w:r>
        <w:rPr>
          <w:rFonts w:ascii="Arial" w:cs="Arial" w:eastAsia="Arial" w:hAnsi="Arial"/>
          <w:sz w:val="19"/>
          <w:szCs w:val="19"/>
          <w:color w:val="auto"/>
        </w:rPr>
        <w:t>To be filed in accordance with Section 305(b)(2) of the Trust Indenture Act of 1939,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Units Representing Limited Partner Interests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Series A Preference Units Representing Limited Partner Interests</w:t>
      </w:r>
    </w:p>
    <w:p>
      <w:pPr>
        <w:jc w:val="center"/>
        <w:spacing w:after="0" w:line="230" w:lineRule="auto"/>
        <w:rPr>
          <w:sz w:val="20"/>
          <w:szCs w:val="20"/>
          <w:color w:val="auto"/>
        </w:rPr>
      </w:pPr>
      <w:r>
        <w:rPr>
          <w:rFonts w:ascii="Arial" w:cs="Arial" w:eastAsia="Arial" w:hAnsi="Arial"/>
          <w:sz w:val="22"/>
          <w:szCs w:val="22"/>
          <w:b w:val="1"/>
          <w:bCs w:val="1"/>
          <w:color w:val="auto"/>
        </w:rPr>
        <w:t>Other Classes of Units Representing Limited Partner Interests</w:t>
      </w:r>
    </w:p>
    <w:p>
      <w:pPr>
        <w:jc w:val="center"/>
        <w:spacing w:after="0" w:line="231" w:lineRule="auto"/>
        <w:rPr>
          <w:sz w:val="20"/>
          <w:szCs w:val="20"/>
          <w:color w:val="auto"/>
        </w:rPr>
      </w:pPr>
      <w:r>
        <w:rPr>
          <w:rFonts w:ascii="Arial" w:cs="Arial" w:eastAsia="Arial" w:hAnsi="Arial"/>
          <w:sz w:val="22"/>
          <w:szCs w:val="22"/>
          <w:b w:val="1"/>
          <w:bCs w:val="1"/>
          <w:color w:val="auto"/>
        </w:rPr>
        <w:t>Debt Securities</w:t>
      </w:r>
    </w:p>
    <w:p>
      <w:pPr>
        <w:jc w:val="center"/>
        <w:spacing w:after="0" w:line="230" w:lineRule="auto"/>
        <w:rPr>
          <w:sz w:val="20"/>
          <w:szCs w:val="20"/>
          <w:color w:val="auto"/>
        </w:rPr>
      </w:pPr>
      <w:r>
        <w:rPr>
          <w:rFonts w:ascii="Arial" w:cs="Arial" w:eastAsia="Arial" w:hAnsi="Arial"/>
          <w:sz w:val="22"/>
          <w:szCs w:val="22"/>
          <w:b w:val="1"/>
          <w:bCs w:val="1"/>
          <w:color w:val="auto"/>
        </w:rPr>
        <w:t>Warrants</w:t>
      </w:r>
    </w:p>
    <w:p>
      <w:pPr>
        <w:jc w:val="center"/>
        <w:spacing w:after="0" w:line="231" w:lineRule="auto"/>
        <w:rPr>
          <w:sz w:val="20"/>
          <w:szCs w:val="20"/>
          <w:color w:val="auto"/>
        </w:rPr>
      </w:pPr>
      <w:r>
        <w:rPr>
          <w:rFonts w:ascii="Arial" w:cs="Arial" w:eastAsia="Arial" w:hAnsi="Arial"/>
          <w:sz w:val="22"/>
          <w:szCs w:val="22"/>
          <w:b w:val="1"/>
          <w:bCs w:val="1"/>
          <w:color w:val="auto"/>
        </w:rPr>
        <w:t>Rights</w:t>
      </w:r>
    </w:p>
    <w:p>
      <w:pPr>
        <w:jc w:val="center"/>
        <w:spacing w:after="0" w:line="231" w:lineRule="auto"/>
        <w:rPr>
          <w:sz w:val="20"/>
          <w:szCs w:val="20"/>
          <w:color w:val="auto"/>
        </w:rPr>
      </w:pPr>
      <w:r>
        <w:rPr>
          <w:rFonts w:ascii="Arial" w:cs="Arial" w:eastAsia="Arial" w:hAnsi="Arial"/>
          <w:sz w:val="22"/>
          <w:szCs w:val="22"/>
          <w:b w:val="1"/>
          <w:bCs w:val="1"/>
          <w:color w:val="auto"/>
        </w:rPr>
        <w:t>Combination Units</w:t>
      </w:r>
    </w:p>
    <w:p>
      <w:pPr>
        <w:jc w:val="center"/>
        <w:spacing w:after="0"/>
        <w:rPr>
          <w:sz w:val="20"/>
          <w:szCs w:val="20"/>
          <w:color w:val="auto"/>
        </w:rPr>
      </w:pPr>
      <w:r>
        <w:rPr>
          <w:rFonts w:ascii="Arial" w:cs="Arial" w:eastAsia="Arial" w:hAnsi="Arial"/>
          <w:sz w:val="22"/>
          <w:szCs w:val="22"/>
          <w:b w:val="1"/>
          <w:bCs w:val="1"/>
          <w:u w:val="single" w:color="auto"/>
          <w:color w:val="auto"/>
        </w:rPr>
        <w:t>Form of Underwriting Agreement</w:t>
      </w:r>
    </w:p>
    <w:p>
      <w:pPr>
        <w:spacing w:after="0" w:line="215" w:lineRule="exact"/>
        <w:rPr>
          <w:sz w:val="20"/>
          <w:szCs w:val="20"/>
          <w:color w:val="auto"/>
        </w:rPr>
      </w:pPr>
    </w:p>
    <w:p>
      <w:pPr>
        <w:jc w:val="both"/>
        <w:ind w:left="10380"/>
        <w:spacing w:after="0"/>
        <w:tabs>
          <w:tab w:leader="none" w:pos="10700" w:val="left"/>
        </w:tabs>
        <w:rPr>
          <w:sz w:val="20"/>
          <w:szCs w:val="20"/>
          <w:color w:val="auto"/>
        </w:rPr>
      </w:pPr>
      <w:r>
        <w:rPr>
          <w:rFonts w:ascii="Arial" w:cs="Arial" w:eastAsia="Arial" w:hAnsi="Arial"/>
          <w:sz w:val="22"/>
          <w:szCs w:val="22"/>
          <w:color w:val="auto"/>
        </w:rPr>
        <w:t>[</w:t>
        <w:tab/>
        <w:t>], 201[ ]</w:t>
      </w:r>
    </w:p>
    <w:p>
      <w:pPr>
        <w:spacing w:after="0" w:line="233"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60" w:hanging="352"/>
        <w:spacing w:after="0"/>
        <w:tabs>
          <w:tab w:leader="none" w:pos="3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named in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GasLog Partners LP, a limited partnership organized under the laws of the Republic of the Marshall Islands (the “</w:t>
      </w:r>
      <w:r>
        <w:rPr>
          <w:rFonts w:ascii="Arial" w:cs="Arial" w:eastAsia="Arial" w:hAnsi="Arial"/>
          <w:sz w:val="21"/>
          <w:szCs w:val="21"/>
          <w:u w:val="single" w:color="auto"/>
          <w:color w:val="auto"/>
        </w:rPr>
        <w:t>Partnership</w:t>
      </w:r>
      <w:r>
        <w:rPr>
          <w:rFonts w:ascii="Arial" w:cs="Arial" w:eastAsia="Arial" w:hAnsi="Arial"/>
          <w:sz w:val="21"/>
          <w:szCs w:val="21"/>
          <w:color w:val="auto"/>
        </w:rPr>
        <w:t>”), has filed a registration statement with the Securities and Exchange Commission (the “</w:t>
      </w:r>
      <w:r>
        <w:rPr>
          <w:rFonts w:ascii="Arial" w:cs="Arial" w:eastAsia="Arial" w:hAnsi="Arial"/>
          <w:sz w:val="21"/>
          <w:szCs w:val="21"/>
          <w:u w:val="single" w:color="auto"/>
          <w:color w:val="auto"/>
        </w:rPr>
        <w:t>Commission</w:t>
      </w:r>
      <w:r>
        <w:rPr>
          <w:rFonts w:ascii="Arial" w:cs="Arial" w:eastAsia="Arial" w:hAnsi="Arial"/>
          <w:sz w:val="21"/>
          <w:szCs w:val="21"/>
          <w:color w:val="auto"/>
        </w:rPr>
        <w:t>”) under which the Partnership may from time to time, issue and sell up to an aggregate of $[●] of the Partnership’s common units representing limited partner interests in the Partnership (the “</w:t>
      </w:r>
      <w:r>
        <w:rPr>
          <w:rFonts w:ascii="Arial" w:cs="Arial" w:eastAsia="Arial" w:hAnsi="Arial"/>
          <w:sz w:val="21"/>
          <w:szCs w:val="21"/>
          <w:u w:val="single" w:color="auto"/>
          <w:color w:val="auto"/>
        </w:rPr>
        <w:t>Common Units</w:t>
      </w:r>
      <w:r>
        <w:rPr>
          <w:rFonts w:ascii="Arial" w:cs="Arial" w:eastAsia="Arial" w:hAnsi="Arial"/>
          <w:sz w:val="21"/>
          <w:szCs w:val="21"/>
          <w:color w:val="auto"/>
        </w:rPr>
        <w:t>”), Series A Preference Units representing limited partner interests (the “</w:t>
      </w:r>
      <w:r>
        <w:rPr>
          <w:rFonts w:ascii="Arial" w:cs="Arial" w:eastAsia="Arial" w:hAnsi="Arial"/>
          <w:sz w:val="21"/>
          <w:szCs w:val="21"/>
          <w:u w:val="single" w:color="auto"/>
          <w:color w:val="auto"/>
        </w:rPr>
        <w:t>Series A Preference Units</w:t>
      </w:r>
      <w:r>
        <w:rPr>
          <w:rFonts w:ascii="Arial" w:cs="Arial" w:eastAsia="Arial" w:hAnsi="Arial"/>
          <w:sz w:val="21"/>
          <w:szCs w:val="21"/>
          <w:color w:val="auto"/>
        </w:rPr>
        <w:t>”), other classes of units representing limited partner interests in the Partnership (the “</w:t>
      </w:r>
      <w:r>
        <w:rPr>
          <w:rFonts w:ascii="Arial" w:cs="Arial" w:eastAsia="Arial" w:hAnsi="Arial"/>
          <w:sz w:val="21"/>
          <w:szCs w:val="21"/>
          <w:u w:val="single" w:color="auto"/>
          <w:color w:val="auto"/>
        </w:rPr>
        <w:t>Other Units</w:t>
      </w:r>
      <w:r>
        <w:rPr>
          <w:rFonts w:ascii="Arial" w:cs="Arial" w:eastAsia="Arial" w:hAnsi="Arial"/>
          <w:sz w:val="21"/>
          <w:szCs w:val="21"/>
          <w:color w:val="auto"/>
        </w:rPr>
        <w:t>”), debt securities of the Partnership (the “</w:t>
      </w:r>
      <w:r>
        <w:rPr>
          <w:rFonts w:ascii="Arial" w:cs="Arial" w:eastAsia="Arial" w:hAnsi="Arial"/>
          <w:sz w:val="21"/>
          <w:szCs w:val="21"/>
          <w:u w:val="single" w:color="auto"/>
          <w:color w:val="auto"/>
        </w:rPr>
        <w:t>Debt Securities</w:t>
      </w:r>
      <w:r>
        <w:rPr>
          <w:rFonts w:ascii="Arial" w:cs="Arial" w:eastAsia="Arial" w:hAnsi="Arial"/>
          <w:sz w:val="21"/>
          <w:szCs w:val="21"/>
          <w:color w:val="auto"/>
        </w:rPr>
        <w:t>”), warrants to purchase Common Units, Other Units or other rights (“</w:t>
      </w:r>
      <w:r>
        <w:rPr>
          <w:rFonts w:ascii="Arial" w:cs="Arial" w:eastAsia="Arial" w:hAnsi="Arial"/>
          <w:sz w:val="21"/>
          <w:szCs w:val="21"/>
          <w:u w:val="single" w:color="auto"/>
          <w:color w:val="auto"/>
        </w:rPr>
        <w:t>Warrants</w:t>
      </w:r>
      <w:r>
        <w:rPr>
          <w:rFonts w:ascii="Arial" w:cs="Arial" w:eastAsia="Arial" w:hAnsi="Arial"/>
          <w:sz w:val="21"/>
          <w:szCs w:val="21"/>
          <w:color w:val="auto"/>
        </w:rPr>
        <w:t>”), rights to purchase Common Units and Other Units (the “</w:t>
      </w:r>
      <w:r>
        <w:rPr>
          <w:rFonts w:ascii="Arial" w:cs="Arial" w:eastAsia="Arial" w:hAnsi="Arial"/>
          <w:sz w:val="21"/>
          <w:szCs w:val="21"/>
          <w:u w:val="single" w:color="auto"/>
          <w:color w:val="auto"/>
        </w:rPr>
        <w:t>Rights</w:t>
      </w:r>
      <w:r>
        <w:rPr>
          <w:rFonts w:ascii="Arial" w:cs="Arial" w:eastAsia="Arial" w:hAnsi="Arial"/>
          <w:sz w:val="21"/>
          <w:szCs w:val="21"/>
          <w:color w:val="auto"/>
        </w:rPr>
        <w:t>”), and any combination of Common Units, Other Units, Debt Securities, Warrants and Rights (the “</w:t>
      </w:r>
      <w:r>
        <w:rPr>
          <w:rFonts w:ascii="Arial" w:cs="Arial" w:eastAsia="Arial" w:hAnsi="Arial"/>
          <w:sz w:val="21"/>
          <w:szCs w:val="21"/>
          <w:u w:val="single" w:color="auto"/>
          <w:color w:val="auto"/>
        </w:rPr>
        <w:t>Combination Units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-342900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Partnership proposes, subject to the terms and conditions stated herein, to issue and sell [</w:t>
      </w:r>
      <w:r>
        <w:rPr>
          <w:rFonts w:ascii="Arial" w:cs="Arial" w:eastAsia="Arial" w:hAnsi="Arial"/>
          <w:sz w:val="22"/>
          <w:szCs w:val="22"/>
          <w:i w:val="1"/>
          <w:iCs w:val="1"/>
          <w:color w:val="auto"/>
        </w:rPr>
        <w:t>identify the offered securities</w:t>
      </w:r>
      <w:r>
        <w:rPr>
          <w:rFonts w:ascii="Arial" w:cs="Arial" w:eastAsia="Arial" w:hAnsi="Arial"/>
          <w:sz w:val="22"/>
          <w:szCs w:val="22"/>
          <w:color w:val="auto"/>
        </w:rPr>
        <w:t>] (the “</w:t>
      </w:r>
      <w:r>
        <w:rPr>
          <w:rFonts w:ascii="Arial" w:cs="Arial" w:eastAsia="Arial" w:hAnsi="Arial"/>
          <w:sz w:val="22"/>
          <w:szCs w:val="22"/>
          <w:u w:val="single" w:color="auto"/>
          <w:color w:val="auto"/>
        </w:rPr>
        <w:t>Offered Securities</w:t>
      </w:r>
      <w:r>
        <w:rPr>
          <w:rFonts w:ascii="Arial" w:cs="Arial" w:eastAsia="Arial" w:hAnsi="Arial"/>
          <w:sz w:val="22"/>
          <w:szCs w:val="22"/>
          <w:color w:val="auto"/>
        </w:rPr>
        <w:t>”) to the underwriters named in Schedule I hereto (the “</w:t>
      </w:r>
      <w:r>
        <w:rPr>
          <w:rFonts w:ascii="Arial" w:cs="Arial" w:eastAsia="Arial" w:hAnsi="Arial"/>
          <w:sz w:val="22"/>
          <w:szCs w:val="22"/>
          <w:u w:val="single" w:color="auto"/>
          <w:color w:val="auto"/>
        </w:rPr>
        <w:t>Underwriters</w:t>
      </w:r>
      <w:r>
        <w:rPr>
          <w:rFonts w:ascii="Arial" w:cs="Arial" w:eastAsia="Arial" w:hAnsi="Arial"/>
          <w:sz w:val="22"/>
          <w:szCs w:val="22"/>
          <w:color w:val="auto"/>
        </w:rPr>
        <w:t>”) for whom you are acting as representatives (the “</w:t>
      </w:r>
      <w:r>
        <w:rPr>
          <w:rFonts w:ascii="Arial" w:cs="Arial" w:eastAsia="Arial" w:hAnsi="Arial"/>
          <w:sz w:val="22"/>
          <w:szCs w:val="22"/>
          <w:u w:val="single" w:color="auto"/>
          <w:color w:val="auto"/>
        </w:rPr>
        <w:t>Representatives</w:t>
      </w:r>
      <w:r>
        <w:rPr>
          <w:rFonts w:ascii="Arial" w:cs="Arial" w:eastAsia="Arial" w:hAnsi="Arial"/>
          <w:sz w:val="22"/>
          <w:szCs w:val="22"/>
          <w:color w:val="auto"/>
        </w:rPr>
        <w:t>”). At the election of the Underwriters, the Underwriters may purchase up to an additional [•] of [</w:t>
      </w:r>
      <w:r>
        <w:rPr>
          <w:rFonts w:ascii="Arial" w:cs="Arial" w:eastAsia="Arial" w:hAnsi="Arial"/>
          <w:sz w:val="22"/>
          <w:szCs w:val="22"/>
          <w:i w:val="1"/>
          <w:iCs w:val="1"/>
          <w:color w:val="auto"/>
        </w:rPr>
        <w:t>identify Offered Securities</w:t>
      </w:r>
      <w:r>
        <w:rPr>
          <w:rFonts w:ascii="Arial" w:cs="Arial" w:eastAsia="Arial" w:hAnsi="Arial"/>
          <w:sz w:val="22"/>
          <w:szCs w:val="22"/>
          <w:color w:val="auto"/>
        </w:rPr>
        <w:t>] in the Partnership (the “</w:t>
      </w:r>
      <w:r>
        <w:rPr>
          <w:rFonts w:ascii="Arial" w:cs="Arial" w:eastAsia="Arial" w:hAnsi="Arial"/>
          <w:sz w:val="22"/>
          <w:szCs w:val="22"/>
          <w:u w:val="single" w:color="auto"/>
          <w:color w:val="auto"/>
        </w:rPr>
        <w:t>Option Securities</w:t>
      </w:r>
      <w:r>
        <w:rPr>
          <w:rFonts w:ascii="Arial" w:cs="Arial" w:eastAsia="Arial" w:hAnsi="Arial"/>
          <w:sz w:val="22"/>
          <w:szCs w:val="22"/>
          <w:color w:val="auto"/>
        </w:rPr>
        <w:t>”, and together with the Offered Securities, the “</w:t>
      </w:r>
      <w:r>
        <w:rPr>
          <w:rFonts w:ascii="Arial" w:cs="Arial" w:eastAsia="Arial" w:hAnsi="Arial"/>
          <w:sz w:val="22"/>
          <w:szCs w:val="22"/>
          <w:u w:val="single" w:color="auto"/>
          <w:color w:val="auto"/>
        </w:rPr>
        <w:t>Securities</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GasLog Partners GP LLC, a limited liability company organized under the laws of the Republic of the Marshall Islands (the “</w:t>
      </w:r>
      <w:r>
        <w:rPr>
          <w:rFonts w:ascii="Arial" w:cs="Arial" w:eastAsia="Arial" w:hAnsi="Arial"/>
          <w:sz w:val="22"/>
          <w:szCs w:val="22"/>
          <w:u w:val="single" w:color="auto"/>
          <w:color w:val="auto"/>
        </w:rPr>
        <w:t>General Partner</w:t>
      </w:r>
      <w:r>
        <w:rPr>
          <w:rFonts w:ascii="Arial" w:cs="Arial" w:eastAsia="Arial" w:hAnsi="Arial"/>
          <w:sz w:val="22"/>
          <w:szCs w:val="22"/>
          <w:color w:val="auto"/>
        </w:rPr>
        <w:t>”), serves as the sole general partner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 w:name="page64"/>
    <w:bookmarkEnd w:id="63"/>
    <w:p>
      <w:pPr>
        <w:jc w:val="both"/>
        <w:spacing w:after="0"/>
        <w:rPr>
          <w:sz w:val="20"/>
          <w:szCs w:val="20"/>
          <w:color w:val="auto"/>
        </w:rPr>
      </w:pPr>
      <w:r>
        <w:rPr>
          <w:rFonts w:ascii="Arial" w:cs="Arial" w:eastAsia="Arial" w:hAnsi="Arial"/>
          <w:sz w:val="22"/>
          <w:szCs w:val="22"/>
          <w:color w:val="auto"/>
        </w:rPr>
        <w:t>Partnership. GasLog Partners Holdings LLC, a limited liability company organized under the laws of the Republic of the Marshall Islands (the “</w:t>
      </w:r>
      <w:r>
        <w:rPr>
          <w:rFonts w:ascii="Arial" w:cs="Arial" w:eastAsia="Arial" w:hAnsi="Arial"/>
          <w:sz w:val="22"/>
          <w:szCs w:val="22"/>
          <w:u w:val="single" w:color="auto"/>
          <w:color w:val="auto"/>
        </w:rPr>
        <w:t>Operating Company</w:t>
      </w:r>
      <w:r>
        <w:rPr>
          <w:rFonts w:ascii="Arial" w:cs="Arial" w:eastAsia="Arial" w:hAnsi="Arial"/>
          <w:sz w:val="22"/>
          <w:szCs w:val="22"/>
          <w:color w:val="auto"/>
        </w:rPr>
        <w:t>”), is a wholly owned direct subsidiary of the Partnership. The entities set forth under the caption “Owning Entity” on Schedule III(a) are direct subsidiaries of the Operating Company.</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[GasLog Ltd., a Bermuda exempted company (“GasLog”), GasLog Carriers Ltd. and the Partnership entered into that certain Share Purchase Agreement, dated as of [•], 2015 (the “Purchase Agreement”), whereby, among other things, the Partnership agreed to purchase 100% of the ownership interests in the entities set forth on Schedule III(b) hereto from GasLog Carriers Ltd., a</w:t>
      </w:r>
    </w:p>
    <w:p>
      <w:pPr>
        <w:spacing w:after="0" w:line="1" w:lineRule="exact"/>
        <w:rPr>
          <w:sz w:val="20"/>
          <w:szCs w:val="20"/>
          <w:color w:val="auto"/>
        </w:rPr>
      </w:pPr>
    </w:p>
    <w:p>
      <w:pPr>
        <w:jc w:val="both"/>
        <w:ind w:right="20"/>
        <w:spacing w:after="0" w:line="197" w:lineRule="auto"/>
        <w:rPr>
          <w:sz w:val="20"/>
          <w:szCs w:val="20"/>
          <w:color w:val="auto"/>
        </w:rPr>
      </w:pPr>
      <w:r>
        <w:rPr>
          <w:rFonts w:ascii="Arial" w:cs="Arial" w:eastAsia="Arial" w:hAnsi="Arial"/>
          <w:sz w:val="22"/>
          <w:szCs w:val="22"/>
          <w:color w:val="auto"/>
        </w:rPr>
        <w:t>Bermuda exempted company and wholly owned subsidiary of GasLog (the “</w:t>
      </w:r>
      <w:r>
        <w:rPr>
          <w:rFonts w:ascii="Arial" w:cs="Arial" w:eastAsia="Arial" w:hAnsi="Arial"/>
          <w:sz w:val="22"/>
          <w:szCs w:val="22"/>
          <w:u w:val="single" w:color="auto"/>
          <w:color w:val="auto"/>
        </w:rPr>
        <w:t>Acquisition</w:t>
      </w:r>
      <w:r>
        <w:rPr>
          <w:rFonts w:ascii="Arial" w:cs="Arial" w:eastAsia="Arial" w:hAnsi="Arial"/>
          <w:sz w:val="22"/>
          <w:szCs w:val="22"/>
          <w:color w:val="auto"/>
        </w:rPr>
        <w:t>”)]</w:t>
      </w:r>
      <w:r>
        <w:rPr>
          <w:rFonts w:ascii="Arial" w:cs="Arial" w:eastAsia="Arial" w:hAnsi="Arial"/>
          <w:sz w:val="36"/>
          <w:szCs w:val="36"/>
          <w:color w:val="auto"/>
          <w:vertAlign w:val="superscript"/>
        </w:rPr>
        <w:t>1</w:t>
      </w:r>
      <w:r>
        <w:rPr>
          <w:rFonts w:ascii="Arial" w:cs="Arial" w:eastAsia="Arial" w:hAnsi="Arial"/>
          <w:sz w:val="22"/>
          <w:szCs w:val="22"/>
          <w:color w:val="auto"/>
        </w:rPr>
        <w:t xml:space="preserve"> The entities set forth on Schedule III(a) and Schedule III(b) hereto are referred to herein collectively as the “</w:t>
      </w:r>
      <w:r>
        <w:rPr>
          <w:rFonts w:ascii="Arial" w:cs="Arial" w:eastAsia="Arial" w:hAnsi="Arial"/>
          <w:sz w:val="22"/>
          <w:szCs w:val="22"/>
          <w:u w:val="single" w:color="auto"/>
          <w:color w:val="auto"/>
        </w:rPr>
        <w:t>Operating Subsidiaries</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General Partner, the Partnership and the Operating Company are hereinafter referred to collectively as the “</w:t>
      </w:r>
      <w:r>
        <w:rPr>
          <w:rFonts w:ascii="Arial" w:cs="Arial" w:eastAsia="Arial" w:hAnsi="Arial"/>
          <w:sz w:val="21"/>
          <w:szCs w:val="21"/>
          <w:u w:val="single" w:color="auto"/>
          <w:color w:val="auto"/>
        </w:rPr>
        <w:t>Partnership</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Parties</w:t>
      </w:r>
      <w:r>
        <w:rPr>
          <w:rFonts w:ascii="Arial" w:cs="Arial" w:eastAsia="Arial" w:hAnsi="Arial"/>
          <w:sz w:val="21"/>
          <w:szCs w:val="21"/>
          <w:color w:val="auto"/>
        </w:rPr>
        <w:t>” and, together with the Operating Subsidiaries, the “</w:t>
      </w:r>
      <w:r>
        <w:rPr>
          <w:rFonts w:ascii="Arial" w:cs="Arial" w:eastAsia="Arial" w:hAnsi="Arial"/>
          <w:sz w:val="21"/>
          <w:szCs w:val="21"/>
          <w:u w:val="single" w:color="auto"/>
          <w:color w:val="auto"/>
        </w:rPr>
        <w:t>Partnership Entities</w:t>
      </w:r>
      <w:r>
        <w:rPr>
          <w:rFonts w:ascii="Arial" w:cs="Arial" w:eastAsia="Arial" w:hAnsi="Arial"/>
          <w:sz w:val="21"/>
          <w:szCs w:val="21"/>
          <w:color w:val="auto"/>
        </w:rPr>
        <w:t>”. GasLog Ltd. is hereinafter referred to as “</w:t>
      </w:r>
      <w:r>
        <w:rPr>
          <w:rFonts w:ascii="Arial" w:cs="Arial" w:eastAsia="Arial" w:hAnsi="Arial"/>
          <w:sz w:val="21"/>
          <w:szCs w:val="21"/>
          <w:u w:val="single" w:color="auto"/>
          <w:color w:val="auto"/>
        </w:rPr>
        <w:t>GasLog</w:t>
      </w:r>
      <w:r>
        <w:rPr>
          <w:rFonts w:ascii="Arial" w:cs="Arial" w:eastAsia="Arial" w:hAnsi="Arial"/>
          <w:sz w:val="21"/>
          <w:szCs w:val="21"/>
          <w:color w:val="auto"/>
        </w:rPr>
        <w:t>”. The term “</w:t>
      </w:r>
      <w:r>
        <w:rPr>
          <w:rFonts w:ascii="Arial" w:cs="Arial" w:eastAsia="Arial" w:hAnsi="Arial"/>
          <w:sz w:val="21"/>
          <w:szCs w:val="21"/>
          <w:u w:val="single" w:color="auto"/>
          <w:color w:val="auto"/>
        </w:rPr>
        <w:t>Contracted Vessels</w:t>
      </w:r>
      <w:r>
        <w:rPr>
          <w:rFonts w:ascii="Arial" w:cs="Arial" w:eastAsia="Arial" w:hAnsi="Arial"/>
          <w:sz w:val="21"/>
          <w:szCs w:val="21"/>
          <w:color w:val="auto"/>
        </w:rPr>
        <w:t>” hereinafter refers to all of the vessels named in Schedule III(b) hereto. The agreements listed in Schedule VIII hereto are collectively referred to as the “</w:t>
      </w:r>
      <w:r>
        <w:rPr>
          <w:rFonts w:ascii="Arial" w:cs="Arial" w:eastAsia="Arial" w:hAnsi="Arial"/>
          <w:sz w:val="21"/>
          <w:szCs w:val="21"/>
          <w:u w:val="single" w:color="auto"/>
          <w:color w:val="auto"/>
        </w:rPr>
        <w:t>Operative Agreements</w:t>
      </w:r>
      <w:r>
        <w:rPr>
          <w:rFonts w:ascii="Arial" w:cs="Arial" w:eastAsia="Arial" w:hAnsi="Arial"/>
          <w:sz w:val="21"/>
          <w:szCs w:val="21"/>
          <w:color w:val="auto"/>
        </w:rPr>
        <w:t>”.</w:t>
      </w:r>
    </w:p>
    <w:p>
      <w:pPr>
        <w:spacing w:after="0" w:line="20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This is to confirm the agreement between the Partnership Parties and each of the Underwriters concerning the purchase of the Securities from the Partnership by the Underwriters.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The Partnership Parties represent and warrant to, and agree with, each of the Underwriters that:</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(a) A registration statement on Form F-3 (File No. 333-[ ]), including a prospectus (hereinafter referred to as the </w:t>
      </w:r>
      <w:r>
        <w:rPr>
          <w:rFonts w:ascii="Arial" w:cs="Arial" w:eastAsia="Arial" w:hAnsi="Arial"/>
          <w:sz w:val="19"/>
          <w:szCs w:val="19"/>
          <w:u w:val="single" w:color="auto"/>
          <w:color w:val="auto"/>
        </w:rPr>
        <w:t>“Base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Prospectus”)</w:t>
      </w:r>
      <w:r>
        <w:rPr>
          <w:rFonts w:ascii="Arial" w:cs="Arial" w:eastAsia="Arial" w:hAnsi="Arial"/>
          <w:sz w:val="19"/>
          <w:szCs w:val="19"/>
          <w:color w:val="auto"/>
        </w:rPr>
        <w:t xml:space="preserve"> in respect of the Securities has been filed with the Commission not earlier than three years prior to the date hereof; the Base Prospectus and any post-effective amendment thereto, each in the form heretofore delivered to the Representatives, and, excluding exhibits thereto, to the Representatives for each of the other Underwriters, have been declared effective by the Commission in such form. Such registration statement, as amended, entered into in connection with a specific offering of the Securities and including any documents incorporated by reference therein, including exhibits (other than any Form T-1) and financial statements and any prospectus supplement relating to the Securities that is filed with the Commission pursuant to Rule 424(b) </w:t>
      </w:r>
      <w:r>
        <w:rPr>
          <w:rFonts w:ascii="Arial" w:cs="Arial" w:eastAsia="Arial" w:hAnsi="Arial"/>
          <w:sz w:val="19"/>
          <w:szCs w:val="19"/>
          <w:u w:val="single" w:color="auto"/>
          <w:color w:val="auto"/>
        </w:rPr>
        <w:t>(“Rule 424(b)”)</w:t>
      </w:r>
      <w:r>
        <w:rPr>
          <w:rFonts w:ascii="Arial" w:cs="Arial" w:eastAsia="Arial" w:hAnsi="Arial"/>
          <w:sz w:val="19"/>
          <w:szCs w:val="19"/>
          <w:color w:val="auto"/>
        </w:rPr>
        <w:t xml:space="preserve"> under the Act and deemed part of such registration statement pursuant to Rule 430B under the Act, is hereinafter referred to as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xml:space="preserve"> The Partnership meets the requirements of the U.S. Securities Act of 1933, as amended, (the “Act”) for the use of the Form F-3. No stop order suspending the effectiveness of the Registration Statement, any part thereof or any post-effective amendment thereto, if any, has been issued and no proceeding for that purpose has been initiated or threatened by the Commission. The preliminary prospectus supplement which describes the Securities and the offering thereof and is used prior to filing the Final Prospectus (defined below), is hereinafter called a “Preliminary Prospectus”. The Preliminary Prospectus that was included in the Registration Statement immediately prior to the Applicable Time (as defined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8097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To be included if a material acquisition is pending.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4" w:name="page65"/>
    <w:bookmarkEnd w:id="64"/>
    <w:p>
      <w:pPr>
        <w:jc w:val="both"/>
        <w:spacing w:after="0" w:line="272" w:lineRule="auto"/>
        <w:rPr>
          <w:sz w:val="20"/>
          <w:szCs w:val="20"/>
          <w:color w:val="auto"/>
        </w:rPr>
      </w:pPr>
      <w:r>
        <w:rPr>
          <w:rFonts w:ascii="Arial" w:cs="Arial" w:eastAsia="Arial" w:hAnsi="Arial"/>
          <w:sz w:val="19"/>
          <w:szCs w:val="19"/>
          <w:color w:val="auto"/>
        </w:rPr>
        <w:t xml:space="preserve">Section 1(c) hereof), together with the information set forth on </w:t>
      </w:r>
      <w:r>
        <w:rPr>
          <w:rFonts w:ascii="Arial" w:cs="Arial" w:eastAsia="Arial" w:hAnsi="Arial"/>
          <w:sz w:val="19"/>
          <w:szCs w:val="19"/>
          <w:u w:val="single" w:color="auto"/>
          <w:color w:val="auto"/>
        </w:rPr>
        <w:t>Schedule VI</w:t>
      </w:r>
      <w:r>
        <w:rPr>
          <w:rFonts w:ascii="Arial" w:cs="Arial" w:eastAsia="Arial" w:hAnsi="Arial"/>
          <w:sz w:val="19"/>
          <w:szCs w:val="19"/>
          <w:color w:val="auto"/>
        </w:rPr>
        <w:t xml:space="preserve"> hereto, is hereinafter called the </w:t>
      </w:r>
      <w:r>
        <w:rPr>
          <w:rFonts w:ascii="Arial" w:cs="Arial" w:eastAsia="Arial" w:hAnsi="Arial"/>
          <w:sz w:val="19"/>
          <w:szCs w:val="19"/>
          <w:u w:val="single" w:color="auto"/>
          <w:color w:val="auto"/>
        </w:rPr>
        <w:t>“Pricing Prospectus”.</w:t>
      </w:r>
      <w:r>
        <w:rPr>
          <w:rFonts w:ascii="Arial" w:cs="Arial" w:eastAsia="Arial" w:hAnsi="Arial"/>
          <w:sz w:val="19"/>
          <w:szCs w:val="19"/>
          <w:color w:val="auto"/>
        </w:rPr>
        <w:t xml:space="preserve"> Such final prospectus, in the form first filed pursuant to Rule 424(b) under the Act in accordance with Section 5(a) hereof is hereinafter called the </w:t>
      </w:r>
      <w:r>
        <w:rPr>
          <w:rFonts w:ascii="Arial" w:cs="Arial" w:eastAsia="Arial" w:hAnsi="Arial"/>
          <w:sz w:val="19"/>
          <w:szCs w:val="19"/>
          <w:u w:val="single" w:color="auto"/>
          <w:color w:val="auto"/>
        </w:rPr>
        <w:t>“Final Prospectus”.</w:t>
      </w:r>
      <w:r>
        <w:rPr>
          <w:rFonts w:ascii="Arial" w:cs="Arial" w:eastAsia="Arial" w:hAnsi="Arial"/>
          <w:sz w:val="19"/>
          <w:szCs w:val="19"/>
          <w:color w:val="auto"/>
        </w:rPr>
        <w:t xml:space="preserve"> Any reference herein to the Base Prospectus, the Pricing Prospectus, any Preliminary Prospectus or the Final Prospectus shall be deemed to refer to and include the documents incorporated by reference therein pursuant to Item 6 of Form F-3 under the Act, as of the date of such prospectus; any reference to any amendment or supplement to the Base Prospectus, any Preliminary Prospectus or the Final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“Exchange Act”), and incorporated therein, in each case after the date of the Base Prospectus, such Preliminary Prospectus, or the Final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Securities is hereinafter called an </w:t>
      </w:r>
      <w:r>
        <w:rPr>
          <w:rFonts w:ascii="Arial" w:cs="Arial" w:eastAsia="Arial" w:hAnsi="Arial"/>
          <w:sz w:val="19"/>
          <w:szCs w:val="19"/>
          <w:u w:val="single" w:color="auto"/>
          <w:color w:val="auto"/>
        </w:rPr>
        <w:t>“Issuer Free Writing Prospectus”);</w:t>
      </w:r>
    </w:p>
    <w:p>
      <w:pPr>
        <w:spacing w:after="0" w:line="184" w:lineRule="exact"/>
        <w:rPr>
          <w:sz w:val="20"/>
          <w:szCs w:val="20"/>
          <w:color w:val="auto"/>
        </w:rPr>
      </w:pPr>
    </w:p>
    <w:p>
      <w:pPr>
        <w:jc w:val="both"/>
        <w:ind w:firstLine="656"/>
        <w:spacing w:after="0" w:line="277" w:lineRule="auto"/>
        <w:tabs>
          <w:tab w:leader="none" w:pos="954"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representation and warranty shall not apply to any statements or omissions made in reliance upon and in conformity with information furnished in writing to the Partnership by an Underwriter through the Representatives expressly for use therein;</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(c) For the purposes of this Agreement, the “</w:t>
      </w:r>
      <w:r>
        <w:rPr>
          <w:rFonts w:ascii="Arial" w:cs="Arial" w:eastAsia="Arial" w:hAnsi="Arial"/>
          <w:sz w:val="21"/>
          <w:szCs w:val="21"/>
          <w:u w:val="single" w:color="auto"/>
          <w:color w:val="auto"/>
        </w:rPr>
        <w:t>Applicable Time</w:t>
      </w:r>
      <w:r>
        <w:rPr>
          <w:rFonts w:ascii="Arial" w:cs="Arial" w:eastAsia="Arial" w:hAnsi="Arial"/>
          <w:sz w:val="21"/>
          <w:szCs w:val="21"/>
          <w:color w:val="auto"/>
        </w:rPr>
        <w:t xml:space="preserve">” is [ ] [a.][p.]m. New York City time on the date of this Agreement. The Pricing Prospectus,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hereto does not conflict with the information contained in the Registration Statement, the Pricing Prospectus or the Final Prospectus, and each such Issuer Free Writing Prospectus, as supplemented by and taken together with the Pricing Prospectus as of the Applicable Time and as of any Time of Delivery,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21"/>
          <w:szCs w:val="21"/>
          <w:i w:val="1"/>
          <w:iCs w:val="1"/>
          <w:color w:val="auto"/>
        </w:rPr>
        <w:t>provided, however</w:t>
      </w:r>
      <w:r>
        <w:rPr>
          <w:rFonts w:ascii="Arial" w:cs="Arial" w:eastAsia="Arial" w:hAnsi="Arial"/>
          <w:sz w:val="21"/>
          <w:szCs w:val="21"/>
          <w:color w:val="auto"/>
        </w:rPr>
        <w:t>, that this representation and warranty shall not apply to statements or omissions made in an Issuer Free Writing Prospectus in reliance upon and in conformity with information furnished in writing to the Partnership by an Underwriter through the Representatives expressly for use therein;</w:t>
      </w:r>
    </w:p>
    <w:p>
      <w:pPr>
        <w:spacing w:after="0" w:line="217" w:lineRule="exact"/>
        <w:rPr>
          <w:sz w:val="20"/>
          <w:szCs w:val="20"/>
          <w:color w:val="auto"/>
        </w:rPr>
      </w:pPr>
    </w:p>
    <w:p>
      <w:pPr>
        <w:ind w:firstLine="656"/>
        <w:spacing w:after="0" w:line="251" w:lineRule="auto"/>
        <w:tabs>
          <w:tab w:leader="none" w:pos="99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Registration Statement conforms, and the Final Prospectus and any further amendments or supplements to the Registration Statement and the Final Prospectus will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5" w:name="page66"/>
    <w:bookmarkEnd w:id="65"/>
    <w:p>
      <w:pPr>
        <w:jc w:val="both"/>
        <w:spacing w:after="0" w:line="247" w:lineRule="auto"/>
        <w:rPr>
          <w:sz w:val="20"/>
          <w:szCs w:val="20"/>
          <w:color w:val="auto"/>
        </w:rPr>
      </w:pPr>
      <w:r>
        <w:rPr>
          <w:rFonts w:ascii="Arial" w:cs="Arial" w:eastAsia="Arial" w:hAnsi="Arial"/>
          <w:sz w:val="21"/>
          <w:szCs w:val="21"/>
          <w:color w:val="auto"/>
        </w:rPr>
        <w:t>conform, in all material respects, to the requirements of the Act and the rules and regulations of the Commission thereunder, and do not and will not, as of the applicable effective date as to each part of the Registration Statement and as of the applicable filing date as to the Final Prospectus and any amendment or supplement thereto and as of any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Partnership by an Underwriter through the Representatives expressly for use therein;</w:t>
      </w:r>
    </w:p>
    <w:p>
      <w:pPr>
        <w:spacing w:after="0" w:line="205" w:lineRule="exact"/>
        <w:rPr>
          <w:sz w:val="20"/>
          <w:szCs w:val="20"/>
          <w:color w:val="auto"/>
        </w:rPr>
      </w:pPr>
    </w:p>
    <w:p>
      <w:pPr>
        <w:jc w:val="both"/>
        <w:ind w:firstLine="656"/>
        <w:spacing w:after="0"/>
        <w:tabs>
          <w:tab w:leader="none" w:pos="953" w:val="left"/>
        </w:tabs>
        <w:numPr>
          <w:ilvl w:val="0"/>
          <w:numId w:val="69"/>
        </w:numPr>
        <w:rPr>
          <w:rFonts w:ascii="Arial" w:cs="Arial" w:eastAsia="Arial" w:hAnsi="Arial"/>
          <w:sz w:val="22"/>
          <w:szCs w:val="22"/>
          <w:color w:val="auto"/>
        </w:rPr>
      </w:pPr>
      <w:r>
        <w:rPr>
          <w:rFonts w:ascii="Arial" w:cs="Arial" w:eastAsia="Arial" w:hAnsi="Arial"/>
          <w:sz w:val="22"/>
          <w:szCs w:val="22"/>
          <w:color w:val="auto"/>
        </w:rPr>
        <w:t>From the time of the initial filing of the Registration Statement with the Commission through the Applicable Time, the Partnership has been and is an “emerging growth company” as defined in Section 2(a) of the Act (an “</w:t>
      </w:r>
      <w:r>
        <w:rPr>
          <w:rFonts w:ascii="Arial" w:cs="Arial" w:eastAsia="Arial" w:hAnsi="Arial"/>
          <w:sz w:val="22"/>
          <w:szCs w:val="22"/>
          <w:u w:val="single" w:color="auto"/>
          <w:color w:val="auto"/>
        </w:rPr>
        <w:t>Emerging Growth</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line="235" w:lineRule="auto"/>
        <w:tabs>
          <w:tab w:leader="none" w:pos="946" w:val="left"/>
        </w:tabs>
        <w:numPr>
          <w:ilvl w:val="0"/>
          <w:numId w:val="69"/>
        </w:numPr>
        <w:rPr>
          <w:rFonts w:ascii="Arial" w:cs="Arial" w:eastAsia="Arial" w:hAnsi="Arial"/>
          <w:sz w:val="22"/>
          <w:szCs w:val="22"/>
          <w:color w:val="auto"/>
        </w:rPr>
      </w:pPr>
      <w:r>
        <w:rPr>
          <w:rFonts w:ascii="Arial" w:cs="Arial" w:eastAsia="Arial" w:hAnsi="Arial"/>
          <w:sz w:val="22"/>
          <w:szCs w:val="22"/>
          <w:color w:val="auto"/>
        </w:rPr>
        <w:t>Each of the Partnership Parties (i) has not alone engaged in any Testing the Waters Communication and (ii) has not authorized anyone to engage in Testing the Waters Communications. None of the Partnership Parties have distributed or approved for distribution any Written Testing the Waters Communications. “</w:t>
      </w:r>
      <w:r>
        <w:rPr>
          <w:rFonts w:ascii="Arial" w:cs="Arial" w:eastAsia="Arial" w:hAnsi="Arial"/>
          <w:sz w:val="22"/>
          <w:szCs w:val="22"/>
          <w:u w:val="single" w:color="auto"/>
          <w:color w:val="auto"/>
        </w:rPr>
        <w:t>Testing the Waters Communication</w:t>
      </w:r>
      <w:r>
        <w:rPr>
          <w:rFonts w:ascii="Arial" w:cs="Arial" w:eastAsia="Arial" w:hAnsi="Arial"/>
          <w:sz w:val="22"/>
          <w:szCs w:val="22"/>
          <w:color w:val="auto"/>
        </w:rPr>
        <w:t>” shall mean any oral or written communication with potential investors undertaken in reliance on Section 5(d) of the Act. “</w:t>
      </w:r>
      <w:r>
        <w:rPr>
          <w:rFonts w:ascii="Arial" w:cs="Arial" w:eastAsia="Arial" w:hAnsi="Arial"/>
          <w:sz w:val="22"/>
          <w:szCs w:val="22"/>
          <w:u w:val="single" w:color="auto"/>
          <w:color w:val="auto"/>
        </w:rPr>
        <w:t>Written Testing the Waters</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Communication</w:t>
      </w:r>
      <w:r>
        <w:rPr>
          <w:rFonts w:ascii="Arial" w:cs="Arial" w:eastAsia="Arial" w:hAnsi="Arial"/>
          <w:sz w:val="22"/>
          <w:szCs w:val="22"/>
          <w:color w:val="auto"/>
        </w:rPr>
        <w:t>” means any Testing the Waters Communication that is a written communication within the meaning of rule 405 under the Act;</w:t>
      </w:r>
    </w:p>
    <w:p>
      <w:pPr>
        <w:spacing w:after="0" w:line="215" w:lineRule="exact"/>
        <w:rPr>
          <w:rFonts w:ascii="Arial" w:cs="Arial" w:eastAsia="Arial" w:hAnsi="Arial"/>
          <w:sz w:val="22"/>
          <w:szCs w:val="22"/>
          <w:color w:val="auto"/>
        </w:rPr>
      </w:pPr>
    </w:p>
    <w:p>
      <w:pPr>
        <w:jc w:val="both"/>
        <w:ind w:firstLine="656"/>
        <w:spacing w:after="0" w:line="245" w:lineRule="auto"/>
        <w:tabs>
          <w:tab w:leader="none" w:pos="990" w:val="left"/>
        </w:tabs>
        <w:numPr>
          <w:ilvl w:val="0"/>
          <w:numId w:val="69"/>
        </w:numPr>
        <w:rPr>
          <w:rFonts w:ascii="Arial" w:cs="Arial" w:eastAsia="Arial" w:hAnsi="Arial"/>
          <w:sz w:val="21"/>
          <w:szCs w:val="21"/>
          <w:color w:val="auto"/>
        </w:rPr>
      </w:pPr>
      <w:r>
        <w:rPr>
          <w:rFonts w:ascii="Arial" w:cs="Arial" w:eastAsia="Arial" w:hAnsi="Arial"/>
          <w:sz w:val="21"/>
          <w:szCs w:val="21"/>
          <w:color w:val="auto"/>
        </w:rPr>
        <w:t>None of the Partnership Entities has sustained, since the date of the latest audited financial statements included or incorporated by reference in the Pricing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the Pricing Prospectus; and, since the respective dates as of which information is given in the Registration Statement and the Pricing Prospectus, there has not been any material adverse change, or any development that would reasonably be expected to involve a prospective material adverse change, in or affecting the general affairs, management, financial position, shareholders’ equity or results of operations of the Partnership Entities, taken as a whole (a “</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or any change in the share capital or long-term debt of the Partnership Entities, otherwise than as set forth or contemplated in the Pricing Prospectus;</w:t>
      </w:r>
    </w:p>
    <w:p>
      <w:pPr>
        <w:spacing w:after="0" w:line="212" w:lineRule="exact"/>
        <w:rPr>
          <w:rFonts w:ascii="Arial" w:cs="Arial" w:eastAsia="Arial" w:hAnsi="Arial"/>
          <w:sz w:val="21"/>
          <w:szCs w:val="21"/>
          <w:color w:val="auto"/>
        </w:rPr>
      </w:pPr>
    </w:p>
    <w:p>
      <w:pPr>
        <w:jc w:val="both"/>
        <w:ind w:firstLine="656"/>
        <w:spacing w:after="0" w:line="246" w:lineRule="auto"/>
        <w:tabs>
          <w:tab w:leader="none" w:pos="967"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None of the Partnership Entities owns an interest in any material real property. Each of them has good and marketable title to all personal property owned by them which is material to the business of the Partnership Entities, including the vessels listed on </w:t>
      </w:r>
      <w:r>
        <w:rPr>
          <w:rFonts w:ascii="Arial" w:cs="Arial" w:eastAsia="Arial" w:hAnsi="Arial"/>
          <w:sz w:val="21"/>
          <w:szCs w:val="21"/>
          <w:u w:val="single" w:color="auto"/>
          <w:color w:val="auto"/>
        </w:rPr>
        <w:t>Schedule III(a)</w:t>
      </w:r>
      <w:r>
        <w:rPr>
          <w:rFonts w:ascii="Arial" w:cs="Arial" w:eastAsia="Arial" w:hAnsi="Arial"/>
          <w:sz w:val="21"/>
          <w:szCs w:val="21"/>
          <w:color w:val="auto"/>
        </w:rPr>
        <w:t xml:space="preserve"> hereto (collectively, the “</w:t>
      </w:r>
      <w:r>
        <w:rPr>
          <w:rFonts w:ascii="Arial" w:cs="Arial" w:eastAsia="Arial" w:hAnsi="Arial"/>
          <w:sz w:val="21"/>
          <w:szCs w:val="21"/>
          <w:u w:val="single" w:color="auto"/>
          <w:color w:val="auto"/>
        </w:rPr>
        <w:t>Vessels</w:t>
      </w:r>
      <w:r>
        <w:rPr>
          <w:rFonts w:ascii="Arial" w:cs="Arial" w:eastAsia="Arial" w:hAnsi="Arial"/>
          <w:sz w:val="21"/>
          <w:szCs w:val="21"/>
          <w:color w:val="auto"/>
        </w:rPr>
        <w:t>”), in each case free and clear of all liens, encumbrances and defects except such as are described in the Pricing Prospectus, including those arising under credit facilities, or such as do not materially affect the value of such property and do not materially interfere with the use made and proposed to be made of such property taken as a whole by the Partnership Entities; and any real property and buildings occupied by the Partnership Entities are occupied by them under valid, subsisting and enforceable contractual arrangements with such exceptions as are not material and do not interfere with the use made and proposed to be made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6" w:name="page67"/>
    <w:bookmarkEnd w:id="66"/>
    <w:p>
      <w:pPr>
        <w:spacing w:after="0"/>
        <w:rPr>
          <w:sz w:val="20"/>
          <w:szCs w:val="20"/>
          <w:color w:val="auto"/>
        </w:rPr>
      </w:pPr>
      <w:r>
        <w:rPr>
          <w:rFonts w:ascii="Arial" w:cs="Arial" w:eastAsia="Arial" w:hAnsi="Arial"/>
          <w:sz w:val="19"/>
          <w:szCs w:val="19"/>
          <w:color w:val="auto"/>
        </w:rPr>
        <w:t>such property and buildings by the Partnership Entities, otherwise than as set forth or contemplated in the Pricing Prospectus;</w:t>
      </w:r>
    </w:p>
    <w:p>
      <w:pPr>
        <w:spacing w:after="0" w:line="268" w:lineRule="exact"/>
        <w:rPr>
          <w:sz w:val="20"/>
          <w:szCs w:val="20"/>
          <w:color w:val="auto"/>
        </w:rPr>
      </w:pPr>
    </w:p>
    <w:p>
      <w:pPr>
        <w:jc w:val="both"/>
        <w:ind w:firstLine="656"/>
        <w:spacing w:after="0" w:line="269" w:lineRule="auto"/>
        <w:tabs>
          <w:tab w:leader="none" w:pos="926" w:val="left"/>
        </w:tabs>
        <w:numPr>
          <w:ilvl w:val="1"/>
          <w:numId w:val="70"/>
        </w:numPr>
        <w:rPr>
          <w:rFonts w:ascii="Arial" w:cs="Arial" w:eastAsia="Arial" w:hAnsi="Arial"/>
          <w:sz w:val="19"/>
          <w:szCs w:val="19"/>
          <w:color w:val="auto"/>
        </w:rPr>
      </w:pPr>
      <w:r>
        <w:rPr>
          <w:rFonts w:ascii="Arial" w:cs="Arial" w:eastAsia="Arial" w:hAnsi="Arial"/>
          <w:sz w:val="19"/>
          <w:szCs w:val="19"/>
          <w:color w:val="auto"/>
        </w:rPr>
        <w:t>Each of the Partnership Entities has been duly formed or incorporated and is validly existing as a limited partnership, limited liability company, corporation or other entity, as applicable, in good standing under the laws of its respective jurisdiction of formation or incorporation, with all limited partnership, limited liability company, corporate or other entity power and authority, as applicable, to enter into and perform its obligations under the Operative Agreements to which it is a party, to own or lease and to operate its properties currently owned or leased or to be owned or leased at the First Time of Delivery and any other Time of Delivery (as such terms are defined herein) and to conduct its business as currently conducted or as to be conducted at the First Time of Delivery and any other Time of Delivery, in each case as described in the Pricing Prospectus, except where the failure to be so qualified or in good standing and to have such power or authority would not, individually or in the aggregate, result in a Material Adverse Effect. Each of the Partnership Entities is, and at the First Time of Delivery and any other Time of Delivery will be (i) duly qualified to do business as a foreign limited partnership, limited liability company, corporation or other entity, as applicable, and</w:t>
      </w:r>
    </w:p>
    <w:p>
      <w:pPr>
        <w:jc w:val="both"/>
        <w:ind w:firstLine="8"/>
        <w:spacing w:after="0" w:line="233" w:lineRule="auto"/>
        <w:tabs>
          <w:tab w:leader="none" w:pos="33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is in good standing under the laws of each jurisdictions that requires, and at the First Time of Delivery and any other Time of Delivery will require, such qualification or registration except to the extent that a lack of such qualification would not, individually or in the aggregate, have a Material Adverse Effect or would subject the limited partners of the Partnership to any material liability or disability;</w:t>
      </w:r>
    </w:p>
    <w:p>
      <w:pPr>
        <w:spacing w:after="0" w:line="215" w:lineRule="exact"/>
        <w:rPr>
          <w:sz w:val="20"/>
          <w:szCs w:val="20"/>
          <w:color w:val="auto"/>
        </w:rPr>
      </w:pPr>
    </w:p>
    <w:p>
      <w:pPr>
        <w:jc w:val="both"/>
        <w:ind w:firstLine="656"/>
        <w:spacing w:after="0"/>
        <w:tabs>
          <w:tab w:leader="none" w:pos="932"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General Partner has, and at the First Time of Delivery and any other Time of Delivery thereafter will have, full limited liability company power and authority to act as the general partner of the Partnership in all material respects as described in the Pricing Prospectus;</w:t>
      </w:r>
    </w:p>
    <w:p>
      <w:pPr>
        <w:spacing w:after="0" w:line="213" w:lineRule="exact"/>
        <w:rPr>
          <w:rFonts w:ascii="Arial" w:cs="Arial" w:eastAsia="Arial" w:hAnsi="Arial"/>
          <w:sz w:val="22"/>
          <w:szCs w:val="22"/>
          <w:color w:val="auto"/>
        </w:rPr>
      </w:pPr>
    </w:p>
    <w:p>
      <w:pPr>
        <w:jc w:val="both"/>
        <w:ind w:firstLine="656"/>
        <w:spacing w:after="0" w:line="245" w:lineRule="auto"/>
        <w:tabs>
          <w:tab w:leader="none" w:pos="996" w:val="left"/>
        </w:tabs>
        <w:numPr>
          <w:ilvl w:val="0"/>
          <w:numId w:val="72"/>
        </w:numPr>
        <w:rPr>
          <w:rFonts w:ascii="Arial" w:cs="Arial" w:eastAsia="Arial" w:hAnsi="Arial"/>
          <w:sz w:val="21"/>
          <w:szCs w:val="21"/>
          <w:color w:val="auto"/>
        </w:rPr>
      </w:pPr>
      <w:r>
        <w:rPr>
          <w:rFonts w:ascii="Arial" w:cs="Arial" w:eastAsia="Arial" w:hAnsi="Arial"/>
          <w:sz w:val="21"/>
          <w:szCs w:val="21"/>
          <w:color w:val="auto"/>
        </w:rPr>
        <w:t>As of the date hereof, GasLog owns, and at the First Time of Delivery will own, the number of Common Units representing limited partner interests as set forth in the Pricing Prospectus (the Common Units owned by GasLog representing limited partner interests, the “Sponsor Units”). The Sponsor Units, and the limited partner interests represented thereby, have been duly authorized for issuance and sale and are validly issued in accordance with the limited partnership agreement of the Partnership (as the same may be amended and restated at or prior to the First Time of Delivery, the “</w:t>
      </w:r>
      <w:r>
        <w:rPr>
          <w:rFonts w:ascii="Arial" w:cs="Arial" w:eastAsia="Arial" w:hAnsi="Arial"/>
          <w:sz w:val="21"/>
          <w:szCs w:val="21"/>
          <w:u w:val="single" w:color="auto"/>
          <w:color w:val="auto"/>
        </w:rPr>
        <w:t>Partnership Agreement</w:t>
      </w:r>
      <w:r>
        <w:rPr>
          <w:rFonts w:ascii="Arial" w:cs="Arial" w:eastAsia="Arial" w:hAnsi="Arial"/>
          <w:sz w:val="21"/>
          <w:szCs w:val="21"/>
          <w:color w:val="auto"/>
        </w:rPr>
        <w:t>”) and are fully paid (to the extent required under the Partnership Agreement) and nonassessable (except as such nonassessability may be affected by Sections 30, 41, 51 and 60 of The Republic of the Marshall Islands Limited Partnership Act (the “</w:t>
      </w:r>
      <w:r>
        <w:rPr>
          <w:rFonts w:ascii="Arial" w:cs="Arial" w:eastAsia="Arial" w:hAnsi="Arial"/>
          <w:sz w:val="21"/>
          <w:szCs w:val="21"/>
          <w:u w:val="single" w:color="auto"/>
          <w:color w:val="auto"/>
        </w:rPr>
        <w:t>Marshall Islands LP Act</w:t>
      </w:r>
      <w:r>
        <w:rPr>
          <w:rFonts w:ascii="Arial" w:cs="Arial" w:eastAsia="Arial" w:hAnsi="Arial"/>
          <w:sz w:val="21"/>
          <w:szCs w:val="21"/>
          <w:color w:val="auto"/>
        </w:rPr>
        <w:t>”)); and GasLog owns the Sponsor Units free and clear of all liens, encumbrances, security interests, charges, equities or other claims (“</w:t>
      </w:r>
      <w:r>
        <w:rPr>
          <w:rFonts w:ascii="Arial" w:cs="Arial" w:eastAsia="Arial" w:hAnsi="Arial"/>
          <w:sz w:val="21"/>
          <w:szCs w:val="21"/>
          <w:u w:val="single" w:color="auto"/>
          <w:color w:val="auto"/>
        </w:rPr>
        <w:t>Liens</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jc w:val="both"/>
        <w:ind w:firstLine="656"/>
        <w:spacing w:after="0" w:line="282" w:lineRule="auto"/>
        <w:tabs>
          <w:tab w:leader="none" w:pos="909" w:val="left"/>
        </w:tabs>
        <w:numPr>
          <w:ilvl w:val="0"/>
          <w:numId w:val="72"/>
        </w:numPr>
        <w:rPr>
          <w:rFonts w:ascii="Arial" w:cs="Arial" w:eastAsia="Arial" w:hAnsi="Arial"/>
          <w:sz w:val="19"/>
          <w:szCs w:val="19"/>
          <w:color w:val="auto"/>
        </w:rPr>
      </w:pPr>
      <w:r>
        <w:rPr>
          <w:rFonts w:ascii="Arial" w:cs="Arial" w:eastAsia="Arial" w:hAnsi="Arial"/>
          <w:sz w:val="19"/>
          <w:szCs w:val="19"/>
          <w:color w:val="auto"/>
        </w:rPr>
        <w:t>As of the date hereof GasLog owns, and at the First Time of Delivery will own, 100% of the incentive distribution rights of the Partnership (the “</w:t>
      </w:r>
      <w:r>
        <w:rPr>
          <w:rFonts w:ascii="Arial" w:cs="Arial" w:eastAsia="Arial" w:hAnsi="Arial"/>
          <w:sz w:val="19"/>
          <w:szCs w:val="19"/>
          <w:u w:val="single" w:color="auto"/>
          <w:color w:val="auto"/>
        </w:rPr>
        <w:t>Incentive Distribution Rights”)</w:t>
      </w:r>
      <w:r>
        <w:rPr>
          <w:rFonts w:ascii="Arial" w:cs="Arial" w:eastAsia="Arial" w:hAnsi="Arial"/>
          <w:sz w:val="19"/>
          <w:szCs w:val="19"/>
          <w:color w:val="auto"/>
        </w:rPr>
        <w:t>; the Incentive Distribution Rights have been duly authorized for issuance and sale, are validly issued in accordance with the Partnership Agreement and are fully paid (to the extent required under the Partnership Agreement) and nonassessable (except as such nonassessability may be affected by Sections 30, 41, 51 and 60 of the Marshall Islands LP Act); and GasLog owns the Incentive Distribution Rights free and clear of all Liens;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7" w:name="page68"/>
    <w:bookmarkEnd w:id="67"/>
    <w:p>
      <w:pPr>
        <w:jc w:val="both"/>
        <w:ind w:firstLine="656"/>
        <w:spacing w:after="0" w:line="282" w:lineRule="auto"/>
        <w:tabs>
          <w:tab w:leader="none" w:pos="1029" w:val="left"/>
        </w:tabs>
        <w:numPr>
          <w:ilvl w:val="0"/>
          <w:numId w:val="73"/>
        </w:numPr>
        <w:rPr>
          <w:rFonts w:ascii="Arial" w:cs="Arial" w:eastAsia="Arial" w:hAnsi="Arial"/>
          <w:sz w:val="19"/>
          <w:szCs w:val="19"/>
          <w:color w:val="auto"/>
        </w:rPr>
      </w:pPr>
      <w:r>
        <w:rPr>
          <w:rFonts w:ascii="Arial" w:cs="Arial" w:eastAsia="Arial" w:hAnsi="Arial"/>
          <w:sz w:val="19"/>
          <w:szCs w:val="19"/>
          <w:color w:val="auto"/>
        </w:rPr>
        <w:t>As of the date hereof the General Partner owns, and at the First Time of Delivery will own, the general partner units, representing a 2% general partner interest in the Partnership (the “</w:t>
      </w:r>
      <w:r>
        <w:rPr>
          <w:rFonts w:ascii="Arial" w:cs="Arial" w:eastAsia="Arial" w:hAnsi="Arial"/>
          <w:sz w:val="19"/>
          <w:szCs w:val="19"/>
          <w:u w:val="single" w:color="auto"/>
          <w:color w:val="auto"/>
        </w:rPr>
        <w:t>General Partner Interest</w:t>
      </w:r>
      <w:r>
        <w:rPr>
          <w:rFonts w:ascii="Arial" w:cs="Arial" w:eastAsia="Arial" w:hAnsi="Arial"/>
          <w:sz w:val="19"/>
          <w:szCs w:val="19"/>
          <w:color w:val="auto"/>
        </w:rPr>
        <w:t>”). The General Partner Interest has been duly authorized for issuance and sale, is validly issued in accordance with the Partnership Agreement and is fully paid (to the extent required under the Partnership Agreement) and nonassessable (except as such nonassessability may be affected by Sections 30, 41, 51 and 60 of the Marshall Islands LP Act); and the General Partner owns the General Partner Interest free and clear of all Liens;</w:t>
      </w:r>
    </w:p>
    <w:p>
      <w:pPr>
        <w:spacing w:after="0" w:line="174" w:lineRule="exact"/>
        <w:rPr>
          <w:rFonts w:ascii="Arial" w:cs="Arial" w:eastAsia="Arial" w:hAnsi="Arial"/>
          <w:sz w:val="19"/>
          <w:szCs w:val="19"/>
          <w:color w:val="auto"/>
        </w:rPr>
      </w:pPr>
    </w:p>
    <w:p>
      <w:pPr>
        <w:jc w:val="both"/>
        <w:ind w:firstLine="656"/>
        <w:spacing w:after="0" w:line="247" w:lineRule="auto"/>
        <w:tabs>
          <w:tab w:leader="none" w:pos="971" w:val="left"/>
        </w:tabs>
        <w:numPr>
          <w:ilvl w:val="0"/>
          <w:numId w:val="73"/>
        </w:numPr>
        <w:rPr>
          <w:rFonts w:ascii="Arial" w:cs="Arial" w:eastAsia="Arial" w:hAnsi="Arial"/>
          <w:sz w:val="21"/>
          <w:szCs w:val="21"/>
          <w:color w:val="auto"/>
        </w:rPr>
      </w:pPr>
      <w:r>
        <w:rPr>
          <w:rFonts w:ascii="Arial" w:cs="Arial" w:eastAsia="Arial" w:hAnsi="Arial"/>
          <w:sz w:val="21"/>
          <w:szCs w:val="21"/>
          <w:color w:val="auto"/>
        </w:rPr>
        <w:t>As of the date hereof GasLog directly owns, and at the First Time of Delivery will own, 100% of the limited liability company interest in the General Partner, such limited liability company interest has been duly authorized and validly issued in accordance with the limited liability company agreement of the General Partner (as the same may be amended and restated at or prior to the First Time of Delivery, the “</w:t>
      </w:r>
      <w:r>
        <w:rPr>
          <w:rFonts w:ascii="Arial" w:cs="Arial" w:eastAsia="Arial" w:hAnsi="Arial"/>
          <w:sz w:val="21"/>
          <w:szCs w:val="21"/>
          <w:u w:val="single" w:color="auto"/>
          <w:color w:val="auto"/>
        </w:rPr>
        <w:t>General Partner LLC Agreement</w:t>
      </w:r>
      <w:r>
        <w:rPr>
          <w:rFonts w:ascii="Arial" w:cs="Arial" w:eastAsia="Arial" w:hAnsi="Arial"/>
          <w:sz w:val="21"/>
          <w:szCs w:val="21"/>
          <w:color w:val="auto"/>
        </w:rPr>
        <w:t>”) and is fully paid (to the extent required by the General Partner LLC Agreement) and nonassessable (except as such nonassessability may be affected by Sections 20, 31, 40 and 49 of The Republic of the Marshall Islands Limited Liability Company Act of 1996 (the “</w:t>
      </w:r>
      <w:r>
        <w:rPr>
          <w:rFonts w:ascii="Arial" w:cs="Arial" w:eastAsia="Arial" w:hAnsi="Arial"/>
          <w:sz w:val="21"/>
          <w:szCs w:val="21"/>
          <w:u w:val="single" w:color="auto"/>
          <w:color w:val="auto"/>
        </w:rPr>
        <w:t>Marshall Islands LLC Act</w:t>
      </w:r>
      <w:r>
        <w:rPr>
          <w:rFonts w:ascii="Arial" w:cs="Arial" w:eastAsia="Arial" w:hAnsi="Arial"/>
          <w:sz w:val="21"/>
          <w:szCs w:val="21"/>
          <w:color w:val="auto"/>
        </w:rPr>
        <w:t>”)); and GasLog owns such limited liability company interest free and clear of all Liens;</w:t>
      </w:r>
    </w:p>
    <w:p>
      <w:pPr>
        <w:spacing w:after="0" w:line="205" w:lineRule="exact"/>
        <w:rPr>
          <w:rFonts w:ascii="Arial" w:cs="Arial" w:eastAsia="Arial" w:hAnsi="Arial"/>
          <w:sz w:val="21"/>
          <w:szCs w:val="21"/>
          <w:color w:val="auto"/>
        </w:rPr>
      </w:pPr>
    </w:p>
    <w:p>
      <w:pPr>
        <w:jc w:val="both"/>
        <w:ind w:firstLine="656"/>
        <w:spacing w:after="0" w:line="234" w:lineRule="auto"/>
        <w:tabs>
          <w:tab w:leader="none" w:pos="973" w:val="left"/>
        </w:tabs>
        <w:numPr>
          <w:ilvl w:val="0"/>
          <w:numId w:val="73"/>
        </w:numPr>
        <w:rPr>
          <w:rFonts w:ascii="Arial" w:cs="Arial" w:eastAsia="Arial" w:hAnsi="Arial"/>
          <w:sz w:val="22"/>
          <w:szCs w:val="22"/>
          <w:color w:val="auto"/>
        </w:rPr>
      </w:pPr>
      <w:r>
        <w:rPr>
          <w:rFonts w:ascii="Arial" w:cs="Arial" w:eastAsia="Arial" w:hAnsi="Arial"/>
          <w:sz w:val="22"/>
          <w:szCs w:val="22"/>
          <w:color w:val="auto"/>
        </w:rPr>
        <w:t>As of the date hereof the Partnership directly owns, and at the First Time of Delivery will directly own, 100% of the limited liability company interest in the Operating Company; such limited liability company interest has been duly authorized and validly issued in accordance with the limited liability company agreement of the Operating Company (as the same may be amended and restated at or prior to the First Time of Delivery, the “</w:t>
      </w:r>
      <w:r>
        <w:rPr>
          <w:rFonts w:ascii="Arial" w:cs="Arial" w:eastAsia="Arial" w:hAnsi="Arial"/>
          <w:sz w:val="22"/>
          <w:szCs w:val="22"/>
          <w:u w:val="single" w:color="auto"/>
          <w:color w:val="auto"/>
        </w:rPr>
        <w:t>Operating Company LLC Agreement</w:t>
      </w:r>
      <w:r>
        <w:rPr>
          <w:rFonts w:ascii="Arial" w:cs="Arial" w:eastAsia="Arial" w:hAnsi="Arial"/>
          <w:sz w:val="22"/>
          <w:szCs w:val="22"/>
          <w:color w:val="auto"/>
        </w:rPr>
        <w:t>”) and is fully paid (to the extent required under the Operating Company LLC Agreement) and nonassessable (except as such nonassessability may be affected by Sections 20, 31, 40 and 49 of the Marshall Islands LLC Act); and the Partnership owns such limited liability company interest free and clear of all Liens;</w:t>
      </w:r>
    </w:p>
    <w:p>
      <w:pPr>
        <w:spacing w:after="0" w:line="218" w:lineRule="exact"/>
        <w:rPr>
          <w:rFonts w:ascii="Arial" w:cs="Arial" w:eastAsia="Arial" w:hAnsi="Arial"/>
          <w:sz w:val="22"/>
          <w:szCs w:val="22"/>
          <w:color w:val="auto"/>
        </w:rPr>
      </w:pPr>
    </w:p>
    <w:p>
      <w:pPr>
        <w:jc w:val="both"/>
        <w:ind w:firstLine="656"/>
        <w:spacing w:after="0" w:line="273" w:lineRule="auto"/>
        <w:tabs>
          <w:tab w:leader="none" w:pos="971" w:val="left"/>
        </w:tabs>
        <w:numPr>
          <w:ilvl w:val="0"/>
          <w:numId w:val="73"/>
        </w:numPr>
        <w:rPr>
          <w:rFonts w:ascii="Arial" w:cs="Arial" w:eastAsia="Arial" w:hAnsi="Arial"/>
          <w:sz w:val="19"/>
          <w:szCs w:val="19"/>
          <w:color w:val="auto"/>
        </w:rPr>
      </w:pPr>
      <w:r>
        <w:rPr>
          <w:rFonts w:ascii="Arial" w:cs="Arial" w:eastAsia="Arial" w:hAnsi="Arial"/>
          <w:sz w:val="19"/>
          <w:szCs w:val="19"/>
          <w:color w:val="auto"/>
        </w:rPr>
        <w:t>As of the date hereof the Operating Company owns, and at the First Time of Delivery will directly own, 100% of the equity interests in each of the Operating Subsidiaries listed on Schedule III(a) hereto[; at the First Time of Delivery the Operating Company will directly own 100% of the equity interests in each of the Operating Subsidiaries listed in Schedule III(b) hereto]. Such equity interests have been duly authorized and validly issued in accordance with the respective bye-laws of each Operating Subsidiary (as the same may be amended or restated at or prior to the First Time of Delivery, the “</w:t>
      </w:r>
      <w:r>
        <w:rPr>
          <w:rFonts w:ascii="Arial" w:cs="Arial" w:eastAsia="Arial" w:hAnsi="Arial"/>
          <w:sz w:val="19"/>
          <w:szCs w:val="19"/>
          <w:u w:val="single" w:color="auto"/>
          <w:color w:val="auto"/>
        </w:rPr>
        <w:t>Operating 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and together with the Partnership Agreement, the General Partner LLC Agreement and the Operating Company LLC Agreement, the “</w:t>
      </w:r>
      <w:r>
        <w:rPr>
          <w:rFonts w:ascii="Arial" w:cs="Arial" w:eastAsia="Arial" w:hAnsi="Arial"/>
          <w:sz w:val="19"/>
          <w:szCs w:val="19"/>
          <w:u w:val="single" w:color="auto"/>
          <w:color w:val="auto"/>
        </w:rPr>
        <w:t>Partnership Entities Organizational Agreements</w:t>
      </w:r>
      <w:r>
        <w:rPr>
          <w:rFonts w:ascii="Arial" w:cs="Arial" w:eastAsia="Arial" w:hAnsi="Arial"/>
          <w:sz w:val="19"/>
          <w:szCs w:val="19"/>
          <w:color w:val="auto"/>
        </w:rPr>
        <w:t>”) and are fully paid (to the extent required under the Operating Subsidiaries Organizational Documents) and non-assessable (except as such nonassessability may be affected by the applicable statutes of the jurisdiction of formation of the applicable Operating Subsidiary and the Operating Subsidiaries Organizational Documents); and the Operating Company owns each of such equity interests free and clear of all Liens;</w:t>
      </w:r>
    </w:p>
    <w:p>
      <w:pPr>
        <w:spacing w:after="0" w:line="188" w:lineRule="exact"/>
        <w:rPr>
          <w:rFonts w:ascii="Arial" w:cs="Arial" w:eastAsia="Arial" w:hAnsi="Arial"/>
          <w:sz w:val="19"/>
          <w:szCs w:val="19"/>
          <w:color w:val="auto"/>
        </w:rPr>
      </w:pPr>
    </w:p>
    <w:p>
      <w:pPr>
        <w:jc w:val="both"/>
        <w:ind w:right="20" w:firstLine="656"/>
        <w:spacing w:after="0"/>
        <w:tabs>
          <w:tab w:leader="none" w:pos="968"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Except as described in </w:t>
      </w:r>
      <w:r>
        <w:rPr>
          <w:rFonts w:ascii="Arial" w:cs="Arial" w:eastAsia="Arial" w:hAnsi="Arial"/>
          <w:sz w:val="22"/>
          <w:szCs w:val="22"/>
          <w:u w:val="single" w:color="auto"/>
          <w:color w:val="auto"/>
        </w:rPr>
        <w:t>Sections 1(m)</w:t>
      </w:r>
      <w:r>
        <w:rPr>
          <w:rFonts w:ascii="Arial" w:cs="Arial" w:eastAsia="Arial" w:hAnsi="Arial"/>
          <w:sz w:val="22"/>
          <w:szCs w:val="22"/>
          <w:color w:val="auto"/>
        </w:rPr>
        <w:t xml:space="preserve">, </w:t>
      </w:r>
      <w:r>
        <w:rPr>
          <w:rFonts w:ascii="Arial" w:cs="Arial" w:eastAsia="Arial" w:hAnsi="Arial"/>
          <w:sz w:val="22"/>
          <w:szCs w:val="22"/>
          <w:u w:val="single" w:color="auto"/>
          <w:color w:val="auto"/>
        </w:rPr>
        <w:t>1(n)</w:t>
      </w:r>
      <w:r>
        <w:rPr>
          <w:rFonts w:ascii="Arial" w:cs="Arial" w:eastAsia="Arial" w:hAnsi="Arial"/>
          <w:sz w:val="22"/>
          <w:szCs w:val="22"/>
          <w:color w:val="auto"/>
        </w:rPr>
        <w:t xml:space="preserve">, </w:t>
      </w:r>
      <w:r>
        <w:rPr>
          <w:rFonts w:ascii="Arial" w:cs="Arial" w:eastAsia="Arial" w:hAnsi="Arial"/>
          <w:sz w:val="22"/>
          <w:szCs w:val="22"/>
          <w:u w:val="single" w:color="auto"/>
          <w:color w:val="auto"/>
        </w:rPr>
        <w:t>1(o)</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1(p)</w:t>
      </w:r>
      <w:r>
        <w:rPr>
          <w:rFonts w:ascii="Arial" w:cs="Arial" w:eastAsia="Arial" w:hAnsi="Arial"/>
          <w:sz w:val="22"/>
          <w:szCs w:val="22"/>
          <w:color w:val="auto"/>
        </w:rPr>
        <w:t xml:space="preserve"> herein, none of the Partnership Entities owns, or, at the First Time of Delivery or any other Time of Delivery, will own, directly or indirectly, any equity or long-term debt securities of any corporation, partnership, limited liability company, joint venture, association or other entity;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8" w:name="page69"/>
    <w:bookmarkEnd w:id="68"/>
    <w:p>
      <w:pPr>
        <w:jc w:val="both"/>
        <w:ind w:firstLine="656"/>
        <w:spacing w:after="0" w:line="258" w:lineRule="auto"/>
        <w:tabs>
          <w:tab w:leader="none" w:pos="946" w:val="left"/>
        </w:tabs>
        <w:numPr>
          <w:ilvl w:val="0"/>
          <w:numId w:val="74"/>
        </w:numPr>
        <w:rPr>
          <w:rFonts w:ascii="Arial" w:cs="Arial" w:eastAsia="Arial" w:hAnsi="Arial"/>
          <w:sz w:val="21"/>
          <w:szCs w:val="21"/>
          <w:color w:val="auto"/>
        </w:rPr>
      </w:pPr>
      <w:r>
        <w:rPr>
          <w:rFonts w:ascii="Arial" w:cs="Arial" w:eastAsia="Arial" w:hAnsi="Arial"/>
          <w:sz w:val="21"/>
          <w:szCs w:val="21"/>
          <w:color w:val="auto"/>
        </w:rPr>
        <w:t>At the First Time of Delivery, assuming no exercise of the option provided in Section 2, the issued and outstanding limited partner interests of the Partnership will consist of the number of Common Units, Series A Preference Units and the Incentive Distribution Rights as set forth under the caption “Capitalization” in the Pricing Prospectus;</w:t>
      </w:r>
    </w:p>
    <w:p>
      <w:pPr>
        <w:spacing w:after="0" w:line="193" w:lineRule="exact"/>
        <w:rPr>
          <w:rFonts w:ascii="Arial" w:cs="Arial" w:eastAsia="Arial" w:hAnsi="Arial"/>
          <w:sz w:val="21"/>
          <w:szCs w:val="21"/>
          <w:color w:val="auto"/>
        </w:rPr>
      </w:pPr>
    </w:p>
    <w:p>
      <w:pPr>
        <w:jc w:val="both"/>
        <w:ind w:firstLine="656"/>
        <w:spacing w:after="0" w:line="274" w:lineRule="auto"/>
        <w:tabs>
          <w:tab w:leader="none" w:pos="954"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Securities to be sold by the Partnership pursuant to this Agreement, and the limited partner interests represented thereby, have been duly authorized for issuance and sale to the Underwriters in accordance with this Agreement and the Partnership Agreement, and when issued and delivered by the Partnership pursuant to this Agreement against payment of the consideration set forth herein, will be validly issued, fully paid (to the extent required under the Partnership Agreement) and nonassessable (except as such nonassessability may be affected by matters described in Sections 30, 41, 51 and 60 of the Marshall Islands LP Act), will conform in all material respects to the information in the Pricing Prospectus and to the description of such Securities contained in the Final Prospectus; the unitholders of the Partnership do not and will not have preemptive rights with respect to the [Common/Other] Units; and none of the outstanding [Common/Other] Units of the Partnership have been issued in violation of any preemptive or similar rights of any security holder;</w:t>
      </w:r>
    </w:p>
    <w:p>
      <w:pPr>
        <w:spacing w:after="0" w:line="185" w:lineRule="exact"/>
        <w:rPr>
          <w:rFonts w:ascii="Arial" w:cs="Arial" w:eastAsia="Arial" w:hAnsi="Arial"/>
          <w:sz w:val="19"/>
          <w:szCs w:val="19"/>
          <w:color w:val="auto"/>
        </w:rPr>
      </w:pPr>
    </w:p>
    <w:p>
      <w:pPr>
        <w:jc w:val="both"/>
        <w:ind w:firstLine="656"/>
        <w:spacing w:after="0" w:line="270" w:lineRule="auto"/>
        <w:tabs>
          <w:tab w:leader="none" w:pos="9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The issue and sale of the Securities and the execution, delivery and performance of the terms of the Operative Agreements by the Partnership Entities party thereto, and the consummation of the transactions by the Partnership Entities, as applicable, set forth herein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Partnership Entities, under any indenture, mortgage, deed of trust, loan agreement or other agreement or instrument, including the instruments listed in </w:t>
      </w:r>
      <w:r>
        <w:rPr>
          <w:rFonts w:ascii="Arial" w:cs="Arial" w:eastAsia="Arial" w:hAnsi="Arial"/>
          <w:sz w:val="19"/>
          <w:szCs w:val="19"/>
          <w:u w:val="single" w:color="auto"/>
          <w:color w:val="auto"/>
        </w:rPr>
        <w:t>Schedule X</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Specified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Agreements</w:t>
      </w:r>
      <w:r>
        <w:rPr>
          <w:rFonts w:ascii="Arial" w:cs="Arial" w:eastAsia="Arial" w:hAnsi="Arial"/>
          <w:sz w:val="19"/>
          <w:szCs w:val="19"/>
          <w:color w:val="auto"/>
        </w:rPr>
        <w:t>”), or give any person the right to terminate any agreement or contract to which any Partnership Entity is a party or by which any Partnership Entity is bound or to which any of the property or assets of the Partnership Entities is subject; and (ii) will not result in any violation of (A) any of the Partnership Entities Organizational Agreements or (B) any statute or any order, rule or regulation of any court or governmental agency or body having jurisdiction over the Partnership Entities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Securities or the consummation by the Partnership Entities of the transactions contemplated by this Agreement [or the Indenture], except the registration under the Act of the Securities and such consents, approvals, authorizations, registrations or qualifications as may be required under state securities or Blue Sky laws in connection with the purchase and distribution of the Securities by the Underwriters, and such other consents, approvals, authorizations, orders, registrations or qualifications that have already been obtained. A “</w:t>
      </w:r>
      <w:r>
        <w:rPr>
          <w:rFonts w:ascii="Arial" w:cs="Arial" w:eastAsia="Arial" w:hAnsi="Arial"/>
          <w:sz w:val="19"/>
          <w:szCs w:val="19"/>
          <w:u w:val="single" w:color="auto"/>
          <w:color w:val="auto"/>
        </w:rPr>
        <w:t>Debt Repayment Triggering Event</w:t>
      </w:r>
      <w:r>
        <w:rPr>
          <w:rFonts w:ascii="Arial" w:cs="Arial" w:eastAsia="Arial" w:hAnsi="Arial"/>
          <w:sz w:val="19"/>
          <w:szCs w:val="19"/>
          <w:color w:val="auto"/>
        </w:rPr>
        <w: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Partnership</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9" w:name="page70"/>
    <w:bookmarkEnd w:id="69"/>
    <w:p>
      <w:pPr>
        <w:spacing w:after="0" w:line="251" w:lineRule="auto"/>
        <w:rPr>
          <w:sz w:val="20"/>
          <w:szCs w:val="20"/>
          <w:color w:val="auto"/>
        </w:rPr>
      </w:pPr>
      <w:r>
        <w:rPr>
          <w:rFonts w:ascii="Arial" w:cs="Arial" w:eastAsia="Arial" w:hAnsi="Arial"/>
          <w:sz w:val="22"/>
          <w:szCs w:val="22"/>
          <w:color w:val="auto"/>
        </w:rPr>
        <w:t>Entities (for the avoidance of doubt, Debt Repayment Triggering Event excludes any put right that is not triggered by the occurrence of an extraordinary event);</w:t>
      </w:r>
    </w:p>
    <w:p>
      <w:pPr>
        <w:spacing w:after="0" w:line="200" w:lineRule="exact"/>
        <w:rPr>
          <w:sz w:val="20"/>
          <w:szCs w:val="20"/>
          <w:color w:val="auto"/>
        </w:rPr>
      </w:pPr>
    </w:p>
    <w:p>
      <w:pPr>
        <w:jc w:val="both"/>
        <w:ind w:firstLine="656"/>
        <w:spacing w:after="0" w:line="244" w:lineRule="auto"/>
        <w:tabs>
          <w:tab w:leader="none" w:pos="973" w:val="left"/>
        </w:tabs>
        <w:numPr>
          <w:ilvl w:val="0"/>
          <w:numId w:val="75"/>
        </w:numPr>
        <w:rPr>
          <w:rFonts w:ascii="Arial" w:cs="Arial" w:eastAsia="Arial" w:hAnsi="Arial"/>
          <w:sz w:val="21"/>
          <w:szCs w:val="21"/>
          <w:color w:val="auto"/>
        </w:rPr>
      </w:pPr>
      <w:r>
        <w:rPr>
          <w:rFonts w:ascii="Arial" w:cs="Arial" w:eastAsia="Arial" w:hAnsi="Arial"/>
          <w:sz w:val="21"/>
          <w:szCs w:val="21"/>
          <w:color w:val="auto"/>
        </w:rPr>
        <w:t>If the Securities constitute Debt Securities, the Indenture for the Securities has been duly authorized and will be duly qualified under the Trust Indenture Act and validly executed and delivered by the Partnership and will constitute legal, valid and binding obligations of the Partnership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such Securities have been duly authorized and will be executed and authenticated in accordance with the provisions of the respective Indenture and when delivered to and paid for by the Underwriters pursuant to the Underwriting Agreement, such Securities will constitute legal, valid and binding obligations of the Partnership entitled to the benefits of the Indenture and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211" w:lineRule="exact"/>
        <w:rPr>
          <w:rFonts w:ascii="Arial" w:cs="Arial" w:eastAsia="Arial" w:hAnsi="Arial"/>
          <w:sz w:val="21"/>
          <w:szCs w:val="21"/>
          <w:color w:val="auto"/>
        </w:rPr>
      </w:pPr>
    </w:p>
    <w:p>
      <w:pPr>
        <w:jc w:val="both"/>
        <w:ind w:firstLine="656"/>
        <w:spacing w:after="0" w:line="273" w:lineRule="auto"/>
        <w:tabs>
          <w:tab w:leader="none" w:pos="988"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the Securities constitute Warrants, the warrant agreement will be duly authorized, executed and delivered by the Company and will constitute a legal, valid and binding obligation of the Partnership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such Securities have been duly authorized and will be executed and authenticated in accordance with the provisions of the warrant agreement and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88" w:lineRule="exact"/>
        <w:rPr>
          <w:rFonts w:ascii="Arial" w:cs="Arial" w:eastAsia="Arial" w:hAnsi="Arial"/>
          <w:sz w:val="19"/>
          <w:szCs w:val="19"/>
          <w:color w:val="auto"/>
        </w:rPr>
      </w:pPr>
    </w:p>
    <w:p>
      <w:pPr>
        <w:jc w:val="both"/>
        <w:ind w:firstLine="656"/>
        <w:spacing w:after="0" w:line="275" w:lineRule="auto"/>
        <w:tabs>
          <w:tab w:leader="none" w:pos="1003"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the Securities constitute Rights, the rights agreement will be duly authorized, executed and delivered by the Company and will constitute a legal, valid and binding obligation of the Partnership enforceable against the Partnership in accordance with its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such Securities have been duly authorized and will be executed and authenticated in accordance with the provisions of the rights agreement and enforceable against the Partnership in accordance with their terms (subject to applicable bankruptcy, insolvency, reorganization, moratorium, fraudulent transfer and other similar laws affecting creditor’s rights generally from time to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0" w:name="page71"/>
    <w:bookmarkEnd w:id="70"/>
    <w:p>
      <w:pPr>
        <w:ind w:right="20"/>
        <w:spacing w:after="0" w:line="251" w:lineRule="auto"/>
        <w:rPr>
          <w:sz w:val="20"/>
          <w:szCs w:val="20"/>
          <w:color w:val="auto"/>
        </w:rPr>
      </w:pPr>
      <w:r>
        <w:rPr>
          <w:rFonts w:ascii="Arial" w:cs="Arial" w:eastAsia="Arial" w:hAnsi="Arial"/>
          <w:sz w:val="22"/>
          <w:szCs w:val="22"/>
          <w:color w:val="auto"/>
        </w:rPr>
        <w:t>in effect and to general principles of equity, including, without limitation, concepts of materiality, reasonableness, good faith and fair dealing, regardless of whether considered in a proceeding in equity or at law);</w:t>
      </w:r>
    </w:p>
    <w:p>
      <w:pPr>
        <w:spacing w:after="0" w:line="200" w:lineRule="exact"/>
        <w:rPr>
          <w:sz w:val="20"/>
          <w:szCs w:val="20"/>
          <w:color w:val="auto"/>
        </w:rPr>
      </w:pPr>
    </w:p>
    <w:p>
      <w:pPr>
        <w:jc w:val="both"/>
        <w:ind w:firstLine="656"/>
        <w:spacing w:after="0" w:line="273" w:lineRule="auto"/>
        <w:tabs>
          <w:tab w:leader="none" w:pos="956" w:val="left"/>
        </w:tabs>
        <w:numPr>
          <w:ilvl w:val="0"/>
          <w:numId w:val="76"/>
        </w:numPr>
        <w:rPr>
          <w:rFonts w:ascii="Arial" w:cs="Arial" w:eastAsia="Arial" w:hAnsi="Arial"/>
          <w:sz w:val="19"/>
          <w:szCs w:val="19"/>
          <w:color w:val="auto"/>
        </w:rPr>
      </w:pPr>
      <w:r>
        <w:rPr>
          <w:rFonts w:ascii="Arial" w:cs="Arial" w:eastAsia="Arial" w:hAnsi="Arial"/>
          <w:sz w:val="19"/>
          <w:szCs w:val="19"/>
          <w:color w:val="auto"/>
        </w:rPr>
        <w:t>If the Securities constitute Combination Units, the unit agreement will be duly authorized, executed and delivered by the Company and will constitute a legal, valid and binding obligation of the Partnership enforceable against the Partnership in accordance with its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such Securities have been duly authorized and will be executed and authenticated in accordance with the provisions of the unit agreement and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88" w:lineRule="exact"/>
        <w:rPr>
          <w:rFonts w:ascii="Arial" w:cs="Arial" w:eastAsia="Arial" w:hAnsi="Arial"/>
          <w:sz w:val="19"/>
          <w:szCs w:val="19"/>
          <w:color w:val="auto"/>
        </w:rPr>
      </w:pPr>
    </w:p>
    <w:p>
      <w:pPr>
        <w:ind w:left="960" w:hanging="304"/>
        <w:spacing w:after="0"/>
        <w:tabs>
          <w:tab w:leader="none" w:pos="9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each of the Partnership Parties;</w:t>
      </w:r>
    </w:p>
    <w:p>
      <w:pPr>
        <w:spacing w:after="0" w:line="233" w:lineRule="exact"/>
        <w:rPr>
          <w:rFonts w:ascii="Arial" w:cs="Arial" w:eastAsia="Arial" w:hAnsi="Arial"/>
          <w:sz w:val="22"/>
          <w:szCs w:val="22"/>
          <w:color w:val="auto"/>
        </w:rPr>
      </w:pPr>
    </w:p>
    <w:p>
      <w:pPr>
        <w:jc w:val="both"/>
        <w:ind w:firstLine="656"/>
        <w:spacing w:after="0" w:line="273" w:lineRule="auto"/>
        <w:tabs>
          <w:tab w:leader="none" w:pos="962"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At the First Time of Delivery, each of the Operative Agreements, the Partnership Entities Organizational Agreements and the other instruments listed on </w:t>
      </w:r>
      <w:r>
        <w:rPr>
          <w:rFonts w:ascii="Arial" w:cs="Arial" w:eastAsia="Arial" w:hAnsi="Arial"/>
          <w:sz w:val="19"/>
          <w:szCs w:val="19"/>
          <w:u w:val="single" w:color="auto"/>
          <w:color w:val="auto"/>
        </w:rPr>
        <w:t>Schedule VII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Covered Agreements</w:t>
      </w:r>
      <w:r>
        <w:rPr>
          <w:rFonts w:ascii="Arial" w:cs="Arial" w:eastAsia="Arial" w:hAnsi="Arial"/>
          <w:sz w:val="19"/>
          <w:szCs w:val="19"/>
          <w:color w:val="auto"/>
        </w:rPr>
        <w:t xml:space="preserve">”) hereto, as applicable, has been duly authorized, executed and delivered by the Partnership Entities party thereto, and each such agreement is a valid and legally binding agreement of each such Partnership Entity, enforceable against such party in accordance with its terms; </w:t>
      </w:r>
      <w:r>
        <w:rPr>
          <w:rFonts w:ascii="Arial" w:cs="Arial" w:eastAsia="Arial" w:hAnsi="Arial"/>
          <w:sz w:val="19"/>
          <w:szCs w:val="19"/>
          <w:i w:val="1"/>
          <w:iCs w:val="1"/>
          <w:color w:val="auto"/>
        </w:rPr>
        <w:t>provided, that</w:t>
      </w:r>
      <w:r>
        <w:rPr>
          <w:rFonts w:ascii="Arial" w:cs="Arial" w:eastAsia="Arial" w:hAnsi="Arial"/>
          <w:sz w:val="19"/>
          <w:szCs w:val="19"/>
          <w:color w:val="auto"/>
        </w:rPr>
        <w:t>, with respect to each such agreement, the enforceability thereof may be limited by (A) applicable bankruptcy, insolvency, fraudulent transfer, reorganization, moratorium and similar laws relating to or affecting creditors’ rights and remedies generally and by general principles of equity (regardless of whether such enforceability is considered in a proceeding in equity or at law) and (B) public policy, applicable law relating to fiduciary duties and indemnification and an implied covenant of good faith and fair dealing. The Operative Agreements, the Partnership Entities Organizational Agreements and the Covered Agreements referenced above are herein collectively referred to as the “</w:t>
      </w:r>
      <w:r>
        <w:rPr>
          <w:rFonts w:ascii="Arial" w:cs="Arial" w:eastAsia="Arial" w:hAnsi="Arial"/>
          <w:sz w:val="19"/>
          <w:szCs w:val="19"/>
          <w:u w:val="single" w:color="auto"/>
          <w:color w:val="auto"/>
        </w:rPr>
        <w:t>Operative Documents</w:t>
      </w:r>
      <w:r>
        <w:rPr>
          <w:rFonts w:ascii="Arial" w:cs="Arial" w:eastAsia="Arial" w:hAnsi="Arial"/>
          <w:sz w:val="19"/>
          <w:szCs w:val="19"/>
          <w:color w:val="auto"/>
        </w:rPr>
        <w:t>”;</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[(aa) The completion of the acquisition of the Contracted Vessels in accordance with the terms of the Purchase Agreement will be legally sufficient to transfer or convey to, or vest in, the Partnership Entities satisfactory title to the Contracted Vessels as identified in the Purchase Agreement.]</w:t>
      </w:r>
    </w:p>
    <w:p>
      <w:pPr>
        <w:spacing w:after="0" w:line="213" w:lineRule="exact"/>
        <w:rPr>
          <w:sz w:val="20"/>
          <w:szCs w:val="20"/>
          <w:color w:val="auto"/>
        </w:rPr>
      </w:pPr>
    </w:p>
    <w:p>
      <w:pPr>
        <w:jc w:val="both"/>
        <w:ind w:firstLine="656"/>
        <w:spacing w:after="0" w:line="236" w:lineRule="auto"/>
        <w:tabs>
          <w:tab w:leader="none" w:pos="10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None of the Partnership Entities is (i) in violation of its respective organizational or governing documents, (ii) 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1" w:name="page72"/>
    <w:bookmarkEnd w:id="71"/>
    <w:p>
      <w:pPr>
        <w:jc w:val="both"/>
        <w:spacing w:after="0"/>
        <w:rPr>
          <w:sz w:val="20"/>
          <w:szCs w:val="20"/>
          <w:color w:val="auto"/>
        </w:rPr>
      </w:pPr>
      <w:r>
        <w:rPr>
          <w:rFonts w:ascii="Arial" w:cs="Arial" w:eastAsia="Arial" w:hAnsi="Arial"/>
          <w:sz w:val="22"/>
          <w:szCs w:val="22"/>
          <w:color w:val="auto"/>
        </w:rPr>
        <w:t>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213" w:lineRule="exact"/>
        <w:rPr>
          <w:sz w:val="20"/>
          <w:szCs w:val="20"/>
          <w:color w:val="auto"/>
        </w:rPr>
      </w:pPr>
    </w:p>
    <w:p>
      <w:pPr>
        <w:jc w:val="both"/>
        <w:ind w:firstLine="656"/>
        <w:spacing w:after="0" w:line="258" w:lineRule="auto"/>
        <w:tabs>
          <w:tab w:leader="none" w:pos="1041" w:val="left"/>
        </w:tabs>
        <w:numPr>
          <w:ilvl w:val="0"/>
          <w:numId w:val="78"/>
        </w:numPr>
        <w:rPr>
          <w:rFonts w:ascii="Arial" w:cs="Arial" w:eastAsia="Arial" w:hAnsi="Arial"/>
          <w:sz w:val="21"/>
          <w:szCs w:val="21"/>
          <w:color w:val="auto"/>
        </w:rPr>
      </w:pPr>
      <w:r>
        <w:rPr>
          <w:rFonts w:ascii="Arial" w:cs="Arial" w:eastAsia="Arial" w:hAnsi="Arial"/>
          <w:sz w:val="21"/>
          <w:szCs w:val="21"/>
          <w:color w:val="auto"/>
        </w:rPr>
        <w:t>None of the Partnership Entities is currently prohibited, directly or indirectly, from paying any cash distributions to any other Partnership Entity, from making any other distribution on such entity’s equity securities, or from transferring any of such entity’s property or assets to any other Partnership Entity, except as described in the Pricing Prospectus;</w:t>
      </w:r>
    </w:p>
    <w:p>
      <w:pPr>
        <w:spacing w:after="0" w:line="193" w:lineRule="exact"/>
        <w:rPr>
          <w:rFonts w:ascii="Arial" w:cs="Arial" w:eastAsia="Arial" w:hAnsi="Arial"/>
          <w:sz w:val="21"/>
          <w:szCs w:val="21"/>
          <w:color w:val="auto"/>
        </w:rPr>
      </w:pPr>
    </w:p>
    <w:p>
      <w:pPr>
        <w:jc w:val="both"/>
        <w:ind w:firstLine="656"/>
        <w:spacing w:after="0"/>
        <w:tabs>
          <w:tab w:leader="none" w:pos="1074"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There are no contracts, agreements or understandings between the Partnership Parties and any person that would give rise to a valid claim against the Partnership or any Underwriter for a brokerage commission, finder’s fee or other like payment in connection with the issuance and sale of the Securities;</w:t>
      </w:r>
    </w:p>
    <w:p>
      <w:pPr>
        <w:spacing w:after="0" w:line="213" w:lineRule="exact"/>
        <w:rPr>
          <w:rFonts w:ascii="Arial" w:cs="Arial" w:eastAsia="Arial" w:hAnsi="Arial"/>
          <w:sz w:val="22"/>
          <w:szCs w:val="22"/>
          <w:color w:val="auto"/>
        </w:rPr>
      </w:pPr>
    </w:p>
    <w:p>
      <w:pPr>
        <w:jc w:val="both"/>
        <w:ind w:firstLine="656"/>
        <w:spacing w:after="0" w:line="282" w:lineRule="auto"/>
        <w:tabs>
          <w:tab w:leader="none" w:pos="1043"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statements set forth or incorporated by reference in the Pricing Prospectus and Final Prospectus under the captions “Our Cash Distribution Policy and Restrictions on Distributions,” “Description of [Common/Other] Units”, “Summary of Our Partnership Agreement”, “Material U.S. Federal Income Tax Considerations” and “Non-United States Tax Considerations”, insofar as such statements purport to summarize legal matters, agreements, documents or proceedings discussed therein, are accurate and fair summaries of such legal matters, agreements, documents or proceedings and present the information required to be shown;</w:t>
      </w:r>
    </w:p>
    <w:p>
      <w:pPr>
        <w:spacing w:after="0" w:line="174" w:lineRule="exact"/>
        <w:rPr>
          <w:rFonts w:ascii="Arial" w:cs="Arial" w:eastAsia="Arial" w:hAnsi="Arial"/>
          <w:sz w:val="19"/>
          <w:szCs w:val="19"/>
          <w:color w:val="auto"/>
        </w:rPr>
      </w:pPr>
    </w:p>
    <w:p>
      <w:pPr>
        <w:jc w:val="both"/>
        <w:ind w:firstLine="656"/>
        <w:spacing w:after="0"/>
        <w:tabs>
          <w:tab w:leader="none" w:pos="1001"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There are no business relationships or related-party transactions involving the Partnership Entities or any other person required to be described in the Registration Statement, Pricing Prospectus and Final Prospectus which have not been described as required or through incorporation by reference therein;</w:t>
      </w:r>
    </w:p>
    <w:p>
      <w:pPr>
        <w:spacing w:after="0" w:line="213" w:lineRule="exact"/>
        <w:rPr>
          <w:rFonts w:ascii="Arial" w:cs="Arial" w:eastAsia="Arial" w:hAnsi="Arial"/>
          <w:sz w:val="22"/>
          <w:szCs w:val="22"/>
          <w:color w:val="auto"/>
        </w:rPr>
      </w:pPr>
    </w:p>
    <w:p>
      <w:pPr>
        <w:jc w:val="both"/>
        <w:ind w:firstLine="656"/>
        <w:spacing w:after="0" w:line="258" w:lineRule="auto"/>
        <w:tabs>
          <w:tab w:leader="none" w:pos="1067"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Any statistical and market-related data included in the Pricing Prospectus and Final Prospectus are based on or derived from sources that the Partnership Parties reasonably believe to be reliable and accurate, and the Partnership Parties have obtained the written consent for the use of such data from such sources to the extent required;</w:t>
      </w:r>
    </w:p>
    <w:p>
      <w:pPr>
        <w:spacing w:after="0" w:line="193" w:lineRule="exact"/>
        <w:rPr>
          <w:rFonts w:ascii="Arial" w:cs="Arial" w:eastAsia="Arial" w:hAnsi="Arial"/>
          <w:sz w:val="21"/>
          <w:szCs w:val="21"/>
          <w:color w:val="auto"/>
        </w:rPr>
      </w:pPr>
    </w:p>
    <w:p>
      <w:pPr>
        <w:jc w:val="both"/>
        <w:ind w:right="20" w:firstLine="656"/>
        <w:spacing w:after="0"/>
        <w:tabs>
          <w:tab w:leader="none" w:pos="1081"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 forward-looking statement (within the meaning of Section 27A of the Act and Section 21E of the Exchange Act contained in the Pricing Prospectus has been made or reaffirmed without a reasonable basis or has been disclosed other than in good faith;</w:t>
      </w:r>
    </w:p>
    <w:p>
      <w:pPr>
        <w:spacing w:after="0" w:line="213" w:lineRule="exact"/>
        <w:rPr>
          <w:rFonts w:ascii="Arial" w:cs="Arial" w:eastAsia="Arial" w:hAnsi="Arial"/>
          <w:sz w:val="22"/>
          <w:szCs w:val="22"/>
          <w:color w:val="auto"/>
        </w:rPr>
      </w:pPr>
    </w:p>
    <w:p>
      <w:pPr>
        <w:jc w:val="both"/>
        <w:ind w:firstLine="656"/>
        <w:spacing w:after="0" w:line="249" w:lineRule="auto"/>
        <w:tabs>
          <w:tab w:leader="none" w:pos="975"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There are no legal or governmental proceedings pending to which any of the Partnership Entities is a party or of which any property of the Partnership Entities is the subject or, to the Partnership Parties’ knowledge, after due inquiry, to which any of the Partnership Entities’ directors or executive officers is a party, which, if determined adversely to any such entity, would individually or in the aggregate have a Material Adverse Effect; and, to the Partnership Parties’ knowledge, no such proceedings are threatened or contemplated by governmental authorities or threatened by others;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2" w:name="page73"/>
    <w:bookmarkEnd w:id="72"/>
    <w:p>
      <w:pPr>
        <w:jc w:val="both"/>
        <w:ind w:firstLine="656"/>
        <w:spacing w:after="0" w:line="268" w:lineRule="auto"/>
        <w:tabs>
          <w:tab w:leader="none" w:pos="972" w:val="left"/>
        </w:tabs>
        <w:numPr>
          <w:ilvl w:val="1"/>
          <w:numId w:val="79"/>
        </w:numPr>
        <w:rPr>
          <w:rFonts w:ascii="Arial" w:cs="Arial" w:eastAsia="Arial" w:hAnsi="Arial"/>
          <w:sz w:val="19"/>
          <w:szCs w:val="19"/>
          <w:color w:val="auto"/>
        </w:rPr>
      </w:pPr>
      <w:r>
        <w:rPr>
          <w:rFonts w:ascii="Arial" w:cs="Arial" w:eastAsia="Arial" w:hAnsi="Arial"/>
          <w:sz w:val="19"/>
          <w:szCs w:val="19"/>
          <w:color w:val="auto"/>
        </w:rPr>
        <w:t>Other than as set forth in the Pricing Prospectus, (A)(i) to the Partnership Parties’ knowledge, after due inquiry, none of the Partnership Entities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(as defined below), to the protection or restoration of the environment or natural resources (including biota), to health and safety as such relates to exposure to Hazardous Substances, and to natural resource damages (collectively, “</w:t>
      </w:r>
      <w:r>
        <w:rPr>
          <w:rFonts w:ascii="Arial" w:cs="Arial" w:eastAsia="Arial" w:hAnsi="Arial"/>
          <w:sz w:val="19"/>
          <w:szCs w:val="19"/>
          <w:u w:val="single" w:color="auto"/>
          <w:color w:val="auto"/>
        </w:rPr>
        <w:t>Environmental Laws</w:t>
      </w:r>
      <w:r>
        <w:rPr>
          <w:rFonts w:ascii="Arial" w:cs="Arial" w:eastAsia="Arial" w:hAnsi="Arial"/>
          <w:sz w:val="19"/>
          <w:szCs w:val="19"/>
          <w:color w:val="auto"/>
        </w:rPr>
        <w:t>”), (ii) none of the Partnership Entities owns, operates or leases any real property contaminated with Hazardous Substances, (iii) none of the Partnership Entities is conducting or funding any investigation, remediation, remedial action or monitoring of actual or suspected Hazardous Substances in the environment, (iv) none of the Partnership Entities is liable or allegedly liable for any release or threatened release of Hazardous Substances, including at any off-site treatment, storage or disposal site, (v) none of the Partnership Entities is a party to any claim by any governmental agency or governmental body or person relating to Environmental Laws or Hazardous Substances, and</w:t>
      </w:r>
    </w:p>
    <w:p>
      <w:pPr>
        <w:spacing w:after="0" w:line="7" w:lineRule="exact"/>
        <w:rPr>
          <w:rFonts w:ascii="Arial" w:cs="Arial" w:eastAsia="Arial" w:hAnsi="Arial"/>
          <w:sz w:val="19"/>
          <w:szCs w:val="19"/>
          <w:color w:val="auto"/>
        </w:rPr>
      </w:pPr>
    </w:p>
    <w:p>
      <w:pPr>
        <w:jc w:val="both"/>
        <w:ind w:firstLine="8"/>
        <w:spacing w:after="0" w:line="271" w:lineRule="auto"/>
        <w:tabs>
          <w:tab w:leader="none" w:pos="404"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Partnership Entities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Partnership Parties’ knowledge, there are no facts or circumstances that would reasonably be expected to result in a violation of, liability under, or claim against the Partnership Entities pursuant to any Environmental Law that would have a Material Adverse Effect; and (C) to the Partnership Parties’ knowledge, there are no requirements proposed for adoption or implementation under any Environmental Law that would reasonably be expected to have a Material Adverse Effect. For purposes of this subsection, “</w:t>
      </w:r>
      <w:r>
        <w:rPr>
          <w:rFonts w:ascii="Arial" w:cs="Arial" w:eastAsia="Arial" w:hAnsi="Arial"/>
          <w:sz w:val="19"/>
          <w:szCs w:val="19"/>
          <w:u w:val="single" w:color="auto"/>
          <w:color w:val="auto"/>
        </w:rPr>
        <w:t>Hazardous Substances</w:t>
      </w:r>
      <w:r>
        <w:rPr>
          <w:rFonts w:ascii="Arial" w:cs="Arial" w:eastAsia="Arial" w:hAnsi="Arial"/>
          <w:sz w:val="19"/>
          <w:szCs w:val="19"/>
          <w:color w:val="auto"/>
        </w:rPr>
        <w:t>” means (x) petroleum and petroleum products, by-products or breakdown products, radioactive materials, asbestos-containing materials, polychlorinated biphenyls and mold and (y) any other chemical, material or substance defined or regulated as toxic or hazardous or as a pollutant, contaminant or waste under Environmental Laws;</w:t>
      </w:r>
    </w:p>
    <w:p>
      <w:pPr>
        <w:spacing w:after="0" w:line="188" w:lineRule="exact"/>
        <w:rPr>
          <w:rFonts w:ascii="Arial" w:cs="Arial" w:eastAsia="Arial" w:hAnsi="Arial"/>
          <w:sz w:val="19"/>
          <w:szCs w:val="19"/>
          <w:color w:val="auto"/>
        </w:rPr>
      </w:pPr>
    </w:p>
    <w:p>
      <w:pPr>
        <w:jc w:val="both"/>
        <w:ind w:firstLine="656"/>
        <w:spacing w:after="0" w:line="236" w:lineRule="auto"/>
        <w:tabs>
          <w:tab w:leader="none" w:pos="1082" w:val="left"/>
        </w:tabs>
        <w:numPr>
          <w:ilvl w:val="1"/>
          <w:numId w:val="80"/>
        </w:numPr>
        <w:rPr>
          <w:rFonts w:ascii="Arial" w:cs="Arial" w:eastAsia="Arial" w:hAnsi="Arial"/>
          <w:sz w:val="22"/>
          <w:szCs w:val="22"/>
          <w:color w:val="auto"/>
        </w:rPr>
      </w:pPr>
      <w:r>
        <w:rPr>
          <w:rFonts w:ascii="Arial" w:cs="Arial" w:eastAsia="Arial" w:hAnsi="Arial"/>
          <w:sz w:val="22"/>
          <w:szCs w:val="22"/>
          <w:color w:val="auto"/>
        </w:rPr>
        <w:t>Other than as set forth in the Pricing Prospectus, the Partnership Parties have reasonably concluded that none of the Partnership Entities has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214" w:lineRule="exact"/>
        <w:rPr>
          <w:rFonts w:ascii="Arial" w:cs="Arial" w:eastAsia="Arial" w:hAnsi="Arial"/>
          <w:sz w:val="22"/>
          <w:szCs w:val="22"/>
          <w:color w:val="auto"/>
        </w:rPr>
      </w:pPr>
    </w:p>
    <w:p>
      <w:pPr>
        <w:jc w:val="both"/>
        <w:ind w:firstLine="656"/>
        <w:spacing w:after="0" w:line="236" w:lineRule="auto"/>
        <w:tabs>
          <w:tab w:leader="none" w:pos="996" w:val="left"/>
        </w:tabs>
        <w:numPr>
          <w:ilvl w:val="1"/>
          <w:numId w:val="80"/>
        </w:numPr>
        <w:rPr>
          <w:rFonts w:ascii="Arial" w:cs="Arial" w:eastAsia="Arial" w:hAnsi="Arial"/>
          <w:sz w:val="22"/>
          <w:szCs w:val="22"/>
          <w:color w:val="auto"/>
        </w:rPr>
      </w:pPr>
      <w:r>
        <w:rPr>
          <w:rFonts w:ascii="Arial" w:cs="Arial" w:eastAsia="Arial" w:hAnsi="Arial"/>
          <w:sz w:val="22"/>
          <w:szCs w:val="22"/>
          <w:color w:val="auto"/>
        </w:rPr>
        <w:t>Other than as set forth in the Pricing Prospectus, the Partnership Entities possess all certificates, authorizations and permits issued by the appropriate federal, state or foreign regulatory authorities as necessary for the Partnership Entities to conduct their respective businesses as currently conducted, except as would not individually or in the aggregate have a Material Adverse Effect; and none of the Partnership Entities has received any notice of proceedings relating to the revocation or modification of any such certificate, authorization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3" w:name="page74"/>
    <w:bookmarkEnd w:id="73"/>
    <w:p>
      <w:pPr>
        <w:spacing w:after="0" w:line="251" w:lineRule="auto"/>
        <w:rPr>
          <w:sz w:val="20"/>
          <w:szCs w:val="20"/>
          <w:color w:val="auto"/>
        </w:rPr>
      </w:pPr>
      <w:r>
        <w:rPr>
          <w:rFonts w:ascii="Arial" w:cs="Arial" w:eastAsia="Arial" w:hAnsi="Arial"/>
          <w:sz w:val="22"/>
          <w:szCs w:val="22"/>
          <w:color w:val="auto"/>
        </w:rPr>
        <w:t>permit which, individually or in the aggregate, if the subject of an unfavorable decision, ruling or finding, would have a Material Adverse Effect;</w:t>
      </w:r>
    </w:p>
    <w:p>
      <w:pPr>
        <w:spacing w:after="0" w:line="200" w:lineRule="exact"/>
        <w:rPr>
          <w:sz w:val="20"/>
          <w:szCs w:val="20"/>
          <w:color w:val="auto"/>
        </w:rPr>
      </w:pPr>
    </w:p>
    <w:p>
      <w:pPr>
        <w:jc w:val="both"/>
        <w:ind w:firstLine="656"/>
        <w:spacing w:after="0" w:line="248" w:lineRule="auto"/>
        <w:tabs>
          <w:tab w:leader="none" w:pos="1208"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Partnership Entities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none of the Partnership Entities has received any notice of infringement of or conflict with asserted rights of others with respect to any of the foregoing, which if the subject of an unfavorable decision, ruling or finding, would have a Material Adverse Effect;</w:t>
      </w:r>
    </w:p>
    <w:p>
      <w:pPr>
        <w:spacing w:after="0" w:line="204" w:lineRule="exact"/>
        <w:rPr>
          <w:rFonts w:ascii="Arial" w:cs="Arial" w:eastAsia="Arial" w:hAnsi="Arial"/>
          <w:sz w:val="21"/>
          <w:szCs w:val="21"/>
          <w:color w:val="auto"/>
        </w:rPr>
      </w:pPr>
    </w:p>
    <w:p>
      <w:pPr>
        <w:ind w:right="20" w:firstLine="656"/>
        <w:spacing w:after="0" w:line="251" w:lineRule="auto"/>
        <w:tabs>
          <w:tab w:leader="none" w:pos="1079"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 material labor dispute, work stoppage, slow down or other conflict with the employees of the Partnership Parties exists or, to the Partnership Parties’ knowledge, is threatened or contemplated;</w:t>
      </w:r>
    </w:p>
    <w:p>
      <w:pPr>
        <w:spacing w:after="0" w:line="200" w:lineRule="exact"/>
        <w:rPr>
          <w:rFonts w:ascii="Arial" w:cs="Arial" w:eastAsia="Arial" w:hAnsi="Arial"/>
          <w:sz w:val="22"/>
          <w:szCs w:val="22"/>
          <w:color w:val="auto"/>
        </w:rPr>
      </w:pPr>
    </w:p>
    <w:p>
      <w:pPr>
        <w:jc w:val="both"/>
        <w:ind w:firstLine="656"/>
        <w:spacing w:after="0" w:line="235" w:lineRule="auto"/>
        <w:tabs>
          <w:tab w:leader="none" w:pos="1092"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Partnership Entities and the Vessels are insured by insurers of recognized financial responsibility against such losses and risks and in such amounts as are prudent and customary in the businesses in which they are engaged; none of the Partnership Entities has been refused any insurance coverage sought or applied for; and none of the Partnership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215" w:lineRule="exact"/>
        <w:rPr>
          <w:rFonts w:ascii="Arial" w:cs="Arial" w:eastAsia="Arial" w:hAnsi="Arial"/>
          <w:sz w:val="22"/>
          <w:szCs w:val="22"/>
          <w:color w:val="auto"/>
        </w:rPr>
      </w:pPr>
    </w:p>
    <w:p>
      <w:pPr>
        <w:ind w:firstLine="656"/>
        <w:spacing w:after="0" w:line="251" w:lineRule="auto"/>
        <w:tabs>
          <w:tab w:leader="none" w:pos="1105"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None of the Partnership Entities has any off-balance sheet arrangements, except as described in the Registration Statement, the Pricing Prospectus and the Final Prospectus;</w:t>
      </w:r>
    </w:p>
    <w:p>
      <w:pPr>
        <w:spacing w:after="0" w:line="200" w:lineRule="exact"/>
        <w:rPr>
          <w:rFonts w:ascii="Arial" w:cs="Arial" w:eastAsia="Arial" w:hAnsi="Arial"/>
          <w:sz w:val="22"/>
          <w:szCs w:val="22"/>
          <w:color w:val="auto"/>
        </w:rPr>
      </w:pPr>
    </w:p>
    <w:p>
      <w:pPr>
        <w:ind w:left="1120" w:hanging="464"/>
        <w:spacing w:after="0"/>
        <w:tabs>
          <w:tab w:leader="none" w:pos="1120" w:val="left"/>
        </w:tabs>
        <w:numPr>
          <w:ilvl w:val="0"/>
          <w:numId w:val="81"/>
        </w:numPr>
        <w:rPr>
          <w:rFonts w:ascii="Arial" w:cs="Arial" w:eastAsia="Arial" w:hAnsi="Arial"/>
          <w:sz w:val="21"/>
          <w:szCs w:val="21"/>
          <w:color w:val="auto"/>
        </w:rPr>
      </w:pPr>
      <w:r>
        <w:rPr>
          <w:rFonts w:ascii="Arial" w:cs="Arial" w:eastAsia="Arial" w:hAnsi="Arial"/>
          <w:sz w:val="21"/>
          <w:szCs w:val="21"/>
          <w:color w:val="auto"/>
        </w:rPr>
        <w:t>(A) None of the Partnership Entities or, to the Partnership Parties’ knowledge, any of their respective directors,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executive officers, affiliates, employees or agents or other persons associated with or acting on behalf of the Partnership Entities:</w:t>
      </w:r>
    </w:p>
    <w:p>
      <w:pPr>
        <w:spacing w:after="0" w:line="25" w:lineRule="exact"/>
        <w:rPr>
          <w:sz w:val="20"/>
          <w:szCs w:val="20"/>
          <w:color w:val="auto"/>
        </w:rPr>
      </w:pPr>
    </w:p>
    <w:p>
      <w:pPr>
        <w:jc w:val="both"/>
        <w:ind w:firstLine="8"/>
        <w:spacing w:after="0" w:line="267" w:lineRule="auto"/>
        <w:tabs>
          <w:tab w:leader="none" w:pos="268" w:val="left"/>
        </w:tabs>
        <w:numPr>
          <w:ilvl w:val="0"/>
          <w:numId w:val="82"/>
        </w:numPr>
        <w:rPr>
          <w:rFonts w:ascii="Arial" w:cs="Arial" w:eastAsia="Arial" w:hAnsi="Arial"/>
          <w:sz w:val="19"/>
          <w:szCs w:val="19"/>
          <w:color w:val="auto"/>
        </w:rPr>
      </w:pPr>
      <w:r>
        <w:rPr>
          <w:rFonts w:ascii="Arial" w:cs="Arial" w:eastAsia="Arial" w:hAnsi="Arial"/>
          <w:sz w:val="19"/>
          <w:szCs w:val="19"/>
          <w:color w:val="auto"/>
        </w:rPr>
        <w:t>knowingly does any business with or involving the government of, or any person or project located in, any country targeted by any of the economic sanctions promulgated by any Executive Order issued by the President of the United States or administered by</w:t>
      </w:r>
    </w:p>
    <w:p>
      <w:pPr>
        <w:spacing w:after="0" w:line="230" w:lineRule="auto"/>
        <w:rPr>
          <w:sz w:val="20"/>
          <w:szCs w:val="20"/>
          <w:color w:val="auto"/>
        </w:rPr>
      </w:pPr>
      <w:r>
        <w:rPr>
          <w:rFonts w:ascii="Arial" w:cs="Arial" w:eastAsia="Arial" w:hAnsi="Arial"/>
          <w:sz w:val="22"/>
          <w:szCs w:val="22"/>
          <w:color w:val="auto"/>
        </w:rPr>
        <w:t>the United States Treasury Department’s Office of Foreign Assets Control (the “</w:t>
      </w:r>
      <w:r>
        <w:rPr>
          <w:rFonts w:ascii="Arial" w:cs="Arial" w:eastAsia="Arial" w:hAnsi="Arial"/>
          <w:sz w:val="22"/>
          <w:szCs w:val="22"/>
          <w:u w:val="single" w:color="auto"/>
          <w:color w:val="auto"/>
        </w:rPr>
        <w:t>OFAC</w:t>
      </w:r>
      <w:r>
        <w:rPr>
          <w:rFonts w:ascii="Arial" w:cs="Arial" w:eastAsia="Arial" w:hAnsi="Arial"/>
          <w:sz w:val="22"/>
          <w:szCs w:val="22"/>
          <w:color w:val="auto"/>
        </w:rPr>
        <w:t>”) (collectively, “</w:t>
      </w:r>
      <w:r>
        <w:rPr>
          <w:rFonts w:ascii="Arial" w:cs="Arial" w:eastAsia="Arial" w:hAnsi="Arial"/>
          <w:sz w:val="22"/>
          <w:szCs w:val="22"/>
          <w:u w:val="single" w:color="auto"/>
          <w:color w:val="auto"/>
        </w:rPr>
        <w:t>Sanctions</w:t>
      </w:r>
      <w:r>
        <w:rPr>
          <w:rFonts w:ascii="Arial" w:cs="Arial" w:eastAsia="Arial" w:hAnsi="Arial"/>
          <w:sz w:val="22"/>
          <w:szCs w:val="22"/>
          <w:color w:val="auto"/>
        </w:rPr>
        <w:t>”); or</w:t>
      </w:r>
    </w:p>
    <w:p>
      <w:pPr>
        <w:spacing w:after="0" w:line="1" w:lineRule="exact"/>
        <w:rPr>
          <w:sz w:val="20"/>
          <w:szCs w:val="20"/>
          <w:color w:val="auto"/>
        </w:rPr>
      </w:pPr>
    </w:p>
    <w:p>
      <w:pPr>
        <w:jc w:val="both"/>
        <w:ind w:firstLine="8"/>
        <w:spacing w:after="0" w:line="231" w:lineRule="auto"/>
        <w:tabs>
          <w:tab w:leader="none" w:pos="354" w:val="left"/>
        </w:tabs>
        <w:numPr>
          <w:ilvl w:val="0"/>
          <w:numId w:val="83"/>
        </w:numPr>
        <w:rPr>
          <w:rFonts w:ascii="Arial" w:cs="Arial" w:eastAsia="Arial" w:hAnsi="Arial"/>
          <w:sz w:val="22"/>
          <w:szCs w:val="22"/>
          <w:color w:val="auto"/>
        </w:rPr>
      </w:pPr>
      <w:r>
        <w:rPr>
          <w:rFonts w:ascii="Arial" w:cs="Arial" w:eastAsia="Arial" w:hAnsi="Arial"/>
          <w:sz w:val="22"/>
          <w:szCs w:val="22"/>
          <w:color w:val="auto"/>
        </w:rPr>
        <w:t>knowingly supports or facilitates any such business or project, in each case other than as permitted under such economic sanctions; (B) none of the Partnership Parties is controlled (within the meaning of the Executive Orders or regulations promulgating such economic sanctions or the laws authorizing such promulgation) by any such government or person; (C) the proceeds from the offering of the Securities contemplated hereby will not be used to fund any operations in, to finance any investments, projects or activities in, or to make any payments to, any country, or to make any payments to, or finance any activities with, any person targeted by any of such economic sanctions; and (D) the Partnership Parties maintain and have implemented adequate internal controls and procedures to monitor and audit transactions that are reasonably designed to detect and prevent any use of the proceeds from the offering of the Securities contemplated hereby that is inconsistent with any of the representations and obligations under clause (C) of this paragraph or in the Registration Statement, Pricing Prospectus or Final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4" w:name="page75"/>
    <w:bookmarkEnd w:id="74"/>
    <w:p>
      <w:pPr>
        <w:jc w:val="both"/>
        <w:ind w:firstLine="656"/>
        <w:spacing w:after="0" w:line="273" w:lineRule="auto"/>
        <w:tabs>
          <w:tab w:leader="none" w:pos="1007"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None of the Partnership Entities or, to the Partnership Parties’ knowledge, any of their respective directors, executive officers, affiliates, employees or agents or other persons associated with or acting on behalf of the Partnership Entities,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Partnership Entities and, to the knowledge of the Partnership Parties,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88" w:lineRule="exact"/>
        <w:rPr>
          <w:rFonts w:ascii="Arial" w:cs="Arial" w:eastAsia="Arial" w:hAnsi="Arial"/>
          <w:sz w:val="19"/>
          <w:szCs w:val="19"/>
          <w:color w:val="auto"/>
        </w:rPr>
      </w:pPr>
    </w:p>
    <w:p>
      <w:pPr>
        <w:jc w:val="both"/>
        <w:ind w:firstLine="656"/>
        <w:spacing w:after="0" w:line="245" w:lineRule="auto"/>
        <w:tabs>
          <w:tab w:leader="none" w:pos="1044"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operations of the Partnership Entities, are and have been conducted at all times in compliance with applicable financial recordkeeping and reporting requirements, including to the extent applicable those of the Currency and Foreign Transactions Reporting Act of 1970, as amended, the Bank Secrecy Act, as amended by Title III of the Uniting and Strengthening America by Providing Appropriate Tools Required to Intercept and Obstruct Terrorism Act of 2001 (USA PATRIOT Act),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21"/>
          <w:szCs w:val="21"/>
          <w:u w:val="single" w:color="auto"/>
          <w:color w:val="auto"/>
        </w:rPr>
        <w:t>Money Laundering Laws</w:t>
      </w:r>
      <w:r>
        <w:rPr>
          <w:rFonts w:ascii="Arial" w:cs="Arial" w:eastAsia="Arial" w:hAnsi="Arial"/>
          <w:sz w:val="21"/>
          <w:szCs w:val="21"/>
          <w:color w:val="auto"/>
        </w:rPr>
        <w:t>”); and no action, suit or proceeding by or before any court or governmental agency, authority or body or any arbitrator or non-governmental authority involving the Partnership Entities with respect to the Money Laundering Laws is pending or, to the Partnership Parties’ knowledge, threatened;</w:t>
      </w:r>
    </w:p>
    <w:p>
      <w:pPr>
        <w:spacing w:after="0" w:line="212" w:lineRule="exact"/>
        <w:rPr>
          <w:rFonts w:ascii="Arial" w:cs="Arial" w:eastAsia="Arial" w:hAnsi="Arial"/>
          <w:sz w:val="21"/>
          <w:szCs w:val="21"/>
          <w:color w:val="auto"/>
        </w:rPr>
      </w:pPr>
    </w:p>
    <w:p>
      <w:pPr>
        <w:jc w:val="both"/>
        <w:ind w:firstLine="656"/>
        <w:spacing w:after="0" w:line="236" w:lineRule="auto"/>
        <w:tabs>
          <w:tab w:leader="none" w:pos="976" w:val="left"/>
        </w:tabs>
        <w:numPr>
          <w:ilvl w:val="0"/>
          <w:numId w:val="84"/>
        </w:numPr>
        <w:rPr>
          <w:rFonts w:ascii="Arial" w:cs="Arial" w:eastAsia="Arial" w:hAnsi="Arial"/>
          <w:sz w:val="22"/>
          <w:szCs w:val="22"/>
          <w:color w:val="auto"/>
        </w:rPr>
      </w:pPr>
      <w:r>
        <w:rPr>
          <w:rFonts w:ascii="Arial" w:cs="Arial" w:eastAsia="Arial" w:hAnsi="Arial"/>
          <w:sz w:val="22"/>
          <w:szCs w:val="22"/>
          <w:color w:val="auto"/>
        </w:rPr>
        <w:t>As of the effective date of the Registration Statement, the Partnership and, to the knowledge of the Partnership Parties, the officers and directors of the Partnership, in their capacities as such, were, and at the First Time of Delivery will be, in compliance in all material respects with all applicable provisions of the Sarbanes-Oxley Act of 2002 and the rules and regulations promulgated in connection therewith that are then in effect and with which any of them is required to comply, including Section 402 related to loans;</w:t>
      </w:r>
    </w:p>
    <w:p>
      <w:pPr>
        <w:spacing w:after="0" w:line="214" w:lineRule="exact"/>
        <w:rPr>
          <w:rFonts w:ascii="Arial" w:cs="Arial" w:eastAsia="Arial" w:hAnsi="Arial"/>
          <w:sz w:val="22"/>
          <w:szCs w:val="22"/>
          <w:color w:val="auto"/>
        </w:rPr>
      </w:pPr>
    </w:p>
    <w:p>
      <w:pPr>
        <w:ind w:left="1100" w:hanging="444"/>
        <w:spacing w:after="0"/>
        <w:tabs>
          <w:tab w:leader="none" w:pos="1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There are no restrictions on subsequent transfers of the Securities under the laws of the Republic of the Marshall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Islands;</w:t>
      </w:r>
    </w:p>
    <w:p>
      <w:pPr>
        <w:spacing w:after="0" w:line="215" w:lineRule="exact"/>
        <w:rPr>
          <w:rFonts w:ascii="Arial" w:cs="Arial" w:eastAsia="Arial" w:hAnsi="Arial"/>
          <w:sz w:val="19"/>
          <w:szCs w:val="19"/>
          <w:color w:val="auto"/>
        </w:rPr>
      </w:pPr>
    </w:p>
    <w:p>
      <w:pPr>
        <w:jc w:val="both"/>
        <w:ind w:firstLine="656"/>
        <w:spacing w:after="0" w:line="252" w:lineRule="auto"/>
        <w:tabs>
          <w:tab w:leader="none" w:pos="1106" w:val="left"/>
        </w:tabs>
        <w:numPr>
          <w:ilvl w:val="0"/>
          <w:numId w:val="84"/>
        </w:numPr>
        <w:rPr>
          <w:rFonts w:ascii="Arial" w:cs="Arial" w:eastAsia="Arial" w:hAnsi="Arial"/>
          <w:sz w:val="21"/>
          <w:szCs w:val="21"/>
          <w:color w:val="auto"/>
        </w:rPr>
      </w:pPr>
      <w:r>
        <w:rPr>
          <w:rFonts w:ascii="Arial" w:cs="Arial" w:eastAsia="Arial" w:hAnsi="Arial"/>
          <w:sz w:val="21"/>
          <w:szCs w:val="21"/>
          <w:color w:val="auto"/>
        </w:rPr>
        <w:t>Except as disclosed in the Pricing Prospectus, there are no contracts, agreements or understandings between the Partnership Parties and any person granting such person the right to require any of the Partnership Parties to file a registration statement under the Act with respect to any securities of the Partnership Entities or to require the Partnership Parties to include such securities with the securities registered pursuant to the Registration Statement;</w:t>
      </w:r>
    </w:p>
    <w:p>
      <w:pPr>
        <w:spacing w:after="0" w:line="201" w:lineRule="exact"/>
        <w:rPr>
          <w:rFonts w:ascii="Arial" w:cs="Arial" w:eastAsia="Arial" w:hAnsi="Arial"/>
          <w:sz w:val="21"/>
          <w:szCs w:val="21"/>
          <w:color w:val="auto"/>
        </w:rPr>
      </w:pPr>
    </w:p>
    <w:p>
      <w:pPr>
        <w:ind w:firstLine="656"/>
        <w:spacing w:after="0" w:line="251" w:lineRule="auto"/>
        <w:tabs>
          <w:tab w:leader="none" w:pos="118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[Common/Other] Units are listed on the New York Stock Exchange (the “</w:t>
      </w:r>
      <w:r>
        <w:rPr>
          <w:rFonts w:ascii="Arial" w:cs="Arial" w:eastAsia="Arial" w:hAnsi="Arial"/>
          <w:sz w:val="22"/>
          <w:szCs w:val="22"/>
          <w:u w:val="single" w:color="auto"/>
          <w:color w:val="auto"/>
        </w:rPr>
        <w:t>Exchange</w:t>
      </w:r>
      <w:r>
        <w:rPr>
          <w:rFonts w:ascii="Arial" w:cs="Arial" w:eastAsia="Arial" w:hAnsi="Arial"/>
          <w:sz w:val="22"/>
          <w:szCs w:val="22"/>
          <w:color w:val="auto"/>
        </w:rPr>
        <w:t>”), and the [</w:t>
      </w:r>
      <w:r>
        <w:rPr>
          <w:rFonts w:ascii="Arial" w:cs="Arial" w:eastAsia="Arial" w:hAnsi="Arial"/>
          <w:sz w:val="22"/>
          <w:szCs w:val="22"/>
          <w:i w:val="1"/>
          <w:iCs w:val="1"/>
          <w:color w:val="auto"/>
        </w:rPr>
        <w:t>Insert title of</w:t>
      </w:r>
      <w:r>
        <w:rPr>
          <w:rFonts w:ascii="Arial" w:cs="Arial" w:eastAsia="Arial" w:hAnsi="Arial"/>
          <w:sz w:val="22"/>
          <w:szCs w:val="22"/>
          <w:color w:val="auto"/>
        </w:rPr>
        <w:t xml:space="preserve"> </w:t>
      </w:r>
      <w:r>
        <w:rPr>
          <w:rFonts w:ascii="Arial" w:cs="Arial" w:eastAsia="Arial" w:hAnsi="Arial"/>
          <w:sz w:val="22"/>
          <w:szCs w:val="22"/>
          <w:i w:val="1"/>
          <w:iCs w:val="1"/>
          <w:color w:val="auto"/>
        </w:rPr>
        <w:t>Offered Securities</w:t>
      </w:r>
      <w:r>
        <w:rPr>
          <w:rFonts w:ascii="Arial" w:cs="Arial" w:eastAsia="Arial" w:hAnsi="Arial"/>
          <w:sz w:val="22"/>
          <w:szCs w:val="22"/>
          <w:color w:val="auto"/>
        </w:rPr>
        <w:t>] have been authorized for listing on the Exchange, subject to official notice of issuance;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5" w:name="page76"/>
    <w:bookmarkEnd w:id="75"/>
    <w:p>
      <w:pPr>
        <w:jc w:val="both"/>
        <w:ind w:firstLine="656"/>
        <w:spacing w:after="0"/>
        <w:tabs>
          <w:tab w:leader="none" w:pos="113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Partnership Parties have taken all necessary actions to comply with all applicable corporate governance requirements of the Exchange that are, or will be, applicable to the Partnership, except for such requirements that have been waived and disclosed in the Pricing Prospectus;</w:t>
      </w:r>
    </w:p>
    <w:p>
      <w:pPr>
        <w:spacing w:after="0" w:line="213" w:lineRule="exact"/>
        <w:rPr>
          <w:rFonts w:ascii="Arial" w:cs="Arial" w:eastAsia="Arial" w:hAnsi="Arial"/>
          <w:sz w:val="22"/>
          <w:szCs w:val="22"/>
          <w:color w:val="auto"/>
        </w:rPr>
      </w:pPr>
    </w:p>
    <w:p>
      <w:pPr>
        <w:jc w:val="both"/>
        <w:ind w:firstLine="656"/>
        <w:spacing w:after="0" w:line="238" w:lineRule="auto"/>
        <w:tabs>
          <w:tab w:leader="none" w:pos="1072" w:val="left"/>
        </w:tabs>
        <w:numPr>
          <w:ilvl w:val="0"/>
          <w:numId w:val="85"/>
        </w:numPr>
        <w:rPr>
          <w:rFonts w:ascii="Arial" w:cs="Arial" w:eastAsia="Arial" w:hAnsi="Arial"/>
          <w:sz w:val="22"/>
          <w:szCs w:val="22"/>
          <w:color w:val="auto"/>
        </w:rPr>
      </w:pPr>
      <w:r>
        <w:rPr>
          <w:rFonts w:ascii="Arial" w:cs="Arial" w:eastAsia="Arial" w:hAnsi="Arial"/>
          <w:sz w:val="22"/>
          <w:szCs w:val="22"/>
          <w:color w:val="auto"/>
        </w:rPr>
        <w:t>Except as described in the Pricing Prospectus, the Partnership has not sold, issued or distributed any Securities during the six-month period preceding the date hereof, including any sales pursuant to Rule 144A or Regulation D or S under the Act, other than Common Units issued pursuant to employee benefit plans, qualified option plans or other employee compensation plans or pursuant to outstanding options, rights or warrants;</w:t>
      </w:r>
    </w:p>
    <w:p>
      <w:pPr>
        <w:spacing w:after="0" w:line="212" w:lineRule="exact"/>
        <w:rPr>
          <w:rFonts w:ascii="Arial" w:cs="Arial" w:eastAsia="Arial" w:hAnsi="Arial"/>
          <w:sz w:val="22"/>
          <w:szCs w:val="22"/>
          <w:color w:val="auto"/>
        </w:rPr>
      </w:pPr>
    </w:p>
    <w:p>
      <w:pPr>
        <w:jc w:val="both"/>
        <w:ind w:firstLine="656"/>
        <w:spacing w:after="0"/>
        <w:tabs>
          <w:tab w:leader="none" w:pos="1074"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None of the Partnership Entities has taken, directly or indirectly, any action which was designed to or which has constituted or which might reasonably be expected to cause or result in stabilization or manipulation of the price of any security of the Partnership to facilitate the sale or resale of the Securities;</w:t>
      </w:r>
    </w:p>
    <w:p>
      <w:pPr>
        <w:spacing w:after="0" w:line="213" w:lineRule="exact"/>
        <w:rPr>
          <w:sz w:val="20"/>
          <w:szCs w:val="20"/>
          <w:color w:val="auto"/>
        </w:rPr>
      </w:pPr>
    </w:p>
    <w:p>
      <w:pPr>
        <w:jc w:val="both"/>
        <w:ind w:firstLine="656"/>
        <w:spacing w:after="0" w:line="252" w:lineRule="auto"/>
        <w:tabs>
          <w:tab w:leader="none" w:pos="1156" w:val="left"/>
        </w:tabs>
        <w:numPr>
          <w:ilvl w:val="0"/>
          <w:numId w:val="86"/>
        </w:numPr>
        <w:rPr>
          <w:rFonts w:ascii="Arial" w:cs="Arial" w:eastAsia="Arial" w:hAnsi="Arial"/>
          <w:sz w:val="21"/>
          <w:szCs w:val="21"/>
          <w:color w:val="auto"/>
        </w:rPr>
      </w:pPr>
      <w:r>
        <w:rPr>
          <w:rFonts w:ascii="Arial" w:cs="Arial" w:eastAsia="Arial" w:hAnsi="Arial"/>
          <w:sz w:val="21"/>
          <w:szCs w:val="21"/>
          <w:color w:val="auto"/>
        </w:rPr>
        <w:t>Subsequent to the execution and delivery of this Agreement, there shall not have occurred any downgrading in the rating of any debt securities of the Partnership Parties by any “nationally recognized statistical rating organization” (as defined in Section 3(a)(62) of the Exchange Act), or any public announcement that any such organization has under surveillance or review its rating of any debt securities of the Partnership Parties;</w:t>
      </w:r>
    </w:p>
    <w:p>
      <w:pPr>
        <w:spacing w:after="0" w:line="201" w:lineRule="exact"/>
        <w:rPr>
          <w:rFonts w:ascii="Arial" w:cs="Arial" w:eastAsia="Arial" w:hAnsi="Arial"/>
          <w:sz w:val="21"/>
          <w:szCs w:val="21"/>
          <w:color w:val="auto"/>
        </w:rPr>
      </w:pPr>
    </w:p>
    <w:p>
      <w:pPr>
        <w:jc w:val="both"/>
        <w:ind w:firstLine="656"/>
        <w:spacing w:after="0"/>
        <w:tabs>
          <w:tab w:leader="none" w:pos="1197"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Partnership is not and, after giving effect to the offering and sale of the Securities and the application of the proceeds thereof, will not be required to register as an “investment company”, as such term is defined in the Investment Company Act of 1940, as amended;</w:t>
      </w:r>
    </w:p>
    <w:p>
      <w:pPr>
        <w:spacing w:after="0" w:line="213" w:lineRule="exact"/>
        <w:rPr>
          <w:rFonts w:ascii="Arial" w:cs="Arial" w:eastAsia="Arial" w:hAnsi="Arial"/>
          <w:sz w:val="22"/>
          <w:szCs w:val="22"/>
          <w:color w:val="auto"/>
        </w:rPr>
      </w:pPr>
    </w:p>
    <w:p>
      <w:pPr>
        <w:ind w:firstLine="656"/>
        <w:spacing w:after="0" w:line="251" w:lineRule="auto"/>
        <w:tabs>
          <w:tab w:leader="none" w:pos="1146" w:val="left"/>
        </w:tabs>
        <w:numPr>
          <w:ilvl w:val="0"/>
          <w:numId w:val="86"/>
        </w:numPr>
        <w:rPr>
          <w:rFonts w:ascii="Arial" w:cs="Arial" w:eastAsia="Arial" w:hAnsi="Arial"/>
          <w:sz w:val="22"/>
          <w:szCs w:val="22"/>
          <w:color w:val="auto"/>
        </w:rPr>
      </w:pPr>
      <w:r>
        <w:rPr>
          <w:rFonts w:ascii="Arial" w:cs="Arial" w:eastAsia="Arial" w:hAnsi="Arial"/>
          <w:sz w:val="22"/>
          <w:szCs w:val="22"/>
          <w:color w:val="auto"/>
        </w:rPr>
        <w:t>At the time of filing the Registration Statement and as of the Applicable Time, the Partnership was not and is not an “ineligible issuer”, as defined under Rule 405 under the Act;</w:t>
      </w:r>
    </w:p>
    <w:p>
      <w:pPr>
        <w:spacing w:after="0" w:line="200" w:lineRule="exact"/>
        <w:rPr>
          <w:rFonts w:ascii="Arial" w:cs="Arial" w:eastAsia="Arial" w:hAnsi="Arial"/>
          <w:sz w:val="22"/>
          <w:szCs w:val="22"/>
          <w:color w:val="auto"/>
        </w:rPr>
      </w:pPr>
    </w:p>
    <w:p>
      <w:pPr>
        <w:jc w:val="both"/>
        <w:ind w:firstLine="656"/>
        <w:spacing w:after="0"/>
        <w:tabs>
          <w:tab w:leader="none" w:pos="121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As described in the Registration Statement and subject to the limitations and restrictions described therein, the Partnership Parties believe that the Partnership should not be a “passive foreign investment company” as defined in the Internal Revenue Code of 1986, as amended;</w:t>
      </w:r>
    </w:p>
    <w:p>
      <w:pPr>
        <w:spacing w:after="0" w:line="213" w:lineRule="exact"/>
        <w:rPr>
          <w:rFonts w:ascii="Arial" w:cs="Arial" w:eastAsia="Arial" w:hAnsi="Arial"/>
          <w:sz w:val="22"/>
          <w:szCs w:val="22"/>
          <w:color w:val="auto"/>
        </w:rPr>
      </w:pPr>
    </w:p>
    <w:p>
      <w:pPr>
        <w:ind w:left="1140" w:hanging="484"/>
        <w:spacing w:after="0"/>
        <w:tabs>
          <w:tab w:leader="none" w:pos="11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Partnership is a “foreign private issuer” as defined in Rule 405 under the Act;</w:t>
      </w:r>
    </w:p>
    <w:p>
      <w:pPr>
        <w:spacing w:after="0" w:line="267" w:lineRule="exact"/>
        <w:rPr>
          <w:rFonts w:ascii="Arial" w:cs="Arial" w:eastAsia="Arial" w:hAnsi="Arial"/>
          <w:sz w:val="19"/>
          <w:szCs w:val="19"/>
          <w:color w:val="auto"/>
        </w:rPr>
      </w:pPr>
    </w:p>
    <w:p>
      <w:pPr>
        <w:jc w:val="both"/>
        <w:ind w:firstLine="656"/>
        <w:spacing w:after="0" w:line="235" w:lineRule="auto"/>
        <w:tabs>
          <w:tab w:leader="none" w:pos="1084" w:val="left"/>
        </w:tabs>
        <w:numPr>
          <w:ilvl w:val="0"/>
          <w:numId w:val="86"/>
        </w:numPr>
        <w:rPr>
          <w:rFonts w:ascii="Arial" w:cs="Arial" w:eastAsia="Arial" w:hAnsi="Arial"/>
          <w:sz w:val="22"/>
          <w:szCs w:val="22"/>
          <w:color w:val="auto"/>
        </w:rPr>
      </w:pPr>
      <w:r>
        <w:rPr>
          <w:rFonts w:ascii="Arial" w:cs="Arial" w:eastAsia="Arial" w:hAnsi="Arial"/>
          <w:sz w:val="22"/>
          <w:szCs w:val="22"/>
          <w:color w:val="auto"/>
        </w:rPr>
        <w:t>Except as described in the Pricing Prospectus, there are no affiliations or associations between any member of the Financial Industry Regulatory Authority (“</w:t>
      </w:r>
      <w:r>
        <w:rPr>
          <w:rFonts w:ascii="Arial" w:cs="Arial" w:eastAsia="Arial" w:hAnsi="Arial"/>
          <w:sz w:val="22"/>
          <w:szCs w:val="22"/>
          <w:u w:val="single" w:color="auto"/>
          <w:color w:val="auto"/>
        </w:rPr>
        <w:t>FINRA</w:t>
      </w:r>
      <w:r>
        <w:rPr>
          <w:rFonts w:ascii="Arial" w:cs="Arial" w:eastAsia="Arial" w:hAnsi="Arial"/>
          <w:sz w:val="22"/>
          <w:szCs w:val="22"/>
          <w:color w:val="auto"/>
        </w:rPr>
        <w:t>”) and the Partnership Entities and, to the Partnership Parties’ knowledge, there are no affiliations or associations between (a) any member of FINRA and (b) any member of the Partnership’s officers, directors or 5% or greater security holders or any beneficial owner of the Partnership’s unregistered equity securities that were acquired at any time on or after the 180th day immediately preceding the date the Registration Statement was initially submitted to the Commission;</w:t>
      </w:r>
    </w:p>
    <w:p>
      <w:pPr>
        <w:spacing w:after="0" w:line="215" w:lineRule="exact"/>
        <w:rPr>
          <w:rFonts w:ascii="Arial" w:cs="Arial" w:eastAsia="Arial" w:hAnsi="Arial"/>
          <w:sz w:val="22"/>
          <w:szCs w:val="22"/>
          <w:color w:val="auto"/>
        </w:rPr>
      </w:pPr>
    </w:p>
    <w:p>
      <w:pPr>
        <w:ind w:right="20" w:firstLine="656"/>
        <w:spacing w:after="0" w:line="251" w:lineRule="auto"/>
        <w:tabs>
          <w:tab w:leader="none" w:pos="11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Deloitte LLP, who has certified certain financial statements included or incorporated by reference in the Registration Statement, Pricing Prospectus and Final Prospectus,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6" w:name="page77"/>
    <w:bookmarkEnd w:id="76"/>
    <w:p>
      <w:pPr>
        <w:spacing w:after="0" w:line="251" w:lineRule="auto"/>
        <w:rPr>
          <w:sz w:val="20"/>
          <w:szCs w:val="20"/>
          <w:color w:val="auto"/>
        </w:rPr>
      </w:pPr>
      <w:r>
        <w:rPr>
          <w:rFonts w:ascii="Arial" w:cs="Arial" w:eastAsia="Arial" w:hAnsi="Arial"/>
          <w:sz w:val="22"/>
          <w:szCs w:val="22"/>
          <w:color w:val="auto"/>
        </w:rPr>
        <w:t>is an independent public accountant with respect to the Partnership Entities as required by the Act and the rules and regulations of the Commission thereunder;</w:t>
      </w:r>
    </w:p>
    <w:p>
      <w:pPr>
        <w:spacing w:after="0" w:line="200" w:lineRule="exact"/>
        <w:rPr>
          <w:sz w:val="20"/>
          <w:szCs w:val="20"/>
          <w:color w:val="auto"/>
        </w:rPr>
      </w:pPr>
    </w:p>
    <w:p>
      <w:pPr>
        <w:jc w:val="both"/>
        <w:ind w:firstLine="656"/>
        <w:spacing w:after="0" w:line="234" w:lineRule="auto"/>
        <w:tabs>
          <w:tab w:leader="none" w:pos="1182"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Partnership maintains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international financial reporting standards as adopted by the International Accounting Standards Board (“</w:t>
      </w:r>
      <w:r>
        <w:rPr>
          <w:rFonts w:ascii="Arial" w:cs="Arial" w:eastAsia="Arial" w:hAnsi="Arial"/>
          <w:sz w:val="22"/>
          <w:szCs w:val="22"/>
          <w:u w:val="single" w:color="auto"/>
          <w:color w:val="auto"/>
        </w:rPr>
        <w:t>IFRS</w:t>
      </w:r>
      <w:r>
        <w:rPr>
          <w:rFonts w:ascii="Arial" w:cs="Arial" w:eastAsia="Arial" w:hAnsi="Arial"/>
          <w:sz w:val="22"/>
          <w:szCs w:val="22"/>
          <w:color w:val="auto"/>
        </w:rPr>
        <w:t>”) and such system will comply in all material respects with the requirements of the Exchange Act when so required. Except as set forth in the Pricing Prospectus, the Partnership’s internal control over financial reporting is effective, and the Partnership is not aware of any material weaknesses in its internal control over financial reporting;</w:t>
      </w:r>
    </w:p>
    <w:p>
      <w:pPr>
        <w:spacing w:after="0" w:line="218" w:lineRule="exact"/>
        <w:rPr>
          <w:rFonts w:ascii="Arial" w:cs="Arial" w:eastAsia="Arial" w:hAnsi="Arial"/>
          <w:sz w:val="22"/>
          <w:szCs w:val="22"/>
          <w:color w:val="auto"/>
        </w:rPr>
      </w:pPr>
    </w:p>
    <w:p>
      <w:pPr>
        <w:jc w:val="both"/>
        <w:ind w:firstLine="656"/>
        <w:spacing w:after="0" w:line="297" w:lineRule="auto"/>
        <w:tabs>
          <w:tab w:leader="none" w:pos="103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Since the date of the latest audited financial statements included or incorporated by reference in the Pricing Prospectus, there has been no change in the Partnership’s internal control over financial reporting that has materially affected, or is reasonably likely to materially affect, the Partnership’s internal control over financial reporting (each an “</w:t>
      </w:r>
      <w:r>
        <w:rPr>
          <w:rFonts w:ascii="Arial" w:cs="Arial" w:eastAsia="Arial" w:hAnsi="Arial"/>
          <w:sz w:val="19"/>
          <w:szCs w:val="19"/>
          <w:u w:val="single" w:color="auto"/>
          <w:color w:val="auto"/>
        </w:rPr>
        <w:t>Internal Control Event</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656"/>
        <w:spacing w:after="0" w:line="236" w:lineRule="auto"/>
        <w:tabs>
          <w:tab w:leader="none" w:pos="1057"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Partnership maintains disclosure controls and procedures (as such term is defined in Rule 13a-15(e) under the Exchange Act) that comply with the requirements of the Exchange Act; such disclosure controls and procedures have been designed to ensure that material information relating to the Partnership and its subsidiaries is made known to the Partnership’s principal executive officer and principal financial officer by others within those entities; and such disclosure controls and procedures are effective;</w:t>
      </w:r>
    </w:p>
    <w:p>
      <w:pPr>
        <w:spacing w:after="0" w:line="214" w:lineRule="exact"/>
        <w:rPr>
          <w:rFonts w:ascii="Arial" w:cs="Arial" w:eastAsia="Arial" w:hAnsi="Arial"/>
          <w:sz w:val="22"/>
          <w:szCs w:val="22"/>
          <w:color w:val="auto"/>
        </w:rPr>
      </w:pPr>
    </w:p>
    <w:p>
      <w:pPr>
        <w:jc w:val="both"/>
        <w:ind w:firstLine="656"/>
        <w:spacing w:after="0" w:line="271" w:lineRule="auto"/>
        <w:tabs>
          <w:tab w:leader="none" w:pos="1183"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financial statements of the Partnership included or incorporated by reference in the Pricing Prospectus, together with the related notes thereto, present fairly in all material respects the combined financial position of the Partnership as of the date shown, and such financial statements have been prepared in conformity with IFRS, applied on a consistent basis throughout the periods involved; and the schedules included in the Pricing Prospectus, if any, present fairly the information required to be stated therein. The selected financial data and the summary financial information included or incorporated by reference in the Pricing Prospectus present fairly the information shown therein and have been compiled on a basis consistent with that of the audited and unaudited financial statements included in the Pricing Prospectus. Any pro forma financial information included or incorporated by reference in the Pricing Prospectus complies as to form with the applicable accounting requirements of Regulation S-X under the Act and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balance sheet included in the Pricing Prospectus. All disclosures contained in the Preliminary Prospectus, Pricing Prospectus and Final Prospectus, or incorporated by reference therein, regarding “non-GAAP financial measures” (as such term is defined by the rules and regulations of the Commission) comply with Regulation G of the 1934 Act and Item 10 of Regulation S-K of the 1933 Act, to the extent applicable;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7" w:name="page78"/>
    <w:bookmarkEnd w:id="77"/>
    <w:p>
      <w:pPr>
        <w:jc w:val="both"/>
        <w:ind w:firstLine="656"/>
        <w:spacing w:after="0" w:line="287" w:lineRule="auto"/>
        <w:tabs>
          <w:tab w:leader="none" w:pos="1026" w:val="left"/>
        </w:tabs>
        <w:numPr>
          <w:ilvl w:val="0"/>
          <w:numId w:val="88"/>
        </w:numPr>
        <w:rPr>
          <w:rFonts w:ascii="Arial" w:cs="Arial" w:eastAsia="Arial" w:hAnsi="Arial"/>
          <w:sz w:val="19"/>
          <w:szCs w:val="19"/>
          <w:color w:val="auto"/>
        </w:rPr>
      </w:pPr>
      <w:r>
        <w:rPr>
          <w:rFonts w:ascii="Arial" w:cs="Arial" w:eastAsia="Arial" w:hAnsi="Arial"/>
          <w:sz w:val="19"/>
          <w:szCs w:val="19"/>
          <w:color w:val="auto"/>
        </w:rPr>
        <w:t>Neither the Partnership’s independent auditors nor any internal auditor has recommended that the Partnership’s board of directors review or investigate, (i) adding to, deleting, changing the application of, or changing the Partnership’s disclosure with respect to, any of the Partnership’s material accounting policies; (ii) any matter which could result in a restatement of the Partnership’s audited balance sheet included in the Registration Statement; or (iii) any Internal Control Event;</w:t>
      </w:r>
    </w:p>
    <w:p>
      <w:pPr>
        <w:spacing w:after="0" w:line="170" w:lineRule="exact"/>
        <w:rPr>
          <w:rFonts w:ascii="Arial" w:cs="Arial" w:eastAsia="Arial" w:hAnsi="Arial"/>
          <w:sz w:val="19"/>
          <w:szCs w:val="19"/>
          <w:color w:val="auto"/>
        </w:rPr>
      </w:pPr>
    </w:p>
    <w:p>
      <w:pPr>
        <w:jc w:val="both"/>
        <w:ind w:firstLine="656"/>
        <w:spacing w:after="0" w:line="258" w:lineRule="auto"/>
        <w:tabs>
          <w:tab w:leader="none" w:pos="1359"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The Vessels are owned directly by the respective Operating Subsidiary listed on </w:t>
      </w:r>
      <w:r>
        <w:rPr>
          <w:rFonts w:ascii="Arial" w:cs="Arial" w:eastAsia="Arial" w:hAnsi="Arial"/>
          <w:sz w:val="20"/>
          <w:szCs w:val="20"/>
          <w:u w:val="single" w:color="auto"/>
          <w:color w:val="auto"/>
        </w:rPr>
        <w:t>Schedule III(a)</w:t>
      </w:r>
      <w:r>
        <w:rPr>
          <w:rFonts w:ascii="Arial" w:cs="Arial" w:eastAsia="Arial" w:hAnsi="Arial"/>
          <w:sz w:val="20"/>
          <w:szCs w:val="20"/>
          <w:color w:val="auto"/>
        </w:rPr>
        <w:t xml:space="preserve"> hereto; each of the Vessels has been duly registered as a vessel under the laws and regulations and flag of the jurisdiction set forth opposite its name on </w:t>
      </w:r>
      <w:r>
        <w:rPr>
          <w:rFonts w:ascii="Arial" w:cs="Arial" w:eastAsia="Arial" w:hAnsi="Arial"/>
          <w:sz w:val="20"/>
          <w:szCs w:val="20"/>
          <w:u w:val="single" w:color="auto"/>
          <w:color w:val="auto"/>
        </w:rPr>
        <w:t>Schedule III(a)</w:t>
      </w:r>
      <w:r>
        <w:rPr>
          <w:rFonts w:ascii="Arial" w:cs="Arial" w:eastAsia="Arial" w:hAnsi="Arial"/>
          <w:sz w:val="20"/>
          <w:szCs w:val="20"/>
          <w:color w:val="auto"/>
        </w:rPr>
        <w:t xml:space="preserve"> in the sole ownership of the subsidiary set forth opposite its name on </w:t>
      </w:r>
      <w:r>
        <w:rPr>
          <w:rFonts w:ascii="Arial" w:cs="Arial" w:eastAsia="Arial" w:hAnsi="Arial"/>
          <w:sz w:val="20"/>
          <w:szCs w:val="20"/>
          <w:u w:val="single" w:color="auto"/>
          <w:color w:val="auto"/>
        </w:rPr>
        <w:t>Schedule III(a)</w:t>
      </w:r>
      <w:r>
        <w:rPr>
          <w:rFonts w:ascii="Arial" w:cs="Arial" w:eastAsia="Arial" w:hAnsi="Arial"/>
          <w:sz w:val="20"/>
          <w:szCs w:val="20"/>
          <w:color w:val="auto"/>
        </w:rPr>
        <w:t xml:space="preserve">, and no other action is necessary to establish and perfect such entity’s title to and interest in such Vessel as against any charterer or other third party; each such subsidiary has good title to the applicable Vessel, free and clear of all mortgages, pledges, liens, security interests and claims and all defects of the title of record except for those mortgages, pledges, liens, security interests and claims arising under credit facilities, each as disclosed in the Registration Statement, the Pricing Prospectus and the Final Prospectus, and any other encumbrances which would not, in the aggregate, result in a Material Adverse Effect; and each such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 [Each Contracted Vessel has been duly registered as a vessel under the laws and regulations and flag of the jurisdiction set forth opposite its name on </w:t>
      </w:r>
      <w:r>
        <w:rPr>
          <w:rFonts w:ascii="Arial" w:cs="Arial" w:eastAsia="Arial" w:hAnsi="Arial"/>
          <w:sz w:val="20"/>
          <w:szCs w:val="20"/>
          <w:u w:val="single" w:color="auto"/>
          <w:color w:val="auto"/>
        </w:rPr>
        <w:t>Schedule III(b)</w:t>
      </w:r>
      <w:r>
        <w:rPr>
          <w:rFonts w:ascii="Arial" w:cs="Arial" w:eastAsia="Arial" w:hAnsi="Arial"/>
          <w:sz w:val="20"/>
          <w:szCs w:val="20"/>
          <w:color w:val="auto"/>
        </w:rPr>
        <w:t>; upon completion of the Acquisition in accordance with the terms of the Purchase Agreement, the Contracted Vessels will be in the sole ownership of a subsidiary of the Partnership; the Partnership will use its reasonable best efforts so that, on such date, each such subsidiary of the Partnership will have good title to the applicable Contracted Vessel, free and clear of all mortgages, pledges, liens, security interests and claims and all defects of the title of record, except for any mortgages, pledges, liens, security interests or claims arising from any financing arrangement which is described in the Registration Statement, the Pricing Prospectus and the Final Prospectus and except for such encumbrances which would not, individually or in the aggregate, result in a Material Adverse Effect; and the Partnership will use its reasonable best efforts so that, on such date, each such Contracted Vessel will be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w:t>
      </w:r>
      <w:r>
        <w:rPr>
          <w:rFonts w:ascii="Arial" w:cs="Arial" w:eastAsia="Arial" w:hAnsi="Arial"/>
          <w:sz w:val="33"/>
          <w:szCs w:val="33"/>
          <w:color w:val="auto"/>
          <w:vertAlign w:val="superscript"/>
        </w:rPr>
        <w:t>2</w:t>
      </w:r>
      <w:r>
        <w:rPr>
          <w:rFonts w:ascii="Arial" w:cs="Arial" w:eastAsia="Arial" w:hAnsi="Arial"/>
          <w:sz w:val="20"/>
          <w:szCs w:val="20"/>
          <w:color w:val="auto"/>
        </w:rPr>
        <w:t>;</w:t>
      </w:r>
    </w:p>
    <w:p>
      <w:pPr>
        <w:spacing w:after="0" w:line="45" w:lineRule="exact"/>
        <w:rPr>
          <w:rFonts w:ascii="Arial" w:cs="Arial" w:eastAsia="Arial" w:hAnsi="Arial"/>
          <w:sz w:val="20"/>
          <w:szCs w:val="20"/>
          <w:color w:val="auto"/>
        </w:rPr>
      </w:pPr>
    </w:p>
    <w:p>
      <w:pPr>
        <w:jc w:val="both"/>
        <w:ind w:firstLine="656"/>
        <w:spacing w:after="0" w:line="282" w:lineRule="auto"/>
        <w:tabs>
          <w:tab w:leader="none" w:pos="1173" w:val="left"/>
        </w:tabs>
        <w:numPr>
          <w:ilvl w:val="0"/>
          <w:numId w:val="88"/>
        </w:numPr>
        <w:rPr>
          <w:rFonts w:ascii="Arial" w:cs="Arial" w:eastAsia="Arial" w:hAnsi="Arial"/>
          <w:sz w:val="19"/>
          <w:szCs w:val="19"/>
          <w:color w:val="auto"/>
        </w:rPr>
      </w:pPr>
      <w:r>
        <w:rPr>
          <w:rFonts w:ascii="Arial" w:cs="Arial" w:eastAsia="Arial" w:hAnsi="Arial"/>
          <w:sz w:val="19"/>
          <w:szCs w:val="19"/>
          <w:color w:val="auto"/>
        </w:rPr>
        <w:t>Each Vessel is [and the Partnership will use its commercially reasonable efforts so that each Contracted Vessel will be as of its date of delivery,]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Arial" w:cs="Arial" w:eastAsia="Arial" w:hAnsi="Arial"/>
          <w:sz w:val="19"/>
          <w:szCs w:val="19"/>
          <w:u w:val="single" w:color="auto"/>
          <w:color w:val="auto"/>
        </w:rPr>
        <w:t>Maritime Guidelines</w:t>
      </w:r>
      <w:r>
        <w:rPr>
          <w:rFonts w:ascii="Arial" w:cs="Arial" w:eastAsia="Arial" w:hAnsi="Arial"/>
          <w:sz w:val="19"/>
          <w:szCs w:val="19"/>
          <w:color w:val="auto"/>
        </w:rPr>
        <w:t>”) and all applicable international, national, state and local conventions, laws, regulations, orders, governmental licenses and other requirements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5" w:lineRule="exact"/>
        <w:rPr>
          <w:sz w:val="20"/>
          <w:szCs w:val="20"/>
          <w:color w:val="auto"/>
        </w:rPr>
      </w:pPr>
    </w:p>
    <w:p>
      <w:pPr>
        <w:ind w:left="120" w:hanging="112"/>
        <w:spacing w:after="0"/>
        <w:tabs>
          <w:tab w:leader="none" w:pos="120" w:val="left"/>
        </w:tabs>
        <w:numPr>
          <w:ilvl w:val="0"/>
          <w:numId w:val="89"/>
        </w:numPr>
        <w:rPr>
          <w:rFonts w:ascii="Arial" w:cs="Arial" w:eastAsia="Arial" w:hAnsi="Arial"/>
          <w:sz w:val="30"/>
          <w:szCs w:val="30"/>
          <w:color w:val="auto"/>
          <w:vertAlign w:val="superscript"/>
        </w:rPr>
      </w:pPr>
      <w:r>
        <w:rPr>
          <w:rFonts w:ascii="Arial" w:cs="Arial" w:eastAsia="Arial" w:hAnsi="Arial"/>
          <w:sz w:val="18"/>
          <w:szCs w:val="18"/>
          <w:color w:val="auto"/>
        </w:rPr>
        <w:t>To be included if a material acquisition is pending.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9"/>
          <w:szCs w:val="19"/>
          <w:color w:val="auto"/>
        </w:rPr>
        <w:t>all Environmental Laws) in the jurisdictions in which the Partnership and its subsidiaries operate or where such vessel is operated, in each case as in effect on the date hereof, except where such failure to be in compliance would not have, individually or in the aggregate, a Material Adverse Effect. The Partnership Entities are qualified to own or lease, as the case may be, and operate such vessels under all applicable international, national, state and local conventions, laws, regulations, orders, governmental licenses and other requirements (including, without limitation, all Environmental 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spacing w:after="0" w:line="180" w:lineRule="exact"/>
        <w:rPr>
          <w:sz w:val="20"/>
          <w:szCs w:val="20"/>
          <w:color w:val="auto"/>
        </w:rPr>
      </w:pPr>
    </w:p>
    <w:p>
      <w:pPr>
        <w:jc w:val="both"/>
        <w:ind w:firstLine="656"/>
        <w:spacing w:after="0"/>
        <w:tabs>
          <w:tab w:leader="none" w:pos="1227"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None of the Partnership Parties is entitled to any immunity, whether characterized as sovereign immunity or otherwise, from any legal proceedings in respect of themselves or their respective properties under the laws of the United States or their jurisdiction of formation or incorporation; and</w:t>
      </w:r>
    </w:p>
    <w:p>
      <w:pPr>
        <w:spacing w:after="0" w:line="213" w:lineRule="exact"/>
        <w:rPr>
          <w:rFonts w:ascii="Arial" w:cs="Arial" w:eastAsia="Arial" w:hAnsi="Arial"/>
          <w:sz w:val="22"/>
          <w:szCs w:val="22"/>
          <w:color w:val="auto"/>
        </w:rPr>
      </w:pPr>
    </w:p>
    <w:p>
      <w:pPr>
        <w:jc w:val="both"/>
        <w:ind w:firstLine="656"/>
        <w:spacing w:after="0" w:line="274" w:lineRule="auto"/>
        <w:tabs>
          <w:tab w:leader="none" w:pos="1176"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Partnership Entities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Pricing Prospectus, the Partnership Entities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Underwriters in connection with the sale and delivery by the Partnership of the Securities to or for the respective accounts of the Underwriters or the sale and delivery by the Underwriters of the Securities to the initial purchasers thereof.</w:t>
      </w:r>
    </w:p>
    <w:p>
      <w:pPr>
        <w:spacing w:after="0" w:line="186" w:lineRule="exact"/>
        <w:rPr>
          <w:sz w:val="20"/>
          <w:szCs w:val="20"/>
          <w:color w:val="auto"/>
        </w:rPr>
      </w:pPr>
    </w:p>
    <w:p>
      <w:pPr>
        <w:jc w:val="both"/>
        <w:ind w:firstLine="656"/>
        <w:spacing w:after="0" w:line="273" w:lineRule="auto"/>
        <w:tabs>
          <w:tab w:leader="none" w:pos="9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Subject to the terms and conditions herein set forth, (a) the Partnership agrees to issue and sell to each of the Underwriters, and each of the Underwriters agrees, severally and not jointly, to purchase from the Partnership, at a purchase price of $[ ] per [</w:t>
      </w:r>
      <w:r>
        <w:rPr>
          <w:rFonts w:ascii="Arial" w:cs="Arial" w:eastAsia="Arial" w:hAnsi="Arial"/>
          <w:sz w:val="19"/>
          <w:szCs w:val="19"/>
          <w:i w:val="1"/>
          <w:iCs w:val="1"/>
          <w:color w:val="auto"/>
        </w:rPr>
        <w:t>Insert Title of Offered Security</w:t>
      </w:r>
      <w:r>
        <w:rPr>
          <w:rFonts w:ascii="Arial" w:cs="Arial" w:eastAsia="Arial" w:hAnsi="Arial"/>
          <w:sz w:val="19"/>
          <w:szCs w:val="19"/>
          <w:color w:val="auto"/>
        </w:rPr>
        <w:t xml:space="preserve">], and the number of [Common/Other] Units or amount of securities set forth opposite the name of such Underwriter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and (b) in the event and to the extent that the Underwriters shall exercise the election to purchase Option Securities as provided below, the Partnership agrees to issue and sell to each of the Underwriters, and each of the Underwriters agrees, to purchase from the Partnership, at the purchase price set forth in clause (a) of this Section 2, that portion of the number of Option Securities as to which such election shall have been exercised (to be adjusted by the Representatives so as to eliminate fractional [Common/Other] Units) determined by multiplying such number of Option Securities by a fraction, the numerator of which is the maximum number of Option Securities which such Underwriter is entitled to purchase as set forth opposite the name of such Underwriter in Schedule I hereto and the denominator of which is the maximum number of Option Securities that all of the Underwriters are entitled to purchase hereunder.</w:t>
      </w:r>
    </w:p>
    <w:p>
      <w:pPr>
        <w:spacing w:after="0" w:line="18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Partnership, as and to the extent indicated in Schedule I hereto, hereby grants severally and not jointly to the Underwriters the right to purchase at their election up to [ ]</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9" w:name="page80"/>
    <w:bookmarkEnd w:id="79"/>
    <w:p>
      <w:pPr>
        <w:jc w:val="both"/>
        <w:spacing w:after="0" w:line="275" w:lineRule="auto"/>
        <w:rPr>
          <w:sz w:val="20"/>
          <w:szCs w:val="20"/>
          <w:color w:val="auto"/>
        </w:rPr>
      </w:pPr>
      <w:r>
        <w:rPr>
          <w:rFonts w:ascii="Arial" w:cs="Arial" w:eastAsia="Arial" w:hAnsi="Arial"/>
          <w:sz w:val="19"/>
          <w:szCs w:val="19"/>
          <w:color w:val="auto"/>
        </w:rPr>
        <w:t xml:space="preserve">Option Securities, at the purchase price per Option Security set forth in the paragraph above;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purchase price per Option Security shall be reduced by an amount per Option Security equal to any dividends or distributions declared by the Partnership and payable on the [Common/Other] Units but not payable on the Option Securities. Any such election to purchase Option Securities may be exercised only by written notice from the Representatives to the Partnership, given within a period of 30 calendar days after the date of this Agreement, setting forth the aggregate number of Option Securities to be purchased and the business day on which such Option Securities are to be delivered, as determined by the Representatives but in no event earlier than the First Time of Delivery or, unless the Representatives and the Partnership otherwise agree in writing, earlier than two or later than ten business days after the date of such notice.</w:t>
      </w:r>
    </w:p>
    <w:p>
      <w:pPr>
        <w:spacing w:after="0" w:line="185" w:lineRule="exact"/>
        <w:rPr>
          <w:sz w:val="20"/>
          <w:szCs w:val="20"/>
          <w:color w:val="auto"/>
        </w:rPr>
      </w:pPr>
    </w:p>
    <w:p>
      <w:pPr>
        <w:ind w:left="880" w:hanging="224"/>
        <w:spacing w:after="0"/>
        <w:tabs>
          <w:tab w:leader="none" w:pos="8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656"/>
        <w:spacing w:after="0" w:line="270" w:lineRule="auto"/>
        <w:tabs>
          <w:tab w:leader="none" w:pos="933"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The Securities to be purchased by each Underwriter hereunder, in definitive form, and in such authorized denominations and registered in such names as the Representatives may request upon at least forty-eight hours’ prior notice to the Partnership shall be delivered by or on behalf of the Partnership to the Representatives through the facilities of the Depository Trust Company (“</w:t>
      </w:r>
      <w:r>
        <w:rPr>
          <w:rFonts w:ascii="Arial" w:cs="Arial" w:eastAsia="Arial" w:hAnsi="Arial"/>
          <w:sz w:val="19"/>
          <w:szCs w:val="19"/>
          <w:u w:val="single" w:color="auto"/>
          <w:color w:val="auto"/>
        </w:rPr>
        <w:t>DTC</w:t>
      </w:r>
      <w:r>
        <w:rPr>
          <w:rFonts w:ascii="Arial" w:cs="Arial" w:eastAsia="Arial" w:hAnsi="Arial"/>
          <w:sz w:val="19"/>
          <w:szCs w:val="19"/>
          <w:color w:val="auto"/>
        </w:rPr>
        <w:t>”), for the account of such Underwriter against payment by or on behalf of such Underwriter of the purchase price therefor by wire transfer of Federal (same-day) funds to the account specified by the Partnership to the Representatives at least</w:t>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forty-eight hours in advance. The time and date of such delivery and payment shall be, with respect to the Securities, [ ] [a.] [p.]m., New York City time, on [ ], 201[•] or such other time and date as the Representatives and the Partnership may agree upon in writing, but not later than [ ], 201[•], and, with respect to the Option Securities, [ ] [a.][p.]m., New York time, on the date specified by the Representatives in the written notice given by the Representatives’ election to purchase such Option Securities, or such other time and date as the Representatives and the Partnership may agree upon in writing, but not later than [ ], 201[•]. Such time and date for delivery of the Offered Securities is herein called the “</w:t>
      </w:r>
      <w:r>
        <w:rPr>
          <w:rFonts w:ascii="Arial" w:cs="Arial" w:eastAsia="Arial" w:hAnsi="Arial"/>
          <w:sz w:val="21"/>
          <w:szCs w:val="21"/>
          <w:u w:val="single" w:color="auto"/>
          <w:color w:val="auto"/>
        </w:rPr>
        <w:t>First Time of Delivery</w:t>
      </w:r>
      <w:r>
        <w:rPr>
          <w:rFonts w:ascii="Arial" w:cs="Arial" w:eastAsia="Arial" w:hAnsi="Arial"/>
          <w:sz w:val="21"/>
          <w:szCs w:val="21"/>
          <w:color w:val="auto"/>
        </w:rPr>
        <w:t>”, such time and date for delivery of the Option Securities, if not the First Time of Delivery, is herein called the “</w:t>
      </w:r>
      <w:r>
        <w:rPr>
          <w:rFonts w:ascii="Arial" w:cs="Arial" w:eastAsia="Arial" w:hAnsi="Arial"/>
          <w:sz w:val="21"/>
          <w:szCs w:val="21"/>
          <w:u w:val="single" w:color="auto"/>
          <w:color w:val="auto"/>
        </w:rPr>
        <w:t>Second Time of Delivery</w:t>
      </w:r>
      <w:r>
        <w:rPr>
          <w:rFonts w:ascii="Arial" w:cs="Arial" w:eastAsia="Arial" w:hAnsi="Arial"/>
          <w:sz w:val="21"/>
          <w:szCs w:val="21"/>
          <w:color w:val="auto"/>
        </w:rPr>
        <w:t>”, and each such time and date for delivery is herein called a “</w:t>
      </w:r>
      <w:r>
        <w:rPr>
          <w:rFonts w:ascii="Arial" w:cs="Arial" w:eastAsia="Arial" w:hAnsi="Arial"/>
          <w:sz w:val="21"/>
          <w:szCs w:val="21"/>
          <w:u w:val="single" w:color="auto"/>
          <w:color w:val="auto"/>
        </w:rPr>
        <w:t>Time of Delivery</w:t>
      </w:r>
      <w:r>
        <w:rPr>
          <w:rFonts w:ascii="Arial" w:cs="Arial" w:eastAsia="Arial" w:hAnsi="Arial"/>
          <w:sz w:val="21"/>
          <w:szCs w:val="21"/>
          <w:color w:val="auto"/>
        </w:rPr>
        <w:t>”.</w:t>
      </w:r>
    </w:p>
    <w:p>
      <w:pPr>
        <w:spacing w:after="0" w:line="214" w:lineRule="exact"/>
        <w:rPr>
          <w:sz w:val="20"/>
          <w:szCs w:val="20"/>
          <w:color w:val="auto"/>
        </w:rPr>
      </w:pPr>
    </w:p>
    <w:p>
      <w:pPr>
        <w:jc w:val="both"/>
        <w:ind w:firstLine="656"/>
        <w:spacing w:after="0" w:line="275" w:lineRule="auto"/>
        <w:tabs>
          <w:tab w:leader="none" w:pos="979"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The documents to be delivered at each Time of Delivery by or on behalf of the parties hereto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hereof, including the cross receipt for the Securities and any additional documents requested by the Underwriters pursuant to </w:t>
      </w:r>
      <w:r>
        <w:rPr>
          <w:rFonts w:ascii="Arial" w:cs="Arial" w:eastAsia="Arial" w:hAnsi="Arial"/>
          <w:sz w:val="19"/>
          <w:szCs w:val="19"/>
          <w:u w:val="single" w:color="auto"/>
          <w:color w:val="auto"/>
        </w:rPr>
        <w:t>Section 8(n)</w:t>
      </w:r>
      <w:r>
        <w:rPr>
          <w:rFonts w:ascii="Arial" w:cs="Arial" w:eastAsia="Arial" w:hAnsi="Arial"/>
          <w:sz w:val="19"/>
          <w:szCs w:val="19"/>
          <w:color w:val="auto"/>
        </w:rPr>
        <w:t xml:space="preserve"> hereof, will be delivered at the offices of Cravath, Swaine &amp; Moore LLP, Worldwide Plaza, 825 Eighth Avenue, New York, New York 10019 (the “</w:t>
      </w:r>
      <w:r>
        <w:rPr>
          <w:rFonts w:ascii="Arial" w:cs="Arial" w:eastAsia="Arial" w:hAnsi="Arial"/>
          <w:sz w:val="19"/>
          <w:szCs w:val="19"/>
          <w:u w:val="single" w:color="auto"/>
          <w:color w:val="auto"/>
        </w:rPr>
        <w:t>Closing Location</w:t>
      </w:r>
      <w:r>
        <w:rPr>
          <w:rFonts w:ascii="Arial" w:cs="Arial" w:eastAsia="Arial" w:hAnsi="Arial"/>
          <w:sz w:val="19"/>
          <w:szCs w:val="19"/>
          <w:color w:val="auto"/>
        </w:rPr>
        <w:t xml:space="preserve">”).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w:t>
      </w:r>
      <w:r>
        <w:rPr>
          <w:rFonts w:ascii="Arial" w:cs="Arial" w:eastAsia="Arial" w:hAnsi="Arial"/>
          <w:sz w:val="19"/>
          <w:szCs w:val="19"/>
          <w:u w:val="single" w:color="auto"/>
          <w:color w:val="auto"/>
        </w:rPr>
        <w:t>Section 4</w:t>
      </w:r>
      <w:r>
        <w:rPr>
          <w:rFonts w:ascii="Arial" w:cs="Arial" w:eastAsia="Arial" w:hAnsi="Arial"/>
          <w:sz w:val="19"/>
          <w:szCs w:val="19"/>
          <w:color w:val="auto"/>
        </w:rPr>
        <w:t>, “</w:t>
      </w:r>
      <w:r>
        <w:rPr>
          <w:rFonts w:ascii="Arial" w:cs="Arial" w:eastAsia="Arial" w:hAnsi="Arial"/>
          <w:sz w:val="19"/>
          <w:szCs w:val="19"/>
          <w:u w:val="single" w:color="auto"/>
          <w:color w:val="auto"/>
        </w:rPr>
        <w:t>New York Business Day</w:t>
      </w:r>
      <w:r>
        <w:rPr>
          <w:rFonts w:ascii="Arial" w:cs="Arial" w:eastAsia="Arial" w:hAnsi="Arial"/>
          <w:sz w:val="19"/>
          <w:szCs w:val="19"/>
          <w:color w:val="auto"/>
        </w:rPr>
        <w:t>” shall mean each Monday, Tuesday, Wednesday, Thursday and Friday which is not a day on which banking institutions in New York City are generally authorized or obligated by law or executive order to close.</w:t>
      </w:r>
    </w:p>
    <w:p>
      <w:pPr>
        <w:spacing w:after="0" w:line="185" w:lineRule="exact"/>
        <w:rPr>
          <w:sz w:val="20"/>
          <w:szCs w:val="20"/>
          <w:color w:val="auto"/>
        </w:rPr>
      </w:pPr>
    </w:p>
    <w:p>
      <w:pPr>
        <w:ind w:left="5600" w:right="5320" w:hanging="4944"/>
        <w:spacing w:after="0" w:line="536" w:lineRule="auto"/>
        <w:tabs>
          <w:tab w:leader="none" w:pos="866"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Partnership Parties agree with each of the Underwriters: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0" w:name="page81"/>
    <w:bookmarkEnd w:id="80"/>
    <w:p>
      <w:pPr>
        <w:jc w:val="both"/>
        <w:ind w:firstLine="656"/>
        <w:spacing w:after="0" w:line="270" w:lineRule="auto"/>
        <w:tabs>
          <w:tab w:leader="none" w:pos="948" w:val="left"/>
        </w:tabs>
        <w:numPr>
          <w:ilvl w:val="0"/>
          <w:numId w:val="95"/>
        </w:numPr>
        <w:rPr>
          <w:rFonts w:ascii="Arial" w:cs="Arial" w:eastAsia="Arial" w:hAnsi="Arial"/>
          <w:sz w:val="19"/>
          <w:szCs w:val="19"/>
          <w:color w:val="auto"/>
        </w:rPr>
      </w:pPr>
      <w:r>
        <w:rPr>
          <w:rFonts w:ascii="Arial" w:cs="Arial" w:eastAsia="Arial" w:hAnsi="Arial"/>
          <w:sz w:val="19"/>
          <w:szCs w:val="19"/>
          <w:color w:val="auto"/>
        </w:rPr>
        <w:t>To prepare the Final Prospectus in a form approved by the Representatives and to file such Final Prospectus pursuant to Rule 424(b) under the Act not later than the Commission’s close of business on the second business day following the execution and delivery of this Agreement; to make no further amendment or any supplement to the Registration Statement or the Final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Final Prospectus has been filed and to furnish the Representatives with copies thereof; to file promptly all material required to be filed by the Partnership with the Commission pursuant to Rule 433(d) under the Act; to file promptly all reports and any definitive proxy or information statements required to be filed by the Partnership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the Representatives, promptly after it receives notice thereof, of the issuance by the Commission of any stop order or of any order preventing or suspending the use of any Preliminary Prospectus or other prospectus in respect of the Securities, of the suspension of the qualification of the Securities for offering or sale in any jurisdiction, of the initiation or threatening of any proceeding for any such purpose, or of any request by the Commission for the amending or supplementing of the Registration Statement, any Preliminary Prospectus, the Final Prospectus or Issuer Free Writing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94" w:lineRule="exact"/>
        <w:rPr>
          <w:rFonts w:ascii="Arial" w:cs="Arial" w:eastAsia="Arial" w:hAnsi="Arial"/>
          <w:sz w:val="19"/>
          <w:szCs w:val="19"/>
          <w:color w:val="auto"/>
        </w:rPr>
      </w:pPr>
    </w:p>
    <w:p>
      <w:pPr>
        <w:jc w:val="both"/>
        <w:ind w:firstLine="656"/>
        <w:spacing w:after="0" w:line="235" w:lineRule="auto"/>
        <w:tabs>
          <w:tab w:leader="none" w:pos="966" w:val="left"/>
        </w:tabs>
        <w:numPr>
          <w:ilvl w:val="0"/>
          <w:numId w:val="95"/>
        </w:numPr>
        <w:rPr>
          <w:rFonts w:ascii="Arial" w:cs="Arial" w:eastAsia="Arial" w:hAnsi="Arial"/>
          <w:sz w:val="22"/>
          <w:szCs w:val="22"/>
          <w:color w:val="auto"/>
        </w:rPr>
      </w:pPr>
      <w:r>
        <w:rPr>
          <w:rFonts w:ascii="Arial" w:cs="Arial" w:eastAsia="Arial" w:hAnsi="Arial"/>
          <w:sz w:val="22"/>
          <w:szCs w:val="22"/>
          <w:color w:val="auto"/>
        </w:rPr>
        <w:t>Promptly from time to time to take such action as the Representatives may reasonably request to qualify the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Securities, provided that in connection therewith the Partnership shall not be required to qualify as a foreign corporation or to file a general consent to service of process or to subject itself to taxation for doing business in any jurisdiction if it is not otherwise so subject;</w:t>
      </w:r>
    </w:p>
    <w:p>
      <w:pPr>
        <w:spacing w:after="0" w:line="215" w:lineRule="exact"/>
        <w:rPr>
          <w:rFonts w:ascii="Arial" w:cs="Arial" w:eastAsia="Arial" w:hAnsi="Arial"/>
          <w:sz w:val="22"/>
          <w:szCs w:val="22"/>
          <w:color w:val="auto"/>
        </w:rPr>
      </w:pPr>
    </w:p>
    <w:p>
      <w:pPr>
        <w:jc w:val="both"/>
        <w:ind w:firstLine="656"/>
        <w:spacing w:after="0" w:line="274" w:lineRule="auto"/>
        <w:tabs>
          <w:tab w:leader="none" w:pos="943" w:val="left"/>
        </w:tabs>
        <w:numPr>
          <w:ilvl w:val="0"/>
          <w:numId w:val="95"/>
        </w:numPr>
        <w:rPr>
          <w:rFonts w:ascii="Arial" w:cs="Arial" w:eastAsia="Arial" w:hAnsi="Arial"/>
          <w:sz w:val="19"/>
          <w:szCs w:val="19"/>
          <w:color w:val="auto"/>
        </w:rPr>
      </w:pPr>
      <w:r>
        <w:rPr>
          <w:rFonts w:ascii="Arial" w:cs="Arial" w:eastAsia="Arial" w:hAnsi="Arial"/>
          <w:sz w:val="19"/>
          <w:szCs w:val="19"/>
          <w:color w:val="auto"/>
        </w:rPr>
        <w:t>Prior to 10:00 a.m., New York City time, on the New York Business Day next succeeding the date of this Agreement and from time to time, to furnish the Representatives with written and electronic copies of the Final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Final Prospectus in connection with the offering or sale of the Securities and if at such time any event shall have occurred as a result of which the Final Prospectus as then amended or supplemented would include an untrue statement of a material fact or omit to state any material fact necessary in order to make the statements therein, in the light of the circumstances under which they were made when such Final Prospectus (or in lieu thereof, the notice referred to in Rule 173(a) under the Act) is delivered, not misleading, or, if for any other reason it shall be necessary during such same period to amend or supplement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1" w:name="page82"/>
    <w:bookmarkEnd w:id="81"/>
    <w:p>
      <w:pPr>
        <w:jc w:val="both"/>
        <w:spacing w:after="0" w:line="245" w:lineRule="auto"/>
        <w:rPr>
          <w:sz w:val="20"/>
          <w:szCs w:val="20"/>
          <w:color w:val="auto"/>
        </w:rPr>
      </w:pPr>
      <w:r>
        <w:rPr>
          <w:rFonts w:ascii="Arial" w:cs="Arial" w:eastAsia="Arial" w:hAnsi="Arial"/>
          <w:sz w:val="21"/>
          <w:szCs w:val="21"/>
          <w:color w:val="auto"/>
        </w:rPr>
        <w:t>Final Prospectus or to file under the Exchange Act any document incorporated by reference in the Final Prospectus in order to comply with the Act or the Exchange Act, to notify the Representatives and upon the request of the Representatives to file such document or to prepare and furnish without charge to each Underwriter and to any dealer in securities as many written and electronic copies as the Representatives may from time to time reasonably request of an amended Final Prospectus or a supplement to the Final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Final Prospectus, upon the request of the Representatives but at the expense of such Underwriter, to prepare and deliver to such Underwriter as many written and electronic copies as the Representatives may request of an amended or supplemented Final Prospectus complying with Section 10(a)(3) of the Act;</w:t>
      </w:r>
    </w:p>
    <w:p>
      <w:pPr>
        <w:spacing w:after="0" w:line="209" w:lineRule="exact"/>
        <w:rPr>
          <w:sz w:val="20"/>
          <w:szCs w:val="20"/>
          <w:color w:val="auto"/>
        </w:rPr>
      </w:pPr>
    </w:p>
    <w:p>
      <w:pPr>
        <w:jc w:val="both"/>
        <w:ind w:right="20" w:firstLine="656"/>
        <w:spacing w:after="0" w:line="252" w:lineRule="auto"/>
        <w:tabs>
          <w:tab w:leader="none" w:pos="963" w:val="left"/>
        </w:tabs>
        <w:numPr>
          <w:ilvl w:val="0"/>
          <w:numId w:val="96"/>
        </w:numPr>
        <w:rPr>
          <w:rFonts w:ascii="Arial" w:cs="Arial" w:eastAsia="Arial" w:hAnsi="Arial"/>
          <w:sz w:val="21"/>
          <w:szCs w:val="21"/>
          <w:color w:val="auto"/>
        </w:rPr>
      </w:pPr>
      <w:r>
        <w:rPr>
          <w:rFonts w:ascii="Arial" w:cs="Arial" w:eastAsia="Arial" w:hAnsi="Arial"/>
          <w:sz w:val="21"/>
          <w:szCs w:val="21"/>
          <w:color w:val="auto"/>
        </w:rPr>
        <w:t>To make generally available to its securityholders as soon as practicable, but in any event not later than sixteen months after the effective date of the Registration Statement (as defined in Rule 158(c) under the Act), an earnings statement of the Partnership and its subsidiaries (which need not be audited) complying with Section 11(a) of the Act and the rules and regulations of the Commission thereunder (including, at the option of the Partnership, Rule 158);</w:t>
      </w:r>
    </w:p>
    <w:p>
      <w:pPr>
        <w:spacing w:after="0" w:line="201" w:lineRule="exact"/>
        <w:rPr>
          <w:rFonts w:ascii="Arial" w:cs="Arial" w:eastAsia="Arial" w:hAnsi="Arial"/>
          <w:sz w:val="21"/>
          <w:szCs w:val="21"/>
          <w:color w:val="auto"/>
        </w:rPr>
      </w:pPr>
    </w:p>
    <w:p>
      <w:pPr>
        <w:jc w:val="both"/>
        <w:ind w:firstLine="656"/>
        <w:spacing w:after="0" w:line="271" w:lineRule="auto"/>
        <w:tabs>
          <w:tab w:leader="none" w:pos="951" w:val="left"/>
        </w:tabs>
        <w:numPr>
          <w:ilvl w:val="0"/>
          <w:numId w:val="96"/>
        </w:numPr>
        <w:rPr>
          <w:rFonts w:ascii="Arial" w:cs="Arial" w:eastAsia="Arial" w:hAnsi="Arial"/>
          <w:sz w:val="19"/>
          <w:szCs w:val="19"/>
          <w:color w:val="auto"/>
        </w:rPr>
      </w:pPr>
      <w:r>
        <w:rPr>
          <w:rFonts w:ascii="Arial" w:cs="Arial" w:eastAsia="Arial" w:hAnsi="Arial"/>
          <w:sz w:val="19"/>
          <w:szCs w:val="19"/>
          <w:color w:val="auto"/>
        </w:rPr>
        <w:t>During the period beginning from the date hereof and continuing to and including the date [•] days after the date of the Final Prospectus (the “</w:t>
      </w:r>
      <w:r>
        <w:rPr>
          <w:rFonts w:ascii="Arial" w:cs="Arial" w:eastAsia="Arial" w:hAnsi="Arial"/>
          <w:sz w:val="19"/>
          <w:szCs w:val="19"/>
          <w:u w:val="single" w:color="auto"/>
          <w:color w:val="auto"/>
        </w:rPr>
        <w:t>Lock-Up Period</w:t>
      </w:r>
      <w:r>
        <w:rPr>
          <w:rFonts w:ascii="Arial" w:cs="Arial" w:eastAsia="Arial" w:hAnsi="Arial"/>
          <w:sz w:val="19"/>
          <w:szCs w:val="19"/>
          <w:color w:val="auto"/>
        </w:rPr>
        <w:t>”), not to (i) offer, sell, contract to sell, pledge, grant any option to purchase, make any short sale or otherwise transfer or dispose of, directly or indirectly, or file with the Commission a registration statement under the Act relating to, any securities of the Partnership that are substantially similar to the Securities including but not limited to any options to purchase any Securities or publicly disclose the intention to make any offer, sale, pledge, disposition or filing or (ii) enter into any swap or other agreement that transfers, in whole or in part, any of the economic consequences of ownership of the Securities or any such other securities, whether any such transaction described in clause (i) or (ii) above is to be settled by delivery of the Securities or such other securities, in cash or otherwise (other than (x) the Securities to be sold hereunder, (y) securities offered or sold pursuant to employee stock option or other incentive compensation plans or employment arrangements existing on the date hereof as described in the Pricing Prospectus, or, provided such securities do not vest or become exercisable until after the Lock-Up Period, pursuant to incentive compensation plans or employment arrangements entered into in the ordinary course, or (z) the establishment of a trading plan pursuant to Rule 10b5-1 under the Act, for the transfer of [Common/Other] Units, provided that such plan does not provide for the transfer of [Common/Other] Units during the Lock-Up Period), without the prior written consent of the Representatives;</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firstLine="656"/>
        <w:spacing w:after="0" w:line="236" w:lineRule="auto"/>
        <w:tabs>
          <w:tab w:leader="none" w:pos="931" w:val="left"/>
        </w:tabs>
        <w:numPr>
          <w:ilvl w:val="0"/>
          <w:numId w:val="96"/>
        </w:numPr>
        <w:rPr>
          <w:rFonts w:ascii="Arial" w:cs="Arial" w:eastAsia="Arial" w:hAnsi="Arial"/>
          <w:sz w:val="22"/>
          <w:szCs w:val="22"/>
          <w:color w:val="auto"/>
        </w:rPr>
      </w:pPr>
      <w:r>
        <w:rPr>
          <w:rFonts w:ascii="Arial" w:cs="Arial" w:eastAsia="Arial" w:hAnsi="Arial"/>
          <w:sz w:val="22"/>
          <w:szCs w:val="22"/>
          <w:color w:val="auto"/>
        </w:rPr>
        <w:t>During the first 12 months following the last Time of Delivery, to furnish to its unitholders as soon as practicable after the end of each fiscal year an annual report (including a balance sheet and statements of income, unitholders’ equity and cash flows of the Partnership and its consolidated subsidiaries certified by an independent registered public accounting firm) and, as soon as practicable after the end of each of the first three quarters of each fiscal year (beginning with the fiscal quarter ending after the effective date of the Registration Statement),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2" w:name="page83"/>
    <w:bookmarkEnd w:id="82"/>
    <w:p>
      <w:pPr>
        <w:jc w:val="both"/>
        <w:spacing w:after="0" w:line="287" w:lineRule="auto"/>
        <w:rPr>
          <w:sz w:val="20"/>
          <w:szCs w:val="20"/>
          <w:color w:val="auto"/>
        </w:rPr>
      </w:pPr>
      <w:r>
        <w:rPr>
          <w:rFonts w:ascii="Arial" w:cs="Arial" w:eastAsia="Arial" w:hAnsi="Arial"/>
          <w:sz w:val="19"/>
          <w:szCs w:val="19"/>
          <w:color w:val="auto"/>
        </w:rPr>
        <w:t xml:space="preserve">to make available to its unitholders consolidated summary financial information of the Partnership and its subsidiaries for such quarter in reasonable detail reviewed in accordance with SAS 100 by an independent registered public accounting firm;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may satisfy the requirements of this subsection by making any such reports, communications or</w:t>
      </w:r>
      <w:r>
        <w:rPr>
          <w:rFonts w:ascii="Arial" w:cs="Arial" w:eastAsia="Arial" w:hAnsi="Arial"/>
          <w:sz w:val="19"/>
          <w:szCs w:val="19"/>
          <w:i w:val="1"/>
          <w:iCs w:val="1"/>
          <w:color w:val="auto"/>
        </w:rPr>
        <w:t xml:space="preserve"> </w:t>
      </w:r>
      <w:r>
        <w:rPr>
          <w:rFonts w:ascii="Arial" w:cs="Arial" w:eastAsia="Arial" w:hAnsi="Arial"/>
          <w:sz w:val="19"/>
          <w:szCs w:val="19"/>
          <w:color w:val="auto"/>
        </w:rPr>
        <w:t>information available on its website or by filing or furnishing such information with the Commission via EDGAR;</w:t>
      </w:r>
    </w:p>
    <w:p>
      <w:pPr>
        <w:spacing w:after="0" w:line="170" w:lineRule="exact"/>
        <w:rPr>
          <w:sz w:val="20"/>
          <w:szCs w:val="20"/>
          <w:color w:val="auto"/>
        </w:rPr>
      </w:pPr>
    </w:p>
    <w:p>
      <w:pPr>
        <w:jc w:val="both"/>
        <w:ind w:firstLine="656"/>
        <w:spacing w:after="0" w:line="279" w:lineRule="auto"/>
        <w:tabs>
          <w:tab w:leader="none" w:pos="973"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During a period of three years from the effective date of the Registration Statement, to furnish to the Representatives copies of all reports or other communications (financial or other) furnished to its unitholders, and to deliver to the Representatives as soon as they are available, copies of any reports and financial statements furnished to or filed with the Commission or any national securities exchange on which any class of securities of the Partnership is listed;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may satisfy the requirements of this subsection by making any such reports, communications or information available on its web site or by filing or furnishing such information with the Commission via EDGAR;</w:t>
      </w:r>
    </w:p>
    <w:p>
      <w:pPr>
        <w:spacing w:after="0" w:line="177" w:lineRule="exact"/>
        <w:rPr>
          <w:rFonts w:ascii="Arial" w:cs="Arial" w:eastAsia="Arial" w:hAnsi="Arial"/>
          <w:sz w:val="19"/>
          <w:szCs w:val="19"/>
          <w:color w:val="auto"/>
        </w:rPr>
      </w:pPr>
    </w:p>
    <w:p>
      <w:pPr>
        <w:jc w:val="both"/>
        <w:ind w:firstLine="656"/>
        <w:spacing w:after="0"/>
        <w:tabs>
          <w:tab w:leader="none" w:pos="962"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The Partnership will promptly notify the Representatives if the Partnership ceases to be an Emerging Growth Company at any time prior to the later of (i) completion of the distribution of the Securities within the meaning of the Act and (ii) completion of the Lock-Up Period referred to in </w:t>
      </w:r>
      <w:r>
        <w:rPr>
          <w:rFonts w:ascii="Arial" w:cs="Arial" w:eastAsia="Arial" w:hAnsi="Arial"/>
          <w:sz w:val="22"/>
          <w:szCs w:val="22"/>
          <w:u w:val="single" w:color="auto"/>
          <w:color w:val="auto"/>
        </w:rPr>
        <w:t>Section 5(e)</w:t>
      </w:r>
      <w:r>
        <w:rPr>
          <w:rFonts w:ascii="Arial" w:cs="Arial" w:eastAsia="Arial" w:hAnsi="Arial"/>
          <w:sz w:val="22"/>
          <w:szCs w:val="22"/>
          <w:color w:val="auto"/>
        </w:rPr>
        <w:t xml:space="preserve"> hereof;</w:t>
      </w:r>
    </w:p>
    <w:p>
      <w:pPr>
        <w:spacing w:after="0" w:line="213" w:lineRule="exact"/>
        <w:rPr>
          <w:rFonts w:ascii="Arial" w:cs="Arial" w:eastAsia="Arial" w:hAnsi="Arial"/>
          <w:sz w:val="22"/>
          <w:szCs w:val="22"/>
          <w:color w:val="auto"/>
        </w:rPr>
      </w:pPr>
    </w:p>
    <w:p>
      <w:pPr>
        <w:ind w:firstLine="656"/>
        <w:spacing w:after="0" w:line="251" w:lineRule="auto"/>
        <w:tabs>
          <w:tab w:leader="none" w:pos="929" w:val="left"/>
        </w:tabs>
        <w:numPr>
          <w:ilvl w:val="0"/>
          <w:numId w:val="97"/>
        </w:numPr>
        <w:rPr>
          <w:rFonts w:ascii="Arial" w:cs="Arial" w:eastAsia="Arial" w:hAnsi="Arial"/>
          <w:sz w:val="22"/>
          <w:szCs w:val="22"/>
          <w:color w:val="auto"/>
        </w:rPr>
      </w:pPr>
      <w:r>
        <w:rPr>
          <w:rFonts w:ascii="Arial" w:cs="Arial" w:eastAsia="Arial" w:hAnsi="Arial"/>
          <w:sz w:val="22"/>
          <w:szCs w:val="22"/>
          <w:color w:val="auto"/>
        </w:rPr>
        <w:t>To use the net proceeds received by the Partnership from the sale of the Securities pursuant to this Agreement in the manner specified in the Pricing Prospectus under the caption “Use of Proceeds”;</w:t>
      </w:r>
    </w:p>
    <w:p>
      <w:pPr>
        <w:spacing w:after="0" w:line="200" w:lineRule="exact"/>
        <w:rPr>
          <w:rFonts w:ascii="Arial" w:cs="Arial" w:eastAsia="Arial" w:hAnsi="Arial"/>
          <w:sz w:val="22"/>
          <w:szCs w:val="22"/>
          <w:color w:val="auto"/>
        </w:rPr>
      </w:pPr>
    </w:p>
    <w:p>
      <w:pPr>
        <w:ind w:left="920" w:hanging="264"/>
        <w:spacing w:after="0"/>
        <w:tabs>
          <w:tab w:leader="none" w:pos="9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To use its reasonable best efforts to list, subject to notice of issuance, the Securities on the Exchange;</w:t>
      </w:r>
    </w:p>
    <w:p>
      <w:pPr>
        <w:spacing w:after="0" w:line="233" w:lineRule="exact"/>
        <w:rPr>
          <w:rFonts w:ascii="Arial" w:cs="Arial" w:eastAsia="Arial" w:hAnsi="Arial"/>
          <w:sz w:val="22"/>
          <w:szCs w:val="22"/>
          <w:color w:val="auto"/>
        </w:rPr>
      </w:pPr>
    </w:p>
    <w:p>
      <w:pPr>
        <w:ind w:left="960" w:hanging="304"/>
        <w:spacing w:after="0"/>
        <w:tabs>
          <w:tab w:leader="none" w:pos="9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To file with the Commission such information on Form 20-F as may be required by Rule 463 under the Act;</w:t>
      </w:r>
    </w:p>
    <w:p>
      <w:pPr>
        <w:spacing w:after="0" w:line="233" w:lineRule="exact"/>
        <w:rPr>
          <w:rFonts w:ascii="Arial" w:cs="Arial" w:eastAsia="Arial" w:hAnsi="Arial"/>
          <w:sz w:val="22"/>
          <w:szCs w:val="22"/>
          <w:color w:val="auto"/>
        </w:rPr>
      </w:pPr>
    </w:p>
    <w:p>
      <w:pPr>
        <w:jc w:val="both"/>
        <w:ind w:firstLine="656"/>
        <w:spacing w:after="0" w:line="252" w:lineRule="auto"/>
        <w:tabs>
          <w:tab w:leader="none" w:pos="908" w:val="left"/>
        </w:tabs>
        <w:numPr>
          <w:ilvl w:val="0"/>
          <w:numId w:val="97"/>
        </w:numPr>
        <w:rPr>
          <w:rFonts w:ascii="Arial" w:cs="Arial" w:eastAsia="Arial" w:hAnsi="Arial"/>
          <w:sz w:val="21"/>
          <w:szCs w:val="21"/>
          <w:color w:val="auto"/>
        </w:rPr>
      </w:pPr>
      <w:r>
        <w:rPr>
          <w:rFonts w:ascii="Arial" w:cs="Arial" w:eastAsia="Arial" w:hAnsi="Arial"/>
          <w:sz w:val="21"/>
          <w:szCs w:val="21"/>
          <w:color w:val="auto"/>
        </w:rPr>
        <w:t>If the Partnership elects to rely upon Rule 462(b), the Partnership shall file a Rule 462(b) Registration Statement with the Commission in compliance with Rule 462(b) by 10:00 p.m., New York time, on the date of this Agreement, and the Partnership shall at the time of filing either pay to the Commission the filing fee for the Rule 462(b) Registration Statement or give irrevocable instructions for the payment of such fee pursuant to Rule 111(b) under the Act; and</w:t>
      </w:r>
    </w:p>
    <w:p>
      <w:pPr>
        <w:spacing w:after="0" w:line="201" w:lineRule="exact"/>
        <w:rPr>
          <w:rFonts w:ascii="Arial" w:cs="Arial" w:eastAsia="Arial" w:hAnsi="Arial"/>
          <w:sz w:val="21"/>
          <w:szCs w:val="21"/>
          <w:color w:val="auto"/>
        </w:rPr>
      </w:pPr>
    </w:p>
    <w:p>
      <w:pPr>
        <w:jc w:val="both"/>
        <w:ind w:firstLine="656"/>
        <w:spacing w:after="0" w:line="287" w:lineRule="auto"/>
        <w:tabs>
          <w:tab w:leader="none" w:pos="1023" w:val="left"/>
        </w:tabs>
        <w:numPr>
          <w:ilvl w:val="0"/>
          <w:numId w:val="97"/>
        </w:numPr>
        <w:rPr>
          <w:rFonts w:ascii="Arial" w:cs="Arial" w:eastAsia="Arial" w:hAnsi="Arial"/>
          <w:sz w:val="19"/>
          <w:szCs w:val="19"/>
          <w:color w:val="auto"/>
        </w:rPr>
      </w:pPr>
      <w:r>
        <w:rPr>
          <w:rFonts w:ascii="Arial" w:cs="Arial" w:eastAsia="Arial" w:hAnsi="Arial"/>
          <w:sz w:val="19"/>
          <w:szCs w:val="19"/>
          <w:color w:val="auto"/>
        </w:rPr>
        <w:t>Upon request of any Underwriter, to furnish, or cause to be furnished, to such Underwriter an electronic version of the Partnership’s trademarks, servicemarks and corporate logo for use on the website, if any, operated by such Underwriter for the purpose of facilitating the on-line offering of the Securities (the “</w:t>
      </w:r>
      <w:r>
        <w:rPr>
          <w:rFonts w:ascii="Arial" w:cs="Arial" w:eastAsia="Arial" w:hAnsi="Arial"/>
          <w:sz w:val="19"/>
          <w:szCs w:val="19"/>
          <w:u w:val="single" w:color="auto"/>
          <w:color w:val="auto"/>
        </w:rPr>
        <w:t>License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License shall be used solely for the purpose described above, is granted without any fee and may not be assigned or transferred.</w:t>
      </w:r>
    </w:p>
    <w:p>
      <w:pPr>
        <w:spacing w:after="0" w:line="170" w:lineRule="exact"/>
        <w:rPr>
          <w:sz w:val="20"/>
          <w:szCs w:val="20"/>
          <w:color w:val="auto"/>
        </w:rPr>
      </w:pPr>
    </w:p>
    <w:p>
      <w:pPr>
        <w:ind w:firstLine="656"/>
        <w:spacing w:after="0" w:line="251" w:lineRule="auto"/>
        <w:tabs>
          <w:tab w:leader="none" w:pos="873" w:val="left"/>
        </w:tabs>
        <w:numPr>
          <w:ilvl w:val="0"/>
          <w:numId w:val="98"/>
        </w:numPr>
        <w:rPr>
          <w:rFonts w:ascii="Arial" w:cs="Arial" w:eastAsia="Arial" w:hAnsi="Arial"/>
          <w:sz w:val="22"/>
          <w:szCs w:val="22"/>
          <w:color w:val="auto"/>
        </w:rPr>
      </w:pPr>
      <w:r>
        <w:rPr>
          <w:rFonts w:ascii="Arial" w:cs="Arial" w:eastAsia="Arial" w:hAnsi="Arial"/>
          <w:sz w:val="22"/>
          <w:szCs w:val="22"/>
          <w:color w:val="auto"/>
        </w:rPr>
        <w:t>(a) The Partnership represents and agrees that, without the prior consent of the Representatives, it has not made and will not make any offer relating to the Securities that would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3" w:name="page84"/>
    <w:bookmarkEnd w:id="83"/>
    <w:p>
      <w:pPr>
        <w:jc w:val="both"/>
        <w:spacing w:after="0" w:line="287" w:lineRule="auto"/>
        <w:rPr>
          <w:sz w:val="20"/>
          <w:szCs w:val="20"/>
          <w:color w:val="auto"/>
        </w:rPr>
      </w:pPr>
      <w:r>
        <w:rPr>
          <w:rFonts w:ascii="Arial" w:cs="Arial" w:eastAsia="Arial" w:hAnsi="Arial"/>
          <w:sz w:val="19"/>
          <w:szCs w:val="19"/>
          <w:color w:val="auto"/>
        </w:rPr>
        <w:t xml:space="preserve">constitute a “free writing prospectus” as defined in Rule 405 under the Act; each Underwriter represents and agrees that, without the prior consent of the Partnership and the Representatives, it has not made and will not make any offer relating to the Securities that would constitute a free writing prospectus required to be filed with the Commission; any such free writing prospectus the use of which has been consented to by the Partnership and the Representatives is listed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w:t>
      </w:r>
    </w:p>
    <w:p>
      <w:pPr>
        <w:spacing w:after="0" w:line="170" w:lineRule="exact"/>
        <w:rPr>
          <w:sz w:val="20"/>
          <w:szCs w:val="20"/>
          <w:color w:val="auto"/>
        </w:rPr>
      </w:pPr>
    </w:p>
    <w:p>
      <w:pPr>
        <w:ind w:firstLine="656"/>
        <w:spacing w:after="0" w:line="274" w:lineRule="auto"/>
        <w:tabs>
          <w:tab w:leader="none" w:pos="958"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Partnership has complied and will comply with the requirements of Rule 433 under the Act applicable to any Issuer Free Writing Prospectus, including timely filing with the Commission or retention where required and legending.</w:t>
      </w:r>
    </w:p>
    <w:p>
      <w:pPr>
        <w:spacing w:after="0" w:line="177" w:lineRule="exact"/>
        <w:rPr>
          <w:rFonts w:ascii="Arial" w:cs="Arial" w:eastAsia="Arial" w:hAnsi="Arial"/>
          <w:sz w:val="21"/>
          <w:szCs w:val="21"/>
          <w:color w:val="auto"/>
        </w:rPr>
      </w:pPr>
    </w:p>
    <w:p>
      <w:pPr>
        <w:jc w:val="both"/>
        <w:ind w:firstLine="656"/>
        <w:spacing w:after="0" w:line="274" w:lineRule="auto"/>
        <w:tabs>
          <w:tab w:leader="none" w:pos="946"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The Partnership agrees that if at any time following issuance of an Issuer Free Writing Prospectus any event occurred or occurs as a result of which such Issuer Free Writing Prospectus would conflict with the information in the Registration Statement, the Pricing Prospectus or the Final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which will correct such conflict, statement or omission;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w:t>
      </w:r>
    </w:p>
    <w:p>
      <w:pPr>
        <w:spacing w:after="0" w:line="186" w:lineRule="exact"/>
        <w:rPr>
          <w:sz w:val="20"/>
          <w:szCs w:val="20"/>
          <w:color w:val="auto"/>
        </w:rPr>
      </w:pPr>
    </w:p>
    <w:p>
      <w:pPr>
        <w:jc w:val="both"/>
        <w:ind w:firstLine="656"/>
        <w:spacing w:after="0" w:line="271" w:lineRule="auto"/>
        <w:tabs>
          <w:tab w:leader="none" w:pos="87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The Partnership covenants and agrees with the several Underwriters that the Partnership will pay or cause to be paid the following: (i) the reasonable fees, disbursements and expenses of the Partnership’s counsel and accountants in connection with the registration of the Securities under the Act and all other expenses in connection with the preparation, printing, reproduction and filing of the Registration Statement, any Preliminary Prospectus, any Issuer Free Writing Prospectus and the Final Prospectus and amendments and supplements thereto and the mailing and delivering of copies thereof to the Underwriters and dealers up to an agreed amount; (ii) the cost of printing or producing any agreement among the Underwriters, this Agreement, [the Indenture], any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hereof, including the fees and disbursements of counsel for the Underwriters in connection with such qualification and in connection with the Blue Sky survey; (iv) all fees and expenses in connection with listing the Securities on the Exchange; (v) the filing fees incident to, and the fees and disbursements of counsel for the Underwriters in connection with, any required review by FINRA of the terms of the sale of the Securities (such expenses of counsel shall not exceed $25,000); (vi) the cost of preparing certificates, as applicable; (vii) the cost and charges of any transfer agent or registrar; and (viii) all other costs and expenses incident to the performance of its obligations hereunder which are not otherwise specifically provided for in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It is understood, however, that the Underwriters will pay, except as provided in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hereof, all of their own costs and expenses, including the fees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4" w:name="page85"/>
    <w:bookmarkEnd w:id="84"/>
    <w:p>
      <w:pPr>
        <w:spacing w:after="0" w:line="251" w:lineRule="auto"/>
        <w:rPr>
          <w:sz w:val="20"/>
          <w:szCs w:val="20"/>
          <w:color w:val="auto"/>
        </w:rPr>
      </w:pPr>
      <w:r>
        <w:rPr>
          <w:rFonts w:ascii="Arial" w:cs="Arial" w:eastAsia="Arial" w:hAnsi="Arial"/>
          <w:sz w:val="22"/>
          <w:szCs w:val="22"/>
          <w:color w:val="auto"/>
        </w:rPr>
        <w:t>disbursements of their counsel, transfer taxes on resale of any of the Securities by them, and any advertising expenses connected with any offers they may make.</w:t>
      </w:r>
    </w:p>
    <w:p>
      <w:pPr>
        <w:spacing w:after="0" w:line="200" w:lineRule="exact"/>
        <w:rPr>
          <w:sz w:val="20"/>
          <w:szCs w:val="20"/>
          <w:color w:val="auto"/>
        </w:rPr>
      </w:pPr>
    </w:p>
    <w:p>
      <w:pPr>
        <w:jc w:val="both"/>
        <w:ind w:firstLine="656"/>
        <w:spacing w:after="0" w:line="287" w:lineRule="auto"/>
        <w:tabs>
          <w:tab w:leader="none" w:pos="88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obligations of the Underwriters hereunder, as to the Securities to be delivered at each Time of Delivery, shall be subject, in their discretion, to the condition that all representations and warranties and other statements of the Partnership Parties herein are, at and as of such Time of Delivery, true and correct, the condition that the Partnership Parties shall have performed all of their obligations hereunder theretofore to be performed, and the following additional conditions:</w:t>
      </w:r>
    </w:p>
    <w:p>
      <w:pPr>
        <w:spacing w:after="0" w:line="170" w:lineRule="exact"/>
        <w:rPr>
          <w:sz w:val="20"/>
          <w:szCs w:val="20"/>
          <w:color w:val="auto"/>
        </w:rPr>
      </w:pPr>
    </w:p>
    <w:p>
      <w:pPr>
        <w:jc w:val="both"/>
        <w:ind w:firstLine="656"/>
        <w:spacing w:after="0" w:line="245" w:lineRule="auto"/>
        <w:tabs>
          <w:tab w:leader="none" w:pos="97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The Final Prospectus shall have been filed with the Commission pursuant to Rule 424(b) under the Act within the applicable time period prescribed for such filing by the rules and regulations under the Act and in accordance with </w:t>
      </w:r>
      <w:r>
        <w:rPr>
          <w:rFonts w:ascii="Arial" w:cs="Arial" w:eastAsia="Arial" w:hAnsi="Arial"/>
          <w:sz w:val="21"/>
          <w:szCs w:val="21"/>
          <w:u w:val="single" w:color="auto"/>
          <w:color w:val="auto"/>
        </w:rPr>
        <w:t>Section 5(a)</w:t>
      </w:r>
      <w:r>
        <w:rPr>
          <w:rFonts w:ascii="Arial" w:cs="Arial" w:eastAsia="Arial" w:hAnsi="Arial"/>
          <w:sz w:val="21"/>
          <w:szCs w:val="21"/>
          <w:color w:val="auto"/>
        </w:rPr>
        <w:t xml:space="preserve"> hereof; all material required to be filed by the Partnership pursuant to Rule 433(d) under the Act shall have been filed with the Commission within the applicable time period prescribed for such filing by Rule 433; if the Partnership has elected to rely upon Rule 462(b) under the Act, the Rule 462(b) Registration Statement shall have become effective by 10:00 p.m., New York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Final Prospectus or any Issuer Free Writing Prospectus shall have been initiated or threatened by the Commission; and all requests for additional information on the part of the Commission shall have been complied with to the reasonable satisfaction of the Representatives;</w:t>
      </w:r>
    </w:p>
    <w:p>
      <w:pPr>
        <w:spacing w:after="0" w:line="208" w:lineRule="exact"/>
        <w:rPr>
          <w:rFonts w:ascii="Arial" w:cs="Arial" w:eastAsia="Arial" w:hAnsi="Arial"/>
          <w:sz w:val="21"/>
          <w:szCs w:val="21"/>
          <w:color w:val="auto"/>
        </w:rPr>
      </w:pPr>
    </w:p>
    <w:p>
      <w:pPr>
        <w:jc w:val="both"/>
        <w:ind w:firstLine="656"/>
        <w:spacing w:after="0" w:line="258" w:lineRule="auto"/>
        <w:tabs>
          <w:tab w:leader="none" w:pos="96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 counsel for the Underwriters, shall have furnished to the Representatives such written opinion or opinions, dated such Time of Delivery, in form and substance reasonably satisfactory to the Representatives, and such counsel shall have received such papers and information as they may reasonably request to enable them to pass upon such matters;</w:t>
      </w:r>
    </w:p>
    <w:p>
      <w:pPr>
        <w:spacing w:after="0" w:line="193" w:lineRule="exact"/>
        <w:rPr>
          <w:rFonts w:ascii="Arial" w:cs="Arial" w:eastAsia="Arial" w:hAnsi="Arial"/>
          <w:sz w:val="21"/>
          <w:szCs w:val="21"/>
          <w:color w:val="auto"/>
        </w:rPr>
      </w:pPr>
    </w:p>
    <w:p>
      <w:pPr>
        <w:jc w:val="both"/>
        <w:ind w:firstLine="656"/>
        <w:spacing w:after="0"/>
        <w:tabs>
          <w:tab w:leader="none" w:pos="94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Cravath, Swaine &amp; Moore LLP, U.S.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w:t>
      </w:r>
    </w:p>
    <w:p>
      <w:pPr>
        <w:spacing w:after="0" w:line="213" w:lineRule="exact"/>
        <w:rPr>
          <w:rFonts w:ascii="Arial" w:cs="Arial" w:eastAsia="Arial" w:hAnsi="Arial"/>
          <w:sz w:val="22"/>
          <w:szCs w:val="22"/>
          <w:color w:val="auto"/>
        </w:rPr>
      </w:pPr>
    </w:p>
    <w:p>
      <w:pPr>
        <w:jc w:val="both"/>
        <w:ind w:firstLine="656"/>
        <w:spacing w:after="0"/>
        <w:tabs>
          <w:tab w:leader="none" w:pos="96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Cozen O’Connor, special counsel on matters of Marshall Islands law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22"/>
          <w:szCs w:val="22"/>
          <w:u w:val="single" w:color="auto"/>
          <w:color w:val="auto"/>
        </w:rPr>
        <w:t>Annex II</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tabs>
          <w:tab w:leader="none" w:pos="97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Conyers Dill &amp; Pearman Limited, special Bermuda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22"/>
          <w:szCs w:val="22"/>
          <w:u w:val="single" w:color="auto"/>
          <w:color w:val="auto"/>
        </w:rPr>
        <w:t>Annex III</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tabs>
          <w:tab w:leader="none" w:pos="98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CMS Cameron McKenna LLP, special English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22"/>
          <w:szCs w:val="22"/>
          <w:u w:val="single" w:color="auto"/>
          <w:color w:val="auto"/>
        </w:rPr>
        <w:t>Annex IV</w:t>
      </w:r>
      <w:r>
        <w:rPr>
          <w:rFonts w:ascii="Arial" w:cs="Arial" w:eastAsia="Arial" w:hAnsi="Arial"/>
          <w:sz w:val="22"/>
          <w:szCs w:val="22"/>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5" w:name="page86"/>
    <w:bookmarkEnd w:id="85"/>
    <w:p>
      <w:pPr>
        <w:jc w:val="both"/>
        <w:ind w:firstLine="656"/>
        <w:spacing w:after="0" w:line="287" w:lineRule="auto"/>
        <w:tabs>
          <w:tab w:leader="none" w:pos="97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On the date hereof and at each Time of Delivery, Deloitte LLP shall have furnished to the Representatives a letter or letters, dated the respective dates of delivery thereof, containing statements and information of the type ordinarily included in accountants’ “comfort letters” to underwriters with respect to the financial statements and certain financial information contained in the Registration Statement, Pricing Prospectus and Final Prospectus, in form and substance satisfactory to the Representatives;</w:t>
      </w:r>
    </w:p>
    <w:p>
      <w:pPr>
        <w:spacing w:after="0" w:line="170" w:lineRule="exact"/>
        <w:rPr>
          <w:rFonts w:ascii="Arial" w:cs="Arial" w:eastAsia="Arial" w:hAnsi="Arial"/>
          <w:sz w:val="19"/>
          <w:szCs w:val="19"/>
          <w:color w:val="auto"/>
        </w:rPr>
      </w:pPr>
    </w:p>
    <w:p>
      <w:pPr>
        <w:jc w:val="both"/>
        <w:ind w:firstLine="656"/>
        <w:spacing w:after="0" w:line="244" w:lineRule="auto"/>
        <w:tabs>
          <w:tab w:leader="none" w:pos="959"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 None of the Partnership Entities shall have sustained since the date of the latest audited financial statements included or incorporated by reference in the Pricing Prospectus any loss or interference with its business from fire, explosion, flood, piracy, terrorism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or long-term debt of the Partnership Entities or any change, or any development involving a prospective change, in or affecting the general affairs, management, financial position, unitholders’ or shareholders’ equity, as applicable, or results of operations of the Partnership Entities, otherwise than as set forth or contemplated in the Pricing Prospectus, the effect of which, in any such case described in clause (i) or (ii), is in the judgment of the Representatives so material and adverse as to make it impracticable or inadvisable to proceed with the public offering or the delivery of the Securities being delivered at such Time of Delivery on the terms and in the manner contemplated in the Final Prospectus;</w:t>
      </w:r>
    </w:p>
    <w:p>
      <w:pPr>
        <w:spacing w:after="0" w:line="216" w:lineRule="exact"/>
        <w:rPr>
          <w:rFonts w:ascii="Arial" w:cs="Arial" w:eastAsia="Arial" w:hAnsi="Arial"/>
          <w:sz w:val="21"/>
          <w:szCs w:val="21"/>
          <w:color w:val="auto"/>
        </w:rPr>
      </w:pPr>
    </w:p>
    <w:p>
      <w:pPr>
        <w:jc w:val="both"/>
        <w:ind w:firstLine="656"/>
        <w:spacing w:after="0" w:line="287" w:lineRule="auto"/>
        <w:tabs>
          <w:tab w:leader="none" w:pos="92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On or after the Applicable Time (i) no downgrading shall have occurred in the rating accorded the Partnership Parties’ debt securities or preferred stock by any “nationally recognized statistical rating organization”, as such term is defined in Section 3(a)(62) of the Exchange Act and (ii) no such organization shall have publicly announced that it has under surveillance or review, with possible negative implications, its rating of any of the Partnership Parties’ debt securities or preferred stock;</w:t>
      </w:r>
    </w:p>
    <w:p>
      <w:pPr>
        <w:spacing w:after="0" w:line="170" w:lineRule="exact"/>
        <w:rPr>
          <w:rFonts w:ascii="Arial" w:cs="Arial" w:eastAsia="Arial" w:hAnsi="Arial"/>
          <w:sz w:val="19"/>
          <w:szCs w:val="19"/>
          <w:color w:val="auto"/>
        </w:rPr>
      </w:pPr>
    </w:p>
    <w:p>
      <w:pPr>
        <w:jc w:val="both"/>
        <w:ind w:firstLine="656"/>
        <w:spacing w:after="0" w:line="273" w:lineRule="auto"/>
        <w:tabs>
          <w:tab w:leader="none" w:pos="90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On or after the Applicable Time there shall not have occurred any of the following: (i) a suspension or material limitation in trading in securities generally on the Exchange or the NASDAQ Global Select Stock Market; (ii) a suspension or material limitation in trading in the Partnership Parties’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Republic of the Marshall Islands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Securities being delivered at such Time of Delivery on the terms and in the manner contemplated in the Final Prospectus;</w:t>
      </w:r>
    </w:p>
    <w:p>
      <w:pPr>
        <w:spacing w:after="0" w:line="188" w:lineRule="exact"/>
        <w:rPr>
          <w:rFonts w:ascii="Arial" w:cs="Arial" w:eastAsia="Arial" w:hAnsi="Arial"/>
          <w:sz w:val="19"/>
          <w:szCs w:val="19"/>
          <w:color w:val="auto"/>
        </w:rPr>
      </w:pPr>
    </w:p>
    <w:p>
      <w:pPr>
        <w:ind w:firstLine="656"/>
        <w:spacing w:after="0" w:line="251" w:lineRule="auto"/>
        <w:tabs>
          <w:tab w:leader="none" w:pos="97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Securities to be sold by the Partnership at such Time of Delivery shall have been duly listed, subject to notice of issuance, on the Exchange;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6" w:name="page87"/>
    <w:bookmarkEnd w:id="86"/>
    <w:p>
      <w:pPr>
        <w:ind w:firstLine="656"/>
        <w:spacing w:after="0" w:line="251" w:lineRule="auto"/>
        <w:tabs>
          <w:tab w:leader="none" w:pos="91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The Partnership shall have obtained and delivered to the Underwriters executed copies of an agreement substantially in form attached hereto as </w:t>
      </w:r>
      <w:r>
        <w:rPr>
          <w:rFonts w:ascii="Arial" w:cs="Arial" w:eastAsia="Arial" w:hAnsi="Arial"/>
          <w:sz w:val="22"/>
          <w:szCs w:val="22"/>
          <w:u w:val="single" w:color="auto"/>
          <w:color w:val="auto"/>
        </w:rPr>
        <w:t>Schedule IV</w:t>
      </w:r>
      <w:r>
        <w:rPr>
          <w:rFonts w:ascii="Arial" w:cs="Arial" w:eastAsia="Arial" w:hAnsi="Arial"/>
          <w:sz w:val="22"/>
          <w:szCs w:val="22"/>
          <w:color w:val="auto"/>
        </w:rPr>
        <w:t xml:space="preserve"> from those individuals and entities listed on </w:t>
      </w:r>
      <w:r>
        <w:rPr>
          <w:rFonts w:ascii="Arial" w:cs="Arial" w:eastAsia="Arial" w:hAnsi="Arial"/>
          <w:sz w:val="22"/>
          <w:szCs w:val="22"/>
          <w:u w:val="single" w:color="auto"/>
          <w:color w:val="auto"/>
        </w:rPr>
        <w:t>Schedule V</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right="20" w:firstLine="656"/>
        <w:spacing w:after="0" w:line="251" w:lineRule="auto"/>
        <w:tabs>
          <w:tab w:leader="none" w:pos="105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The Partnership shall have complied with the provisions of </w:t>
      </w:r>
      <w:r>
        <w:rPr>
          <w:rFonts w:ascii="Arial" w:cs="Arial" w:eastAsia="Arial" w:hAnsi="Arial"/>
          <w:sz w:val="22"/>
          <w:szCs w:val="22"/>
          <w:u w:val="single" w:color="auto"/>
          <w:color w:val="auto"/>
        </w:rPr>
        <w:t>Section 5(c)</w:t>
      </w:r>
      <w:r>
        <w:rPr>
          <w:rFonts w:ascii="Arial" w:cs="Arial" w:eastAsia="Arial" w:hAnsi="Arial"/>
          <w:sz w:val="22"/>
          <w:szCs w:val="22"/>
          <w:color w:val="auto"/>
        </w:rPr>
        <w:t xml:space="preserve"> hereof with respect to the furnishing of prospectuses on the New York Business Day next succeeding the date of this Agreement; and</w:t>
      </w:r>
    </w:p>
    <w:p>
      <w:pPr>
        <w:spacing w:after="0" w:line="200" w:lineRule="exact"/>
        <w:rPr>
          <w:rFonts w:ascii="Arial" w:cs="Arial" w:eastAsia="Arial" w:hAnsi="Arial"/>
          <w:sz w:val="22"/>
          <w:szCs w:val="22"/>
          <w:color w:val="auto"/>
        </w:rPr>
      </w:pPr>
    </w:p>
    <w:p>
      <w:pPr>
        <w:jc w:val="both"/>
        <w:ind w:firstLine="656"/>
        <w:spacing w:after="0" w:line="249" w:lineRule="auto"/>
        <w:tabs>
          <w:tab w:leader="none" w:pos="1004"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Partnership shall have furnished or caused to be furnished to the Representatives at such Time of Delivery certificates of officers of the Partnership satisfactory to the Representatives as to the accuracy of the representations and warranties of the Partnership herein at and as of such Time of Delivery, as to the performance by the Partnership of all of its obligations hereunder to be performed at or prior to such Time of Delivery, as to the matters set forth in subsection (a) of this Section and as to such other matters as the Representatives may reasonably request.</w:t>
      </w:r>
    </w:p>
    <w:p>
      <w:pPr>
        <w:spacing w:after="0" w:line="206" w:lineRule="exact"/>
        <w:rPr>
          <w:sz w:val="20"/>
          <w:szCs w:val="20"/>
          <w:color w:val="auto"/>
        </w:rPr>
      </w:pPr>
    </w:p>
    <w:p>
      <w:pPr>
        <w:jc w:val="both"/>
        <w:ind w:firstLine="656"/>
        <w:spacing w:after="0" w:line="271" w:lineRule="auto"/>
        <w:tabs>
          <w:tab w:leader="none" w:pos="88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 The Partnership Parties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Final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Parties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the Final Prospectus, or any amendment or supplement thereto, any Issuer Free Writing Prospectus, in reliance upon and in conformity with written information furnished to the Partnership Parties by any Underwriter through the Representatives expressly for use therein.</w:t>
      </w:r>
    </w:p>
    <w:p>
      <w:pPr>
        <w:spacing w:after="0" w:line="200" w:lineRule="exact"/>
        <w:rPr>
          <w:sz w:val="20"/>
          <w:szCs w:val="20"/>
          <w:color w:val="auto"/>
        </w:rPr>
      </w:pPr>
    </w:p>
    <w:p>
      <w:pPr>
        <w:spacing w:after="0" w:line="239" w:lineRule="exact"/>
        <w:rPr>
          <w:sz w:val="20"/>
          <w:szCs w:val="20"/>
          <w:color w:val="auto"/>
        </w:rPr>
      </w:pPr>
    </w:p>
    <w:p>
      <w:pPr>
        <w:jc w:val="both"/>
        <w:ind w:firstLine="656"/>
        <w:spacing w:after="0" w:line="274" w:lineRule="auto"/>
        <w:tabs>
          <w:tab w:leader="none" w:pos="95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Each Underwriter, severally and not jointly, will indemnify and hold harmless the Partnership Parties against any losses, claims, damages or liabilities to which the Partnership Parties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Final Prospectus, or any amendment or 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Final Prospectus, or any amendment or supplement thereto, any Issuer Free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7" w:name="page88"/>
    <w:bookmarkEnd w:id="87"/>
    <w:p>
      <w:pPr>
        <w:jc w:val="both"/>
        <w:spacing w:after="0" w:line="238" w:lineRule="auto"/>
        <w:rPr>
          <w:sz w:val="20"/>
          <w:szCs w:val="20"/>
          <w:color w:val="auto"/>
        </w:rPr>
      </w:pPr>
      <w:r>
        <w:rPr>
          <w:rFonts w:ascii="Arial" w:cs="Arial" w:eastAsia="Arial" w:hAnsi="Arial"/>
          <w:sz w:val="22"/>
          <w:szCs w:val="22"/>
          <w:color w:val="auto"/>
        </w:rPr>
        <w:t>Writing Prospectus, in reliance upon and in conformity with written information furnished to the Partnership Parties by such Underwriter through the Representatives expressly for use therein; and will reimburse the Partnership Parties for any legal or other expenses reasonably incurred by the Partnership Parties in connection with investigating or defending any such action or claim as such expenses are incurred.</w:t>
      </w:r>
    </w:p>
    <w:p>
      <w:pPr>
        <w:spacing w:after="0" w:line="212" w:lineRule="exact"/>
        <w:rPr>
          <w:sz w:val="20"/>
          <w:szCs w:val="20"/>
          <w:color w:val="auto"/>
        </w:rPr>
      </w:pPr>
    </w:p>
    <w:p>
      <w:pPr>
        <w:jc w:val="both"/>
        <w:ind w:firstLine="656"/>
        <w:spacing w:after="0" w:line="268" w:lineRule="auto"/>
        <w:tabs>
          <w:tab w:leader="none" w:pos="99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subsection (a) or (b) above or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of notice of the commencement of any action, such indemnified party shall, if a claim in respect thereof is to be made against the indemnifying party under such subsection or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notify the indemnifying party in writing of the commencement thereof; but the omission so to notify the indemnifying party shall not relieve it from any liability which it may have to any indemnified party otherwise than under such subsection or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or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w:t>
      </w:r>
    </w:p>
    <w:p>
      <w:pPr>
        <w:spacing w:after="0" w:line="4" w:lineRule="exact"/>
        <w:rPr>
          <w:rFonts w:ascii="Arial" w:cs="Arial" w:eastAsia="Arial" w:hAnsi="Arial"/>
          <w:sz w:val="19"/>
          <w:szCs w:val="19"/>
          <w:color w:val="auto"/>
        </w:rPr>
      </w:pPr>
    </w:p>
    <w:p>
      <w:pPr>
        <w:ind w:firstLine="8"/>
        <w:spacing w:after="0" w:line="308" w:lineRule="auto"/>
        <w:tabs>
          <w:tab w:leader="none" w:pos="26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50" w:lineRule="exact"/>
        <w:rPr>
          <w:rFonts w:ascii="Arial" w:cs="Arial" w:eastAsia="Arial" w:hAnsi="Arial"/>
          <w:sz w:val="19"/>
          <w:szCs w:val="19"/>
          <w:color w:val="auto"/>
        </w:rPr>
      </w:pPr>
    </w:p>
    <w:p>
      <w:pPr>
        <w:jc w:val="both"/>
        <w:ind w:firstLine="656"/>
        <w:spacing w:after="0" w:line="272" w:lineRule="auto"/>
        <w:tabs>
          <w:tab w:leader="none" w:pos="97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Partnership Parties on the one hand and the Underwriters on the other from the offering of the Securities.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Partnership Parties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Partnership Parties on the one hand and the Underwriters on the other shall be deemed to be in the same proportion as the total net proceeds from the offering (before deducting expenses) received by the Partnership Parties bear to the total underwriting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8" w:name="page89"/>
    <w:bookmarkEnd w:id="88"/>
    <w:p>
      <w:pPr>
        <w:jc w:val="both"/>
        <w:spacing w:after="0" w:line="270" w:lineRule="auto"/>
        <w:rPr>
          <w:sz w:val="20"/>
          <w:szCs w:val="20"/>
          <w:color w:val="auto"/>
        </w:rPr>
      </w:pPr>
      <w:r>
        <w:rPr>
          <w:rFonts w:ascii="Arial" w:cs="Arial" w:eastAsia="Arial" w:hAnsi="Arial"/>
          <w:sz w:val="19"/>
          <w:szCs w:val="19"/>
          <w:color w:val="auto"/>
        </w:rPr>
        <w:t>discounts and commissions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Partnership Parties on the one hand or the Underwriters on the other and the parties’ relative intent, knowledge, access to information and opportunity to correct or prevent such statement or omission. The Partnership Parties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200" w:lineRule="exact"/>
        <w:rPr>
          <w:sz w:val="20"/>
          <w:szCs w:val="20"/>
          <w:color w:val="auto"/>
        </w:rPr>
      </w:pPr>
    </w:p>
    <w:p>
      <w:pPr>
        <w:spacing w:after="0" w:line="243" w:lineRule="exact"/>
        <w:rPr>
          <w:sz w:val="20"/>
          <w:szCs w:val="20"/>
          <w:color w:val="auto"/>
        </w:rPr>
      </w:pPr>
    </w:p>
    <w:p>
      <w:pPr>
        <w:jc w:val="both"/>
        <w:ind w:firstLine="656"/>
        <w:spacing w:after="0" w:line="246" w:lineRule="auto"/>
        <w:tabs>
          <w:tab w:leader="none" w:pos="95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 xml:space="preserve">The obligations of the Partnership Parties under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shall be in addition to any liability which the Partnership Parties may otherwise have and shall extend, upon the same terms and conditions, to each person, if any, who controls any Underwriter within the meaning of the Act, each broker-dealer affiliate of any Underwriter and each director, officer, employee and agent of any Underwriter or broker-dealer affiliate of any Underwriter; and the obligations of the Underwriters under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shall be in addition to any liability which the respective Underwriters may otherwise have and shall extend, upon the same terms and conditions, to each officer and director of the Partnership (including any person who, with his or her consent, is named in the Registration Statement as about to become a director of the Partnership) and to each person, if any, who controls the Partnership within the meaning of the Act.</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10. [The Partnership Parties hereby confirm that at their request [ ] has without compensation acted as “qualified independent underwriter” (in such capacity, the “</w:t>
      </w:r>
      <w:r>
        <w:rPr>
          <w:rFonts w:ascii="Arial" w:cs="Arial" w:eastAsia="Arial" w:hAnsi="Arial"/>
          <w:sz w:val="19"/>
          <w:szCs w:val="19"/>
          <w:u w:val="single" w:color="auto"/>
          <w:color w:val="auto"/>
        </w:rPr>
        <w:t>QIU</w:t>
      </w:r>
      <w:r>
        <w:rPr>
          <w:rFonts w:ascii="Arial" w:cs="Arial" w:eastAsia="Arial" w:hAnsi="Arial"/>
          <w:sz w:val="19"/>
          <w:szCs w:val="19"/>
          <w:color w:val="auto"/>
        </w:rPr>
        <w:t>”), within the meaning of FINRA Rule 5121, in connection with the offering of the Securities. The Partnership Parties will indemnify and hold harmless the QIU, its directors, officers, employees and agents and each person, if any, who controls such Underwriter within the meaning of Section 15 of the Act or Section 20 of the Exchange Act against any and all losses, claims, damages or liabilities, joint or several, to which the QIU may become subject, under the Act, the Exchange Act, other Federal or state statutory law or regulation or otherwise, insofar as such losses, claims, damages or liabilities (or actions in respect thereof) arise out of or are based upon the QIU’s acting (or alleged failing to act) as such “qualified independent underwriter” and will reimburse the QIU for any legal or other expenses reasonably incurred by the QIU in connection with investigating or defending any such loss, claim, damage, liability or action as such expenses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89" w:name="page90"/>
    <w:bookmarkEnd w:id="89"/>
    <w:p>
      <w:pPr>
        <w:jc w:val="both"/>
        <w:spacing w:after="0"/>
        <w:rPr>
          <w:sz w:val="20"/>
          <w:szCs w:val="20"/>
          <w:color w:val="auto"/>
        </w:rPr>
      </w:pPr>
      <w:r>
        <w:rPr>
          <w:rFonts w:ascii="Arial" w:cs="Arial" w:eastAsia="Arial" w:hAnsi="Arial"/>
          <w:sz w:val="22"/>
          <w:szCs w:val="22"/>
          <w:color w:val="auto"/>
        </w:rPr>
        <w:t>are incurred, provided, however, that the Partnership Parties will not be liable in any such case to the extent that any such loss, claim, damage or liability is finally judicially determined to have resulted from the gross negligence or willful misconduct of the QIU.]</w:t>
      </w:r>
    </w:p>
    <w:p>
      <w:pPr>
        <w:spacing w:after="0" w:line="213" w:lineRule="exact"/>
        <w:rPr>
          <w:sz w:val="20"/>
          <w:szCs w:val="20"/>
          <w:color w:val="auto"/>
        </w:rPr>
      </w:pPr>
    </w:p>
    <w:p>
      <w:pPr>
        <w:jc w:val="both"/>
        <w:ind w:firstLine="656"/>
        <w:spacing w:after="0" w:line="271" w:lineRule="auto"/>
        <w:tabs>
          <w:tab w:leader="none" w:pos="96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(a) If any Underwriter shall default in its obligation to purchase the Securities which it has agreed to purchase hereunder at a Time of Delivery, the Representatives may in their discretion arrange for the Representatives or another party or other parties to purchase such Securities on the terms contained herein. If within thirty-six hours after such default by any Underwriter the Representatives do not arrange for the purchase of such Securities, then the Partnership shall be entitled to a further period of thirty-six hours within which to procure another party or other parties satisfactory to the Representatives to purchase such Securities on such terms. In the event that, within the respective prescribed periods, the Representatives notify the Partnership that the Representatives have so arranged for the purchase of such Securities, or the Partnership notifies the Representatives that it has so arranged for the purchase of such Securities, the Representatives or the Partnership shall have the right to postpone such Time of Delivery for a period of not more than seven days, in order to effect whatever changes may thereby be made necessary in the Registration Statement or the Final Prospectus, or in any other documents or arrangements, and the Partnership agrees to file promptly any amendments or supplements to the Registration Statement or the Final Prospectus which in the opinion of the Representatives may thereby be made necessary. The term “Underwriter” as used in this Agreement shall include any person substituted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with like effect as if such person had originally been a party to this Agreement with respect to such Securities.</w:t>
      </w:r>
    </w:p>
    <w:p>
      <w:pPr>
        <w:spacing w:after="0" w:line="200" w:lineRule="exact"/>
        <w:rPr>
          <w:sz w:val="20"/>
          <w:szCs w:val="20"/>
          <w:color w:val="auto"/>
        </w:rPr>
      </w:pPr>
    </w:p>
    <w:p>
      <w:pPr>
        <w:spacing w:after="0" w:line="239" w:lineRule="exact"/>
        <w:rPr>
          <w:sz w:val="20"/>
          <w:szCs w:val="20"/>
          <w:color w:val="auto"/>
        </w:rPr>
      </w:pPr>
    </w:p>
    <w:p>
      <w:pPr>
        <w:jc w:val="both"/>
        <w:ind w:firstLine="656"/>
        <w:spacing w:after="0" w:line="275" w:lineRule="auto"/>
        <w:tabs>
          <w:tab w:leader="none" w:pos="95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If, after giving effect to any arrangements for the purchase of the Securities of a defaulting Underwriter or Underwriters by the Representatives and the Partnership as provided in subsection (a) above, the aggregate number of such Securities which remains unpurchased does not exceed one-eleventh of the aggregate number of all the Securities to be purchased at such Time of Delivery, then the Partnership shall have the right to require each non-defaulting Underwriter to purchase the number of Securities which such Underwriter agreed to purchase hereunder at such Time of Delivery and, in addition, to require each non-defaulting Underwriter to purchase its pro rata share (based on the number of Securities which such Underwriter agreed to purchase hereunder) of the Securities of such defaulting Underwriter or Underwriters for which such arrangements have not been made; but nothing herein shall relieve a defaulting Underwriter from liability for its default.</w:t>
      </w:r>
    </w:p>
    <w:p>
      <w:pPr>
        <w:spacing w:after="0" w:line="185" w:lineRule="exact"/>
        <w:rPr>
          <w:rFonts w:ascii="Arial" w:cs="Arial" w:eastAsia="Arial" w:hAnsi="Arial"/>
          <w:sz w:val="19"/>
          <w:szCs w:val="19"/>
          <w:color w:val="auto"/>
        </w:rPr>
      </w:pPr>
    </w:p>
    <w:p>
      <w:pPr>
        <w:jc w:val="both"/>
        <w:ind w:firstLine="656"/>
        <w:spacing w:after="0" w:line="233" w:lineRule="auto"/>
        <w:tabs>
          <w:tab w:leader="none" w:pos="94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If, after giving effect to any arrangements for the purchase of the Securities of a defaulting Underwriter or Underwriters by the Representatives and the Partnership as provided in subsection (a) above, the aggregate number of such Securities which remains unpurchased exceeds one-eleventh of the aggregate number of all the Securities to be purchased at such Time of Delivery, or if the Partnership shall not exercise the right described in subsection (b) above to require non-defaulting Underwriters to purchase Securities of a defaulting Underwriter or Underwriters, then this Agreement (or, with respect to the Second Time of Delivery, the obligations of the Underwriters to purchase and of the Partnership to sell the Option Securities) shall thereupon terminate, without liability on the part of any non-defaulting Underwriter or the Partnership, except for the expenses to be borne by the Partnership Parties, as applicable, and the Underwriters as provided in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hereof and the indemnity and contribution agreements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0" w:name="page91"/>
    <w:bookmarkEnd w:id="90"/>
    <w:p>
      <w:pPr>
        <w:spacing w:after="0"/>
        <w:rPr>
          <w:sz w:val="20"/>
          <w:szCs w:val="20"/>
          <w:color w:val="auto"/>
        </w:rPr>
      </w:pP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hereof; but nothing herein shall relieve a defaulting Underwriter from liability for its default.</w:t>
      </w:r>
    </w:p>
    <w:p>
      <w:pPr>
        <w:spacing w:after="0" w:line="233" w:lineRule="exact"/>
        <w:rPr>
          <w:sz w:val="20"/>
          <w:szCs w:val="20"/>
          <w:color w:val="auto"/>
        </w:rPr>
      </w:pPr>
    </w:p>
    <w:p>
      <w:pPr>
        <w:jc w:val="both"/>
        <w:ind w:firstLine="656"/>
        <w:spacing w:after="0" w:line="282" w:lineRule="auto"/>
        <w:tabs>
          <w:tab w:leader="none" w:pos="98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respective indemnities, agreements, representations, warranties and other statements of the Partnership Parties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Partnership, or any officer or director or controlling person of the Partnership, and shall survive delivery of and payment for the Securities.</w:t>
      </w:r>
    </w:p>
    <w:p>
      <w:pPr>
        <w:spacing w:after="0" w:line="174" w:lineRule="exact"/>
        <w:rPr>
          <w:rFonts w:ascii="Arial" w:cs="Arial" w:eastAsia="Arial" w:hAnsi="Arial"/>
          <w:sz w:val="19"/>
          <w:szCs w:val="19"/>
          <w:color w:val="auto"/>
        </w:rPr>
      </w:pPr>
    </w:p>
    <w:p>
      <w:pPr>
        <w:jc w:val="both"/>
        <w:ind w:firstLine="656"/>
        <w:spacing w:after="0" w:line="247" w:lineRule="auto"/>
        <w:tabs>
          <w:tab w:leader="none" w:pos="975"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If this Agreement shall be terminated pursuant to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hereof, the Partnership Parties, as applicable, shall not then be under any liability to any Underwriter except as provided in </w:t>
      </w:r>
      <w:r>
        <w:rPr>
          <w:rFonts w:ascii="Arial" w:cs="Arial" w:eastAsia="Arial" w:hAnsi="Arial"/>
          <w:sz w:val="21"/>
          <w:szCs w:val="21"/>
          <w:u w:val="single" w:color="auto"/>
          <w:color w:val="auto"/>
        </w:rPr>
        <w:t>Sections 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w:t>
      </w:r>
      <w:r>
        <w:rPr>
          <w:rFonts w:ascii="Arial" w:cs="Arial" w:eastAsia="Arial" w:hAnsi="Arial"/>
          <w:sz w:val="21"/>
          <w:szCs w:val="21"/>
          <w:color w:val="auto"/>
        </w:rPr>
        <w:t xml:space="preserve"> hereof; but, if for any other reason, any Securities are not delivered by or on behalf of the Partnership as provided herein, the Partnership Parties will reimburse the Representatives for all out-of-pocket expenses approved in writing by the Representatives, including fees and disbursements of counsel, reasonably incurred by the Underwriters in making preparations for the purchase, sale and delivery of the Securities not so delivered, but the Partnership Parties shall then be under no further liability in respect of the Securities not so delivered to any Underwriter except as provided in </w:t>
      </w:r>
      <w:r>
        <w:rPr>
          <w:rFonts w:ascii="Arial" w:cs="Arial" w:eastAsia="Arial" w:hAnsi="Arial"/>
          <w:sz w:val="21"/>
          <w:szCs w:val="21"/>
          <w:u w:val="single" w:color="auto"/>
          <w:color w:val="auto"/>
        </w:rPr>
        <w:t>Sections 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w:t>
      </w:r>
      <w:r>
        <w:rPr>
          <w:rFonts w:ascii="Arial" w:cs="Arial" w:eastAsia="Arial" w:hAnsi="Arial"/>
          <w:sz w:val="21"/>
          <w:szCs w:val="21"/>
          <w:color w:val="auto"/>
        </w:rPr>
        <w:t xml:space="preserve"> hereof.</w:t>
      </w:r>
    </w:p>
    <w:p>
      <w:pPr>
        <w:spacing w:after="0" w:line="205" w:lineRule="exact"/>
        <w:rPr>
          <w:rFonts w:ascii="Arial" w:cs="Arial" w:eastAsia="Arial" w:hAnsi="Arial"/>
          <w:sz w:val="21"/>
          <w:szCs w:val="21"/>
          <w:color w:val="auto"/>
        </w:rPr>
      </w:pPr>
    </w:p>
    <w:p>
      <w:pPr>
        <w:jc w:val="both"/>
        <w:ind w:firstLine="656"/>
        <w:spacing w:after="0"/>
        <w:tabs>
          <w:tab w:leader="none" w:pos="97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statements, requests, notices and agreements hereunder shall be in writing, and if to the Underwriters shall be delivered</w:t>
      </w:r>
    </w:p>
    <w:p>
      <w:pPr>
        <w:spacing w:after="0" w:line="33" w:lineRule="exact"/>
        <w:rPr>
          <w:sz w:val="20"/>
          <w:szCs w:val="20"/>
          <w:color w:val="auto"/>
        </w:rPr>
      </w:pPr>
    </w:p>
    <w:p>
      <w:pPr>
        <w:spacing w:after="0"/>
        <w:tabs>
          <w:tab w:leader="none" w:pos="7860" w:val="left"/>
          <w:tab w:leader="none" w:pos="8600" w:val="left"/>
          <w:tab w:leader="none" w:pos="10060" w:val="left"/>
        </w:tabs>
        <w:rPr>
          <w:sz w:val="20"/>
          <w:szCs w:val="20"/>
          <w:color w:val="auto"/>
        </w:rPr>
      </w:pPr>
      <w:r>
        <w:rPr>
          <w:rFonts w:ascii="Arial" w:cs="Arial" w:eastAsia="Arial" w:hAnsi="Arial"/>
          <w:sz w:val="21"/>
          <w:szCs w:val="21"/>
          <w:color w:val="auto"/>
        </w:rPr>
        <w:t>or sent by mail, telex or facsimile transmission to the Representatives at, in the case of [</w:t>
      </w:r>
      <w:r>
        <w:rPr>
          <w:sz w:val="20"/>
          <w:szCs w:val="20"/>
          <w:color w:val="auto"/>
        </w:rPr>
        <w:tab/>
      </w:r>
      <w:r>
        <w:rPr>
          <w:rFonts w:ascii="Arial" w:cs="Arial" w:eastAsia="Arial" w:hAnsi="Arial"/>
          <w:sz w:val="22"/>
          <w:szCs w:val="22"/>
          <w:color w:val="auto"/>
        </w:rPr>
        <w:t>], to [</w:t>
        <w:tab/>
        <w:t>], Attention: [</w:t>
      </w:r>
      <w:r>
        <w:rPr>
          <w:sz w:val="20"/>
          <w:szCs w:val="20"/>
          <w:color w:val="auto"/>
        </w:rPr>
        <w:tab/>
      </w:r>
      <w:r>
        <w:rPr>
          <w:rFonts w:ascii="Arial" w:cs="Arial" w:eastAsia="Arial" w:hAnsi="Arial"/>
          <w:sz w:val="19"/>
          <w:szCs w:val="19"/>
          <w:color w:val="auto"/>
        </w:rPr>
        <w:t>], in the case of</w:t>
      </w:r>
    </w:p>
    <w:p>
      <w:pPr>
        <w:jc w:val="both"/>
        <w:spacing w:after="0" w:line="243" w:lineRule="auto"/>
        <w:rPr>
          <w:sz w:val="20"/>
          <w:szCs w:val="20"/>
          <w:color w:val="auto"/>
        </w:rPr>
      </w:pPr>
      <w:r>
        <w:rPr>
          <w:rFonts w:ascii="Arial" w:cs="Arial" w:eastAsia="Arial" w:hAnsi="Arial"/>
          <w:sz w:val="21"/>
          <w:szCs w:val="21"/>
          <w:color w:val="auto"/>
        </w:rPr>
        <w:t xml:space="preserve">[ ], to [ ], Attention: [ ], and in the case of [ ], to [ ], Attention: [ ], Facsimile: [ ]; and if to the Partnership shall be delivered or sent by mail, telex or facsimile transmission to the address of the Partnership set forth in the Registration Statement, Attention: Chief Financial Officer;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any notice to an Underwriter pursuant to </w:t>
      </w:r>
      <w:r>
        <w:rPr>
          <w:rFonts w:ascii="Arial" w:cs="Arial" w:eastAsia="Arial" w:hAnsi="Arial"/>
          <w:sz w:val="21"/>
          <w:szCs w:val="21"/>
          <w:u w:val="single" w:color="auto"/>
          <w:color w:val="auto"/>
        </w:rPr>
        <w:t>Section 9(c)</w:t>
      </w:r>
      <w:r>
        <w:rPr>
          <w:rFonts w:ascii="Arial" w:cs="Arial" w:eastAsia="Arial" w:hAnsi="Arial"/>
          <w:sz w:val="21"/>
          <w:szCs w:val="21"/>
          <w:color w:val="auto"/>
        </w:rPr>
        <w:t xml:space="preserve"> hereof shall be delivered or sent by mail, telex or facsimile transmission to such Underwriter at its address set forth in its Underwriters’ Questionnaire, or telex constituting such Questionnaire, which address will be supplied to the Partnership by the Representatives upon request;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notices under </w:t>
      </w:r>
      <w:r>
        <w:rPr>
          <w:rFonts w:ascii="Arial" w:cs="Arial" w:eastAsia="Arial" w:hAnsi="Arial"/>
          <w:sz w:val="21"/>
          <w:szCs w:val="21"/>
          <w:u w:val="single" w:color="auto"/>
          <w:color w:val="auto"/>
        </w:rPr>
        <w:t>Section 5(e)</w:t>
      </w:r>
      <w:r>
        <w:rPr>
          <w:rFonts w:ascii="Arial" w:cs="Arial" w:eastAsia="Arial" w:hAnsi="Arial"/>
          <w:sz w:val="21"/>
          <w:szCs w:val="21"/>
          <w:color w:val="auto"/>
        </w:rPr>
        <w:t xml:space="preserve"> shall be in writing, and if to the Underwriters shall be delivered or sent by mail, telex or facsimile transmission to the Representatives at their addresses above. Any such statements, requests, notices or agreements shall take effect upon receipt thereof.</w:t>
      </w:r>
    </w:p>
    <w:p>
      <w:pPr>
        <w:spacing w:after="0" w:line="21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accordance with the requirements of the USA Patriot Act (Title III of Pub. L. 107-56 (signed into law October 26, 2001)), the Underwriters are required to obtain, verify and record information that identifies their respective clients, including the Partnership, which information may include the name and address of their respective clients, as well as other information that will allow the Underwriters to properly identify their respective clients.</w:t>
      </w:r>
    </w:p>
    <w:p>
      <w:pPr>
        <w:spacing w:after="0" w:line="212" w:lineRule="exact"/>
        <w:rPr>
          <w:sz w:val="20"/>
          <w:szCs w:val="20"/>
          <w:color w:val="auto"/>
        </w:rPr>
      </w:pPr>
    </w:p>
    <w:p>
      <w:pPr>
        <w:ind w:firstLine="656"/>
        <w:spacing w:after="0" w:line="251" w:lineRule="auto"/>
        <w:tabs>
          <w:tab w:leader="none" w:pos="98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This Agreement shall be binding upon, and inure solely to the benefit of, the Underwriters, the Partnership Parties and, to the extent provided in </w:t>
      </w:r>
      <w:r>
        <w:rPr>
          <w:rFonts w:ascii="Arial" w:cs="Arial" w:eastAsia="Arial" w:hAnsi="Arial"/>
          <w:sz w:val="22"/>
          <w:szCs w:val="22"/>
          <w:u w:val="single" w:color="auto"/>
          <w:color w:val="auto"/>
        </w:rPr>
        <w:t>Sections 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12</w:t>
      </w:r>
      <w:r>
        <w:rPr>
          <w:rFonts w:ascii="Arial" w:cs="Arial" w:eastAsia="Arial" w:hAnsi="Arial"/>
          <w:sz w:val="22"/>
          <w:szCs w:val="22"/>
          <w:color w:val="auto"/>
        </w:rPr>
        <w:t xml:space="preserve"> hereof,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1" w:name="page92"/>
    <w:bookmarkEnd w:id="91"/>
    <w:p>
      <w:pPr>
        <w:jc w:val="both"/>
        <w:spacing w:after="0" w:line="238" w:lineRule="auto"/>
        <w:rPr>
          <w:sz w:val="20"/>
          <w:szCs w:val="20"/>
          <w:color w:val="auto"/>
        </w:rPr>
      </w:pPr>
      <w:r>
        <w:rPr>
          <w:rFonts w:ascii="Arial" w:cs="Arial" w:eastAsia="Arial" w:hAnsi="Arial"/>
          <w:sz w:val="22"/>
          <w:szCs w:val="22"/>
          <w:color w:val="auto"/>
        </w:rPr>
        <w:t>officers and directors of the Partnership and each person who controls the Partnership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212" w:lineRule="exact"/>
        <w:rPr>
          <w:sz w:val="20"/>
          <w:szCs w:val="20"/>
          <w:color w:val="auto"/>
        </w:rPr>
      </w:pPr>
    </w:p>
    <w:p>
      <w:pPr>
        <w:ind w:firstLine="656"/>
        <w:spacing w:after="0" w:line="251" w:lineRule="auto"/>
        <w:tabs>
          <w:tab w:leader="none" w:pos="98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Time shall be of the essence of this Agreement. As used herein, the term “business day” shall mean any day when the Commission’s office in Washington, D.C. is open for business.</w:t>
      </w:r>
    </w:p>
    <w:p>
      <w:pPr>
        <w:spacing w:after="0" w:line="200" w:lineRule="exact"/>
        <w:rPr>
          <w:rFonts w:ascii="Arial" w:cs="Arial" w:eastAsia="Arial" w:hAnsi="Arial"/>
          <w:sz w:val="22"/>
          <w:szCs w:val="22"/>
          <w:color w:val="auto"/>
        </w:rPr>
      </w:pPr>
    </w:p>
    <w:p>
      <w:pPr>
        <w:jc w:val="both"/>
        <w:ind w:firstLine="656"/>
        <w:spacing w:after="0" w:line="273" w:lineRule="auto"/>
        <w:tabs>
          <w:tab w:leader="none" w:pos="102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Partnership Parties acknowledge and agree that (i) the purchase and sale of the Securities pursuant to this Agreement is an arm’s-length commercial transaction between the Partnership Parties, on the one hand, and the several Underwriters, on the other, (ii) in connection therewith and with the process leading to such transaction each Underwriter is acting solely as a principal and not the agent or fiduciary of the Partnership Parties, (iii) no Underwriter has assumed an advisory or fiduciary responsibility in favor of the Partnership Parties with respect to the offering contemplated hereby or the process leading thereto (irrespective of whether such Underwriter has advised or is currently advising the Partnership Parties on other matters) or any other obligation to the Partnership Parties except the obligations expressly set forth in this Agreement and (iv) the Partnership Parties have consulted their own legal and financial advisors to the extent they deemed appropriate. The Partnership Parties agree that they will not claim that the Underwriters have rendered advisory services of any nature or respect, or owes a fiduciary or similar duty to the Partnership Parties, in connection with such transaction or the process leading thereto.</w:t>
      </w:r>
    </w:p>
    <w:p>
      <w:pPr>
        <w:spacing w:after="0" w:line="188" w:lineRule="exact"/>
        <w:rPr>
          <w:rFonts w:ascii="Arial" w:cs="Arial" w:eastAsia="Arial" w:hAnsi="Arial"/>
          <w:sz w:val="19"/>
          <w:szCs w:val="19"/>
          <w:color w:val="auto"/>
        </w:rPr>
      </w:pPr>
    </w:p>
    <w:p>
      <w:pPr>
        <w:ind w:right="20" w:firstLine="656"/>
        <w:spacing w:after="0" w:line="251" w:lineRule="auto"/>
        <w:tabs>
          <w:tab w:leader="none" w:pos="98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This Agreement supersedes all prior agreements and understandings (whether written or oral) between the Partnership Parties and the Underwriters, or any of them, with respect to the subject matter hereof.</w:t>
      </w:r>
    </w:p>
    <w:p>
      <w:pPr>
        <w:spacing w:after="0" w:line="200" w:lineRule="exact"/>
        <w:rPr>
          <w:rFonts w:ascii="Arial" w:cs="Arial" w:eastAsia="Arial" w:hAnsi="Arial"/>
          <w:sz w:val="22"/>
          <w:szCs w:val="22"/>
          <w:color w:val="auto"/>
        </w:rPr>
      </w:pPr>
    </w:p>
    <w:p>
      <w:pPr>
        <w:jc w:val="both"/>
        <w:ind w:firstLine="656"/>
        <w:spacing w:after="0" w:line="277" w:lineRule="auto"/>
        <w:tabs>
          <w:tab w:leader="none" w:pos="99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Partnership Parties agree that any suit or proceeding arising in respect of this agreement or the engagement of the Representatives will be tried exclusively in the U.S. District Court for the Southern District of New York or, if that court does not have subject matter jurisdiction, in any state court located in The City and County of New York, and the Partnership Parties agree to submit to the jurisdiction of, and to venue in, such courts.</w:t>
      </w:r>
    </w:p>
    <w:p>
      <w:pPr>
        <w:spacing w:after="0" w:line="179" w:lineRule="exact"/>
        <w:rPr>
          <w:rFonts w:ascii="Arial" w:cs="Arial" w:eastAsia="Arial" w:hAnsi="Arial"/>
          <w:sz w:val="19"/>
          <w:szCs w:val="19"/>
          <w:color w:val="auto"/>
        </w:rPr>
      </w:pPr>
    </w:p>
    <w:p>
      <w:pPr>
        <w:jc w:val="both"/>
        <w:ind w:firstLine="656"/>
        <w:spacing w:after="0" w:line="235" w:lineRule="auto"/>
        <w:tabs>
          <w:tab w:leader="none" w:pos="101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Partnership has appointed Puglisi &amp; Associates as its authorized agent (the “</w:t>
      </w:r>
      <w:r>
        <w:rPr>
          <w:rFonts w:ascii="Arial" w:cs="Arial" w:eastAsia="Arial" w:hAnsi="Arial"/>
          <w:sz w:val="22"/>
          <w:szCs w:val="22"/>
          <w:u w:val="single" w:color="auto"/>
          <w:color w:val="auto"/>
        </w:rPr>
        <w:t>Authorized Agent</w:t>
      </w:r>
      <w:r>
        <w:rPr>
          <w:rFonts w:ascii="Arial" w:cs="Arial" w:eastAsia="Arial" w:hAnsi="Arial"/>
          <w:sz w:val="22"/>
          <w:szCs w:val="22"/>
          <w:color w:val="auto"/>
        </w:rPr>
        <w:t>”) upon whom process may be served in any suit, action or proceeding arising out of or based upon this Agreement or the transactions contemplated herein which may be instituted, by any Underwriter, the directors, officers, employees and agents of any Underwriter, or by any person who controls any Underwriter, and expressly accepts the non-exclusive jurisdiction of any such court in respect of any such suit, action or proceeding. The Partnership hereby represents and warrants that the Authorized Agent has accepted such appointment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2" w:name="page93"/>
    <w:bookmarkEnd w:id="92"/>
    <w:p>
      <w:pPr>
        <w:jc w:val="both"/>
        <w:ind w:right="20"/>
        <w:spacing w:after="0" w:line="297" w:lineRule="auto"/>
        <w:rPr>
          <w:sz w:val="20"/>
          <w:szCs w:val="20"/>
          <w:color w:val="auto"/>
        </w:rPr>
      </w:pPr>
      <w:r>
        <w:rPr>
          <w:rFonts w:ascii="Arial" w:cs="Arial" w:eastAsia="Arial" w:hAnsi="Arial"/>
          <w:sz w:val="19"/>
          <w:szCs w:val="19"/>
          <w:color w:val="auto"/>
        </w:rPr>
        <w:t>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Partnership.</w:t>
      </w:r>
    </w:p>
    <w:p>
      <w:pPr>
        <w:spacing w:after="0" w:line="161" w:lineRule="exact"/>
        <w:rPr>
          <w:sz w:val="20"/>
          <w:szCs w:val="20"/>
          <w:color w:val="auto"/>
        </w:rPr>
      </w:pPr>
    </w:p>
    <w:p>
      <w:pPr>
        <w:jc w:val="both"/>
        <w:ind w:firstLine="656"/>
        <w:spacing w:after="0"/>
        <w:tabs>
          <w:tab w:leader="none" w:pos="101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Partnership Parties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213" w:lineRule="exact"/>
        <w:rPr>
          <w:rFonts w:ascii="Arial" w:cs="Arial" w:eastAsia="Arial" w:hAnsi="Arial"/>
          <w:sz w:val="22"/>
          <w:szCs w:val="22"/>
          <w:color w:val="auto"/>
        </w:rPr>
      </w:pPr>
    </w:p>
    <w:p>
      <w:pPr>
        <w:ind w:firstLine="656"/>
        <w:spacing w:after="0" w:line="328" w:lineRule="auto"/>
        <w:tabs>
          <w:tab w:leader="none" w:pos="97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3" w:name="page94"/>
    <w:bookmarkEnd w:id="93"/>
    <w:p>
      <w:pPr>
        <w:jc w:val="both"/>
        <w:ind w:firstLine="648"/>
        <w:spacing w:after="0" w:line="277" w:lineRule="auto"/>
        <w:rPr>
          <w:sz w:val="20"/>
          <w:szCs w:val="20"/>
          <w:color w:val="auto"/>
        </w:rPr>
      </w:pPr>
      <w:r>
        <w:rPr>
          <w:rFonts w:ascii="Arial" w:cs="Arial" w:eastAsia="Arial" w:hAnsi="Arial"/>
          <w:sz w:val="19"/>
          <w:szCs w:val="19"/>
          <w:color w:val="auto"/>
        </w:rPr>
        <w:t>If the foregoing is in accordance with the understanding of the Representatives, please sign and return to the Representatives one copy for each of the Partnership Parties and the Representatives plus one copy for each counsel counterparts hereof, and upon the acceptance hereof by the Representatives, on behalf of each of the Underwriters, this letter and such acceptance hereof shall constitute a binding agreement between each of the Underwriters and the Partnership Parties. It is understood that the acceptance by the Representatives of this letter on behalf of each of the Underwriters is pursuant to the authority set forth in a form of agreement among Underwriters, the form of which shall be submitted to the Partnership for examination upon request, but without warranty on the part of the Representatives as to the authority of the signers thereof.</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GasLog Partners GP LLC</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GasLog Ltd., as sole member</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7620</wp:posOffset>
            </wp:positionV>
            <wp:extent cx="3439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22"/>
          <w:szCs w:val="22"/>
          <w:color w:val="auto"/>
        </w:rPr>
        <w:t>Name:</w:t>
      </w:r>
    </w:p>
    <w:p>
      <w:pPr>
        <w:ind w:left="60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GasLog Partners LP</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7620</wp:posOffset>
            </wp:positionV>
            <wp:extent cx="3439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22"/>
          <w:szCs w:val="22"/>
          <w:color w:val="auto"/>
        </w:rPr>
        <w:t>Name:</w:t>
      </w:r>
    </w:p>
    <w:p>
      <w:pPr>
        <w:ind w:left="60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GasLog Partners Holdings LLC</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GasLog Partners LP, as sole member</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7620</wp:posOffset>
            </wp:positionV>
            <wp:extent cx="3439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22"/>
          <w:szCs w:val="22"/>
          <w:color w:val="auto"/>
        </w:rPr>
        <w:t>Name:</w:t>
      </w:r>
    </w:p>
    <w:p>
      <w:pPr>
        <w:ind w:left="60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Accepted as of the date hereof:</w:t>
      </w:r>
    </w:p>
    <w:p>
      <w:pPr>
        <w:spacing w:after="0" w:line="233" w:lineRule="exact"/>
        <w:rPr>
          <w:sz w:val="20"/>
          <w:szCs w:val="20"/>
          <w:color w:val="auto"/>
        </w:rPr>
      </w:pPr>
    </w:p>
    <w:p>
      <w:pPr>
        <w:ind w:left="360" w:hanging="352"/>
        <w:spacing w:after="0"/>
        <w:tabs>
          <w:tab w:leader="none" w:pos="3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8555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Name:</w:t>
      </w:r>
    </w:p>
    <w:p>
      <w:pPr>
        <w:ind w:left="3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360" w:hanging="352"/>
        <w:spacing w:after="0"/>
        <w:tabs>
          <w:tab w:leader="none" w:pos="3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8555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Name:</w:t>
      </w:r>
    </w:p>
    <w:p>
      <w:pPr>
        <w:ind w:left="3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360" w:hanging="352"/>
        <w:spacing w:after="0"/>
        <w:tabs>
          <w:tab w:leader="none" w:pos="3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8555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Name:</w:t>
      </w:r>
    </w:p>
    <w:p>
      <w:pPr>
        <w:ind w:left="38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On behalf of each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2"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3980" w:type="dxa"/>
            <w:vAlign w:val="bottom"/>
            <w:gridSpan w:val="4"/>
          </w:tcPr>
          <w:p>
            <w:pPr>
              <w:jc w:val="right"/>
              <w:ind w:right="2912"/>
              <w:spacing w:after="0"/>
              <w:rPr>
                <w:sz w:val="20"/>
                <w:szCs w:val="20"/>
                <w:color w:val="auto"/>
              </w:rPr>
            </w:pPr>
            <w:r>
              <w:rPr>
                <w:rFonts w:ascii="Arial" w:cs="Arial" w:eastAsia="Arial" w:hAnsi="Arial"/>
                <w:sz w:val="22"/>
                <w:szCs w:val="22"/>
                <w:b w:val="1"/>
                <w:bCs w:val="1"/>
                <w:color w:val="auto"/>
                <w:w w:val="85"/>
              </w:rPr>
              <w:t>Schedule I</w:t>
            </w:r>
          </w:p>
        </w:tc>
        <w:tc>
          <w:tcPr>
            <w:tcW w:w="160" w:type="dxa"/>
            <w:vAlign w:val="bottom"/>
          </w:tcPr>
          <w:p>
            <w:pPr>
              <w:spacing w:after="0"/>
              <w:rPr>
                <w:sz w:val="21"/>
                <w:szCs w:val="21"/>
                <w:color w:val="auto"/>
              </w:rPr>
            </w:pPr>
          </w:p>
        </w:tc>
      </w:tr>
      <w:tr>
        <w:trPr>
          <w:trHeight w:val="72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ind w:left="100"/>
              <w:spacing w:after="0"/>
              <w:rPr>
                <w:sz w:val="20"/>
                <w:szCs w:val="20"/>
                <w:color w:val="auto"/>
              </w:rPr>
            </w:pPr>
            <w:r>
              <w:rPr>
                <w:rFonts w:ascii="Arial" w:cs="Arial" w:eastAsia="Arial" w:hAnsi="Arial"/>
                <w:sz w:val="22"/>
                <w:szCs w:val="22"/>
                <w:color w:val="auto"/>
                <w:w w:val="98"/>
              </w:rPr>
              <w:t>Total Number of</w:t>
            </w:r>
          </w:p>
        </w:tc>
        <w:tc>
          <w:tcPr>
            <w:tcW w:w="16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ind w:left="10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Title of</w:t>
            </w:r>
          </w:p>
        </w:tc>
        <w:tc>
          <w:tcPr>
            <w:tcW w:w="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ind w:left="100"/>
              <w:spacing w:after="0" w:line="243" w:lineRule="exact"/>
              <w:rPr>
                <w:sz w:val="20"/>
                <w:szCs w:val="20"/>
                <w:color w:val="auto"/>
              </w:rPr>
            </w:pPr>
            <w:r>
              <w:rPr>
                <w:rFonts w:ascii="Arial" w:cs="Arial" w:eastAsia="Arial" w:hAnsi="Arial"/>
                <w:sz w:val="22"/>
                <w:szCs w:val="22"/>
                <w:i w:val="1"/>
                <w:iCs w:val="1"/>
                <w:color w:val="auto"/>
                <w:w w:val="94"/>
              </w:rPr>
              <w:t>Offered Security</w:t>
            </w:r>
            <w:r>
              <w:rPr>
                <w:rFonts w:ascii="Arial" w:cs="Arial" w:eastAsia="Arial" w:hAnsi="Arial"/>
                <w:sz w:val="22"/>
                <w:szCs w:val="22"/>
                <w:color w:val="auto"/>
                <w:w w:val="94"/>
              </w:rPr>
              <w:t>]</w:t>
            </w:r>
          </w:p>
        </w:tc>
        <w:tc>
          <w:tcPr>
            <w:tcW w:w="160" w:type="dxa"/>
            <w:vAlign w:val="bottom"/>
          </w:tcPr>
          <w:p>
            <w:pPr>
              <w:spacing w:after="0"/>
              <w:rPr>
                <w:sz w:val="21"/>
                <w:szCs w:val="21"/>
                <w:color w:val="auto"/>
              </w:rPr>
            </w:pPr>
          </w:p>
        </w:tc>
      </w:tr>
      <w:tr>
        <w:trPr>
          <w:trHeight w:val="265"/>
        </w:trPr>
        <w:tc>
          <w:tcPr>
            <w:tcW w:w="5240" w:type="dxa"/>
            <w:vAlign w:val="bottom"/>
            <w:gridSpan w:val="3"/>
          </w:tcPr>
          <w:p>
            <w:pPr>
              <w:spacing w:after="0"/>
              <w:rPr>
                <w:sz w:val="20"/>
                <w:szCs w:val="20"/>
                <w:color w:val="auto"/>
              </w:rPr>
            </w:pPr>
            <w:r>
              <w:rPr>
                <w:rFonts w:ascii="Arial" w:cs="Arial" w:eastAsia="Arial" w:hAnsi="Arial"/>
                <w:sz w:val="22"/>
                <w:szCs w:val="22"/>
                <w:color w:val="auto"/>
              </w:rPr>
              <w:t>Underwriter</w:t>
            </w:r>
          </w:p>
        </w:tc>
        <w:tc>
          <w:tcPr>
            <w:tcW w:w="9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ind w:left="100"/>
              <w:spacing w:after="0"/>
              <w:rPr>
                <w:sz w:val="20"/>
                <w:szCs w:val="20"/>
                <w:color w:val="auto"/>
              </w:rPr>
            </w:pPr>
            <w:r>
              <w:rPr>
                <w:rFonts w:ascii="Arial" w:cs="Arial" w:eastAsia="Arial" w:hAnsi="Arial"/>
                <w:sz w:val="22"/>
                <w:szCs w:val="22"/>
                <w:color w:val="auto"/>
                <w:w w:val="97"/>
              </w:rPr>
              <w:t>to be Purchased</w:t>
            </w:r>
          </w:p>
        </w:tc>
        <w:tc>
          <w:tcPr>
            <w:tcW w:w="160" w:type="dxa"/>
            <w:vAlign w:val="bottom"/>
          </w:tcPr>
          <w:p>
            <w:pPr>
              <w:spacing w:after="0"/>
              <w:rPr>
                <w:sz w:val="23"/>
                <w:szCs w:val="23"/>
                <w:color w:val="auto"/>
              </w:rPr>
            </w:pPr>
          </w:p>
        </w:tc>
      </w:tr>
      <w:tr>
        <w:trPr>
          <w:trHeight w:val="215"/>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w:t>
            </w:r>
          </w:p>
        </w:tc>
        <w:tc>
          <w:tcPr>
            <w:tcW w:w="5100" w:type="dxa"/>
            <w:vAlign w:val="bottom"/>
            <w:tcBorders>
              <w:top w:val="single" w:sz="8" w:color="auto"/>
            </w:tcBorders>
          </w:tcPr>
          <w:p>
            <w:pPr>
              <w:jc w:val="center"/>
              <w:ind w:right="4492"/>
              <w:spacing w:after="0" w:line="216" w:lineRule="exact"/>
              <w:rPr>
                <w:sz w:val="20"/>
                <w:szCs w:val="20"/>
                <w:color w:val="auto"/>
              </w:rPr>
            </w:pPr>
            <w:r>
              <w:rPr>
                <w:rFonts w:ascii="Arial" w:cs="Arial" w:eastAsia="Arial" w:hAnsi="Arial"/>
                <w:sz w:val="22"/>
                <w:szCs w:val="22"/>
                <w:color w:val="auto"/>
                <w:w w:val="97"/>
              </w:rPr>
              <w:t>]</w:t>
            </w:r>
          </w:p>
        </w:tc>
        <w:tc>
          <w:tcPr>
            <w:tcW w:w="9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jc w:val="right"/>
              <w:ind w:right="72"/>
              <w:spacing w:after="0" w:line="216" w:lineRule="exact"/>
              <w:rPr>
                <w:sz w:val="20"/>
                <w:szCs w:val="20"/>
                <w:color w:val="auto"/>
              </w:rPr>
            </w:pPr>
            <w:r>
              <w:rPr>
                <w:rFonts w:ascii="Arial" w:cs="Arial" w:eastAsia="Arial" w:hAnsi="Arial"/>
                <w:sz w:val="22"/>
                <w:szCs w:val="22"/>
                <w:color w:val="auto"/>
              </w:rPr>
              <w:t>[</w:t>
            </w:r>
          </w:p>
        </w:tc>
        <w:tc>
          <w:tcPr>
            <w:tcW w:w="160" w:type="dxa"/>
            <w:vAlign w:val="bottom"/>
            <w:tcBorders>
              <w:top w:val="single" w:sz="8" w:color="auto"/>
            </w:tcBorders>
          </w:tcPr>
          <w:p>
            <w:pPr>
              <w:jc w:val="right"/>
              <w:spacing w:after="0" w:line="216" w:lineRule="exact"/>
              <w:rPr>
                <w:sz w:val="20"/>
                <w:szCs w:val="20"/>
                <w:color w:val="auto"/>
              </w:rPr>
            </w:pPr>
            <w:r>
              <w:rPr>
                <w:rFonts w:ascii="Arial" w:cs="Arial" w:eastAsia="Arial" w:hAnsi="Arial"/>
                <w:sz w:val="22"/>
                <w:szCs w:val="22"/>
                <w:color w:val="auto"/>
              </w:rPr>
              <w:t>]</w:t>
            </w:r>
          </w:p>
        </w:tc>
      </w:tr>
      <w:tr>
        <w:trPr>
          <w:trHeight w:val="243"/>
        </w:trPr>
        <w:tc>
          <w:tcPr>
            <w:tcW w:w="140" w:type="dxa"/>
            <w:vAlign w:val="bottom"/>
            <w:gridSpan w:val="2"/>
          </w:tcPr>
          <w:p>
            <w:pPr>
              <w:spacing w:after="0" w:line="243" w:lineRule="exact"/>
              <w:rPr>
                <w:sz w:val="20"/>
                <w:szCs w:val="20"/>
                <w:color w:val="auto"/>
              </w:rPr>
            </w:pPr>
            <w:r>
              <w:rPr>
                <w:rFonts w:ascii="Arial" w:cs="Arial" w:eastAsia="Arial" w:hAnsi="Arial"/>
                <w:sz w:val="22"/>
                <w:szCs w:val="22"/>
                <w:color w:val="auto"/>
              </w:rPr>
              <w:t>[</w:t>
            </w:r>
          </w:p>
        </w:tc>
        <w:tc>
          <w:tcPr>
            <w:tcW w:w="5100" w:type="dxa"/>
            <w:vAlign w:val="bottom"/>
          </w:tcPr>
          <w:p>
            <w:pPr>
              <w:jc w:val="center"/>
              <w:ind w:right="4492"/>
              <w:spacing w:after="0" w:line="243" w:lineRule="exact"/>
              <w:rPr>
                <w:sz w:val="20"/>
                <w:szCs w:val="20"/>
                <w:color w:val="auto"/>
              </w:rPr>
            </w:pPr>
            <w:r>
              <w:rPr>
                <w:rFonts w:ascii="Arial" w:cs="Arial" w:eastAsia="Arial" w:hAnsi="Arial"/>
                <w:sz w:val="22"/>
                <w:szCs w:val="22"/>
                <w:color w:val="auto"/>
                <w:w w:val="97"/>
              </w:rPr>
              <w:t>]</w:t>
            </w:r>
          </w:p>
        </w:tc>
        <w:tc>
          <w:tcPr>
            <w:tcW w:w="3980" w:type="dxa"/>
            <w:vAlign w:val="bottom"/>
            <w:gridSpan w:val="4"/>
          </w:tcPr>
          <w:p>
            <w:pPr>
              <w:jc w:val="right"/>
              <w:ind w:right="72"/>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75"/>
        </w:trPr>
        <w:tc>
          <w:tcPr>
            <w:tcW w:w="140" w:type="dxa"/>
            <w:vAlign w:val="bottom"/>
            <w:gridSpan w:val="2"/>
          </w:tcPr>
          <w:p>
            <w:pPr>
              <w:spacing w:after="0"/>
              <w:rPr>
                <w:sz w:val="20"/>
                <w:szCs w:val="20"/>
                <w:color w:val="auto"/>
              </w:rPr>
            </w:pPr>
            <w:r>
              <w:rPr>
                <w:rFonts w:ascii="Arial" w:cs="Arial" w:eastAsia="Arial" w:hAnsi="Arial"/>
                <w:sz w:val="22"/>
                <w:szCs w:val="22"/>
                <w:color w:val="auto"/>
              </w:rPr>
              <w:t>[</w:t>
            </w:r>
          </w:p>
        </w:tc>
        <w:tc>
          <w:tcPr>
            <w:tcW w:w="5100" w:type="dxa"/>
            <w:vAlign w:val="bottom"/>
          </w:tcPr>
          <w:p>
            <w:pPr>
              <w:jc w:val="center"/>
              <w:ind w:right="4492"/>
              <w:spacing w:after="0"/>
              <w:rPr>
                <w:sz w:val="20"/>
                <w:szCs w:val="20"/>
                <w:color w:val="auto"/>
              </w:rPr>
            </w:pPr>
            <w:r>
              <w:rPr>
                <w:rFonts w:ascii="Arial" w:cs="Arial" w:eastAsia="Arial" w:hAnsi="Arial"/>
                <w:sz w:val="22"/>
                <w:szCs w:val="22"/>
                <w:color w:val="auto"/>
                <w:w w:val="97"/>
              </w:rPr>
              <w:t>]</w:t>
            </w:r>
          </w:p>
        </w:tc>
        <w:tc>
          <w:tcPr>
            <w:tcW w:w="3980" w:type="dxa"/>
            <w:vAlign w:val="bottom"/>
            <w:gridSpan w:val="4"/>
          </w:tcPr>
          <w:p>
            <w:pPr>
              <w:jc w:val="right"/>
              <w:ind w:right="72"/>
              <w:spacing w:after="0"/>
              <w:rPr>
                <w:sz w:val="20"/>
                <w:szCs w:val="20"/>
                <w:color w:val="auto"/>
              </w:rPr>
            </w:pPr>
            <w:r>
              <w:rPr>
                <w:rFonts w:ascii="Arial" w:cs="Arial" w:eastAsia="Arial" w:hAnsi="Arial"/>
                <w:sz w:val="22"/>
                <w:szCs w:val="22"/>
                <w:color w:val="auto"/>
              </w:rPr>
              <w:t>[</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00" w:type="dxa"/>
            <w:vAlign w:val="bottom"/>
          </w:tcPr>
          <w:p>
            <w:pPr>
              <w:jc w:val="center"/>
              <w:ind w:right="4472"/>
              <w:spacing w:after="0" w:line="240" w:lineRule="exact"/>
              <w:rPr>
                <w:sz w:val="20"/>
                <w:szCs w:val="20"/>
                <w:color w:val="auto"/>
              </w:rPr>
            </w:pPr>
            <w:r>
              <w:rPr>
                <w:rFonts w:ascii="Arial" w:cs="Arial" w:eastAsia="Arial" w:hAnsi="Arial"/>
                <w:sz w:val="22"/>
                <w:szCs w:val="22"/>
                <w:color w:val="auto"/>
                <w:w w:val="89"/>
              </w:rPr>
              <w:t>Total</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top w:val="single" w:sz="8" w:color="auto"/>
              <w:bottom w:val="single" w:sz="8" w:color="auto"/>
            </w:tcBorders>
          </w:tcPr>
          <w:p>
            <w:pPr>
              <w:jc w:val="right"/>
              <w:ind w:right="72"/>
              <w:spacing w:after="0" w:line="240" w:lineRule="exact"/>
              <w:rPr>
                <w:sz w:val="20"/>
                <w:szCs w:val="20"/>
                <w:color w:val="auto"/>
              </w:rPr>
            </w:pPr>
            <w:r>
              <w:rPr>
                <w:rFonts w:ascii="Arial" w:cs="Arial" w:eastAsia="Arial" w:hAnsi="Arial"/>
                <w:sz w:val="22"/>
                <w:szCs w:val="22"/>
                <w:color w:val="auto"/>
              </w:rPr>
              <w:t>[</w:t>
            </w:r>
          </w:p>
        </w:tc>
        <w:tc>
          <w:tcPr>
            <w:tcW w:w="160" w:type="dxa"/>
            <w:vAlign w:val="bottom"/>
            <w:tcBorders>
              <w:top w:val="single" w:sz="8" w:color="auto"/>
              <w:bottom w:val="single" w:sz="8" w:color="auto"/>
            </w:tcBorders>
          </w:tcPr>
          <w:p>
            <w:pPr>
              <w:jc w:val="right"/>
              <w:spacing w:after="0" w:line="240" w:lineRule="exact"/>
              <w:rPr>
                <w:sz w:val="20"/>
                <w:szCs w:val="20"/>
                <w:color w:val="auto"/>
              </w:rPr>
            </w:pPr>
            <w:r>
              <w:rPr>
                <w:rFonts w:ascii="Arial" w:cs="Arial" w:eastAsia="Arial" w:hAnsi="Arial"/>
                <w:sz w:val="22"/>
                <w:szCs w:val="22"/>
                <w:color w:val="auto"/>
              </w:rPr>
              <w:t>]</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4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100" w:right="60"/>
        <w:spacing w:after="0" w:line="276" w:lineRule="auto"/>
        <w:rPr>
          <w:sz w:val="20"/>
          <w:szCs w:val="20"/>
          <w:color w:val="auto"/>
        </w:rPr>
      </w:pPr>
      <w:r>
        <w:rPr>
          <w:rFonts w:ascii="Arial" w:cs="Arial" w:eastAsia="Arial" w:hAnsi="Arial"/>
          <w:sz w:val="19"/>
          <w:szCs w:val="19"/>
          <w:color w:val="auto"/>
        </w:rPr>
        <w:t>Number of Optional Securities to be Purchased if Maximum Option Exercised</w:t>
      </w:r>
    </w:p>
    <w:tbl>
      <w:tblPr>
        <w:tblLayout w:type="fixed"/>
        <w:tblInd w:w="0" w:type="dxa"/>
        <w:tblCellMar>
          <w:top w:w="0" w:type="dxa"/>
          <w:left w:w="0" w:type="dxa"/>
          <w:bottom w:w="0" w:type="dxa"/>
          <w:right w:w="0" w:type="dxa"/>
        </w:tblCellMar>
      </w:tblPr>
      <w:tr>
        <w:trPr>
          <w:trHeight w:val="196"/>
        </w:trPr>
        <w:tc>
          <w:tcPr>
            <w:tcW w:w="1620" w:type="dxa"/>
            <w:vAlign w:val="bottom"/>
            <w:tcBorders>
              <w:top w:val="single" w:sz="8" w:color="auto"/>
            </w:tcBorders>
          </w:tcPr>
          <w:p>
            <w:pPr>
              <w:jc w:val="right"/>
              <w:ind w:right="32"/>
              <w:spacing w:after="0" w:line="195" w:lineRule="exact"/>
              <w:rPr>
                <w:sz w:val="20"/>
                <w:szCs w:val="20"/>
                <w:color w:val="auto"/>
              </w:rPr>
            </w:pPr>
            <w:r>
              <w:rPr>
                <w:rFonts w:ascii="Arial" w:cs="Arial" w:eastAsia="Arial" w:hAnsi="Arial"/>
                <w:sz w:val="22"/>
                <w:szCs w:val="22"/>
                <w:color w:val="auto"/>
              </w:rPr>
              <w:t>[</w:t>
            </w: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22"/>
                <w:szCs w:val="22"/>
                <w:color w:val="auto"/>
              </w:rPr>
              <w:t>]</w:t>
            </w:r>
          </w:p>
        </w:tc>
      </w:tr>
      <w:tr>
        <w:trPr>
          <w:trHeight w:val="243"/>
        </w:trPr>
        <w:tc>
          <w:tcPr>
            <w:tcW w:w="1620" w:type="dxa"/>
            <w:vAlign w:val="bottom"/>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76"/>
        </w:trPr>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38"/>
        </w:trPr>
        <w:tc>
          <w:tcPr>
            <w:tcW w:w="1620" w:type="dxa"/>
            <w:vAlign w:val="bottom"/>
            <w:tcBorders>
              <w:bottom w:val="single" w:sz="8" w:color="auto"/>
            </w:tcBorders>
          </w:tcPr>
          <w:p>
            <w:pPr>
              <w:jc w:val="right"/>
              <w:ind w:right="32"/>
              <w:spacing w:after="0" w:line="239" w:lineRule="exact"/>
              <w:rPr>
                <w:sz w:val="20"/>
                <w:szCs w:val="20"/>
                <w:color w:val="auto"/>
              </w:rPr>
            </w:pPr>
            <w:r>
              <w:rPr>
                <w:rFonts w:ascii="Arial" w:cs="Arial" w:eastAsia="Arial" w:hAnsi="Arial"/>
                <w:sz w:val="22"/>
                <w:szCs w:val="22"/>
                <w:color w:val="auto"/>
              </w:rPr>
              <w:t>[</w:t>
            </w:r>
          </w:p>
        </w:tc>
        <w:tc>
          <w:tcPr>
            <w:tcW w:w="20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22"/>
                <w:szCs w:val="22"/>
                <w:color w:val="auto"/>
              </w:rPr>
              <w:t>]</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9380" w:space="220"/>
            <w:col w:w="1820"/>
          </w:cols>
          <w:pgMar w:left="240" w:top="373" w:right="239" w:bottom="1440" w:gutter="0" w:footer="0" w:header="0"/>
        </w:sectPr>
      </w:pPr>
    </w:p>
    <w:bookmarkStart w:id="96" w:name="page97"/>
    <w:bookmarkEnd w:id="96"/>
    <w:p>
      <w:pPr>
        <w:jc w:val="center"/>
        <w:ind w:right="-1200"/>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33" w:lineRule="exact"/>
        <w:rPr>
          <w:sz w:val="20"/>
          <w:szCs w:val="20"/>
          <w:color w:val="auto"/>
        </w:rPr>
      </w:pPr>
    </w:p>
    <w:p>
      <w:pPr>
        <w:jc w:val="right"/>
        <w:ind w:right="3379"/>
        <w:spacing w:after="0"/>
        <w:rPr>
          <w:sz w:val="20"/>
          <w:szCs w:val="20"/>
          <w:color w:val="auto"/>
        </w:rPr>
      </w:pPr>
      <w:r>
        <w:rPr>
          <w:rFonts w:ascii="Arial" w:cs="Arial" w:eastAsia="Arial" w:hAnsi="Arial"/>
          <w:sz w:val="22"/>
          <w:szCs w:val="22"/>
          <w:b w:val="1"/>
          <w:bCs w:val="1"/>
          <w:color w:val="auto"/>
        </w:rPr>
        <w:t>Free Writing Prospectus</w:t>
      </w:r>
    </w:p>
    <w:p>
      <w:pPr>
        <w:spacing w:after="0" w:line="239" w:lineRule="exact"/>
        <w:rPr>
          <w:sz w:val="20"/>
          <w:szCs w:val="20"/>
          <w:color w:val="auto"/>
        </w:rPr>
      </w:pPr>
    </w:p>
    <w:p>
      <w:pPr>
        <w:ind w:left="360" w:hanging="352"/>
        <w:spacing w:after="0"/>
        <w:tabs>
          <w:tab w:leader="none" w:pos="3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u w:val="single" w:color="auto"/>
          <w:color w:val="auto"/>
        </w:rPr>
        <w:t>Schedule II(a)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Owned Vessels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40" w:type="dxa"/>
            <w:vAlign w:val="bottom"/>
            <w:tcBorders>
              <w:top w:val="single" w:sz="8" w:color="auto"/>
            </w:tcBorders>
            <w:gridSpan w:val="2"/>
          </w:tcPr>
          <w:p>
            <w:pPr>
              <w:ind w:left="1420"/>
              <w:spacing w:after="0" w:line="237" w:lineRule="exact"/>
              <w:rPr>
                <w:sz w:val="20"/>
                <w:szCs w:val="20"/>
                <w:color w:val="auto"/>
              </w:rPr>
            </w:pPr>
            <w:r>
              <w:rPr>
                <w:rFonts w:ascii="Arial" w:cs="Arial" w:eastAsia="Arial" w:hAnsi="Arial"/>
                <w:sz w:val="22"/>
                <w:szCs w:val="22"/>
                <w:b w:val="1"/>
                <w:bCs w:val="1"/>
                <w:color w:val="auto"/>
              </w:rPr>
              <w:t>Vessel</w:t>
            </w:r>
          </w:p>
        </w:tc>
        <w:tc>
          <w:tcPr>
            <w:tcW w:w="1120" w:type="dxa"/>
            <w:vAlign w:val="bottom"/>
            <w:tcBorders>
              <w:top w:val="single" w:sz="8" w:color="auto"/>
            </w:tcBorders>
          </w:tcPr>
          <w:p>
            <w:pPr>
              <w:ind w:left="660"/>
              <w:spacing w:after="0" w:line="237" w:lineRule="exact"/>
              <w:rPr>
                <w:sz w:val="20"/>
                <w:szCs w:val="20"/>
                <w:color w:val="auto"/>
              </w:rPr>
            </w:pPr>
            <w:r>
              <w:rPr>
                <w:rFonts w:ascii="Arial" w:cs="Arial" w:eastAsia="Arial" w:hAnsi="Arial"/>
                <w:sz w:val="22"/>
                <w:szCs w:val="22"/>
                <w:b w:val="1"/>
                <w:bCs w:val="1"/>
                <w:color w:val="auto"/>
                <w:w w:val="97"/>
              </w:rPr>
              <w:t>Flag</w:t>
            </w: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gridSpan w:val="2"/>
          </w:tcPr>
          <w:p>
            <w:pPr>
              <w:ind w:left="260"/>
              <w:spacing w:after="0" w:line="237" w:lineRule="exact"/>
              <w:rPr>
                <w:sz w:val="20"/>
                <w:szCs w:val="20"/>
                <w:color w:val="auto"/>
              </w:rPr>
            </w:pPr>
            <w:r>
              <w:rPr>
                <w:rFonts w:ascii="Arial" w:cs="Arial" w:eastAsia="Arial" w:hAnsi="Arial"/>
                <w:sz w:val="22"/>
                <w:szCs w:val="22"/>
                <w:b w:val="1"/>
                <w:bCs w:val="1"/>
                <w:color w:val="auto"/>
              </w:rPr>
              <w:t>Owning Entity</w:t>
            </w:r>
          </w:p>
        </w:tc>
        <w:tc>
          <w:tcPr>
            <w:tcW w:w="2160" w:type="dxa"/>
            <w:vAlign w:val="bottom"/>
            <w:tcBorders>
              <w:top w:val="single" w:sz="8" w:color="auto"/>
            </w:tcBorders>
          </w:tcPr>
          <w:p>
            <w:pPr>
              <w:ind w:left="440"/>
              <w:spacing w:after="0" w:line="237" w:lineRule="exact"/>
              <w:rPr>
                <w:sz w:val="20"/>
                <w:szCs w:val="20"/>
                <w:color w:val="auto"/>
              </w:rPr>
            </w:pPr>
            <w:r>
              <w:rPr>
                <w:rFonts w:ascii="Arial" w:cs="Arial" w:eastAsia="Arial" w:hAnsi="Arial"/>
                <w:sz w:val="22"/>
                <w:szCs w:val="22"/>
                <w:b w:val="1"/>
                <w:bCs w:val="1"/>
                <w:color w:val="auto"/>
              </w:rPr>
              <w:t>IMO Number</w:t>
            </w:r>
          </w:p>
        </w:tc>
      </w:tr>
      <w:tr>
        <w:trPr>
          <w:trHeight w:val="237"/>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i w:val="1"/>
                <w:iCs w:val="1"/>
                <w:color w:val="auto"/>
              </w:rPr>
              <w:t>GasLog Shanghai</w:t>
            </w:r>
          </w:p>
        </w:tc>
        <w:tc>
          <w:tcPr>
            <w:tcW w:w="220" w:type="dxa"/>
            <w:vAlign w:val="bottom"/>
            <w:tcBorders>
              <w:top w:val="single" w:sz="8" w:color="E5FFFF"/>
            </w:tcBorders>
            <w:shd w:val="clear" w:color="auto" w:fill="E5FFFF"/>
          </w:tcPr>
          <w:p>
            <w:pPr>
              <w:spacing w:after="0"/>
              <w:rPr>
                <w:sz w:val="20"/>
                <w:szCs w:val="20"/>
                <w:color w:val="auto"/>
              </w:rPr>
            </w:pPr>
          </w:p>
        </w:tc>
        <w:tc>
          <w:tcPr>
            <w:tcW w:w="112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Bermuda</w:t>
            </w:r>
          </w:p>
        </w:tc>
        <w:tc>
          <w:tcPr>
            <w:tcW w:w="280" w:type="dxa"/>
            <w:vAlign w:val="bottom"/>
            <w:tcBorders>
              <w:top w:val="single" w:sz="8" w:color="auto"/>
            </w:tcBorders>
            <w:shd w:val="clear" w:color="auto" w:fill="E5FFFF"/>
          </w:tcPr>
          <w:p>
            <w:pPr>
              <w:spacing w:after="0"/>
              <w:rPr>
                <w:sz w:val="20"/>
                <w:szCs w:val="20"/>
                <w:color w:val="auto"/>
              </w:rPr>
            </w:pPr>
          </w:p>
        </w:tc>
        <w:tc>
          <w:tcPr>
            <w:tcW w:w="320" w:type="dxa"/>
            <w:vAlign w:val="bottom"/>
            <w:tcBorders>
              <w:top w:val="single" w:sz="8" w:color="auto"/>
            </w:tcBorders>
            <w:shd w:val="clear" w:color="auto" w:fill="E5FFFF"/>
          </w:tcPr>
          <w:p>
            <w:pPr>
              <w:spacing w:after="0"/>
              <w:rPr>
                <w:sz w:val="20"/>
                <w:szCs w:val="20"/>
                <w:color w:val="auto"/>
              </w:rPr>
            </w:pPr>
          </w:p>
        </w:tc>
        <w:tc>
          <w:tcPr>
            <w:tcW w:w="240" w:type="dxa"/>
            <w:vAlign w:val="bottom"/>
            <w:tcBorders>
              <w:top w:val="single" w:sz="8" w:color="E5FFFF"/>
            </w:tcBorders>
            <w:shd w:val="clear" w:color="auto" w:fill="E5FFFF"/>
          </w:tcPr>
          <w:p>
            <w:pPr>
              <w:spacing w:after="0"/>
              <w:rPr>
                <w:sz w:val="20"/>
                <w:szCs w:val="20"/>
                <w:color w:val="auto"/>
              </w:rPr>
            </w:pPr>
          </w:p>
        </w:tc>
        <w:tc>
          <w:tcPr>
            <w:tcW w:w="3420" w:type="dxa"/>
            <w:vAlign w:val="bottom"/>
            <w:tcBorders>
              <w:top w:val="single" w:sz="8" w:color="auto"/>
            </w:tcBorders>
            <w:gridSpan w:val="2"/>
            <w:shd w:val="clear" w:color="auto" w:fill="E5FFFF"/>
          </w:tcPr>
          <w:p>
            <w:pPr>
              <w:spacing w:after="0" w:line="237" w:lineRule="exact"/>
              <w:rPr>
                <w:sz w:val="20"/>
                <w:szCs w:val="20"/>
                <w:color w:val="auto"/>
              </w:rPr>
            </w:pPr>
            <w:r>
              <w:rPr>
                <w:rFonts w:ascii="Arial" w:cs="Arial" w:eastAsia="Arial" w:hAnsi="Arial"/>
                <w:sz w:val="22"/>
                <w:szCs w:val="22"/>
                <w:color w:val="auto"/>
              </w:rPr>
              <w:t>GAS-three Ltd.</w:t>
            </w:r>
          </w:p>
        </w:tc>
        <w:tc>
          <w:tcPr>
            <w:tcW w:w="220" w:type="dxa"/>
            <w:vAlign w:val="bottom"/>
            <w:tcBorders>
              <w:top w:val="single" w:sz="8" w:color="E5FFFF"/>
            </w:tcBorders>
            <w:shd w:val="clear" w:color="auto" w:fill="E5FFFF"/>
          </w:tcPr>
          <w:p>
            <w:pPr>
              <w:spacing w:after="0"/>
              <w:rPr>
                <w:sz w:val="20"/>
                <w:szCs w:val="20"/>
                <w:color w:val="auto"/>
              </w:rPr>
            </w:pPr>
          </w:p>
        </w:tc>
        <w:tc>
          <w:tcPr>
            <w:tcW w:w="216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9600528</w:t>
            </w:r>
          </w:p>
        </w:tc>
      </w:tr>
      <w:tr>
        <w:trPr>
          <w:trHeight w:val="243"/>
        </w:trPr>
        <w:tc>
          <w:tcPr>
            <w:tcW w:w="2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GasLog Santiago</w:t>
            </w:r>
          </w:p>
        </w:tc>
        <w:tc>
          <w:tcPr>
            <w:tcW w:w="1120" w:type="dxa"/>
            <w:vAlign w:val="bottom"/>
          </w:tcPr>
          <w:p>
            <w:pPr>
              <w:spacing w:after="0" w:line="243" w:lineRule="exact"/>
              <w:rPr>
                <w:sz w:val="20"/>
                <w:szCs w:val="20"/>
                <w:color w:val="auto"/>
              </w:rPr>
            </w:pPr>
            <w:r>
              <w:rPr>
                <w:rFonts w:ascii="Arial" w:cs="Arial" w:eastAsia="Arial" w:hAnsi="Arial"/>
                <w:sz w:val="22"/>
                <w:szCs w:val="22"/>
                <w:color w:val="auto"/>
              </w:rPr>
              <w:t>Bermuda</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40" w:type="dxa"/>
            <w:vAlign w:val="bottom"/>
            <w:gridSpan w:val="3"/>
          </w:tcPr>
          <w:p>
            <w:pPr>
              <w:spacing w:after="0" w:line="243" w:lineRule="exact"/>
              <w:rPr>
                <w:sz w:val="20"/>
                <w:szCs w:val="20"/>
                <w:color w:val="auto"/>
              </w:rPr>
            </w:pPr>
            <w:r>
              <w:rPr>
                <w:rFonts w:ascii="Arial" w:cs="Arial" w:eastAsia="Arial" w:hAnsi="Arial"/>
                <w:sz w:val="22"/>
                <w:szCs w:val="22"/>
                <w:color w:val="auto"/>
              </w:rPr>
              <w:t>GAS-four Ltd.</w:t>
            </w:r>
          </w:p>
        </w:tc>
        <w:tc>
          <w:tcPr>
            <w:tcW w:w="2160" w:type="dxa"/>
            <w:vAlign w:val="bottom"/>
          </w:tcPr>
          <w:p>
            <w:pPr>
              <w:spacing w:after="0" w:line="243" w:lineRule="exact"/>
              <w:rPr>
                <w:sz w:val="20"/>
                <w:szCs w:val="20"/>
                <w:color w:val="auto"/>
              </w:rPr>
            </w:pPr>
            <w:r>
              <w:rPr>
                <w:rFonts w:ascii="Arial" w:cs="Arial" w:eastAsia="Arial" w:hAnsi="Arial"/>
                <w:sz w:val="22"/>
                <w:szCs w:val="22"/>
                <w:color w:val="auto"/>
              </w:rPr>
              <w:t>9600530</w:t>
            </w:r>
          </w:p>
        </w:tc>
      </w:tr>
      <w:tr>
        <w:trPr>
          <w:trHeight w:val="243"/>
        </w:trPr>
        <w:tc>
          <w:tcPr>
            <w:tcW w:w="20" w:type="dxa"/>
            <w:vAlign w:val="bottom"/>
          </w:tcPr>
          <w:p>
            <w:pPr>
              <w:spacing w:after="0"/>
              <w:rPr>
                <w:sz w:val="21"/>
                <w:szCs w:val="21"/>
                <w:color w:val="auto"/>
              </w:rPr>
            </w:pPr>
          </w:p>
        </w:tc>
        <w:tc>
          <w:tcPr>
            <w:tcW w:w="36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GasLog Sydney</w:t>
            </w:r>
          </w:p>
        </w:tc>
        <w:tc>
          <w:tcPr>
            <w:tcW w:w="1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Bermuda</w:t>
            </w:r>
          </w:p>
        </w:tc>
        <w:tc>
          <w:tcPr>
            <w:tcW w:w="2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36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GAS-five Ltd.</w:t>
            </w:r>
          </w:p>
        </w:tc>
        <w:tc>
          <w:tcPr>
            <w:tcW w:w="2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9626273</w:t>
            </w:r>
          </w:p>
        </w:tc>
      </w:tr>
      <w:tr>
        <w:trPr>
          <w:trHeight w:val="243"/>
        </w:trPr>
        <w:tc>
          <w:tcPr>
            <w:tcW w:w="2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GasLog Seattle</w:t>
            </w:r>
          </w:p>
        </w:tc>
        <w:tc>
          <w:tcPr>
            <w:tcW w:w="1120" w:type="dxa"/>
            <w:vAlign w:val="bottom"/>
          </w:tcPr>
          <w:p>
            <w:pPr>
              <w:spacing w:after="0" w:line="243" w:lineRule="exact"/>
              <w:rPr>
                <w:sz w:val="20"/>
                <w:szCs w:val="20"/>
                <w:color w:val="auto"/>
              </w:rPr>
            </w:pPr>
            <w:r>
              <w:rPr>
                <w:rFonts w:ascii="Arial" w:cs="Arial" w:eastAsia="Arial" w:hAnsi="Arial"/>
                <w:sz w:val="22"/>
                <w:szCs w:val="22"/>
                <w:color w:val="auto"/>
              </w:rPr>
              <w:t>Bermuda</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40" w:type="dxa"/>
            <w:vAlign w:val="bottom"/>
            <w:gridSpan w:val="3"/>
          </w:tcPr>
          <w:p>
            <w:pPr>
              <w:spacing w:after="0" w:line="243" w:lineRule="exact"/>
              <w:rPr>
                <w:sz w:val="20"/>
                <w:szCs w:val="20"/>
                <w:color w:val="auto"/>
              </w:rPr>
            </w:pPr>
            <w:r>
              <w:rPr>
                <w:rFonts w:ascii="Arial" w:cs="Arial" w:eastAsia="Arial" w:hAnsi="Arial"/>
                <w:sz w:val="22"/>
                <w:szCs w:val="22"/>
                <w:color w:val="auto"/>
              </w:rPr>
              <w:t>GAS-seven Ltd.</w:t>
            </w:r>
          </w:p>
        </w:tc>
        <w:tc>
          <w:tcPr>
            <w:tcW w:w="2160" w:type="dxa"/>
            <w:vAlign w:val="bottom"/>
          </w:tcPr>
          <w:p>
            <w:pPr>
              <w:spacing w:after="0" w:line="243" w:lineRule="exact"/>
              <w:rPr>
                <w:sz w:val="20"/>
                <w:szCs w:val="20"/>
                <w:color w:val="auto"/>
              </w:rPr>
            </w:pPr>
            <w:r>
              <w:rPr>
                <w:rFonts w:ascii="Arial" w:cs="Arial" w:eastAsia="Arial" w:hAnsi="Arial"/>
                <w:sz w:val="22"/>
                <w:szCs w:val="22"/>
                <w:color w:val="auto"/>
              </w:rPr>
              <w:t>9634086</w:t>
            </w:r>
          </w:p>
        </w:tc>
      </w:tr>
      <w:tr>
        <w:trPr>
          <w:trHeight w:val="243"/>
        </w:trPr>
        <w:tc>
          <w:tcPr>
            <w:tcW w:w="20" w:type="dxa"/>
            <w:vAlign w:val="bottom"/>
          </w:tcPr>
          <w:p>
            <w:pPr>
              <w:spacing w:after="0"/>
              <w:rPr>
                <w:sz w:val="21"/>
                <w:szCs w:val="21"/>
                <w:color w:val="auto"/>
              </w:rPr>
            </w:pPr>
          </w:p>
        </w:tc>
        <w:tc>
          <w:tcPr>
            <w:tcW w:w="36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GasLog Greece</w:t>
            </w:r>
          </w:p>
        </w:tc>
        <w:tc>
          <w:tcPr>
            <w:tcW w:w="1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Bermuda</w:t>
            </w:r>
          </w:p>
        </w:tc>
        <w:tc>
          <w:tcPr>
            <w:tcW w:w="2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36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GAS-eleven Ltd.</w:t>
            </w:r>
          </w:p>
        </w:tc>
        <w:tc>
          <w:tcPr>
            <w:tcW w:w="2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9687019</w:t>
            </w:r>
          </w:p>
        </w:tc>
      </w:tr>
      <w:tr>
        <w:trPr>
          <w:trHeight w:val="243"/>
        </w:trPr>
        <w:tc>
          <w:tcPr>
            <w:tcW w:w="2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GasLog Geneva</w:t>
            </w:r>
          </w:p>
        </w:tc>
        <w:tc>
          <w:tcPr>
            <w:tcW w:w="1120" w:type="dxa"/>
            <w:vAlign w:val="bottom"/>
          </w:tcPr>
          <w:p>
            <w:pPr>
              <w:spacing w:after="0" w:line="243" w:lineRule="exact"/>
              <w:rPr>
                <w:sz w:val="20"/>
                <w:szCs w:val="20"/>
                <w:color w:val="auto"/>
              </w:rPr>
            </w:pPr>
            <w:r>
              <w:rPr>
                <w:rFonts w:ascii="Arial" w:cs="Arial" w:eastAsia="Arial" w:hAnsi="Arial"/>
                <w:sz w:val="22"/>
                <w:szCs w:val="22"/>
                <w:color w:val="auto"/>
              </w:rPr>
              <w:t>Bermuda</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40" w:type="dxa"/>
            <w:vAlign w:val="bottom"/>
            <w:gridSpan w:val="3"/>
          </w:tcPr>
          <w:p>
            <w:pPr>
              <w:spacing w:after="0" w:line="243" w:lineRule="exact"/>
              <w:rPr>
                <w:sz w:val="20"/>
                <w:szCs w:val="20"/>
                <w:color w:val="auto"/>
              </w:rPr>
            </w:pPr>
            <w:r>
              <w:rPr>
                <w:rFonts w:ascii="Arial" w:cs="Arial" w:eastAsia="Arial" w:hAnsi="Arial"/>
                <w:sz w:val="22"/>
                <w:szCs w:val="22"/>
                <w:color w:val="auto"/>
              </w:rPr>
              <w:t>GAS-thirteen Ltd.</w:t>
            </w:r>
          </w:p>
        </w:tc>
        <w:tc>
          <w:tcPr>
            <w:tcW w:w="2160" w:type="dxa"/>
            <w:vAlign w:val="bottom"/>
          </w:tcPr>
          <w:p>
            <w:pPr>
              <w:spacing w:after="0" w:line="243" w:lineRule="exact"/>
              <w:rPr>
                <w:sz w:val="20"/>
                <w:szCs w:val="20"/>
                <w:color w:val="auto"/>
              </w:rPr>
            </w:pPr>
            <w:r>
              <w:rPr>
                <w:rFonts w:ascii="Arial" w:cs="Arial" w:eastAsia="Arial" w:hAnsi="Arial"/>
                <w:sz w:val="22"/>
                <w:szCs w:val="22"/>
                <w:color w:val="auto"/>
              </w:rPr>
              <w:t>9707508</w:t>
            </w:r>
          </w:p>
        </w:tc>
      </w:tr>
      <w:tr>
        <w:trPr>
          <w:trHeight w:val="243"/>
        </w:trPr>
        <w:tc>
          <w:tcPr>
            <w:tcW w:w="20" w:type="dxa"/>
            <w:vAlign w:val="bottom"/>
          </w:tcPr>
          <w:p>
            <w:pPr>
              <w:spacing w:after="0"/>
              <w:rPr>
                <w:sz w:val="21"/>
                <w:szCs w:val="21"/>
                <w:color w:val="auto"/>
              </w:rPr>
            </w:pPr>
          </w:p>
        </w:tc>
        <w:tc>
          <w:tcPr>
            <w:tcW w:w="36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Methane Rita Andrea</w:t>
            </w:r>
          </w:p>
        </w:tc>
        <w:tc>
          <w:tcPr>
            <w:tcW w:w="1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Bermuda</w:t>
            </w:r>
          </w:p>
        </w:tc>
        <w:tc>
          <w:tcPr>
            <w:tcW w:w="2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36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GAS-sixteen Ltd.</w:t>
            </w:r>
          </w:p>
        </w:tc>
        <w:tc>
          <w:tcPr>
            <w:tcW w:w="2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9307188</w:t>
            </w:r>
          </w:p>
        </w:tc>
      </w:tr>
      <w:tr>
        <w:trPr>
          <w:trHeight w:val="243"/>
        </w:trPr>
        <w:tc>
          <w:tcPr>
            <w:tcW w:w="2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Methane Jane Elizabeth</w:t>
            </w:r>
          </w:p>
        </w:tc>
        <w:tc>
          <w:tcPr>
            <w:tcW w:w="1120" w:type="dxa"/>
            <w:vAlign w:val="bottom"/>
          </w:tcPr>
          <w:p>
            <w:pPr>
              <w:spacing w:after="0" w:line="243" w:lineRule="exact"/>
              <w:rPr>
                <w:sz w:val="20"/>
                <w:szCs w:val="20"/>
                <w:color w:val="auto"/>
              </w:rPr>
            </w:pPr>
            <w:r>
              <w:rPr>
                <w:rFonts w:ascii="Arial" w:cs="Arial" w:eastAsia="Arial" w:hAnsi="Arial"/>
                <w:sz w:val="22"/>
                <w:szCs w:val="22"/>
                <w:color w:val="auto"/>
              </w:rPr>
              <w:t>Bermuda</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40" w:type="dxa"/>
            <w:vAlign w:val="bottom"/>
            <w:gridSpan w:val="3"/>
          </w:tcPr>
          <w:p>
            <w:pPr>
              <w:spacing w:after="0" w:line="243" w:lineRule="exact"/>
              <w:rPr>
                <w:sz w:val="20"/>
                <w:szCs w:val="20"/>
                <w:color w:val="auto"/>
              </w:rPr>
            </w:pPr>
            <w:r>
              <w:rPr>
                <w:rFonts w:ascii="Arial" w:cs="Arial" w:eastAsia="Arial" w:hAnsi="Arial"/>
                <w:sz w:val="22"/>
                <w:szCs w:val="22"/>
                <w:color w:val="auto"/>
              </w:rPr>
              <w:t>GAS-seventeen Ltd.</w:t>
            </w:r>
          </w:p>
        </w:tc>
        <w:tc>
          <w:tcPr>
            <w:tcW w:w="2160" w:type="dxa"/>
            <w:vAlign w:val="bottom"/>
          </w:tcPr>
          <w:p>
            <w:pPr>
              <w:spacing w:after="0" w:line="243" w:lineRule="exact"/>
              <w:rPr>
                <w:sz w:val="20"/>
                <w:szCs w:val="20"/>
                <w:color w:val="auto"/>
              </w:rPr>
            </w:pPr>
            <w:r>
              <w:rPr>
                <w:rFonts w:ascii="Arial" w:cs="Arial" w:eastAsia="Arial" w:hAnsi="Arial"/>
                <w:sz w:val="22"/>
                <w:szCs w:val="22"/>
                <w:color w:val="auto"/>
              </w:rPr>
              <w:t>9307190</w:t>
            </w:r>
          </w:p>
        </w:tc>
      </w:tr>
      <w:tr>
        <w:trPr>
          <w:trHeight w:val="243"/>
        </w:trPr>
        <w:tc>
          <w:tcPr>
            <w:tcW w:w="20" w:type="dxa"/>
            <w:vAlign w:val="bottom"/>
          </w:tcPr>
          <w:p>
            <w:pPr>
              <w:spacing w:after="0"/>
              <w:rPr>
                <w:sz w:val="21"/>
                <w:szCs w:val="21"/>
                <w:color w:val="auto"/>
              </w:rPr>
            </w:pPr>
          </w:p>
        </w:tc>
        <w:tc>
          <w:tcPr>
            <w:tcW w:w="36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Methane Alison Victoria</w:t>
            </w:r>
          </w:p>
        </w:tc>
        <w:tc>
          <w:tcPr>
            <w:tcW w:w="1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Bermuda</w:t>
            </w:r>
          </w:p>
        </w:tc>
        <w:tc>
          <w:tcPr>
            <w:tcW w:w="2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36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GAS-nineteen Ltd.</w:t>
            </w:r>
          </w:p>
        </w:tc>
        <w:tc>
          <w:tcPr>
            <w:tcW w:w="2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9321768</w:t>
            </w:r>
          </w:p>
        </w:tc>
      </w:tr>
      <w:tr>
        <w:trPr>
          <w:trHeight w:val="243"/>
        </w:trPr>
        <w:tc>
          <w:tcPr>
            <w:tcW w:w="2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Methane Shirley Elisabeth</w:t>
            </w:r>
          </w:p>
        </w:tc>
        <w:tc>
          <w:tcPr>
            <w:tcW w:w="1120" w:type="dxa"/>
            <w:vAlign w:val="bottom"/>
          </w:tcPr>
          <w:p>
            <w:pPr>
              <w:spacing w:after="0" w:line="243" w:lineRule="exact"/>
              <w:rPr>
                <w:sz w:val="20"/>
                <w:szCs w:val="20"/>
                <w:color w:val="auto"/>
              </w:rPr>
            </w:pPr>
            <w:r>
              <w:rPr>
                <w:rFonts w:ascii="Arial" w:cs="Arial" w:eastAsia="Arial" w:hAnsi="Arial"/>
                <w:sz w:val="22"/>
                <w:szCs w:val="22"/>
                <w:color w:val="auto"/>
              </w:rPr>
              <w:t>Bermuda</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40" w:type="dxa"/>
            <w:vAlign w:val="bottom"/>
            <w:gridSpan w:val="3"/>
          </w:tcPr>
          <w:p>
            <w:pPr>
              <w:spacing w:after="0" w:line="243" w:lineRule="exact"/>
              <w:rPr>
                <w:sz w:val="20"/>
                <w:szCs w:val="20"/>
                <w:color w:val="auto"/>
              </w:rPr>
            </w:pPr>
            <w:r>
              <w:rPr>
                <w:rFonts w:ascii="Arial" w:cs="Arial" w:eastAsia="Arial" w:hAnsi="Arial"/>
                <w:sz w:val="22"/>
                <w:szCs w:val="22"/>
                <w:color w:val="auto"/>
              </w:rPr>
              <w:t>GAS-twenty Ltd.</w:t>
            </w:r>
          </w:p>
        </w:tc>
        <w:tc>
          <w:tcPr>
            <w:tcW w:w="2160" w:type="dxa"/>
            <w:vAlign w:val="bottom"/>
          </w:tcPr>
          <w:p>
            <w:pPr>
              <w:spacing w:after="0" w:line="243" w:lineRule="exact"/>
              <w:rPr>
                <w:sz w:val="20"/>
                <w:szCs w:val="20"/>
                <w:color w:val="auto"/>
              </w:rPr>
            </w:pPr>
            <w:r>
              <w:rPr>
                <w:rFonts w:ascii="Arial" w:cs="Arial" w:eastAsia="Arial" w:hAnsi="Arial"/>
                <w:sz w:val="22"/>
                <w:szCs w:val="22"/>
                <w:color w:val="auto"/>
              </w:rPr>
              <w:t>9321756</w:t>
            </w:r>
          </w:p>
        </w:tc>
      </w:tr>
      <w:tr>
        <w:trPr>
          <w:trHeight w:val="243"/>
        </w:trPr>
        <w:tc>
          <w:tcPr>
            <w:tcW w:w="20" w:type="dxa"/>
            <w:vAlign w:val="bottom"/>
          </w:tcPr>
          <w:p>
            <w:pPr>
              <w:spacing w:after="0"/>
              <w:rPr>
                <w:sz w:val="21"/>
                <w:szCs w:val="21"/>
                <w:color w:val="auto"/>
              </w:rPr>
            </w:pPr>
          </w:p>
        </w:tc>
        <w:tc>
          <w:tcPr>
            <w:tcW w:w="36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Methane Heather Sally</w:t>
            </w:r>
          </w:p>
        </w:tc>
        <w:tc>
          <w:tcPr>
            <w:tcW w:w="11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Bermuda</w:t>
            </w:r>
          </w:p>
        </w:tc>
        <w:tc>
          <w:tcPr>
            <w:tcW w:w="2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3640" w:type="dxa"/>
            <w:vAlign w:val="bottom"/>
            <w:gridSpan w:val="3"/>
            <w:shd w:val="clear" w:color="auto" w:fill="E5FFFF"/>
          </w:tcPr>
          <w:p>
            <w:pPr>
              <w:spacing w:after="0" w:line="243" w:lineRule="exact"/>
              <w:rPr>
                <w:sz w:val="20"/>
                <w:szCs w:val="20"/>
                <w:color w:val="auto"/>
              </w:rPr>
            </w:pPr>
            <w:r>
              <w:rPr>
                <w:rFonts w:ascii="Arial" w:cs="Arial" w:eastAsia="Arial" w:hAnsi="Arial"/>
                <w:sz w:val="22"/>
                <w:szCs w:val="22"/>
                <w:color w:val="auto"/>
              </w:rPr>
              <w:t>GAS-twenty one Ltd.</w:t>
            </w:r>
          </w:p>
        </w:tc>
        <w:tc>
          <w:tcPr>
            <w:tcW w:w="2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9321744</w:t>
            </w:r>
          </w:p>
        </w:tc>
      </w:tr>
      <w:tr>
        <w:trPr>
          <w:trHeight w:val="44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1"/>
              </w:rPr>
              <w:t>Schedule II(b)</w:t>
            </w:r>
          </w:p>
        </w:tc>
        <w:tc>
          <w:tcPr>
            <w:tcW w:w="2880" w:type="dxa"/>
            <w:vAlign w:val="bottom"/>
            <w:gridSpan w:val="2"/>
          </w:tcPr>
          <w:p>
            <w:pPr>
              <w:spacing w:after="0"/>
              <w:rPr>
                <w:sz w:val="24"/>
                <w:szCs w:val="24"/>
                <w:color w:val="auto"/>
              </w:rPr>
            </w:pPr>
          </w:p>
        </w:tc>
        <w:tc>
          <w:tcPr>
            <w:tcW w:w="2160" w:type="dxa"/>
            <w:vAlign w:val="bottom"/>
          </w:tcPr>
          <w:p>
            <w:pPr>
              <w:spacing w:after="0"/>
              <w:rPr>
                <w:sz w:val="24"/>
                <w:szCs w:val="24"/>
                <w:color w:val="auto"/>
              </w:rPr>
            </w:pPr>
          </w:p>
        </w:tc>
      </w:tr>
      <w:tr>
        <w:trPr>
          <w:trHeight w:val="507"/>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6"/>
          </w:tcPr>
          <w:p>
            <w:pPr>
              <w:jc w:val="center"/>
              <w:ind w:right="2620"/>
              <w:spacing w:after="0"/>
              <w:rPr>
                <w:sz w:val="20"/>
                <w:szCs w:val="20"/>
                <w:color w:val="auto"/>
              </w:rPr>
            </w:pPr>
            <w:r>
              <w:rPr>
                <w:rFonts w:ascii="Arial" w:cs="Arial" w:eastAsia="Arial" w:hAnsi="Arial"/>
                <w:sz w:val="22"/>
                <w:szCs w:val="22"/>
                <w:b w:val="1"/>
                <w:bCs w:val="1"/>
                <w:color w:val="auto"/>
                <w:w w:val="85"/>
              </w:rPr>
              <w:t>Contracted Vessels</w:t>
            </w:r>
          </w:p>
        </w:tc>
        <w:tc>
          <w:tcPr>
            <w:tcW w:w="216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640" w:type="dxa"/>
            <w:vAlign w:val="bottom"/>
            <w:gridSpan w:val="2"/>
          </w:tcPr>
          <w:p>
            <w:pPr>
              <w:ind w:left="1420"/>
              <w:spacing w:after="0" w:line="237" w:lineRule="exact"/>
              <w:rPr>
                <w:sz w:val="20"/>
                <w:szCs w:val="20"/>
                <w:color w:val="auto"/>
              </w:rPr>
            </w:pPr>
            <w:r>
              <w:rPr>
                <w:rFonts w:ascii="Arial" w:cs="Arial" w:eastAsia="Arial" w:hAnsi="Arial"/>
                <w:sz w:val="22"/>
                <w:szCs w:val="22"/>
                <w:b w:val="1"/>
                <w:bCs w:val="1"/>
                <w:color w:val="auto"/>
              </w:rPr>
              <w:t>Vessel</w:t>
            </w:r>
          </w:p>
        </w:tc>
        <w:tc>
          <w:tcPr>
            <w:tcW w:w="1120" w:type="dxa"/>
            <w:vAlign w:val="bottom"/>
          </w:tcPr>
          <w:p>
            <w:pPr>
              <w:ind w:left="660"/>
              <w:spacing w:after="0" w:line="237" w:lineRule="exact"/>
              <w:rPr>
                <w:sz w:val="20"/>
                <w:szCs w:val="20"/>
                <w:color w:val="auto"/>
              </w:rPr>
            </w:pPr>
            <w:r>
              <w:rPr>
                <w:rFonts w:ascii="Arial" w:cs="Arial" w:eastAsia="Arial" w:hAnsi="Arial"/>
                <w:sz w:val="22"/>
                <w:szCs w:val="22"/>
                <w:b w:val="1"/>
                <w:bCs w:val="1"/>
                <w:color w:val="auto"/>
                <w:w w:val="97"/>
              </w:rPr>
              <w:t>Flag</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gridSpan w:val="2"/>
          </w:tcPr>
          <w:p>
            <w:pPr>
              <w:ind w:left="260"/>
              <w:spacing w:after="0" w:line="237" w:lineRule="exact"/>
              <w:rPr>
                <w:sz w:val="20"/>
                <w:szCs w:val="20"/>
                <w:color w:val="auto"/>
              </w:rPr>
            </w:pPr>
            <w:r>
              <w:rPr>
                <w:rFonts w:ascii="Arial" w:cs="Arial" w:eastAsia="Arial" w:hAnsi="Arial"/>
                <w:sz w:val="22"/>
                <w:szCs w:val="22"/>
                <w:b w:val="1"/>
                <w:bCs w:val="1"/>
                <w:color w:val="auto"/>
              </w:rPr>
              <w:t>Owning Entity</w:t>
            </w:r>
          </w:p>
        </w:tc>
        <w:tc>
          <w:tcPr>
            <w:tcW w:w="2160" w:type="dxa"/>
            <w:vAlign w:val="bottom"/>
          </w:tcPr>
          <w:p>
            <w:pPr>
              <w:ind w:left="440"/>
              <w:spacing w:after="0" w:line="237" w:lineRule="exact"/>
              <w:rPr>
                <w:sz w:val="20"/>
                <w:szCs w:val="20"/>
                <w:color w:val="auto"/>
              </w:rPr>
            </w:pPr>
            <w:r>
              <w:rPr>
                <w:rFonts w:ascii="Arial" w:cs="Arial" w:eastAsia="Arial" w:hAnsi="Arial"/>
                <w:sz w:val="22"/>
                <w:szCs w:val="22"/>
                <w:b w:val="1"/>
                <w:bCs w:val="1"/>
                <w:color w:val="auto"/>
              </w:rPr>
              <w:t>IMO Number</w:t>
            </w:r>
          </w:p>
        </w:tc>
      </w:tr>
      <w:tr>
        <w:trPr>
          <w:trHeight w:val="274"/>
        </w:trPr>
        <w:tc>
          <w:tcPr>
            <w:tcW w:w="20" w:type="dxa"/>
            <w:vAlign w:val="bottom"/>
          </w:tcPr>
          <w:p>
            <w:pPr>
              <w:spacing w:after="0"/>
              <w:rPr>
                <w:sz w:val="23"/>
                <w:szCs w:val="23"/>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   ]</w:t>
            </w:r>
          </w:p>
        </w:tc>
        <w:tc>
          <w:tcPr>
            <w:tcW w:w="220" w:type="dxa"/>
            <w:vAlign w:val="bottom"/>
          </w:tcPr>
          <w:p>
            <w:pPr>
              <w:spacing w:after="0"/>
              <w:rPr>
                <w:sz w:val="23"/>
                <w:szCs w:val="23"/>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   ]</w:t>
            </w:r>
          </w:p>
        </w:tc>
        <w:tc>
          <w:tcPr>
            <w:tcW w:w="2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   ]</w:t>
            </w:r>
          </w:p>
        </w:tc>
        <w:tc>
          <w:tcPr>
            <w:tcW w:w="26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   ]</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u w:val="single" w:color="auto"/>
          <w:color w:val="auto"/>
        </w:rPr>
        <w:t>Schedule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Lock-Up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Lock-Up Agreement</w:t>
      </w:r>
    </w:p>
    <w:p>
      <w:pPr>
        <w:spacing w:after="0" w:line="233"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________, 201[●]</w:t>
      </w:r>
    </w:p>
    <w:p>
      <w:pPr>
        <w:spacing w:after="0" w:line="239" w:lineRule="exact"/>
        <w:rPr>
          <w:sz w:val="20"/>
          <w:szCs w:val="20"/>
          <w:color w:val="auto"/>
        </w:rPr>
      </w:pPr>
    </w:p>
    <w:p>
      <w:pPr>
        <w:ind w:left="360" w:hanging="352"/>
        <w:spacing w:after="0"/>
        <w:tabs>
          <w:tab w:leader="none" w:pos="3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ind w:left="360" w:hanging="352"/>
        <w:spacing w:after="0"/>
        <w:tabs>
          <w:tab w:leader="none" w:pos="3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60" w:hanging="352"/>
        <w:spacing w:after="0"/>
        <w:tabs>
          <w:tab w:leader="none" w:pos="3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22"/>
          <w:szCs w:val="22"/>
          <w:color w:val="auto"/>
        </w:rPr>
        <w:t>As Representatives of the several Underwriters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ind w:left="660"/>
              <w:spacing w:after="0"/>
              <w:rPr>
                <w:sz w:val="20"/>
                <w:szCs w:val="20"/>
                <w:color w:val="auto"/>
              </w:rPr>
            </w:pPr>
            <w:r>
              <w:rPr>
                <w:rFonts w:ascii="Arial" w:cs="Arial" w:eastAsia="Arial" w:hAnsi="Arial"/>
                <w:sz w:val="22"/>
                <w:szCs w:val="22"/>
                <w:color w:val="auto"/>
              </w:rPr>
              <w:t>Re:</w:t>
            </w:r>
          </w:p>
        </w:tc>
        <w:tc>
          <w:tcPr>
            <w:tcW w:w="60" w:type="dxa"/>
            <w:vAlign w:val="bottom"/>
          </w:tcPr>
          <w:p>
            <w:pPr>
              <w:spacing w:after="0"/>
              <w:rPr>
                <w:sz w:val="21"/>
                <w:szCs w:val="21"/>
                <w:color w:val="auto"/>
              </w:rPr>
            </w:pPr>
          </w:p>
        </w:tc>
        <w:tc>
          <w:tcPr>
            <w:tcW w:w="10120" w:type="dxa"/>
            <w:vAlign w:val="bottom"/>
            <w:gridSpan w:val="5"/>
          </w:tcPr>
          <w:p>
            <w:pPr>
              <w:jc w:val="right"/>
              <w:ind w:right="6360"/>
              <w:spacing w:after="0"/>
              <w:rPr>
                <w:sz w:val="20"/>
                <w:szCs w:val="20"/>
                <w:color w:val="auto"/>
              </w:rPr>
            </w:pPr>
            <w:r>
              <w:rPr>
                <w:rFonts w:ascii="Arial" w:cs="Arial" w:eastAsia="Arial" w:hAnsi="Arial"/>
                <w:sz w:val="22"/>
                <w:szCs w:val="22"/>
                <w:color w:val="auto"/>
                <w:w w:val="89"/>
              </w:rPr>
              <w:t>GasLog Partners LP – Lock-Up Agreement</w:t>
            </w:r>
          </w:p>
        </w:tc>
      </w:tr>
      <w:tr>
        <w:trPr>
          <w:trHeight w:val="20"/>
        </w:trPr>
        <w:tc>
          <w:tcPr>
            <w:tcW w:w="1300" w:type="dxa"/>
            <w:vAlign w:val="bottom"/>
            <w:gridSpan w:val="2"/>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517"/>
        </w:trPr>
        <w:tc>
          <w:tcPr>
            <w:tcW w:w="3960" w:type="dxa"/>
            <w:vAlign w:val="bottom"/>
            <w:gridSpan w:val="3"/>
          </w:tcPr>
          <w:p>
            <w:pPr>
              <w:spacing w:after="0"/>
              <w:rPr>
                <w:sz w:val="20"/>
                <w:szCs w:val="20"/>
                <w:color w:val="auto"/>
              </w:rPr>
            </w:pPr>
            <w:r>
              <w:rPr>
                <w:rFonts w:ascii="Arial" w:cs="Arial" w:eastAsia="Arial" w:hAnsi="Arial"/>
                <w:sz w:val="22"/>
                <w:szCs w:val="22"/>
                <w:color w:val="auto"/>
              </w:rPr>
              <w:t>Ladies and Gentlemen:</w:t>
            </w: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55"/>
        </w:trPr>
        <w:tc>
          <w:tcPr>
            <w:tcW w:w="3960" w:type="dxa"/>
            <w:vAlign w:val="bottom"/>
            <w:gridSpan w:val="3"/>
          </w:tcPr>
          <w:p>
            <w:pPr>
              <w:ind w:left="660"/>
              <w:spacing w:after="0"/>
              <w:rPr>
                <w:sz w:val="20"/>
                <w:szCs w:val="20"/>
                <w:color w:val="auto"/>
              </w:rPr>
            </w:pPr>
            <w:r>
              <w:rPr>
                <w:rFonts w:ascii="Arial" w:cs="Arial" w:eastAsia="Arial" w:hAnsi="Arial"/>
                <w:sz w:val="22"/>
                <w:szCs w:val="22"/>
                <w:color w:val="auto"/>
                <w:w w:val="94"/>
              </w:rPr>
              <w:t>The undersigned understands that [</w:t>
            </w:r>
          </w:p>
        </w:tc>
        <w:tc>
          <w:tcPr>
            <w:tcW w:w="7460" w:type="dxa"/>
            <w:vAlign w:val="bottom"/>
            <w:gridSpan w:val="4"/>
          </w:tcPr>
          <w:p>
            <w:pPr>
              <w:jc w:val="right"/>
              <w:spacing w:after="0"/>
              <w:rPr>
                <w:sz w:val="20"/>
                <w:szCs w:val="20"/>
                <w:color w:val="auto"/>
              </w:rPr>
            </w:pPr>
            <w:r>
              <w:rPr>
                <w:rFonts w:ascii="Arial" w:cs="Arial" w:eastAsia="Arial" w:hAnsi="Arial"/>
                <w:sz w:val="22"/>
                <w:szCs w:val="22"/>
                <w:color w:val="auto"/>
                <w:w w:val="92"/>
              </w:rPr>
              <w:t>], [   ], and [   ], as representatives (the “Representatives”), propose to enter into an</w:t>
            </w: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2"/>
                <w:szCs w:val="22"/>
                <w:color w:val="auto"/>
                <w:w w:val="98"/>
              </w:rPr>
              <w:t>Underwriting</w:t>
            </w:r>
          </w:p>
        </w:tc>
        <w:tc>
          <w:tcPr>
            <w:tcW w:w="2720" w:type="dxa"/>
            <w:vAlign w:val="bottom"/>
            <w:gridSpan w:val="2"/>
          </w:tcPr>
          <w:p>
            <w:pPr>
              <w:ind w:left="40"/>
              <w:spacing w:after="0" w:line="224" w:lineRule="exact"/>
              <w:rPr>
                <w:sz w:val="20"/>
                <w:szCs w:val="20"/>
                <w:color w:val="auto"/>
              </w:rPr>
            </w:pPr>
            <w:r>
              <w:rPr>
                <w:rFonts w:ascii="Arial" w:cs="Arial" w:eastAsia="Arial" w:hAnsi="Arial"/>
                <w:sz w:val="22"/>
                <w:szCs w:val="22"/>
                <w:color w:val="auto"/>
              </w:rPr>
              <w:t>Agreement on behalf of the</w:t>
            </w:r>
          </w:p>
        </w:tc>
        <w:tc>
          <w:tcPr>
            <w:tcW w:w="7460" w:type="dxa"/>
            <w:vAlign w:val="bottom"/>
            <w:gridSpan w:val="4"/>
          </w:tcPr>
          <w:p>
            <w:pPr>
              <w:jc w:val="right"/>
              <w:spacing w:after="0" w:line="224" w:lineRule="exact"/>
              <w:rPr>
                <w:sz w:val="20"/>
                <w:szCs w:val="20"/>
                <w:color w:val="auto"/>
              </w:rPr>
            </w:pPr>
            <w:r>
              <w:rPr>
                <w:rFonts w:ascii="Arial" w:cs="Arial" w:eastAsia="Arial" w:hAnsi="Arial"/>
                <w:sz w:val="22"/>
                <w:szCs w:val="22"/>
                <w:color w:val="auto"/>
                <w:w w:val="97"/>
              </w:rPr>
              <w:t>several Underwriters named in Schedule I to such agreement (collectively, the</w:t>
            </w: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Underwriters</w:t>
      </w:r>
      <w:r>
        <w:rPr>
          <w:rFonts w:ascii="Arial" w:cs="Arial" w:eastAsia="Arial" w:hAnsi="Arial"/>
          <w:sz w:val="21"/>
          <w:szCs w:val="21"/>
          <w:color w:val="auto"/>
        </w:rPr>
        <w:t>”), with GasLog Partners GP LLC, a limited liability company organized under the laws of the Republic of the Marshall Islands (the “</w:t>
      </w:r>
      <w:r>
        <w:rPr>
          <w:rFonts w:ascii="Arial" w:cs="Arial" w:eastAsia="Arial" w:hAnsi="Arial"/>
          <w:sz w:val="21"/>
          <w:szCs w:val="21"/>
          <w:u w:val="single" w:color="auto"/>
          <w:color w:val="auto"/>
        </w:rPr>
        <w:t>General Partner</w:t>
      </w:r>
      <w:r>
        <w:rPr>
          <w:rFonts w:ascii="Arial" w:cs="Arial" w:eastAsia="Arial" w:hAnsi="Arial"/>
          <w:sz w:val="21"/>
          <w:szCs w:val="21"/>
          <w:color w:val="auto"/>
        </w:rPr>
        <w:t>”), GasLog Partners LP, a limited partnership organized under the laws of the Republic of the Marshall Islands (the “</w:t>
      </w:r>
      <w:r>
        <w:rPr>
          <w:rFonts w:ascii="Arial" w:cs="Arial" w:eastAsia="Arial" w:hAnsi="Arial"/>
          <w:sz w:val="21"/>
          <w:szCs w:val="21"/>
          <w:u w:val="single" w:color="auto"/>
          <w:color w:val="auto"/>
        </w:rPr>
        <w:t>Partnership</w:t>
      </w:r>
      <w:r>
        <w:rPr>
          <w:rFonts w:ascii="Arial" w:cs="Arial" w:eastAsia="Arial" w:hAnsi="Arial"/>
          <w:sz w:val="21"/>
          <w:szCs w:val="21"/>
          <w:color w:val="auto"/>
        </w:rPr>
        <w:t>”), and GasLog Partners Holdings LLC, a limited liability company organized under the laws of the Republic of the Marshall Islands (the “</w:t>
      </w:r>
      <w:r>
        <w:rPr>
          <w:rFonts w:ascii="Arial" w:cs="Arial" w:eastAsia="Arial" w:hAnsi="Arial"/>
          <w:sz w:val="21"/>
          <w:szCs w:val="21"/>
          <w:u w:val="single" w:color="auto"/>
          <w:color w:val="auto"/>
        </w:rPr>
        <w:t>Operating Company</w:t>
      </w:r>
      <w:r>
        <w:rPr>
          <w:rFonts w:ascii="Arial" w:cs="Arial" w:eastAsia="Arial" w:hAnsi="Arial"/>
          <w:sz w:val="21"/>
          <w:szCs w:val="21"/>
          <w:color w:val="auto"/>
        </w:rPr>
        <w:t>” and together with the General Partner and the Partnership, the “</w:t>
      </w:r>
      <w:r>
        <w:rPr>
          <w:rFonts w:ascii="Arial" w:cs="Arial" w:eastAsia="Arial" w:hAnsi="Arial"/>
          <w:sz w:val="21"/>
          <w:szCs w:val="21"/>
          <w:u w:val="single" w:color="auto"/>
          <w:color w:val="auto"/>
        </w:rPr>
        <w:t>Partnership Parties</w:t>
      </w:r>
      <w:r>
        <w:rPr>
          <w:rFonts w:ascii="Arial" w:cs="Arial" w:eastAsia="Arial" w:hAnsi="Arial"/>
          <w:sz w:val="21"/>
          <w:szCs w:val="21"/>
          <w:color w:val="auto"/>
        </w:rPr>
        <w:t>”), providing for a public offering of the Partnership’s [Common/Other] units representing limited partner interests in the Partnership (the “[</w:t>
      </w:r>
      <w:r>
        <w:rPr>
          <w:rFonts w:ascii="Arial" w:cs="Arial" w:eastAsia="Arial" w:hAnsi="Arial"/>
          <w:sz w:val="21"/>
          <w:szCs w:val="21"/>
          <w:u w:val="single" w:color="auto"/>
          <w:color w:val="auto"/>
        </w:rPr>
        <w:t>Common/Other Units</w:t>
      </w:r>
      <w:r>
        <w:rPr>
          <w:rFonts w:ascii="Arial" w:cs="Arial" w:eastAsia="Arial" w:hAnsi="Arial"/>
          <w:sz w:val="21"/>
          <w:szCs w:val="21"/>
          <w:color w:val="auto"/>
        </w:rPr>
        <w:t>”) pursuant to a Registration Statement on Form F-3 (the “</w:t>
      </w:r>
      <w:r>
        <w:rPr>
          <w:rFonts w:ascii="Arial" w:cs="Arial" w:eastAsia="Arial" w:hAnsi="Arial"/>
          <w:sz w:val="21"/>
          <w:szCs w:val="21"/>
          <w:u w:val="single" w:color="auto"/>
          <w:color w:val="auto"/>
        </w:rPr>
        <w:t>Registration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Statement</w:t>
      </w:r>
      <w:r>
        <w:rPr>
          <w:rFonts w:ascii="Arial" w:cs="Arial" w:eastAsia="Arial" w:hAnsi="Arial"/>
          <w:sz w:val="21"/>
          <w:szCs w:val="21"/>
          <w:color w:val="auto"/>
        </w:rPr>
        <w:t>”) filed with the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In consideration of the agreement by the Underwriters to offer and sell the [Common/Other] Units, and for other good and valuable consideration the receipt and sufficiency of which is hereby acknowledged, the undersigned agrees that, during the period specified in the following paragraph (the “</w:t>
      </w:r>
      <w:r>
        <w:rPr>
          <w:rFonts w:ascii="Arial" w:cs="Arial" w:eastAsia="Arial" w:hAnsi="Arial"/>
          <w:sz w:val="19"/>
          <w:szCs w:val="19"/>
          <w:u w:val="single" w:color="auto"/>
          <w:color w:val="auto"/>
        </w:rPr>
        <w:t>Lock-Up Period</w:t>
      </w:r>
      <w:r>
        <w:rPr>
          <w:rFonts w:ascii="Arial" w:cs="Arial" w:eastAsia="Arial" w:hAnsi="Arial"/>
          <w:sz w:val="19"/>
          <w:szCs w:val="19"/>
          <w:color w:val="auto"/>
        </w:rPr>
        <w:t>”), the undersigned will not offer, sell, contract to sell, pledge, grant any option to purchase, make any short sale or otherwise dispose of any [Common/Other] Units of the Partnership, or any options or warrants to purchase any [Common/Other] Units of the Partnership, or any securities convertible into, exchangeable for or that represent the right to receive [Common/Other] Units of the Partnership, whether now owned or hereinafter acquired, owned directly by the undersigned (including holding as a custodian) or with respect to which the undersigned has beneficial ownership within the rules and regulations of the SEC (collectively the “</w:t>
      </w:r>
      <w:r>
        <w:rPr>
          <w:rFonts w:ascii="Arial" w:cs="Arial" w:eastAsia="Arial" w:hAnsi="Arial"/>
          <w:sz w:val="19"/>
          <w:szCs w:val="19"/>
          <w:u w:val="single" w:color="auto"/>
          <w:color w:val="auto"/>
        </w:rPr>
        <w:t>Undersigned’s Units</w:t>
      </w:r>
      <w:r>
        <w:rPr>
          <w:rFonts w:ascii="Arial" w:cs="Arial" w:eastAsia="Arial" w:hAnsi="Arial"/>
          <w:sz w:val="19"/>
          <w:szCs w:val="19"/>
          <w:color w:val="auto"/>
        </w:rPr>
        <w:t>”). The foregoing restriction is expressly agreed to preclude the undersigned from engaging in any hedging or other transaction which is designed to or which reasonably could be expected to lead to or result in a sale or disposition of the Undersigned’s Units even if such [Common/Other] Units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Units or with respect to 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security that includes, relates to, or derives any significant part of its value from such [Common/Other] Units.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initial Lock-Up Period will commence on the date of this Lock-Up Agreement and continue for [•] days after the public offering date set forth on the final prospectus used to sell the [Common/Other] Units (the “</w:t>
      </w:r>
      <w:r>
        <w:rPr>
          <w:rFonts w:ascii="Arial" w:cs="Arial" w:eastAsia="Arial" w:hAnsi="Arial"/>
          <w:sz w:val="22"/>
          <w:szCs w:val="22"/>
          <w:u w:val="single" w:color="auto"/>
          <w:color w:val="auto"/>
        </w:rPr>
        <w:t>Public Offering Date</w:t>
      </w:r>
      <w:r>
        <w:rPr>
          <w:rFonts w:ascii="Arial" w:cs="Arial" w:eastAsia="Arial" w:hAnsi="Arial"/>
          <w:sz w:val="22"/>
          <w:szCs w:val="22"/>
          <w:color w:val="auto"/>
        </w:rPr>
        <w:t>”) pursuant to the Underwriting Agreement.</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Notwithstanding the foregoing, the undersigned may transfer the Undersigned’s Units (i) as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gift or gifts, provided that the donee or donees thereof agree to be bound in writing by the restrictions set forth herein,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(iii) with the prior written consent of [ ] on behalf of the Underwriters, (iv) to any of its Affiliates (as such term is defined in Rule 405 under the U.S. Securities Act of 1933, as amended) or as distributions to members, general partners and limited partners or shareholders of the undersigned who, in any case under this clause (iv), agree to be bound by the terms of this Lock-Up Agreement, provided that no filing under Section 16(a)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shall be required or shall be voluntarily made, or (v) in the establishment of a trading plan pursuant to Rule 10b5-1 under the Exchange Act for the transfer of [Common/Other] Units, provided that such plan does not provide for the transfer of [Common/Other] Units during the Lock-Up Period. For purposes of this Lock-Up Agreement, “</w:t>
      </w:r>
      <w:r>
        <w:rPr>
          <w:rFonts w:ascii="Arial" w:cs="Arial" w:eastAsia="Arial" w:hAnsi="Arial"/>
          <w:sz w:val="19"/>
          <w:szCs w:val="19"/>
          <w:u w:val="single" w:color="auto"/>
          <w:color w:val="auto"/>
        </w:rPr>
        <w:t>immediate family</w:t>
      </w:r>
      <w:r>
        <w:rPr>
          <w:rFonts w:ascii="Arial" w:cs="Arial" w:eastAsia="Arial" w:hAnsi="Arial"/>
          <w:sz w:val="19"/>
          <w:szCs w:val="19"/>
          <w:color w:val="auto"/>
        </w:rPr>
        <w:t xml:space="preserve">” shall mean any relationship by blood, marriage or adoption, not more remote than first cousin. In addition, notwithstanding the foregoing, if the undersigned is a corporation, the corporation may transfer the Undersigned’s Units to any wholly owned subsidiary of such corporation;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any such case, it shall be a condition to the transfer that the transferee execute an agreement stating that the transferee is receiving and holding such [Common/Other] Units subject to the provisions of this Lock-Up Agreement and there shall be no further transfer of such [Common/Other] Units except in accordance with this Lock-Up Agreement, and provided further that any such transfer shall not involve a disposition for value. The undersigned now has, and, except as contemplated by clauses (i) through (v) above, for the duration of this Lock-Up Agreement will have, good and marketable title to the Undersigned’s Units, free and clear of all liens, encumbrances, and claims whatsoever. The undersigned also agrees and consents to the entry of stop transfer instructions with the Partnership’s transfer agent and registrar against the transfer of the Undersigned’s Units except in compliance with the foregoing restrictions.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undersigned understands that the Partnership Parties and the Representatives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61"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22"/>
          <w:szCs w:val="22"/>
          <w:color w:val="auto"/>
        </w:rPr>
        <w:t>*</w:t>
        <w:tab/>
        <w:t>*</w:t>
        <w:tab/>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1" w:name="page102"/>
    <w:bookmarkEnd w:id="101"/>
    <w:p>
      <w:pPr>
        <w:jc w:val="both"/>
        <w:ind w:firstLine="648"/>
        <w:spacing w:after="0" w:line="287" w:lineRule="auto"/>
        <w:rPr>
          <w:sz w:val="20"/>
          <w:szCs w:val="20"/>
          <w:color w:val="auto"/>
        </w:rPr>
      </w:pPr>
      <w:r>
        <w:rPr>
          <w:rFonts w:ascii="Arial" w:cs="Arial" w:eastAsia="Arial" w:hAnsi="Arial"/>
          <w:sz w:val="19"/>
          <w:szCs w:val="19"/>
          <w:color w:val="auto"/>
        </w:rPr>
        <w:t>If (i) the Partnership notifies you in writing that it does not intend to proceed with the public offering, (ii) the Registration Statement filed with the SEC with respect to the public offering of the [Common/Other] Units is withdrawn or (iii) for any reason the Underwriting Agreement shall be terminated prior to the First Time of Delivery (as defined in the Underwriting Agreement), the provisions of this Lock-Up Agreement shall be terminated and the undersigned shall be released from its obligations hereunder.</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[Exact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-154940</wp:posOffset>
            </wp:positionV>
            <wp:extent cx="32588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7"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-154940</wp:posOffset>
            </wp:positionV>
            <wp:extent cx="3258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7"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-154940</wp:posOffset>
            </wp:positionV>
            <wp:extent cx="32588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9"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Schedule 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2" w:name="page103"/>
    <w:bookmarkEnd w:id="102"/>
    <w:p>
      <w:pPr>
        <w:jc w:val="center"/>
        <w:ind w:right="-1220"/>
        <w:spacing w:after="0"/>
        <w:rPr>
          <w:sz w:val="20"/>
          <w:szCs w:val="20"/>
          <w:color w:val="auto"/>
        </w:rPr>
      </w:pPr>
      <w:r>
        <w:rPr>
          <w:rFonts w:ascii="Arial" w:cs="Arial" w:eastAsia="Arial" w:hAnsi="Arial"/>
          <w:sz w:val="22"/>
          <w:szCs w:val="22"/>
          <w:b w:val="1"/>
          <w:bCs w:val="1"/>
          <w:u w:val="single" w:color="auto"/>
          <w:color w:val="auto"/>
        </w:rPr>
        <w:t>Schedule IV</w:t>
      </w:r>
    </w:p>
    <w:p>
      <w:pPr>
        <w:spacing w:after="0" w:line="233" w:lineRule="exact"/>
        <w:rPr>
          <w:sz w:val="20"/>
          <w:szCs w:val="20"/>
          <w:color w:val="auto"/>
        </w:rPr>
      </w:pPr>
    </w:p>
    <w:p>
      <w:pPr>
        <w:jc w:val="right"/>
        <w:ind w:right="1619"/>
        <w:spacing w:after="0"/>
        <w:rPr>
          <w:sz w:val="20"/>
          <w:szCs w:val="20"/>
          <w:color w:val="auto"/>
        </w:rPr>
      </w:pPr>
      <w:r>
        <w:rPr>
          <w:rFonts w:ascii="Arial" w:cs="Arial" w:eastAsia="Arial" w:hAnsi="Arial"/>
          <w:sz w:val="22"/>
          <w:szCs w:val="22"/>
          <w:b w:val="1"/>
          <w:bCs w:val="1"/>
          <w:color w:val="auto"/>
        </w:rPr>
        <w:t>List of Individuals and Entities Subject to Lock Up Agreement</w:t>
      </w:r>
    </w:p>
    <w:p>
      <w:pPr>
        <w:spacing w:after="0" w:line="239" w:lineRule="exact"/>
        <w:rPr>
          <w:sz w:val="20"/>
          <w:szCs w:val="20"/>
          <w:color w:val="auto"/>
        </w:rPr>
      </w:pPr>
    </w:p>
    <w:p>
      <w:pPr>
        <w:ind w:left="360" w:hanging="352"/>
        <w:spacing w:after="0"/>
        <w:tabs>
          <w:tab w:leader="none" w:pos="3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103" w:name="page104"/>
    <w:bookmarkEnd w:id="103"/>
    <w:p>
      <w:pPr>
        <w:jc w:val="center"/>
        <w:ind w:right="-1220"/>
        <w:spacing w:after="0"/>
        <w:rPr>
          <w:sz w:val="20"/>
          <w:szCs w:val="20"/>
          <w:color w:val="auto"/>
        </w:rPr>
      </w:pPr>
      <w:r>
        <w:rPr>
          <w:rFonts w:ascii="Arial" w:cs="Arial" w:eastAsia="Arial" w:hAnsi="Arial"/>
          <w:sz w:val="22"/>
          <w:szCs w:val="22"/>
          <w:b w:val="1"/>
          <w:bCs w:val="1"/>
          <w:u w:val="single" w:color="auto"/>
          <w:color w:val="auto"/>
        </w:rPr>
        <w:t>Schedule V</w:t>
      </w:r>
    </w:p>
    <w:p>
      <w:pPr>
        <w:spacing w:after="0" w:line="233" w:lineRule="exact"/>
        <w:rPr>
          <w:sz w:val="20"/>
          <w:szCs w:val="20"/>
          <w:color w:val="auto"/>
        </w:rPr>
      </w:pPr>
    </w:p>
    <w:p>
      <w:pPr>
        <w:jc w:val="right"/>
        <w:ind w:right="2319"/>
        <w:spacing w:after="0"/>
        <w:rPr>
          <w:sz w:val="20"/>
          <w:szCs w:val="20"/>
          <w:color w:val="auto"/>
        </w:rPr>
      </w:pPr>
      <w:r>
        <w:rPr>
          <w:rFonts w:ascii="Arial" w:cs="Arial" w:eastAsia="Arial" w:hAnsi="Arial"/>
          <w:sz w:val="22"/>
          <w:szCs w:val="22"/>
          <w:b w:val="1"/>
          <w:bCs w:val="1"/>
          <w:color w:val="auto"/>
        </w:rPr>
        <w:t>Information Included in the Pricing Prospectus</w:t>
      </w:r>
    </w:p>
    <w:p>
      <w:pPr>
        <w:spacing w:after="0" w:line="239" w:lineRule="exact"/>
        <w:rPr>
          <w:sz w:val="20"/>
          <w:szCs w:val="20"/>
          <w:color w:val="auto"/>
        </w:rPr>
      </w:pPr>
    </w:p>
    <w:p>
      <w:pPr>
        <w:spacing w:after="0"/>
        <w:tabs>
          <w:tab w:leader="none" w:pos="2680" w:val="left"/>
        </w:tabs>
        <w:rPr>
          <w:sz w:val="20"/>
          <w:szCs w:val="20"/>
          <w:color w:val="auto"/>
        </w:rPr>
      </w:pPr>
      <w:r>
        <w:rPr>
          <w:rFonts w:ascii="Arial" w:cs="Arial" w:eastAsia="Arial" w:hAnsi="Arial"/>
          <w:sz w:val="22"/>
          <w:szCs w:val="22"/>
          <w:color w:val="auto"/>
        </w:rPr>
        <w:t>Initial price to the public: $[</w:t>
        <w:tab/>
        <w:t>]</w:t>
      </w:r>
    </w:p>
    <w:p>
      <w:pPr>
        <w:spacing w:after="0" w:line="233" w:lineRule="exact"/>
        <w:rPr>
          <w:sz w:val="20"/>
          <w:szCs w:val="20"/>
          <w:color w:val="auto"/>
        </w:rPr>
      </w:pPr>
    </w:p>
    <w:p>
      <w:pPr>
        <w:spacing w:after="0"/>
        <w:tabs>
          <w:tab w:leader="none" w:pos="4960" w:val="left"/>
        </w:tabs>
        <w:rPr>
          <w:sz w:val="20"/>
          <w:szCs w:val="20"/>
          <w:color w:val="auto"/>
        </w:rPr>
      </w:pPr>
      <w:r>
        <w:rPr>
          <w:rFonts w:ascii="Arial" w:cs="Arial" w:eastAsia="Arial" w:hAnsi="Arial"/>
          <w:sz w:val="21"/>
          <w:szCs w:val="21"/>
          <w:color w:val="auto"/>
        </w:rPr>
        <w:t>Number of [</w:t>
      </w:r>
      <w:r>
        <w:rPr>
          <w:rFonts w:ascii="Arial" w:cs="Arial" w:eastAsia="Arial" w:hAnsi="Arial"/>
          <w:sz w:val="21"/>
          <w:szCs w:val="21"/>
          <w:i w:val="1"/>
          <w:iCs w:val="1"/>
          <w:color w:val="auto"/>
        </w:rPr>
        <w:t>Offered Securities</w:t>
      </w:r>
      <w:r>
        <w:rPr>
          <w:rFonts w:ascii="Arial" w:cs="Arial" w:eastAsia="Arial" w:hAnsi="Arial"/>
          <w:sz w:val="21"/>
          <w:szCs w:val="21"/>
          <w:color w:val="auto"/>
        </w:rPr>
        <w:t>] offered to the public: [</w:t>
        <w:tab/>
        <w:t>]</w:t>
      </w:r>
    </w:p>
    <w:p>
      <w:pPr>
        <w:spacing w:after="0" w:line="191"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Schedule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u w:val="single" w:color="auto"/>
          <w:color w:val="auto"/>
        </w:rPr>
        <w:t>Schedule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Covered Agreements</w:t>
      </w:r>
    </w:p>
    <w:p>
      <w:pPr>
        <w:spacing w:after="0" w:line="274" w:lineRule="exact"/>
        <w:rPr>
          <w:sz w:val="20"/>
          <w:szCs w:val="20"/>
          <w:color w:val="auto"/>
        </w:rPr>
      </w:pPr>
    </w:p>
    <w:p>
      <w:pPr>
        <w:ind w:left="4640" w:hanging="333"/>
        <w:spacing w:after="0"/>
        <w:tabs>
          <w:tab w:leader="none" w:pos="464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3880"/>
        <w:spacing w:after="0"/>
        <w:rPr>
          <w:rFonts w:ascii="Arial" w:cs="Arial" w:eastAsia="Arial" w:hAnsi="Arial"/>
          <w:sz w:val="22"/>
          <w:szCs w:val="22"/>
          <w:color w:val="auto"/>
        </w:rPr>
      </w:pPr>
      <w:r>
        <w:rPr>
          <w:rFonts w:ascii="Arial" w:cs="Arial" w:eastAsia="Arial" w:hAnsi="Arial"/>
          <w:sz w:val="22"/>
          <w:szCs w:val="22"/>
          <w:color w:val="auto"/>
        </w:rPr>
        <w:t>Schedule VI-1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05" w:name="page106"/>
    <w:bookmarkEnd w:id="105"/>
    <w:p>
      <w:pPr>
        <w:jc w:val="center"/>
        <w:ind w:right="-1220"/>
        <w:spacing w:after="0"/>
        <w:rPr>
          <w:sz w:val="20"/>
          <w:szCs w:val="20"/>
          <w:color w:val="auto"/>
        </w:rPr>
      </w:pPr>
      <w:r>
        <w:rPr>
          <w:rFonts w:ascii="Arial" w:cs="Arial" w:eastAsia="Arial" w:hAnsi="Arial"/>
          <w:sz w:val="22"/>
          <w:szCs w:val="22"/>
          <w:b w:val="1"/>
          <w:bCs w:val="1"/>
          <w:u w:val="single" w:color="auto"/>
          <w:color w:val="auto"/>
        </w:rPr>
        <w:t>Schedule VII</w:t>
      </w:r>
    </w:p>
    <w:p>
      <w:pPr>
        <w:spacing w:after="0" w:line="233" w:lineRule="exact"/>
        <w:rPr>
          <w:sz w:val="20"/>
          <w:szCs w:val="20"/>
          <w:color w:val="auto"/>
        </w:rPr>
      </w:pPr>
    </w:p>
    <w:p>
      <w:pPr>
        <w:jc w:val="right"/>
        <w:ind w:right="3459"/>
        <w:spacing w:after="0"/>
        <w:rPr>
          <w:sz w:val="20"/>
          <w:szCs w:val="20"/>
          <w:color w:val="auto"/>
        </w:rPr>
      </w:pPr>
      <w:r>
        <w:rPr>
          <w:rFonts w:ascii="Arial" w:cs="Arial" w:eastAsia="Arial" w:hAnsi="Arial"/>
          <w:sz w:val="22"/>
          <w:szCs w:val="22"/>
          <w:b w:val="1"/>
          <w:bCs w:val="1"/>
          <w:color w:val="auto"/>
        </w:rPr>
        <w:t>Operative Agreements</w:t>
      </w:r>
    </w:p>
    <w:p>
      <w:pPr>
        <w:spacing w:after="0" w:line="239" w:lineRule="exact"/>
        <w:rPr>
          <w:sz w:val="20"/>
          <w:szCs w:val="20"/>
          <w:color w:val="auto"/>
        </w:rPr>
      </w:pPr>
    </w:p>
    <w:p>
      <w:pPr>
        <w:ind w:left="360" w:hanging="352"/>
        <w:spacing w:after="0"/>
        <w:tabs>
          <w:tab w:leader="none" w:pos="3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Schedule VII-1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106" w:name="page107"/>
    <w:bookmarkEnd w:id="106"/>
    <w:p>
      <w:pPr>
        <w:jc w:val="center"/>
        <w:ind w:right="-1220"/>
        <w:spacing w:after="0"/>
        <w:rPr>
          <w:sz w:val="20"/>
          <w:szCs w:val="20"/>
          <w:color w:val="auto"/>
        </w:rPr>
      </w:pPr>
      <w:r>
        <w:rPr>
          <w:rFonts w:ascii="Arial" w:cs="Arial" w:eastAsia="Arial" w:hAnsi="Arial"/>
          <w:sz w:val="22"/>
          <w:szCs w:val="22"/>
          <w:b w:val="1"/>
          <w:bCs w:val="1"/>
          <w:u w:val="single" w:color="auto"/>
          <w:color w:val="auto"/>
        </w:rPr>
        <w:t>Schedule VIII</w:t>
      </w:r>
    </w:p>
    <w:p>
      <w:pPr>
        <w:spacing w:after="0" w:line="233" w:lineRule="exact"/>
        <w:rPr>
          <w:sz w:val="20"/>
          <w:szCs w:val="20"/>
          <w:color w:val="auto"/>
        </w:rPr>
      </w:pPr>
    </w:p>
    <w:p>
      <w:pPr>
        <w:jc w:val="right"/>
        <w:ind w:right="3499"/>
        <w:spacing w:after="0"/>
        <w:rPr>
          <w:sz w:val="20"/>
          <w:szCs w:val="20"/>
          <w:color w:val="auto"/>
        </w:rPr>
      </w:pPr>
      <w:r>
        <w:rPr>
          <w:rFonts w:ascii="Arial" w:cs="Arial" w:eastAsia="Arial" w:hAnsi="Arial"/>
          <w:sz w:val="22"/>
          <w:szCs w:val="22"/>
          <w:b w:val="1"/>
          <w:bCs w:val="1"/>
          <w:color w:val="auto"/>
        </w:rPr>
        <w:t>Specified Agreements</w:t>
      </w:r>
    </w:p>
    <w:p>
      <w:pPr>
        <w:spacing w:after="0" w:line="239" w:lineRule="exact"/>
        <w:rPr>
          <w:sz w:val="20"/>
          <w:szCs w:val="20"/>
          <w:color w:val="auto"/>
        </w:rPr>
      </w:pPr>
    </w:p>
    <w:p>
      <w:pPr>
        <w:ind w:left="360" w:hanging="352"/>
        <w:spacing w:after="0"/>
        <w:tabs>
          <w:tab w:leader="none" w:pos="3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Schedule VIII-1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Annex I</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U.S. COUNSEL OPINION</w:t>
      </w:r>
    </w:p>
    <w:p>
      <w:pPr>
        <w:spacing w:after="0" w:line="229" w:lineRule="exact"/>
        <w:rPr>
          <w:sz w:val="20"/>
          <w:szCs w:val="20"/>
          <w:color w:val="auto"/>
        </w:rPr>
      </w:pPr>
    </w:p>
    <w:p>
      <w:pPr>
        <w:jc w:val="both"/>
        <w:ind w:left="660" w:hanging="652"/>
        <w:spacing w:after="0" w:line="250" w:lineRule="auto"/>
        <w:tabs>
          <w:tab w:leader="none" w:pos="6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Assuming that the Underwriting Agreement has been duly authorized by each of the Partnership Parties under the laws of its respective jurisdiction of formation, the Underwriting Agreement has been duly executed and delivered by the Partnership Parties, to the extent such execution and delivery are governed by the laws of the State of New York.</w:t>
      </w:r>
    </w:p>
    <w:p>
      <w:pPr>
        <w:spacing w:after="0" w:line="200" w:lineRule="exact"/>
        <w:rPr>
          <w:sz w:val="20"/>
          <w:szCs w:val="20"/>
          <w:color w:val="auto"/>
        </w:rPr>
      </w:pPr>
    </w:p>
    <w:p>
      <w:pPr>
        <w:jc w:val="both"/>
        <w:ind w:left="660" w:hanging="659"/>
        <w:spacing w:after="0" w:line="278" w:lineRule="auto"/>
        <w:tabs>
          <w:tab w:leader="none" w:pos="6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The Registration Statement became effective under the Act on [ ],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thereupon the offering of the [</w:t>
      </w:r>
      <w:r>
        <w:rPr>
          <w:rFonts w:ascii="Arial" w:cs="Arial" w:eastAsia="Arial" w:hAnsi="Arial"/>
          <w:sz w:val="18"/>
          <w:szCs w:val="18"/>
          <w:i w:val="1"/>
          <w:iCs w:val="1"/>
          <w:color w:val="auto"/>
        </w:rPr>
        <w:t>Offered Securities</w:t>
      </w:r>
      <w:r>
        <w:rPr>
          <w:rFonts w:ascii="Arial" w:cs="Arial" w:eastAsia="Arial" w:hAnsi="Arial"/>
          <w:sz w:val="18"/>
          <w:szCs w:val="18"/>
          <w:color w:val="auto"/>
        </w:rPr>
        <w:t>] as contemplated by the Prospectus became registered under the Act; to such counsel’s knowledge, no stop order suspending the effectiveness of the Registration Statement has been issued and, to such counsel’s knowledge, no proceedings for that purpose have been instituted or are pending or contemplated under the Act; and the required filing of the Final Prospectus pursuant to Rule 424(b) has been made in the manner and within the time period required by Rule 424(b) (without reference to Rule 424(b)(8)).</w:t>
      </w:r>
    </w:p>
    <w:p>
      <w:pPr>
        <w:spacing w:after="0" w:line="179" w:lineRule="exact"/>
        <w:rPr>
          <w:sz w:val="20"/>
          <w:szCs w:val="20"/>
          <w:color w:val="auto"/>
        </w:rPr>
      </w:pPr>
    </w:p>
    <w:p>
      <w:pPr>
        <w:jc w:val="both"/>
        <w:ind w:left="660" w:hanging="652"/>
        <w:spacing w:after="0" w:line="246" w:lineRule="auto"/>
        <w:tabs>
          <w:tab w:leader="none" w:pos="6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Assuming that the Operative Documents governed by New York law (the “</w:t>
      </w:r>
      <w:r>
        <w:rPr>
          <w:rFonts w:ascii="Arial" w:cs="Arial" w:eastAsia="Arial" w:hAnsi="Arial"/>
          <w:sz w:val="20"/>
          <w:szCs w:val="20"/>
          <w:u w:val="single" w:color="auto"/>
          <w:color w:val="auto"/>
        </w:rPr>
        <w:t>NY Operative Documents</w:t>
      </w:r>
      <w:r>
        <w:rPr>
          <w:rFonts w:ascii="Arial" w:cs="Arial" w:eastAsia="Arial" w:hAnsi="Arial"/>
          <w:sz w:val="20"/>
          <w:szCs w:val="20"/>
          <w:color w:val="auto"/>
        </w:rPr>
        <w:t>”) have been duly authorized and validly executed and delivered by each of the Partnership Parties or the other entities party thereto under the laws of Bermuda or the Republic of The Marshall Islands, as applicable, each NY Operative Document constitutes a legal, valid and binding obligation of the relevant Partnership Party that is a party to such NY Operative Document.</w:t>
      </w:r>
    </w:p>
    <w:p>
      <w:pPr>
        <w:spacing w:after="0" w:line="205" w:lineRule="exact"/>
        <w:rPr>
          <w:rFonts w:ascii="Arial" w:cs="Arial" w:eastAsia="Arial" w:hAnsi="Arial"/>
          <w:sz w:val="20"/>
          <w:szCs w:val="20"/>
          <w:color w:val="auto"/>
        </w:rPr>
      </w:pPr>
    </w:p>
    <w:p>
      <w:pPr>
        <w:jc w:val="both"/>
        <w:ind w:left="660" w:hanging="652"/>
        <w:spacing w:after="0" w:line="278"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statements made in the Registration Statement, Pricing Prospectus and Final Prospectus under “Our Cash Distribution Policy and Restrictions on Distributions,” “Description of the [Common/Other] Units” and “Summary of Our Partnership Agreement,” insofar as such statements purport to summarize any agreement, statute or regulation or refer to statements of law or legal conclusions, fairly summarize the matters described therein; provided, however, that we express no opinion with respect to any laws other than the laws of the State of New York and, to the extent specifically identified herein, the federal laws of the United States of America.</w:t>
      </w:r>
    </w:p>
    <w:p>
      <w:pPr>
        <w:spacing w:after="0" w:line="178" w:lineRule="exact"/>
        <w:rPr>
          <w:rFonts w:ascii="Arial" w:cs="Arial" w:eastAsia="Arial" w:hAnsi="Arial"/>
          <w:sz w:val="18"/>
          <w:szCs w:val="18"/>
          <w:color w:val="auto"/>
        </w:rPr>
      </w:pPr>
    </w:p>
    <w:p>
      <w:pPr>
        <w:jc w:val="both"/>
        <w:ind w:left="660" w:hanging="652"/>
        <w:spacing w:after="0" w:line="278"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consent of, order of or filing with, any United States Federal or New York State governmental authority is required to be made or obtained by the Partnership for the consummation of the transactions contemplated by the Underwriting Agreement, other than (i) those that have been obtained or made under the Act, (ii) those that may be required under the Act in connection with the use of a “free writing prospectus” and (iii) those that may be required under the blue sky laws of any jurisdiction in connection with the purchase and distribution of the Units by the Underwriters.</w:t>
      </w:r>
    </w:p>
    <w:p>
      <w:pPr>
        <w:spacing w:after="0" w:line="178"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Based solely on the certificate dated the date hereof, from an officer of the Partnership, after giving effect to the offering and sale of the [</w:t>
      </w:r>
      <w:r>
        <w:rPr>
          <w:rFonts w:ascii="Arial" w:cs="Arial" w:eastAsia="Arial" w:hAnsi="Arial"/>
          <w:sz w:val="20"/>
          <w:szCs w:val="20"/>
          <w:i w:val="1"/>
          <w:iCs w:val="1"/>
          <w:color w:val="auto"/>
        </w:rPr>
        <w:t>Offered Securities</w:t>
      </w:r>
      <w:r>
        <w:rPr>
          <w:rFonts w:ascii="Arial" w:cs="Arial" w:eastAsia="Arial" w:hAnsi="Arial"/>
          <w:sz w:val="20"/>
          <w:szCs w:val="20"/>
          <w:color w:val="auto"/>
        </w:rPr>
        <w:t>], the Partnership will not be an “investment company” as such term is defined in the Investment Company Act of 1940, as amended.</w:t>
      </w:r>
    </w:p>
    <w:p>
      <w:pPr>
        <w:spacing w:after="0" w:line="19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None of the Partnership Entities should be a “passive foreign investment company” as such term is defined in the Internal Revenue Code of 1986, as amended.</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i w:val="1"/>
          <w:iCs w:val="1"/>
          <w:color w:val="auto"/>
        </w:rPr>
        <w:t>Offered Securities</w:t>
      </w:r>
      <w:r>
        <w:rPr>
          <w:rFonts w:ascii="Arial" w:cs="Arial" w:eastAsia="Arial" w:hAnsi="Arial"/>
          <w:sz w:val="20"/>
          <w:szCs w:val="20"/>
          <w:color w:val="auto"/>
        </w:rPr>
        <w:t>] have been duly registered as a class pursuant to Section 12 of the Securities Exchange Act of 1934, as amended.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8" w:name="page109"/>
    <w:bookmarkEnd w:id="108"/>
    <w:p>
      <w:pPr>
        <w:jc w:val="both"/>
        <w:ind w:left="660" w:hanging="652"/>
        <w:spacing w:after="0" w:line="246" w:lineRule="auto"/>
        <w:tabs>
          <w:tab w:leader="none" w:pos="66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Assuming the validity of such action under the laws of the Marshall Islands and Bermuda relating to submission to jurisdiction, pursuant to Sections 18 and 19 of the Underwriting Agreement (a) the Partnership Parties validly and irrevocably submitted to the personal jurisdiction of the courts of the State of New York, and (b) the Partnership appointed Puglisi &amp; Associates as its agent for service of process.</w:t>
      </w:r>
    </w:p>
    <w:p>
      <w:pPr>
        <w:spacing w:after="0" w:line="205" w:lineRule="exact"/>
        <w:rPr>
          <w:rFonts w:ascii="Arial" w:cs="Arial" w:eastAsia="Arial" w:hAnsi="Arial"/>
          <w:sz w:val="20"/>
          <w:szCs w:val="20"/>
          <w:color w:val="auto"/>
        </w:rPr>
      </w:pPr>
    </w:p>
    <w:p>
      <w:pPr>
        <w:ind w:left="660" w:hanging="652"/>
        <w:spacing w:after="0"/>
        <w:tabs>
          <w:tab w:leader="none" w:pos="66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Partnership is a “foreign private issuer” as defined in Rule 405 under the Securities Act.</w:t>
      </w:r>
    </w:p>
    <w:p>
      <w:pPr>
        <w:spacing w:after="0" w:line="229" w:lineRule="exact"/>
        <w:rPr>
          <w:rFonts w:ascii="Arial" w:cs="Arial" w:eastAsia="Arial" w:hAnsi="Arial"/>
          <w:sz w:val="20"/>
          <w:szCs w:val="20"/>
          <w:color w:val="auto"/>
        </w:rPr>
      </w:pPr>
    </w:p>
    <w:p>
      <w:pPr>
        <w:jc w:val="both"/>
        <w:ind w:left="660" w:hanging="652"/>
        <w:spacing w:after="0" w:line="259" w:lineRule="auto"/>
        <w:tabs>
          <w:tab w:leader="none" w:pos="66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None of the execution, delivery and performance on the date hereof of the terms of the Operative Agreements by the Partnership Parties party thereto nor the consummation by the Partnership Parties of the transactions set forth therein will result in any violation of United States Federal or New York State law, rule or regulation or any ruling, judgment, order or decree known to us and of the type that in our experience typically would be applicable to transactions of the type contemplated by the Operative Agreements, of any United States Federal or New York State court, agency or official having jurisdiction over the Partnership or any of its subsidiaries or any of the properties or assets of the Partnership or any of its subsidiaries.</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to the matters set forth above, such counsel shall also state (i) on the basis of information gained in the course of the performance of the services rendered, that, the Registration Statement, at the time it initially became effective, and the Final Prospectus, as of the Closing Date, appeared or appears on its face to be appropriately responsive in all material respects to the requirements of the Act and the applicable rules and regulations thereunder, except that such counsel does not express any view as to the financial statements, other information of an accounting or financial nature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Final Prospectus, as of its date or at the Closing Date included or includes, an untrue statement of a material fact or omitted or omits to state a material fact necessary in order to make the statements therein, in the light of the circumstances under which they were made, not misleading or</w:t>
      </w:r>
    </w:p>
    <w:p>
      <w:pPr>
        <w:spacing w:after="0" w:line="6" w:lineRule="exact"/>
        <w:rPr>
          <w:sz w:val="20"/>
          <w:szCs w:val="20"/>
          <w:color w:val="auto"/>
        </w:rPr>
      </w:pPr>
    </w:p>
    <w:p>
      <w:pPr>
        <w:jc w:val="both"/>
        <w:ind w:firstLine="8"/>
        <w:spacing w:after="0" w:line="282" w:lineRule="auto"/>
        <w:tabs>
          <w:tab w:leader="none" w:pos="30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Pricing Prospectus, as of the Applicable Time, included an untrue statement of a material fact or omitted to state a material fact necessary in order to make the statements therein, in the light of the circumstances under which they were made, not misleading, except that, in each case, such counsel does not express any view as to the financial statements, other information of an accounting or financial nature.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Annex II</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MATTERS TO BE COVERED BY MARSHALL ISLANDS COUNSEL OPINION</w:t>
      </w:r>
    </w:p>
    <w:p>
      <w:pPr>
        <w:spacing w:after="0" w:line="229" w:lineRule="exact"/>
        <w:rPr>
          <w:sz w:val="20"/>
          <w:szCs w:val="20"/>
          <w:color w:val="auto"/>
        </w:rPr>
      </w:pPr>
    </w:p>
    <w:p>
      <w:pPr>
        <w:jc w:val="both"/>
        <w:ind w:left="660" w:hanging="652"/>
        <w:spacing w:after="0" w:line="250" w:lineRule="auto"/>
        <w:tabs>
          <w:tab w:leader="none" w:pos="66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Partnership is a limited partnership validly subsisting in good standing under Marshall Islands law and has all requisite limited partnership power and authority to own or lease and to operate its properties and to conduct its business in all material respects as described in the Registration Statement, the Pricing Prospectus and the Prospectus.</w:t>
      </w:r>
    </w:p>
    <w:p>
      <w:pPr>
        <w:spacing w:after="0" w:line="199"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General Partner is a limited liability company validly subsisting in good standing under Marshall Islands law and has all requisite limited liability company power and authority to own or lease and to operate its properties and to conduct its business in all material respects and act as the general partner of the Partnership as described in the Registration Statement, the Pricing Prospectus and the Prospectus.</w:t>
      </w:r>
    </w:p>
    <w:p>
      <w:pPr>
        <w:spacing w:after="0" w:line="205"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Operating Company is a limited liability company validly subsisting in good standing under Marshall Islands law and has all requisite limited liability company power and authority to own or lease and to operate its properties and to conduct its business in all material respects as described in the Registration Statement, the Pricing Prospectus and the Prospectus.</w:t>
      </w:r>
    </w:p>
    <w:p>
      <w:pPr>
        <w:spacing w:after="0" w:line="183" w:lineRule="exact"/>
        <w:rPr>
          <w:rFonts w:ascii="Arial" w:cs="Arial" w:eastAsia="Arial" w:hAnsi="Arial"/>
          <w:sz w:val="19"/>
          <w:szCs w:val="19"/>
          <w:color w:val="auto"/>
        </w:rPr>
      </w:pPr>
    </w:p>
    <w:p>
      <w:pPr>
        <w:jc w:val="both"/>
        <w:ind w:left="660" w:hanging="652"/>
        <w:spacing w:after="0" w:line="276"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GasLog owns of record 100% of the limited liability company interests in the General Partner. Such limited liability company interests have been duly authorized and validly issued in accordance with the General Partner LLC Agreement and, to our knowledge, are fully paid (to the extent required under the General Partner LLC Agreement) and nonassessable (except as such nonassessability may be affected by Sections 20, 31, 40 and 49 of the Marshall Islands LLC Act and except as may otherwise be provided in the General Partner LLC Agreement); and to our knowledge, GasLog owns such limited liability company interest free and clear of all Liens (except for restrictions on transferability under applicable securities laws or as described in the Pricing Prospectus or the Prospectus).</w:t>
      </w:r>
    </w:p>
    <w:p>
      <w:pPr>
        <w:spacing w:after="0" w:line="178" w:lineRule="exact"/>
        <w:rPr>
          <w:rFonts w:ascii="Arial" w:cs="Arial" w:eastAsia="Arial" w:hAnsi="Arial"/>
          <w:sz w:val="18"/>
          <w:szCs w:val="18"/>
          <w:color w:val="auto"/>
        </w:rPr>
      </w:pPr>
    </w:p>
    <w:p>
      <w:pPr>
        <w:jc w:val="both"/>
        <w:ind w:left="660" w:hanging="652"/>
        <w:spacing w:after="0" w:line="276"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General Partner owns of record the General Partner Interest and is the sole general partner of the Partnership. Such General Partner Interest has been duly authorized and validly issued in accordance with the Partnership Agreement and, to our knowledge, is fully paid (to the extent required under the Partnership Agreement) and nonassessable (except as such nonassessability may be affected by Sections 30, 41, 51 and 60 of the Marshall Islands LP Act and except as may otherwise be provided in the Partnership Agreement); and to our knowledge, the General Partner owns such General Partner Interest free and clear of all Liens (except for restrictions on transferability under applicable securities laws or as described in the Pricing Prospectus or the Prospectus).</w:t>
      </w:r>
    </w:p>
    <w:p>
      <w:pPr>
        <w:spacing w:after="0" w:line="178" w:lineRule="exact"/>
        <w:rPr>
          <w:rFonts w:ascii="Arial" w:cs="Arial" w:eastAsia="Arial" w:hAnsi="Arial"/>
          <w:sz w:val="18"/>
          <w:szCs w:val="18"/>
          <w:color w:val="auto"/>
        </w:rPr>
      </w:pPr>
    </w:p>
    <w:p>
      <w:pPr>
        <w:jc w:val="both"/>
        <w:ind w:left="660" w:hanging="652"/>
        <w:spacing w:after="0" w:line="243" w:lineRule="auto"/>
        <w:tabs>
          <w:tab w:leader="none" w:pos="66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Partnership owns of record 100% of the limited liability company interests in the Operating Company. Such limited liability company interests have been duly authorized and validly issued in accordance with the Operating Company LLC Agreement and, to our knowledge, are fully paid (to the extent required under the Operating Company LLC Agreement) and nonassessable (except as such nonassessability may be affected by Sections 20, 31, 40 and 49 of the Marshall Islands LLC Act and except as may otherwise be provided in the Operating Company LLC Agreement); and to our knowledge, the Partnership owns such limited liability company interests free and clear of all Liens (except for restrictions on transferability under applicable securities laws or as described in the Pricing Prospectus or the Prospectus).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10" w:name="page111"/>
    <w:bookmarkEnd w:id="110"/>
    <w:p>
      <w:pPr>
        <w:jc w:val="both"/>
        <w:ind w:left="660" w:hanging="652"/>
        <w:spacing w:after="0" w:line="250"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To our knowledge, the Operating Company owns of record all of the outstanding shares of capital stock of each of the Bermuda subsidiaries listed on Exhibit A to this opinion free and clear of all Liens (except for restrictions on transferability under applicable securities laws or as described in the Pricing Prospectus or the Prospectus).</w:t>
      </w:r>
    </w:p>
    <w:p>
      <w:pPr>
        <w:spacing w:after="0" w:line="19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To our knowledge, except as described in or incorporated by reference into the Underwriting Agreement, the Pricing Prospectus or the Prospectus, there are no preemptive rights or other rights to subscribe for or to purchase, or any other restriction upon transfer of, any limited partner interests in the Partnership.</w:t>
      </w:r>
    </w:p>
    <w:p>
      <w:pPr>
        <w:spacing w:after="0" w:line="199"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Each of the MI Entities has all requisite limited partnership or limited liability company power and authority, as applicable, to execute and deliver the Underwriting Agreement and each of the other Operative Documents to which it is a party and, in each case as applicable, to perform its obligations thereunder and to consummate the transactions contemplated thereby.</w:t>
      </w:r>
    </w:p>
    <w:p>
      <w:pPr>
        <w:spacing w:after="0" w:line="183"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execution and delivery of the Underwriting Agreement and each of the other Operative Documents by the MI Entities party thereto have been duly authorized by all necessary limited partnership or limited liability company action, as applicable, of the relevant MI Entities.</w:t>
      </w:r>
    </w:p>
    <w:p>
      <w:pPr>
        <w:spacing w:after="0" w:line="199" w:lineRule="exact"/>
        <w:rPr>
          <w:rFonts w:ascii="Arial" w:cs="Arial" w:eastAsia="Arial" w:hAnsi="Arial"/>
          <w:sz w:val="20"/>
          <w:szCs w:val="20"/>
          <w:color w:val="auto"/>
        </w:rPr>
      </w:pPr>
    </w:p>
    <w:p>
      <w:pPr>
        <w:jc w:val="both"/>
        <w:ind w:left="660" w:hanging="652"/>
        <w:spacing w:after="0" w:line="257" w:lineRule="auto"/>
        <w:tabs>
          <w:tab w:leader="none" w:pos="6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Underwriting Agreement and each of the other Operative Agreements have been validly executed and delivered by each of the MI Entities party thereto, and the Underwriting Agreement and each Operative Agreement is a valid and legally binding agreement of each of the MI Entities party thereto enforceable against each of the MI Entities party thereto in accordance with its terms, subject to applicable bankruptcy, insolvency, fraudulent conveyance, fraudulent transfer,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securities laws or considerations of public policy relating thereto.</w:t>
      </w:r>
    </w:p>
    <w:p>
      <w:pPr>
        <w:spacing w:after="0" w:line="194" w:lineRule="exact"/>
        <w:rPr>
          <w:rFonts w:ascii="Arial" w:cs="Arial" w:eastAsia="Arial" w:hAnsi="Arial"/>
          <w:sz w:val="19"/>
          <w:szCs w:val="19"/>
          <w:color w:val="auto"/>
        </w:rPr>
      </w:pPr>
    </w:p>
    <w:p>
      <w:pPr>
        <w:jc w:val="both"/>
        <w:ind w:left="660" w:hanging="652"/>
        <w:spacing w:after="0" w:line="257" w:lineRule="auto"/>
        <w:tabs>
          <w:tab w:leader="none" w:pos="6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execution, delivery and performance of the Underwriting Agreement and each of the other Operative Agreements by each of the MI Entities party thereto, and the performance by each of the MI Entities of their respective obligations thereunder and the consummation of the transactions contemplated thereby, do not and will not (i) conflict with or constitute a violation of the organizational documents of the relevant MI Entity; (ii) violate any statute or law of general application of Republic of the Marshall Islands to which the relevant MI Entity is subject; or (iii) to our knowledge, violate any judgment, order or decree of any court, regulatory body, administrative agency, governmental body, arbitrator or other authority situated in the Republic of the Marshall Islands directed to an MI Entity in a proceeding before such court, regulatory body, administrative agency, governmental body, arbitrator or other authority in the Republic of the Marshall Islands to which such MI Entity is a party.</w:t>
      </w:r>
    </w:p>
    <w:p>
      <w:pPr>
        <w:spacing w:after="0" w:line="194" w:lineRule="exact"/>
        <w:rPr>
          <w:rFonts w:ascii="Arial" w:cs="Arial" w:eastAsia="Arial" w:hAnsi="Arial"/>
          <w:sz w:val="19"/>
          <w:szCs w:val="19"/>
          <w:color w:val="auto"/>
        </w:rPr>
      </w:pPr>
    </w:p>
    <w:p>
      <w:pPr>
        <w:jc w:val="both"/>
        <w:ind w:left="660" w:hanging="652"/>
        <w:spacing w:after="0" w:line="244" w:lineRule="auto"/>
        <w:tabs>
          <w:tab w:leader="none" w:pos="6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No permit, consent, approval, authorization, order, registration, filing or qualification of or with any governmental agency or body of the Republic of the Marshall Islands having jurisdiction over the MI Entities or any of their respective properties is required in connection with the execution and delivery by each of the MI Entities of the Underwriting Agreement and each of the Operative Documents to which it is a party, the consummation of the transactions contemplated thereby or the performance by the MI Entities of their respective obligations thereunder.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11" w:name="page112"/>
    <w:bookmarkEnd w:id="111"/>
    <w:p>
      <w:pPr>
        <w:jc w:val="both"/>
        <w:ind w:left="660" w:hanging="652"/>
        <w:spacing w:after="0" w:line="278"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permits, licenses, franchises, concessions, certificates and authorizations of, or declarations or filings with, any governmental or regulatory authorities of the Republic of the Marshall Islands are required for each of the MI Entities to own or lease and to operate its properties and to conduct its business in the manner described in the Prospectus, other than such permits, consents, licenses, franchises, concessions, certificates and authorizations, declarations or filings with any Marshall Islands governmental authority currently held or filed by such MI Entity and which must be filed by such MI Entity annually in the future.</w:t>
      </w:r>
    </w:p>
    <w:p>
      <w:pPr>
        <w:spacing w:after="0" w:line="178" w:lineRule="exact"/>
        <w:rPr>
          <w:rFonts w:ascii="Arial" w:cs="Arial" w:eastAsia="Arial" w:hAnsi="Arial"/>
          <w:sz w:val="18"/>
          <w:szCs w:val="18"/>
          <w:color w:val="auto"/>
        </w:rPr>
      </w:pPr>
    </w:p>
    <w:p>
      <w:pPr>
        <w:jc w:val="both"/>
        <w:ind w:left="660" w:hanging="652"/>
        <w:spacing w:after="0" w:line="282"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When the [</w:t>
      </w:r>
      <w:r>
        <w:rPr>
          <w:rFonts w:ascii="Arial" w:cs="Arial" w:eastAsia="Arial" w:hAnsi="Arial"/>
          <w:sz w:val="18"/>
          <w:szCs w:val="18"/>
          <w:i w:val="1"/>
          <w:iCs w:val="1"/>
          <w:color w:val="auto"/>
        </w:rPr>
        <w:t>Offered Securities</w:t>
      </w:r>
      <w:r>
        <w:rPr>
          <w:rFonts w:ascii="Arial" w:cs="Arial" w:eastAsia="Arial" w:hAnsi="Arial"/>
          <w:sz w:val="18"/>
          <w:szCs w:val="18"/>
          <w:color w:val="auto"/>
        </w:rPr>
        <w:t>] are issued against payment therefor in accordance with the terms and conditions of the Underwriting Agreement, the Partnership Agreement and the Prospectus, the [</w:t>
      </w:r>
      <w:r>
        <w:rPr>
          <w:rFonts w:ascii="Arial" w:cs="Arial" w:eastAsia="Arial" w:hAnsi="Arial"/>
          <w:sz w:val="18"/>
          <w:szCs w:val="18"/>
          <w:i w:val="1"/>
          <w:iCs w:val="1"/>
          <w:color w:val="auto"/>
        </w:rPr>
        <w:t>Offered Securities</w:t>
      </w:r>
      <w:r>
        <w:rPr>
          <w:rFonts w:ascii="Arial" w:cs="Arial" w:eastAsia="Arial" w:hAnsi="Arial"/>
          <w:sz w:val="18"/>
          <w:szCs w:val="18"/>
          <w:color w:val="auto"/>
        </w:rPr>
        <w:t>] will be duly authorized and validly issued in accordance with the Partnership Agreement, and will be fully paid (to the extent required under the Partnership Agreement) and nonassessable (except as such nonassessability may be affected by Sections 30, 41, 51 and 60 of the Marshall Islands LP Act).</w:t>
      </w:r>
    </w:p>
    <w:p>
      <w:pPr>
        <w:spacing w:after="0" w:line="175" w:lineRule="exact"/>
        <w:rPr>
          <w:rFonts w:ascii="Arial" w:cs="Arial" w:eastAsia="Arial" w:hAnsi="Arial"/>
          <w:sz w:val="18"/>
          <w:szCs w:val="18"/>
          <w:color w:val="auto"/>
        </w:rPr>
      </w:pPr>
    </w:p>
    <w:p>
      <w:pPr>
        <w:jc w:val="both"/>
        <w:ind w:left="660" w:hanging="652"/>
        <w:spacing w:after="0" w:line="244" w:lineRule="auto"/>
        <w:tabs>
          <w:tab w:leader="none" w:pos="6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Incentive Distribution Rights have been duly authorized and validly issued in accordance with the Partnership Agreement, and are fully paid (to the extent required under the Partnership Agreement) and nonassessable (except as such nonassessability may be affected by Sections 30, 41, 51 and 60 of the Marshall Islands Limited Partnership Act); and to our knowledge, GasLog owns such Incentive Distribution Rights free and clear of all Liens (except for restrictions on transferability under applicable securities laws or as described in the Pricing Prospectus or the Prospectus).</w:t>
      </w:r>
    </w:p>
    <w:p>
      <w:pPr>
        <w:spacing w:after="0" w:line="208"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To our knowledge, there is no pending or threatened action, suit, proceeding or investigation before or by any Marshall Islands court, governmental agency or authority against any of the MI Entities of a character required to be disclosed in the Registration Statement, Pricing Prospectus or Prospectus which is not adequately disclosed as required.</w:t>
      </w:r>
    </w:p>
    <w:p>
      <w:pPr>
        <w:spacing w:after="0" w:line="199" w:lineRule="exact"/>
        <w:rPr>
          <w:rFonts w:ascii="Arial" w:cs="Arial" w:eastAsia="Arial" w:hAnsi="Arial"/>
          <w:sz w:val="20"/>
          <w:szCs w:val="20"/>
          <w:color w:val="auto"/>
        </w:rPr>
      </w:pPr>
    </w:p>
    <w:p>
      <w:pPr>
        <w:jc w:val="both"/>
        <w:ind w:left="660" w:hanging="652"/>
        <w:spacing w:after="0" w:line="263" w:lineRule="auto"/>
        <w:tabs>
          <w:tab w:leader="none" w:pos="66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statements in the Registration Statement and Prospectus under the captions “Non-United States Tax Considerations—Marshall Islands Tax Consequences”, and “Service of Process and Enforcement of Civil Liabilities,” insofar as they constitute summaries of Marshall Islands law or legal conclusions of Marshall Islands law, accurately describe in all material respects the portions of the statutes and regulations addressed thereby, subject to the qualifications and assumptions stated therein.</w:t>
      </w:r>
    </w:p>
    <w:p>
      <w:pPr>
        <w:spacing w:after="0" w:line="190" w:lineRule="exact"/>
        <w:rPr>
          <w:rFonts w:ascii="Arial" w:cs="Arial" w:eastAsia="Arial" w:hAnsi="Arial"/>
          <w:sz w:val="19"/>
          <w:szCs w:val="19"/>
          <w:color w:val="auto"/>
        </w:rPr>
      </w:pPr>
    </w:p>
    <w:p>
      <w:pPr>
        <w:jc w:val="both"/>
        <w:ind w:left="660" w:hanging="652"/>
        <w:spacing w:after="0" w:line="246" w:lineRule="auto"/>
        <w:tabs>
          <w:tab w:leader="none" w:pos="6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So long as none of the [</w:t>
      </w:r>
      <w:r>
        <w:rPr>
          <w:rFonts w:ascii="Arial" w:cs="Arial" w:eastAsia="Arial" w:hAnsi="Arial"/>
          <w:sz w:val="20"/>
          <w:szCs w:val="20"/>
          <w:i w:val="1"/>
          <w:iCs w:val="1"/>
          <w:color w:val="auto"/>
        </w:rPr>
        <w:t>Offered Securities</w:t>
      </w:r>
      <w:r>
        <w:rPr>
          <w:rFonts w:ascii="Arial" w:cs="Arial" w:eastAsia="Arial" w:hAnsi="Arial"/>
          <w:sz w:val="20"/>
          <w:szCs w:val="20"/>
          <w:color w:val="auto"/>
        </w:rPr>
        <w:t>] are owned directly or indirectly by the Republic of the Marshall Islands or any other sovereign, the MI Entities are not entitled to any immunity under the laws of the Republic of the Marshall Islands, whether characterized as sovereign immunity or otherwise, from any legal proceedings in respect of themselves or their respective properties in relation to the Underwriting Agreement.</w:t>
      </w:r>
    </w:p>
    <w:p>
      <w:pPr>
        <w:spacing w:after="0" w:line="205"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choice of New York law to govern the Underwriting Agreement would be regarded by the courts of the Marshall Islands as a matter of civil contract to be enforced in the same manner as other contracts.</w:t>
      </w:r>
    </w:p>
    <w:p>
      <w:pPr>
        <w:spacing w:after="0" w:line="190" w:lineRule="exact"/>
        <w:rPr>
          <w:rFonts w:ascii="Arial" w:cs="Arial" w:eastAsia="Arial" w:hAnsi="Arial"/>
          <w:sz w:val="20"/>
          <w:szCs w:val="20"/>
          <w:color w:val="auto"/>
        </w:rPr>
      </w:pPr>
    </w:p>
    <w:p>
      <w:pPr>
        <w:jc w:val="both"/>
        <w:ind w:left="660" w:hanging="652"/>
        <w:spacing w:after="0" w:line="244" w:lineRule="auto"/>
        <w:tabs>
          <w:tab w:leader="none" w:pos="6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submission of each of the MI Entities to the exclusive jurisdiction of any Federal or State court in the Borough of Manhattan, the City of New York in the Underwriting Agreement is valid and binding under the laws of the Republic of the Marshall Islands. We would inform you, however, that the validity and enforceability of such submission to jurisdiction provision set forth in the Underwriting Agreement is not dependent on the law of the Republic of the Marshall Islands and such provision may not be enforceable under the laws of any particular jurisdiction.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12" w:name="page113"/>
    <w:bookmarkEnd w:id="112"/>
    <w:p>
      <w:pPr>
        <w:jc w:val="both"/>
        <w:ind w:left="660" w:hanging="652"/>
        <w:spacing w:after="0" w:line="250" w:lineRule="auto"/>
        <w:tabs>
          <w:tab w:leader="none" w:pos="66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 final non-appealable judgment against any of the MI Entities entered by a court in any United States or foreign jurisdiction in any suit, action or proceeding would be enforceable against the relevant MI Entity in the courts of the Republic of the Marshall Islands without a retrial of the merits of the matter except where:</w:t>
      </w:r>
    </w:p>
    <w:p>
      <w:pPr>
        <w:spacing w:after="0" w:line="199" w:lineRule="exact"/>
        <w:rPr>
          <w:rFonts w:ascii="Arial" w:cs="Arial" w:eastAsia="Arial" w:hAnsi="Arial"/>
          <w:sz w:val="20"/>
          <w:szCs w:val="20"/>
          <w:color w:val="auto"/>
        </w:rPr>
      </w:pPr>
    </w:p>
    <w:p>
      <w:pPr>
        <w:ind w:left="1300" w:hanging="644"/>
        <w:spacing w:after="0"/>
        <w:tabs>
          <w:tab w:leader="none" w:pos="130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it has not been pronounced by a court of competent jurisdiction;</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it has not been given on the merits of the case;</w:t>
      </w:r>
    </w:p>
    <w:p>
      <w:pPr>
        <w:spacing w:after="0" w:line="229"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it appears on the face of the proceeding to be founded on an incorrect view of international law or a refusal to recognize the laws of the Republic of the Marshall Islands in cases in which such laws are applicable;</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proceedings in which the judgment was obtained are opposed to natural justice;</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it has been obtained by fraud;</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it sustains a claim founded on a breach of any law in force in the Republic of the Marshall Islands; or</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it has been obtained by default where the relevant MI Entity was not represented.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Annex III</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MATTERS TO BE COVERED BY BERMUDA COUNSEL OPINION</w:t>
      </w:r>
    </w:p>
    <w:p>
      <w:pPr>
        <w:spacing w:after="0" w:line="229" w:lineRule="exact"/>
        <w:rPr>
          <w:sz w:val="20"/>
          <w:szCs w:val="20"/>
          <w:color w:val="auto"/>
        </w:rPr>
      </w:pPr>
    </w:p>
    <w:p>
      <w:pPr>
        <w:jc w:val="both"/>
        <w:ind w:left="500" w:hanging="492"/>
        <w:spacing w:after="0" w:line="242" w:lineRule="auto"/>
        <w:tabs>
          <w:tab w:leader="none" w:pos="5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Each of the Company, GAS-three Ltd., GAS-four Ltd., GAS-five Ltd., GAS-seven Ltd., GAS-eleven Ltd., GAS-thirteen Ltd., GAS-sixteen Ltd., GAS-seventeen Ltd., GAS-nineteen Ltd., GAS-twenty Ltd., GAS-twenty one Ltd.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Each of the Company, GAS-three Ltd., GAS-four Ltd., GAS-five Ltd., GAS-seven Ltd., GAS-eleven Ltd., GAS-thirteen Ltd., GAS-sixteen Ltd., GAS-seventeen Ltd., GAS-nineteen Ltd., GAS-twenty Ltd. and GAS-twenty one Ltd. possesses the capacity to sue and be sued in its own name under the laws of Bermuda.</w:t>
      </w:r>
    </w:p>
    <w:p>
      <w:pPr>
        <w:spacing w:after="0" w:line="211" w:lineRule="exact"/>
        <w:rPr>
          <w:rFonts w:ascii="Arial" w:cs="Arial" w:eastAsia="Arial" w:hAnsi="Arial"/>
          <w:sz w:val="20"/>
          <w:szCs w:val="20"/>
          <w:color w:val="auto"/>
        </w:rPr>
      </w:pPr>
    </w:p>
    <w:p>
      <w:pPr>
        <w:jc w:val="both"/>
        <w:ind w:left="500" w:hanging="492"/>
        <w:spacing w:after="0" w:line="246" w:lineRule="auto"/>
        <w:tabs>
          <w:tab w:leader="none" w:pos="5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Each of the Company, GAS-three Ltd., GAS-four Ltd., GAS-five Ltd., GAS-seven Ltd., GAS-eleven Ltd., GAS-thirteen Ltd., GAS-sixteen Ltd., GAS-seventeen Ltd., GAS-nineteen Ltd., GAS-twenty Ltd. and GAS-twenty one Ltd. has the necessary corporate power and authority to own, lease and operate its properties and conduct its business as described in the Registration Statement, the Pricing Prospectus and the Prospectus.</w:t>
      </w:r>
    </w:p>
    <w:p>
      <w:pPr>
        <w:spacing w:after="0" w:line="205" w:lineRule="exact"/>
        <w:rPr>
          <w:rFonts w:ascii="Arial" w:cs="Arial" w:eastAsia="Arial" w:hAnsi="Arial"/>
          <w:sz w:val="20"/>
          <w:szCs w:val="20"/>
          <w:color w:val="auto"/>
        </w:rPr>
      </w:pPr>
    </w:p>
    <w:p>
      <w:pPr>
        <w:jc w:val="both"/>
        <w:ind w:left="500" w:hanging="492"/>
        <w:spacing w:after="0" w:line="269" w:lineRule="auto"/>
        <w:tabs>
          <w:tab w:leader="none" w:pos="5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Company has the necessary corporate power and authority to perform its obligations under the Documents. The execution and delivery of the Documents and the performance by the Company of its obligations thereunder will not violate the memorandum of association or bye-laws of the Company, nor any applicable law, regulation, order or decree in Bermuda.</w:t>
      </w:r>
    </w:p>
    <w:p>
      <w:pPr>
        <w:spacing w:after="0" w:line="183" w:lineRule="exact"/>
        <w:rPr>
          <w:rFonts w:ascii="Arial" w:cs="Arial" w:eastAsia="Arial" w:hAnsi="Arial"/>
          <w:sz w:val="19"/>
          <w:szCs w:val="19"/>
          <w:color w:val="auto"/>
        </w:rPr>
      </w:pPr>
    </w:p>
    <w:p>
      <w:pPr>
        <w:jc w:val="both"/>
        <w:ind w:left="500" w:hanging="492"/>
        <w:spacing w:after="0" w:line="250" w:lineRule="auto"/>
        <w:tabs>
          <w:tab w:leader="none" w:pos="5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Company has taken all corporate action required to authorize the execution, delivery and performance of the Documents. The Documents have been duly executed and delivered by or on behalf of the Company and constitute the valid, binding and enforceable obligations of the Company in accordance with the terms thereof.</w:t>
      </w:r>
    </w:p>
    <w:p>
      <w:pPr>
        <w:spacing w:after="0" w:line="199" w:lineRule="exact"/>
        <w:rPr>
          <w:rFonts w:ascii="Arial" w:cs="Arial" w:eastAsia="Arial" w:hAnsi="Arial"/>
          <w:sz w:val="20"/>
          <w:szCs w:val="20"/>
          <w:color w:val="auto"/>
        </w:rPr>
      </w:pPr>
    </w:p>
    <w:p>
      <w:pPr>
        <w:jc w:val="both"/>
        <w:ind w:left="500" w:hanging="492"/>
        <w:spacing w:after="0" w:line="244" w:lineRule="auto"/>
        <w:tabs>
          <w:tab w:leader="none" w:pos="5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No order, consent, approval, licence, authorisation or validation of or exemption by any government or public body or authority of Bermuda or any sub-division thereof is required to authorise or is required to be obtained by the Company or the Underwriters to authorise or in connection with the execution, delivery, performance and enforcement of the Documents including the consummation by the Company of the transactions contemplated by the Documents, except such as have been duly obtained in accordance with Bermuda law and which are in full force and effect.</w:t>
      </w:r>
    </w:p>
    <w:p>
      <w:pPr>
        <w:spacing w:after="0" w:line="208" w:lineRule="exact"/>
        <w:rPr>
          <w:rFonts w:ascii="Arial" w:cs="Arial" w:eastAsia="Arial" w:hAnsi="Arial"/>
          <w:sz w:val="20"/>
          <w:szCs w:val="20"/>
          <w:color w:val="auto"/>
        </w:rPr>
      </w:pPr>
    </w:p>
    <w:p>
      <w:pPr>
        <w:jc w:val="both"/>
        <w:ind w:left="500" w:hanging="492"/>
        <w:spacing w:after="0" w:line="244" w:lineRule="auto"/>
        <w:tabs>
          <w:tab w:leader="none" w:pos="5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No permit, licences, franchises, concessions, certificates and authorisations of, or declarations or filings with, any governmental or regulatory authorities of Bermuda are required for the Company, GAS-three Ltd., GAS-four Ltd., GAS-five Ltd., GAS-seven Ltd., GAS-eleven Ltd</w:t>
      </w:r>
      <w:r>
        <w:rPr>
          <w:rFonts w:ascii="Arial" w:cs="Arial" w:eastAsia="Arial" w:hAnsi="Arial"/>
          <w:sz w:val="21"/>
          <w:szCs w:val="21"/>
          <w:color w:val="auto"/>
        </w:rPr>
        <w:t>., GAS-thirteen Ltd.,</w:t>
      </w:r>
      <w:r>
        <w:rPr>
          <w:rFonts w:ascii="Arial" w:cs="Arial" w:eastAsia="Arial" w:hAnsi="Arial"/>
          <w:sz w:val="20"/>
          <w:szCs w:val="20"/>
          <w:color w:val="auto"/>
        </w:rPr>
        <w:t xml:space="preserve"> GAS-sixteen Ltd., GAS-seventeen Ltd., GAS-nineteen Ltd., GAS-twenty Ltd. or GAS-twenty one Ltd. to own or lease and to operate its properties and to conduct its business in the manner described in the Prospectus, other than such permits, consents, licences, franchises, concessions, certificates and authorisations, declarations or filings with any Bermuda governmental authority held or filed by the Bermuda entities.</w:t>
      </w:r>
    </w:p>
    <w:p>
      <w:pPr>
        <w:spacing w:after="0" w:line="214" w:lineRule="exact"/>
        <w:rPr>
          <w:rFonts w:ascii="Arial" w:cs="Arial" w:eastAsia="Arial" w:hAnsi="Arial"/>
          <w:sz w:val="20"/>
          <w:szCs w:val="20"/>
          <w:color w:val="auto"/>
        </w:rPr>
      </w:pPr>
    </w:p>
    <w:p>
      <w:pPr>
        <w:jc w:val="both"/>
        <w:ind w:left="500" w:hanging="492"/>
        <w:spacing w:after="0" w:line="265" w:lineRule="auto"/>
        <w:tabs>
          <w:tab w:leader="none" w:pos="5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Each of the Company, GAS-three Ltd., GAS-four Ltd., GAS-five Ltd., GAS-seven Ltd., GAS-eleven Ltd</w:t>
      </w:r>
      <w:r>
        <w:rPr>
          <w:rFonts w:ascii="Arial" w:cs="Arial" w:eastAsia="Arial" w:hAnsi="Arial"/>
          <w:sz w:val="20"/>
          <w:szCs w:val="20"/>
          <w:color w:val="auto"/>
        </w:rPr>
        <w:t>., GAS-thirteen Ltd.,</w:t>
      </w:r>
      <w:r>
        <w:rPr>
          <w:rFonts w:ascii="Arial" w:cs="Arial" w:eastAsia="Arial" w:hAnsi="Arial"/>
          <w:sz w:val="19"/>
          <w:szCs w:val="19"/>
          <w:color w:val="auto"/>
        </w:rPr>
        <w:t xml:space="preserve"> GAS-sixteen Ltd., GAS-seventeen Ltd., GAS-nineteen Ltd., GAS-twenty Ltd. and GAS-twenty one Ltd. is not entitled to any immunity under the laws of Bermuda, whether characterized as sovereign immunity or otherwise, from any legal proceedings relating to the Documents or the transactions contemplated thereby in respect of themselves or their respective properties.</w:t>
      </w:r>
    </w:p>
    <w:p>
      <w:pPr>
        <w:spacing w:after="0" w:line="201" w:lineRule="exact"/>
        <w:rPr>
          <w:rFonts w:ascii="Arial" w:cs="Arial" w:eastAsia="Arial" w:hAnsi="Arial"/>
          <w:sz w:val="19"/>
          <w:szCs w:val="19"/>
          <w:color w:val="auto"/>
        </w:rPr>
      </w:pPr>
    </w:p>
    <w:p>
      <w:pPr>
        <w:jc w:val="both"/>
        <w:ind w:left="500" w:hanging="492"/>
        <w:spacing w:after="0" w:line="244" w:lineRule="auto"/>
        <w:tabs>
          <w:tab w:leader="none" w:pos="5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choice of the Foreign Laws as the governing law of the Documents is a valid choice of law and would be recognized and given effect to in any action brought before a court of competent jurisdiction in Bermuda, except for those laws (i) which such court considers to be procedural in nature, (ii) which are revenue or penal laws or (iii) the application of which would be inconsistent with public policy, as such term is interpreted under the laws of Bermuda. The submission by the Company to the non-exclusive jurisdiction of the New York Courts, the waiver by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14" w:name="page115"/>
    <w:bookmarkEnd w:id="114"/>
    <w:p>
      <w:pPr>
        <w:ind w:left="500"/>
        <w:spacing w:after="0" w:line="260" w:lineRule="auto"/>
        <w:rPr>
          <w:sz w:val="20"/>
          <w:szCs w:val="20"/>
          <w:color w:val="auto"/>
        </w:rPr>
      </w:pPr>
      <w:r>
        <w:rPr>
          <w:rFonts w:ascii="Arial" w:cs="Arial" w:eastAsia="Arial" w:hAnsi="Arial"/>
          <w:sz w:val="20"/>
          <w:szCs w:val="20"/>
          <w:color w:val="auto"/>
        </w:rPr>
        <w:t>the Company of any objection related to inconvenient forum and the appointment by the Company of an agent for service of process, in each case pursuant to the Documents, is valid and binding upon the Company.</w:t>
      </w:r>
    </w:p>
    <w:p>
      <w:pPr>
        <w:spacing w:after="0" w:line="190" w:lineRule="exact"/>
        <w:rPr>
          <w:sz w:val="20"/>
          <w:szCs w:val="20"/>
          <w:color w:val="auto"/>
        </w:rPr>
      </w:pPr>
    </w:p>
    <w:p>
      <w:pPr>
        <w:jc w:val="both"/>
        <w:ind w:left="500" w:hanging="492"/>
        <w:spacing w:after="0" w:line="272"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It is not necessary or desirable to ensure the enforceability in Bermuda of the Documents that they be registered in any register kept by, or filed with, any governmental authority or regulatory body in Bermuda. However, to the extent that any of the Documents create a charge over assets of a Company, it may be desirable to ensure the priority in Bermuda of the charge that it be registered in the Register of Charges in accordance with 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$630 will be payable in respect of the registration. While there is no exhaustive definition of a charge under Bermuda law, a charge includes any interest created in property by way of security (including any mortgage, assignment, pledge, lien or hypothecation). As the Documents are governed by the Foreign Laws, the question of whether it creates such an interest in property would be determined under the Foreign Laws.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Annex IV</w:t>
      </w:r>
    </w:p>
    <w:p>
      <w:pPr>
        <w:spacing w:after="0" w:line="244" w:lineRule="exact"/>
        <w:rPr>
          <w:sz w:val="20"/>
          <w:szCs w:val="20"/>
          <w:color w:val="auto"/>
        </w:rPr>
      </w:pPr>
    </w:p>
    <w:p>
      <w:pPr>
        <w:ind w:left="2608"/>
        <w:spacing w:after="0"/>
        <w:rPr>
          <w:sz w:val="20"/>
          <w:szCs w:val="20"/>
          <w:color w:val="auto"/>
        </w:rPr>
      </w:pPr>
      <w:r>
        <w:rPr>
          <w:rFonts w:ascii="Arial" w:cs="Arial" w:eastAsia="Arial" w:hAnsi="Arial"/>
          <w:sz w:val="20"/>
          <w:szCs w:val="20"/>
          <w:u w:val="single" w:color="auto"/>
          <w:color w:val="auto"/>
        </w:rPr>
        <w:t>MATTERS TO BE COVERED BY ENGLISH COUNSEL OPINION</w:t>
      </w:r>
    </w:p>
    <w:p>
      <w:pPr>
        <w:spacing w:after="0" w:line="225" w:lineRule="exact"/>
        <w:rPr>
          <w:sz w:val="20"/>
          <w:szCs w:val="20"/>
          <w:color w:val="auto"/>
        </w:rPr>
      </w:pPr>
    </w:p>
    <w:p>
      <w:pPr>
        <w:ind w:left="328" w:hanging="328"/>
        <w:spacing w:after="0" w:line="249" w:lineRule="auto"/>
        <w:tabs>
          <w:tab w:leader="none" w:pos="32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Based upon and subject to the reservations, qualifications and observations set out in our Opinion and to matters not disclosed to us, we are of the opinion that the entering into and performance of the Issue Document by the Company will not breach any of the express undertakings or covenants of the Obligors under the Credit Documents to which they are party which as a consequence will lead to the occurrence of an Event of Default (as defined therein), but excluding therefrom all financial covenants or similar undertakings on which we do not opine.</w:t>
      </w:r>
    </w:p>
    <w:p>
      <w:pPr>
        <w:spacing w:after="0" w:line="152"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144780</wp:posOffset>
            </wp:positionV>
            <wp:extent cx="72466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39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GASLOG PARTNERS LP</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w:t>
      </w:r>
    </w:p>
    <w:p>
      <w:pPr>
        <w:jc w:val="center"/>
        <w:ind w:right="1180"/>
        <w:spacing w:after="0"/>
        <w:rPr>
          <w:sz w:val="20"/>
          <w:szCs w:val="20"/>
          <w:color w:val="auto"/>
        </w:rPr>
      </w:pPr>
      <w:r>
        <w:rPr>
          <w:rFonts w:ascii="Arial" w:cs="Arial" w:eastAsia="Arial" w:hAnsi="Arial"/>
          <w:sz w:val="18"/>
          <w:szCs w:val="18"/>
          <w:color w:val="auto"/>
        </w:rPr>
        <w:t>as Trustee</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 OF INDENTURE</w:t>
      </w:r>
    </w:p>
    <w:p>
      <w:pPr>
        <w:spacing w:after="0" w:line="19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Dated as of _____________,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135255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332105</wp:posOffset>
            </wp:positionV>
            <wp:extent cx="72466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7"/>
        </w:trPr>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20" w:type="dxa"/>
            <w:vAlign w:val="bottom"/>
            <w:gridSpan w:val="9"/>
          </w:tcPr>
          <w:p>
            <w:pPr>
              <w:jc w:val="center"/>
              <w:ind w:right="2240"/>
              <w:spacing w:after="0"/>
              <w:rPr>
                <w:sz w:val="20"/>
                <w:szCs w:val="20"/>
                <w:color w:val="auto"/>
              </w:rPr>
            </w:pPr>
            <w:r>
              <w:rPr>
                <w:rFonts w:ascii="Arial" w:cs="Arial" w:eastAsia="Arial" w:hAnsi="Arial"/>
                <w:sz w:val="18"/>
                <w:szCs w:val="18"/>
                <w:color w:val="auto"/>
                <w:w w:val="99"/>
              </w:rPr>
              <w:t>TABLE OF CONTENTS</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80" w:type="dxa"/>
            <w:vAlign w:val="bottom"/>
            <w:gridSpan w:val="8"/>
            <w:vMerge w:val="restart"/>
          </w:tcPr>
          <w:p>
            <w:pPr>
              <w:jc w:val="center"/>
              <w:ind w:right="3380"/>
              <w:spacing w:after="0"/>
              <w:rPr>
                <w:sz w:val="20"/>
                <w:szCs w:val="20"/>
                <w:color w:val="auto"/>
              </w:rPr>
            </w:pPr>
            <w:r>
              <w:rPr>
                <w:rFonts w:ascii="Arial" w:cs="Arial" w:eastAsia="Arial" w:hAnsi="Arial"/>
                <w:sz w:val="18"/>
                <w:szCs w:val="18"/>
                <w:color w:val="auto"/>
                <w:w w:val="98"/>
              </w:rPr>
              <w:t>ARTICLE 1</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80" w:type="dxa"/>
            <w:vAlign w:val="bottom"/>
            <w:gridSpan w:val="8"/>
            <w:vMerge w:val="continue"/>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9"/>
              </w:rPr>
              <w:t>Definitions</w:t>
            </w:r>
          </w:p>
        </w:tc>
        <w:tc>
          <w:tcPr>
            <w:tcW w:w="3380" w:type="dxa"/>
            <w:vAlign w:val="bottom"/>
            <w:gridSpan w:val="3"/>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0" w:type="dxa"/>
            <w:vAlign w:val="bottom"/>
          </w:tcPr>
          <w:p>
            <w:pPr>
              <w:spacing w:after="0"/>
              <w:rPr>
                <w:sz w:val="20"/>
                <w:szCs w:val="20"/>
                <w:color w:val="auto"/>
              </w:rPr>
            </w:pPr>
            <w:r>
              <w:rPr>
                <w:rFonts w:ascii="Arial" w:cs="Arial" w:eastAsia="Arial" w:hAnsi="Arial"/>
                <w:sz w:val="18"/>
                <w:szCs w:val="18"/>
                <w:color w:val="auto"/>
              </w:rPr>
              <w:t>SECTION 1.01.</w:t>
            </w:r>
          </w:p>
        </w:tc>
        <w:tc>
          <w:tcPr>
            <w:tcW w:w="3700" w:type="dxa"/>
            <w:vAlign w:val="bottom"/>
            <w:gridSpan w:val="4"/>
          </w:tcPr>
          <w:p>
            <w:pPr>
              <w:ind w:left="360"/>
              <w:spacing w:after="0"/>
              <w:rPr>
                <w:sz w:val="20"/>
                <w:szCs w:val="20"/>
                <w:color w:val="auto"/>
              </w:rPr>
            </w:pPr>
            <w:r>
              <w:rPr>
                <w:rFonts w:ascii="Arial" w:cs="Arial" w:eastAsia="Arial" w:hAnsi="Arial"/>
                <w:sz w:val="18"/>
                <w:szCs w:val="18"/>
                <w:color w:val="auto"/>
              </w:rPr>
              <w:t>Certain Terms Defined</w:t>
            </w:r>
          </w:p>
        </w:tc>
        <w:tc>
          <w:tcPr>
            <w:tcW w:w="840" w:type="dxa"/>
            <w:vAlign w:val="bottom"/>
            <w:tcBorders>
              <w:top w:val="single" w:sz="8" w:color="auto"/>
            </w:tcBorders>
            <w:gridSpan w:val="3"/>
          </w:tcPr>
          <w:p>
            <w:pPr>
              <w:spacing w:after="0"/>
              <w:rPr>
                <w:sz w:val="24"/>
                <w:szCs w:val="24"/>
                <w:color w:val="auto"/>
              </w:rPr>
            </w:pPr>
          </w:p>
        </w:tc>
        <w:tc>
          <w:tcPr>
            <w:tcW w:w="3400" w:type="dxa"/>
            <w:vAlign w:val="bottom"/>
            <w:gridSpan w:val="4"/>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2"/>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80" w:type="dxa"/>
            <w:vAlign w:val="bottom"/>
            <w:gridSpan w:val="8"/>
          </w:tcPr>
          <w:p>
            <w:pPr>
              <w:jc w:val="center"/>
              <w:ind w:right="3380"/>
              <w:spacing w:after="0"/>
              <w:rPr>
                <w:sz w:val="20"/>
                <w:szCs w:val="20"/>
                <w:color w:val="auto"/>
              </w:rPr>
            </w:pPr>
            <w:r>
              <w:rPr>
                <w:rFonts w:ascii="Arial" w:cs="Arial" w:eastAsia="Arial" w:hAnsi="Arial"/>
                <w:sz w:val="18"/>
                <w:szCs w:val="18"/>
                <w:color w:val="auto"/>
                <w:w w:val="98"/>
              </w:rPr>
              <w:t>ARTICLE 2</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8"/>
              </w:rPr>
              <w:t>Securities</w:t>
            </w:r>
          </w:p>
        </w:tc>
        <w:tc>
          <w:tcPr>
            <w:tcW w:w="3380" w:type="dxa"/>
            <w:vAlign w:val="bottom"/>
            <w:gridSpan w:val="3"/>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600" w:type="dxa"/>
            <w:vAlign w:val="bottom"/>
          </w:tcPr>
          <w:p>
            <w:pPr>
              <w:spacing w:after="0"/>
              <w:rPr>
                <w:sz w:val="20"/>
                <w:szCs w:val="20"/>
                <w:color w:val="auto"/>
              </w:rPr>
            </w:pPr>
            <w:r>
              <w:rPr>
                <w:rFonts w:ascii="Arial" w:cs="Arial" w:eastAsia="Arial" w:hAnsi="Arial"/>
                <w:sz w:val="18"/>
                <w:szCs w:val="18"/>
                <w:color w:val="auto"/>
              </w:rPr>
              <w:t>SECTION 2.01.</w:t>
            </w:r>
          </w:p>
        </w:tc>
        <w:tc>
          <w:tcPr>
            <w:tcW w:w="3720" w:type="dxa"/>
            <w:vAlign w:val="bottom"/>
            <w:gridSpan w:val="5"/>
          </w:tcPr>
          <w:p>
            <w:pPr>
              <w:ind w:left="360"/>
              <w:spacing w:after="0"/>
              <w:rPr>
                <w:sz w:val="20"/>
                <w:szCs w:val="20"/>
                <w:color w:val="auto"/>
              </w:rPr>
            </w:pPr>
            <w:r>
              <w:rPr>
                <w:rFonts w:ascii="Arial" w:cs="Arial" w:eastAsia="Arial" w:hAnsi="Arial"/>
                <w:sz w:val="18"/>
                <w:szCs w:val="18"/>
                <w:color w:val="auto"/>
              </w:rPr>
              <w:t>Forms Generally</w:t>
            </w:r>
          </w:p>
        </w:tc>
        <w:tc>
          <w:tcPr>
            <w:tcW w:w="780" w:type="dxa"/>
            <w:vAlign w:val="bottom"/>
            <w:tcBorders>
              <w:top w:val="single" w:sz="8" w:color="auto"/>
            </w:tcBorders>
          </w:tcPr>
          <w:p>
            <w:pPr>
              <w:spacing w:after="0"/>
              <w:rPr>
                <w:sz w:val="24"/>
                <w:szCs w:val="24"/>
                <w:color w:val="auto"/>
              </w:rPr>
            </w:pPr>
          </w:p>
        </w:tc>
        <w:tc>
          <w:tcPr>
            <w:tcW w:w="3440" w:type="dxa"/>
            <w:vAlign w:val="bottom"/>
            <w:gridSpan w:val="5"/>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2.02.</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Form of Trustee’s Certification of Authentication</w:t>
            </w: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2.03.</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Amount Unlimited; Issuable in Series</w:t>
            </w: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2.04.</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Authentication and Delivery of Securities</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2.05.</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Execution of Securities</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2.06.</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Certificate of Authorization</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2.07.</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Denomination and Date of Securities; Payments of Interest</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2.08.</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Regulation, Transfer and Exchange</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2.09.</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Mutilated, Defaced, Destroyed, Lost and Stolen Securities</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2.10.</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Cancellation of Securities</w:t>
            </w: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2.11.</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Temporary Securities</w:t>
            </w:r>
          </w:p>
        </w:tc>
        <w:tc>
          <w:tcPr>
            <w:tcW w:w="1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7"/>
        </w:trPr>
        <w:tc>
          <w:tcPr>
            <w:tcW w:w="1600" w:type="dxa"/>
            <w:vAlign w:val="bottom"/>
          </w:tcPr>
          <w:p>
            <w:pPr>
              <w:spacing w:after="0"/>
              <w:rPr>
                <w:sz w:val="20"/>
                <w:szCs w:val="20"/>
                <w:color w:val="auto"/>
              </w:rPr>
            </w:pPr>
            <w:r>
              <w:rPr>
                <w:rFonts w:ascii="Arial" w:cs="Arial" w:eastAsia="Arial" w:hAnsi="Arial"/>
                <w:sz w:val="18"/>
                <w:szCs w:val="18"/>
                <w:color w:val="auto"/>
              </w:rPr>
              <w:t>SECTION 2.12.</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CUSIP Numbers</w:t>
            </w:r>
          </w:p>
        </w:tc>
        <w:tc>
          <w:tcPr>
            <w:tcW w:w="1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92"/>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80" w:type="dxa"/>
            <w:vAlign w:val="bottom"/>
            <w:gridSpan w:val="8"/>
          </w:tcPr>
          <w:p>
            <w:pPr>
              <w:jc w:val="center"/>
              <w:ind w:right="3380"/>
              <w:spacing w:after="0"/>
              <w:rPr>
                <w:sz w:val="20"/>
                <w:szCs w:val="20"/>
                <w:color w:val="auto"/>
              </w:rPr>
            </w:pPr>
            <w:r>
              <w:rPr>
                <w:rFonts w:ascii="Arial" w:cs="Arial" w:eastAsia="Arial" w:hAnsi="Arial"/>
                <w:sz w:val="18"/>
                <w:szCs w:val="18"/>
                <w:color w:val="auto"/>
                <w:w w:val="98"/>
              </w:rPr>
              <w:t>ARTICLE 3</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9"/>
              </w:rPr>
              <w:t>Covenants of the Issuer and the Trustee</w:t>
            </w:r>
          </w:p>
        </w:tc>
        <w:tc>
          <w:tcPr>
            <w:tcW w:w="2220" w:type="dxa"/>
            <w:vAlign w:val="bottom"/>
            <w:gridSpan w:val="2"/>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600" w:type="dxa"/>
            <w:vAlign w:val="bottom"/>
          </w:tcPr>
          <w:p>
            <w:pPr>
              <w:spacing w:after="0"/>
              <w:rPr>
                <w:sz w:val="20"/>
                <w:szCs w:val="20"/>
                <w:color w:val="auto"/>
              </w:rPr>
            </w:pPr>
            <w:r>
              <w:rPr>
                <w:rFonts w:ascii="Arial" w:cs="Arial" w:eastAsia="Arial" w:hAnsi="Arial"/>
                <w:sz w:val="18"/>
                <w:szCs w:val="18"/>
                <w:color w:val="auto"/>
              </w:rPr>
              <w:t>SECTION 3.01.</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Payment of Principal and Interest</w:t>
            </w:r>
          </w:p>
        </w:tc>
        <w:tc>
          <w:tcPr>
            <w:tcW w:w="1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3.02.</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Offices for Payments, etc</w:t>
            </w: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3.03.</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Appointment to Fill a Vacancy in Office of Trustee</w:t>
            </w: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3.04.</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Paying Agents</w:t>
            </w: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3.05.</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Certificate of the Issuer</w:t>
            </w: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3.06.</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Securityholders Lists</w:t>
            </w: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3.07.</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Reports by the Issuer</w:t>
            </w:r>
          </w:p>
        </w:tc>
        <w:tc>
          <w:tcPr>
            <w:tcW w:w="18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1600" w:type="dxa"/>
            <w:vAlign w:val="bottom"/>
          </w:tcPr>
          <w:p>
            <w:pPr>
              <w:spacing w:after="0"/>
              <w:rPr>
                <w:sz w:val="20"/>
                <w:szCs w:val="20"/>
                <w:color w:val="auto"/>
              </w:rPr>
            </w:pPr>
            <w:r>
              <w:rPr>
                <w:rFonts w:ascii="Arial" w:cs="Arial" w:eastAsia="Arial" w:hAnsi="Arial"/>
                <w:sz w:val="18"/>
                <w:szCs w:val="18"/>
                <w:color w:val="auto"/>
              </w:rPr>
              <w:t>SECTION 3.08.</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Reports by the Trustee</w:t>
            </w:r>
          </w:p>
        </w:tc>
        <w:tc>
          <w:tcPr>
            <w:tcW w:w="18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92"/>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80" w:type="dxa"/>
            <w:vAlign w:val="bottom"/>
            <w:gridSpan w:val="8"/>
          </w:tcPr>
          <w:p>
            <w:pPr>
              <w:jc w:val="center"/>
              <w:ind w:right="3380"/>
              <w:spacing w:after="0"/>
              <w:rPr>
                <w:sz w:val="20"/>
                <w:szCs w:val="20"/>
                <w:color w:val="auto"/>
              </w:rPr>
            </w:pPr>
            <w:r>
              <w:rPr>
                <w:rFonts w:ascii="Arial" w:cs="Arial" w:eastAsia="Arial" w:hAnsi="Arial"/>
                <w:sz w:val="18"/>
                <w:szCs w:val="18"/>
                <w:color w:val="auto"/>
                <w:w w:val="98"/>
              </w:rPr>
              <w:t>ARTICLE 4</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20" w:type="dxa"/>
            <w:vAlign w:val="bottom"/>
            <w:gridSpan w:val="10"/>
          </w:tcPr>
          <w:p>
            <w:pPr>
              <w:jc w:val="center"/>
              <w:ind w:right="1240"/>
              <w:spacing w:after="0"/>
              <w:rPr>
                <w:sz w:val="20"/>
                <w:szCs w:val="20"/>
                <w:color w:val="auto"/>
              </w:rPr>
            </w:pPr>
            <w:r>
              <w:rPr>
                <w:rFonts w:ascii="Arial" w:cs="Arial" w:eastAsia="Arial" w:hAnsi="Arial"/>
                <w:sz w:val="18"/>
                <w:szCs w:val="18"/>
                <w:color w:val="auto"/>
                <w:w w:val="99"/>
              </w:rPr>
              <w:t>Remedies of the Trustee and Securityholders on Event of Default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180" w:type="dxa"/>
            <w:vAlign w:val="bottom"/>
            <w:gridSpan w:val="9"/>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tcPr>
          <w:p>
            <w:pPr>
              <w:spacing w:after="0"/>
              <w:rPr>
                <w:sz w:val="20"/>
                <w:szCs w:val="20"/>
                <w:color w:val="auto"/>
              </w:rPr>
            </w:pPr>
            <w:r>
              <w:rPr>
                <w:rFonts w:ascii="Arial" w:cs="Arial" w:eastAsia="Arial" w:hAnsi="Arial"/>
                <w:sz w:val="18"/>
                <w:szCs w:val="18"/>
                <w:color w:val="auto"/>
              </w:rPr>
              <w:t>SECTION 4.01.</w:t>
            </w:r>
          </w:p>
        </w:tc>
        <w:tc>
          <w:tcPr>
            <w:tcW w:w="7940" w:type="dxa"/>
            <w:vAlign w:val="bottom"/>
            <w:gridSpan w:val="11"/>
          </w:tcPr>
          <w:p>
            <w:pPr>
              <w:ind w:left="360"/>
              <w:spacing w:after="0"/>
              <w:rPr>
                <w:sz w:val="20"/>
                <w:szCs w:val="20"/>
                <w:color w:val="auto"/>
              </w:rPr>
            </w:pPr>
            <w:r>
              <w:rPr>
                <w:rFonts w:ascii="Arial" w:cs="Arial" w:eastAsia="Arial" w:hAnsi="Arial"/>
                <w:sz w:val="18"/>
                <w:szCs w:val="18"/>
                <w:color w:val="auto"/>
              </w:rPr>
              <w:t>Event of Default; Acceleration of Maturity; Waiver of Default</w:t>
            </w:r>
          </w:p>
        </w:tc>
        <w:tc>
          <w:tcPr>
            <w:tcW w:w="18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05"/>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jc w:val="center"/>
              <w:ind w:right="3420"/>
              <w:spacing w:after="0"/>
              <w:rPr>
                <w:sz w:val="20"/>
                <w:szCs w:val="20"/>
                <w:color w:val="auto"/>
              </w:rPr>
            </w:pPr>
            <w:r>
              <w:rPr>
                <w:rFonts w:ascii="Arial" w:cs="Arial" w:eastAsia="Arial" w:hAnsi="Arial"/>
                <w:sz w:val="18"/>
                <w:szCs w:val="18"/>
                <w:color w:val="auto"/>
                <w:w w:val="98"/>
              </w:rPr>
              <w:t>i</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00" w:type="dxa"/>
            <w:vAlign w:val="bottom"/>
            <w:tcBorders>
              <w:bottom w:val="single" w:sz="8" w:color="C0C0C0"/>
            </w:tcBorders>
          </w:tcPr>
          <w:p>
            <w:pPr>
              <w:spacing w:after="0"/>
              <w:rPr>
                <w:sz w:val="20"/>
                <w:szCs w:val="20"/>
                <w:color w:val="auto"/>
              </w:rPr>
            </w:pPr>
          </w:p>
        </w:tc>
        <w:tc>
          <w:tcPr>
            <w:tcW w:w="152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1240" w:type="dxa"/>
            <w:vAlign w:val="bottom"/>
            <w:tcBorders>
              <w:bottom w:val="single" w:sz="8" w:color="C0C0C0"/>
            </w:tcBorders>
          </w:tcPr>
          <w:p>
            <w:pPr>
              <w:spacing w:after="0"/>
              <w:rPr>
                <w:sz w:val="20"/>
                <w:szCs w:val="20"/>
                <w:color w:val="auto"/>
              </w:rPr>
            </w:pPr>
          </w:p>
        </w:tc>
        <w:tc>
          <w:tcPr>
            <w:tcW w:w="18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4.02.</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Collection of Indebtedness by Trustee; Trustee May Prove Debt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4.03.</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Application of Proceeds</w:t>
            </w: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4.04.</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Suits for Enforcement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4.05.</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Restoration of Rights on Abandonment of Proceeding</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4.06.</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Limitations on Suits by Securityholder</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4.07.</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Unconditional Right of Securityholders to Institute Certain Suits</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4.08.</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Powers and Remedies Cumulative; Delay or Omission Not Waiver of Default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4.09.</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Control by Securityholders</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4.10.</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Waiver of Past Defaults</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4.11.</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Trustee to Give Notice of Default, But May Withhold in Certain Circumstances</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7"/>
        </w:trPr>
        <w:tc>
          <w:tcPr>
            <w:tcW w:w="1600" w:type="dxa"/>
            <w:vAlign w:val="bottom"/>
          </w:tcPr>
          <w:p>
            <w:pPr>
              <w:spacing w:after="0"/>
              <w:rPr>
                <w:sz w:val="20"/>
                <w:szCs w:val="20"/>
                <w:color w:val="auto"/>
              </w:rPr>
            </w:pPr>
            <w:r>
              <w:rPr>
                <w:rFonts w:ascii="Arial" w:cs="Arial" w:eastAsia="Arial" w:hAnsi="Arial"/>
                <w:sz w:val="18"/>
                <w:szCs w:val="18"/>
                <w:color w:val="auto"/>
              </w:rPr>
              <w:t>SECTION 4.12.</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Right of Court to Require Filing of Undertaking to Pay Costs</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2"/>
        </w:trPr>
        <w:tc>
          <w:tcPr>
            <w:tcW w:w="1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0" w:type="dxa"/>
            <w:vAlign w:val="bottom"/>
            <w:gridSpan w:val="4"/>
          </w:tcPr>
          <w:p>
            <w:pPr>
              <w:jc w:val="center"/>
              <w:ind w:right="4300"/>
              <w:spacing w:after="0"/>
              <w:rPr>
                <w:sz w:val="20"/>
                <w:szCs w:val="20"/>
                <w:color w:val="auto"/>
              </w:rPr>
            </w:pPr>
            <w:r>
              <w:rPr>
                <w:rFonts w:ascii="Arial" w:cs="Arial" w:eastAsia="Arial" w:hAnsi="Arial"/>
                <w:sz w:val="18"/>
                <w:szCs w:val="18"/>
                <w:color w:val="auto"/>
                <w:w w:val="98"/>
              </w:rPr>
              <w:t>ARTICLE 5</w:t>
            </w:r>
          </w:p>
        </w:tc>
        <w:tc>
          <w:tcPr>
            <w:tcW w:w="960" w:type="dxa"/>
            <w:vAlign w:val="bottom"/>
          </w:tcPr>
          <w:p>
            <w:pPr>
              <w:spacing w:after="0"/>
              <w:rPr>
                <w:sz w:val="24"/>
                <w:szCs w:val="24"/>
                <w:color w:val="auto"/>
              </w:rPr>
            </w:pPr>
          </w:p>
        </w:tc>
      </w:tr>
      <w:tr>
        <w:trPr>
          <w:trHeight w:val="20"/>
        </w:trPr>
        <w:tc>
          <w:tcPr>
            <w:tcW w:w="1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99"/>
        </w:trPr>
        <w:tc>
          <w:tcPr>
            <w:tcW w:w="1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Concerning the Trustee</w:t>
            </w:r>
          </w:p>
        </w:tc>
        <w:tc>
          <w:tcPr>
            <w:tcW w:w="380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r>
      <w:tr>
        <w:trPr>
          <w:trHeight w:val="438"/>
        </w:trPr>
        <w:tc>
          <w:tcPr>
            <w:tcW w:w="1600" w:type="dxa"/>
            <w:vAlign w:val="bottom"/>
          </w:tcPr>
          <w:p>
            <w:pPr>
              <w:spacing w:after="0"/>
              <w:rPr>
                <w:sz w:val="20"/>
                <w:szCs w:val="20"/>
                <w:color w:val="auto"/>
              </w:rPr>
            </w:pPr>
            <w:r>
              <w:rPr>
                <w:rFonts w:ascii="Arial" w:cs="Arial" w:eastAsia="Arial" w:hAnsi="Arial"/>
                <w:sz w:val="18"/>
                <w:szCs w:val="18"/>
                <w:color w:val="auto"/>
              </w:rPr>
              <w:t>SECTION 5.01.</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Duties and Responsibilities of the Trustee; During Default; Prior to Default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5.02.</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Certain Rights of the Trustee</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5.03.</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Trustee Not Responsible for Recitals, Disposition of Securities or Application of Proceeds Thereof</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5.04.</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Trustee and Agents May Hold Securities; Collections, etc</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5.05.</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Moneys Held by Trustee</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5.06.</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Compensation and Indemnification of Trustee and its Prior Claim</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5.07.</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Right of Trustee to Rely on Officers’ Certificate, etc</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5.08.</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Persons Eligible for Appointment as Trustee</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5.09.</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Resignation and Removal; Appointment of Successor Trustee</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5.10.</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Acceptance of Appointment by Successor Trustee</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7"/>
        </w:trPr>
        <w:tc>
          <w:tcPr>
            <w:tcW w:w="1600" w:type="dxa"/>
            <w:vAlign w:val="bottom"/>
          </w:tcPr>
          <w:p>
            <w:pPr>
              <w:spacing w:after="0"/>
              <w:rPr>
                <w:sz w:val="20"/>
                <w:szCs w:val="20"/>
                <w:color w:val="auto"/>
              </w:rPr>
            </w:pPr>
            <w:r>
              <w:rPr>
                <w:rFonts w:ascii="Arial" w:cs="Arial" w:eastAsia="Arial" w:hAnsi="Arial"/>
                <w:sz w:val="18"/>
                <w:szCs w:val="18"/>
                <w:color w:val="auto"/>
              </w:rPr>
              <w:t>SECTION 5.11.</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Merger, Conversion, Consolidation or Succession to Business of Trustee</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92"/>
        </w:trPr>
        <w:tc>
          <w:tcPr>
            <w:tcW w:w="1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0" w:type="dxa"/>
            <w:vAlign w:val="bottom"/>
            <w:gridSpan w:val="4"/>
          </w:tcPr>
          <w:p>
            <w:pPr>
              <w:jc w:val="center"/>
              <w:ind w:right="4300"/>
              <w:spacing w:after="0"/>
              <w:rPr>
                <w:sz w:val="20"/>
                <w:szCs w:val="20"/>
                <w:color w:val="auto"/>
              </w:rPr>
            </w:pPr>
            <w:r>
              <w:rPr>
                <w:rFonts w:ascii="Arial" w:cs="Arial" w:eastAsia="Arial" w:hAnsi="Arial"/>
                <w:sz w:val="18"/>
                <w:szCs w:val="18"/>
                <w:color w:val="auto"/>
                <w:w w:val="98"/>
              </w:rPr>
              <w:t>ARTICLE 6</w:t>
            </w:r>
          </w:p>
        </w:tc>
        <w:tc>
          <w:tcPr>
            <w:tcW w:w="960" w:type="dxa"/>
            <w:vAlign w:val="bottom"/>
          </w:tcPr>
          <w:p>
            <w:pPr>
              <w:spacing w:after="0"/>
              <w:rPr>
                <w:sz w:val="24"/>
                <w:szCs w:val="24"/>
                <w:color w:val="auto"/>
              </w:rPr>
            </w:pPr>
          </w:p>
        </w:tc>
      </w:tr>
      <w:tr>
        <w:trPr>
          <w:trHeight w:val="20"/>
        </w:trPr>
        <w:tc>
          <w:tcPr>
            <w:tcW w:w="1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99"/>
        </w:trPr>
        <w:tc>
          <w:tcPr>
            <w:tcW w:w="1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00" w:type="dxa"/>
            <w:vAlign w:val="bottom"/>
            <w:gridSpan w:val="6"/>
          </w:tcPr>
          <w:p>
            <w:pPr>
              <w:jc w:val="center"/>
              <w:ind w:right="3500"/>
              <w:spacing w:after="0"/>
              <w:rPr>
                <w:sz w:val="20"/>
                <w:szCs w:val="20"/>
                <w:color w:val="auto"/>
              </w:rPr>
            </w:pPr>
            <w:r>
              <w:rPr>
                <w:rFonts w:ascii="Arial" w:cs="Arial" w:eastAsia="Arial" w:hAnsi="Arial"/>
                <w:sz w:val="18"/>
                <w:szCs w:val="18"/>
                <w:color w:val="auto"/>
                <w:w w:val="99"/>
              </w:rPr>
              <w:t>Concerning the Securityholders</w:t>
            </w:r>
          </w:p>
        </w:tc>
        <w:tc>
          <w:tcPr>
            <w:tcW w:w="960" w:type="dxa"/>
            <w:vAlign w:val="bottom"/>
          </w:tcPr>
          <w:p>
            <w:pPr>
              <w:spacing w:after="0"/>
              <w:rPr>
                <w:sz w:val="24"/>
                <w:szCs w:val="24"/>
                <w:color w:val="auto"/>
              </w:rPr>
            </w:pPr>
          </w:p>
        </w:tc>
      </w:tr>
      <w:tr>
        <w:trPr>
          <w:trHeight w:val="20"/>
        </w:trPr>
        <w:tc>
          <w:tcPr>
            <w:tcW w:w="1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00" w:type="dxa"/>
            <w:vAlign w:val="bottom"/>
            <w:gridSpan w:val="5"/>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8"/>
        </w:trPr>
        <w:tc>
          <w:tcPr>
            <w:tcW w:w="1600" w:type="dxa"/>
            <w:vAlign w:val="bottom"/>
          </w:tcPr>
          <w:p>
            <w:pPr>
              <w:spacing w:after="0"/>
              <w:rPr>
                <w:sz w:val="20"/>
                <w:szCs w:val="20"/>
                <w:color w:val="auto"/>
              </w:rPr>
            </w:pPr>
            <w:r>
              <w:rPr>
                <w:rFonts w:ascii="Arial" w:cs="Arial" w:eastAsia="Arial" w:hAnsi="Arial"/>
                <w:sz w:val="18"/>
                <w:szCs w:val="18"/>
                <w:color w:val="auto"/>
              </w:rPr>
              <w:t>SECTION 6.01.</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Evidence of Action Taken by Securityholders</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6.02.</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Proof of Execution of Instruments and of Holding of Securities; Record Date</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6.03.</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Holders to be Treated as Owners</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6.04.</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Securities Owned by Issuer Deemed Not Outstanding</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7"/>
        </w:trPr>
        <w:tc>
          <w:tcPr>
            <w:tcW w:w="1600" w:type="dxa"/>
            <w:vAlign w:val="bottom"/>
          </w:tcPr>
          <w:p>
            <w:pPr>
              <w:spacing w:after="0"/>
              <w:rPr>
                <w:sz w:val="20"/>
                <w:szCs w:val="20"/>
                <w:color w:val="auto"/>
              </w:rPr>
            </w:pPr>
            <w:r>
              <w:rPr>
                <w:rFonts w:ascii="Arial" w:cs="Arial" w:eastAsia="Arial" w:hAnsi="Arial"/>
                <w:sz w:val="18"/>
                <w:szCs w:val="18"/>
                <w:color w:val="auto"/>
              </w:rPr>
              <w:t>SECTION 6.05.</w:t>
            </w:r>
          </w:p>
        </w:tc>
        <w:tc>
          <w:tcPr>
            <w:tcW w:w="8860" w:type="dxa"/>
            <w:vAlign w:val="bottom"/>
            <w:gridSpan w:val="7"/>
          </w:tcPr>
          <w:p>
            <w:pPr>
              <w:ind w:left="360"/>
              <w:spacing w:after="0"/>
              <w:rPr>
                <w:sz w:val="20"/>
                <w:szCs w:val="20"/>
                <w:color w:val="auto"/>
              </w:rPr>
            </w:pPr>
            <w:r>
              <w:rPr>
                <w:rFonts w:ascii="Arial" w:cs="Arial" w:eastAsia="Arial" w:hAnsi="Arial"/>
                <w:sz w:val="18"/>
                <w:szCs w:val="18"/>
                <w:color w:val="auto"/>
              </w:rPr>
              <w:t>Right of Revocation of Action Taken</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40" w:type="dxa"/>
            <w:vAlign w:val="bottom"/>
            <w:gridSpan w:val="6"/>
          </w:tcPr>
          <w:p>
            <w:pPr>
              <w:jc w:val="center"/>
              <w:ind w:right="4040"/>
              <w:spacing w:after="0"/>
              <w:rPr>
                <w:sz w:val="20"/>
                <w:szCs w:val="20"/>
                <w:color w:val="auto"/>
              </w:rPr>
            </w:pPr>
            <w:r>
              <w:rPr>
                <w:rFonts w:ascii="Arial" w:cs="Arial" w:eastAsia="Arial" w:hAnsi="Arial"/>
                <w:sz w:val="18"/>
                <w:szCs w:val="18"/>
                <w:color w:val="auto"/>
                <w:w w:val="98"/>
              </w:rPr>
              <w:t>ARTICLE 7</w:t>
            </w:r>
          </w:p>
        </w:tc>
        <w:tc>
          <w:tcPr>
            <w:tcW w:w="12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99"/>
        </w:trPr>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9"/>
              </w:rPr>
              <w:t>Supplemental Indentures</w:t>
            </w:r>
          </w:p>
        </w:tc>
        <w:tc>
          <w:tcPr>
            <w:tcW w:w="348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r>
      <w:tr>
        <w:trPr>
          <w:trHeight w:val="438"/>
        </w:trPr>
        <w:tc>
          <w:tcPr>
            <w:tcW w:w="1660" w:type="dxa"/>
            <w:vAlign w:val="bottom"/>
          </w:tcPr>
          <w:p>
            <w:pPr>
              <w:spacing w:after="0"/>
              <w:rPr>
                <w:sz w:val="20"/>
                <w:szCs w:val="20"/>
                <w:color w:val="auto"/>
              </w:rPr>
            </w:pPr>
            <w:r>
              <w:rPr>
                <w:rFonts w:ascii="Arial" w:cs="Arial" w:eastAsia="Arial" w:hAnsi="Arial"/>
                <w:sz w:val="18"/>
                <w:szCs w:val="18"/>
                <w:color w:val="auto"/>
              </w:rPr>
              <w:t>SECTION 7.01.</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Supplemental Indentures Without Consent of Securityholders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7.02.</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Supplemental Indentures With Consent of Securityholders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7.03.</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Effect of Supplemental Indenture</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7.04.</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Documents to Be Given to Trustee</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7"/>
        </w:trPr>
        <w:tc>
          <w:tcPr>
            <w:tcW w:w="1660" w:type="dxa"/>
            <w:vAlign w:val="bottom"/>
          </w:tcPr>
          <w:p>
            <w:pPr>
              <w:spacing w:after="0"/>
              <w:rPr>
                <w:sz w:val="20"/>
                <w:szCs w:val="20"/>
                <w:color w:val="auto"/>
              </w:rPr>
            </w:pPr>
            <w:r>
              <w:rPr>
                <w:rFonts w:ascii="Arial" w:cs="Arial" w:eastAsia="Arial" w:hAnsi="Arial"/>
                <w:sz w:val="18"/>
                <w:szCs w:val="18"/>
                <w:color w:val="auto"/>
              </w:rPr>
              <w:t>SECTION 7.05.</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Notation on Securities in Respect of Supplemental Indentures</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92"/>
        </w:trPr>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gridSpan w:val="6"/>
          </w:tcPr>
          <w:p>
            <w:pPr>
              <w:jc w:val="center"/>
              <w:ind w:right="4040"/>
              <w:spacing w:after="0"/>
              <w:rPr>
                <w:sz w:val="20"/>
                <w:szCs w:val="20"/>
                <w:color w:val="auto"/>
              </w:rPr>
            </w:pPr>
            <w:r>
              <w:rPr>
                <w:rFonts w:ascii="Arial" w:cs="Arial" w:eastAsia="Arial" w:hAnsi="Arial"/>
                <w:sz w:val="18"/>
                <w:szCs w:val="18"/>
                <w:color w:val="auto"/>
                <w:w w:val="98"/>
              </w:rPr>
              <w:t>ARTICLE 8</w:t>
            </w:r>
          </w:p>
        </w:tc>
        <w:tc>
          <w:tcPr>
            <w:tcW w:w="122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99"/>
        </w:trPr>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20" w:type="dxa"/>
            <w:vAlign w:val="bottom"/>
            <w:gridSpan w:val="10"/>
          </w:tcPr>
          <w:p>
            <w:pPr>
              <w:jc w:val="center"/>
              <w:ind w:right="2760"/>
              <w:spacing w:after="0"/>
              <w:rPr>
                <w:sz w:val="20"/>
                <w:szCs w:val="20"/>
                <w:color w:val="auto"/>
              </w:rPr>
            </w:pPr>
            <w:r>
              <w:rPr>
                <w:rFonts w:ascii="Arial" w:cs="Arial" w:eastAsia="Arial" w:hAnsi="Arial"/>
                <w:sz w:val="18"/>
                <w:szCs w:val="18"/>
                <w:color w:val="auto"/>
                <w:w w:val="99"/>
              </w:rPr>
              <w:t>Consolidation, Merger, Sale or Conveyance</w:t>
            </w:r>
          </w:p>
        </w:tc>
        <w:tc>
          <w:tcPr>
            <w:tcW w:w="122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8"/>
        </w:trPr>
        <w:tc>
          <w:tcPr>
            <w:tcW w:w="1660" w:type="dxa"/>
            <w:vAlign w:val="bottom"/>
          </w:tcPr>
          <w:p>
            <w:pPr>
              <w:spacing w:after="0"/>
              <w:rPr>
                <w:sz w:val="20"/>
                <w:szCs w:val="20"/>
                <w:color w:val="auto"/>
              </w:rPr>
            </w:pPr>
            <w:r>
              <w:rPr>
                <w:rFonts w:ascii="Arial" w:cs="Arial" w:eastAsia="Arial" w:hAnsi="Arial"/>
                <w:sz w:val="18"/>
                <w:szCs w:val="18"/>
                <w:color w:val="auto"/>
              </w:rPr>
              <w:t>SECTION 8.01.</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Issuer May Consolidate, etc., on Certain Terms</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8.02.</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Successor Substituted</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7"/>
        </w:trPr>
        <w:tc>
          <w:tcPr>
            <w:tcW w:w="1660" w:type="dxa"/>
            <w:vAlign w:val="bottom"/>
          </w:tcPr>
          <w:p>
            <w:pPr>
              <w:spacing w:after="0"/>
              <w:rPr>
                <w:sz w:val="20"/>
                <w:szCs w:val="20"/>
                <w:color w:val="auto"/>
              </w:rPr>
            </w:pPr>
            <w:r>
              <w:rPr>
                <w:rFonts w:ascii="Arial" w:cs="Arial" w:eastAsia="Arial" w:hAnsi="Arial"/>
                <w:sz w:val="18"/>
                <w:szCs w:val="18"/>
                <w:color w:val="auto"/>
              </w:rPr>
              <w:t>SECTION 8.03.</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Opinion of Counsel to Trustee</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92"/>
        </w:trPr>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gridSpan w:val="6"/>
          </w:tcPr>
          <w:p>
            <w:pPr>
              <w:jc w:val="center"/>
              <w:ind w:right="4040"/>
              <w:spacing w:after="0"/>
              <w:rPr>
                <w:sz w:val="20"/>
                <w:szCs w:val="20"/>
                <w:color w:val="auto"/>
              </w:rPr>
            </w:pPr>
            <w:r>
              <w:rPr>
                <w:rFonts w:ascii="Arial" w:cs="Arial" w:eastAsia="Arial" w:hAnsi="Arial"/>
                <w:sz w:val="18"/>
                <w:szCs w:val="18"/>
                <w:color w:val="auto"/>
                <w:w w:val="98"/>
              </w:rPr>
              <w:t>ARTICLE 9</w:t>
            </w:r>
          </w:p>
        </w:tc>
        <w:tc>
          <w:tcPr>
            <w:tcW w:w="122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99"/>
        </w:trPr>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80" w:type="dxa"/>
            <w:vAlign w:val="bottom"/>
            <w:gridSpan w:val="11"/>
          </w:tcPr>
          <w:p>
            <w:pPr>
              <w:jc w:val="center"/>
              <w:ind w:right="2100"/>
              <w:spacing w:after="0"/>
              <w:rPr>
                <w:sz w:val="20"/>
                <w:szCs w:val="20"/>
                <w:color w:val="auto"/>
              </w:rPr>
            </w:pPr>
            <w:r>
              <w:rPr>
                <w:rFonts w:ascii="Arial" w:cs="Arial" w:eastAsia="Arial" w:hAnsi="Arial"/>
                <w:sz w:val="18"/>
                <w:szCs w:val="18"/>
                <w:color w:val="auto"/>
                <w:w w:val="99"/>
              </w:rPr>
              <w:t>Satisfaction and Discharge of Indenture; Unclaimed Moneys</w:t>
            </w:r>
          </w:p>
        </w:tc>
        <w:tc>
          <w:tcPr>
            <w:tcW w:w="122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8"/>
        </w:trPr>
        <w:tc>
          <w:tcPr>
            <w:tcW w:w="1660" w:type="dxa"/>
            <w:vAlign w:val="bottom"/>
          </w:tcPr>
          <w:p>
            <w:pPr>
              <w:spacing w:after="0"/>
              <w:rPr>
                <w:sz w:val="20"/>
                <w:szCs w:val="20"/>
                <w:color w:val="auto"/>
              </w:rPr>
            </w:pPr>
            <w:r>
              <w:rPr>
                <w:rFonts w:ascii="Arial" w:cs="Arial" w:eastAsia="Arial" w:hAnsi="Arial"/>
                <w:sz w:val="18"/>
                <w:szCs w:val="18"/>
                <w:color w:val="auto"/>
              </w:rPr>
              <w:t>SECTION 9.01.</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Satisfaction and Discharge of Indenture</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9.02.</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9.03.</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Repayment of Moneys Held by Paying Agent</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7"/>
        </w:trPr>
        <w:tc>
          <w:tcPr>
            <w:tcW w:w="1660" w:type="dxa"/>
            <w:vAlign w:val="bottom"/>
          </w:tcPr>
          <w:p>
            <w:pPr>
              <w:spacing w:after="0"/>
              <w:rPr>
                <w:sz w:val="20"/>
                <w:szCs w:val="20"/>
                <w:color w:val="auto"/>
              </w:rPr>
            </w:pPr>
            <w:r>
              <w:rPr>
                <w:rFonts w:ascii="Arial" w:cs="Arial" w:eastAsia="Arial" w:hAnsi="Arial"/>
                <w:sz w:val="18"/>
                <w:szCs w:val="18"/>
                <w:color w:val="auto"/>
              </w:rPr>
              <w:t>SECTION 9.04.</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92"/>
        </w:trPr>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ARTICLE 10</w:t>
            </w:r>
          </w:p>
        </w:tc>
        <w:tc>
          <w:tcPr>
            <w:tcW w:w="398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9"/>
          </w:tcPr>
          <w:p>
            <w:pPr>
              <w:jc w:val="center"/>
              <w:ind w:right="3480"/>
              <w:spacing w:after="0"/>
              <w:rPr>
                <w:sz w:val="20"/>
                <w:szCs w:val="20"/>
                <w:color w:val="auto"/>
              </w:rPr>
            </w:pPr>
            <w:r>
              <w:rPr>
                <w:rFonts w:ascii="Arial" w:cs="Arial" w:eastAsia="Arial" w:hAnsi="Arial"/>
                <w:sz w:val="18"/>
                <w:szCs w:val="18"/>
                <w:color w:val="auto"/>
                <w:w w:val="99"/>
              </w:rPr>
              <w:t>Miscellaneous Provisions</w:t>
            </w:r>
          </w:p>
        </w:tc>
        <w:tc>
          <w:tcPr>
            <w:tcW w:w="122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20" w:type="dxa"/>
            <w:vAlign w:val="bottom"/>
            <w:gridSpan w:val="6"/>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8"/>
        </w:trPr>
        <w:tc>
          <w:tcPr>
            <w:tcW w:w="1660" w:type="dxa"/>
            <w:vAlign w:val="bottom"/>
          </w:tcPr>
          <w:p>
            <w:pPr>
              <w:spacing w:after="0"/>
              <w:rPr>
                <w:sz w:val="20"/>
                <w:szCs w:val="20"/>
                <w:color w:val="auto"/>
              </w:rPr>
            </w:pPr>
            <w:r>
              <w:rPr>
                <w:rFonts w:ascii="Arial" w:cs="Arial" w:eastAsia="Arial" w:hAnsi="Arial"/>
                <w:sz w:val="18"/>
                <w:szCs w:val="18"/>
                <w:color w:val="auto"/>
              </w:rPr>
              <w:t>SECTION 10.01.</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General Partner, Members, Officers and Directors of Issuer Exempt from Individual Liability</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10.02.</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Provisions of Indenture for the Sole Benefit of Parties and Securityholders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10.03.</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Successors and Assigns of Issuer Bound by Indenture</w:t>
            </w: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10.04.</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Notices and Demands on Issuer, Trustee and Securityholders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10.05.</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Communication by Securityholders with Other Securityholders.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7"/>
        </w:trPr>
        <w:tc>
          <w:tcPr>
            <w:tcW w:w="1660" w:type="dxa"/>
            <w:vAlign w:val="bottom"/>
          </w:tcPr>
          <w:p>
            <w:pPr>
              <w:spacing w:after="0"/>
              <w:rPr>
                <w:sz w:val="20"/>
                <w:szCs w:val="20"/>
                <w:color w:val="auto"/>
              </w:rPr>
            </w:pPr>
            <w:r>
              <w:rPr>
                <w:rFonts w:ascii="Arial" w:cs="Arial" w:eastAsia="Arial" w:hAnsi="Arial"/>
                <w:sz w:val="18"/>
                <w:szCs w:val="18"/>
                <w:color w:val="auto"/>
              </w:rPr>
              <w:t>SECTION 10.06.</w:t>
            </w:r>
          </w:p>
        </w:tc>
        <w:tc>
          <w:tcPr>
            <w:tcW w:w="8540" w:type="dxa"/>
            <w:vAlign w:val="bottom"/>
            <w:gridSpan w:val="12"/>
          </w:tcPr>
          <w:p>
            <w:pPr>
              <w:ind w:left="300"/>
              <w:spacing w:after="0"/>
              <w:rPr>
                <w:sz w:val="20"/>
                <w:szCs w:val="20"/>
                <w:color w:val="auto"/>
              </w:rPr>
            </w:pPr>
            <w:r>
              <w:rPr>
                <w:rFonts w:ascii="Arial" w:cs="Arial" w:eastAsia="Arial" w:hAnsi="Arial"/>
                <w:sz w:val="18"/>
                <w:szCs w:val="18"/>
                <w:color w:val="auto"/>
              </w:rPr>
              <w:t>Officers’ Certificates and Opinions of Counsel; Statements to be Contained Therein</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10.07.</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Payments Due on Saturdays, Sundays and Holidays</w:t>
            </w:r>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10.08.</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Conflict of any Provision of Indenture with Trust Indenture Act of 1939</w:t>
            </w:r>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10.09.</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New York Law to Govern</w:t>
            </w:r>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10.10.</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Counterparts</w:t>
            </w:r>
          </w:p>
        </w:tc>
        <w:tc>
          <w:tcPr>
            <w:tcW w:w="1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10.11.</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Effect of Headings</w:t>
            </w:r>
          </w:p>
        </w:tc>
        <w:tc>
          <w:tcPr>
            <w:tcW w:w="1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10.12.</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Securities in a Non-U.S. Currency</w:t>
            </w:r>
          </w:p>
        </w:tc>
        <w:tc>
          <w:tcPr>
            <w:tcW w:w="1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10.13.</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Submission to Jurisdiction</w:t>
            </w:r>
          </w:p>
        </w:tc>
        <w:tc>
          <w:tcPr>
            <w:tcW w:w="1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10.14.</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Judgment Currency</w:t>
            </w:r>
          </w:p>
        </w:tc>
        <w:tc>
          <w:tcPr>
            <w:tcW w:w="1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10.15.</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Waiver of Jury Trial</w:t>
            </w:r>
          </w:p>
        </w:tc>
        <w:tc>
          <w:tcPr>
            <w:tcW w:w="1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7"/>
        </w:trPr>
        <w:tc>
          <w:tcPr>
            <w:tcW w:w="1660" w:type="dxa"/>
            <w:vAlign w:val="bottom"/>
          </w:tcPr>
          <w:p>
            <w:pPr>
              <w:spacing w:after="0"/>
              <w:rPr>
                <w:sz w:val="20"/>
                <w:szCs w:val="20"/>
                <w:color w:val="auto"/>
              </w:rPr>
            </w:pPr>
            <w:r>
              <w:rPr>
                <w:rFonts w:ascii="Arial" w:cs="Arial" w:eastAsia="Arial" w:hAnsi="Arial"/>
                <w:sz w:val="18"/>
                <w:szCs w:val="18"/>
                <w:color w:val="auto"/>
              </w:rPr>
              <w:t>SECTION 10.16.</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Force Majeure</w:t>
            </w:r>
          </w:p>
        </w:tc>
        <w:tc>
          <w:tcPr>
            <w:tcW w:w="1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92"/>
        </w:trPr>
        <w:tc>
          <w:tcPr>
            <w:tcW w:w="1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ARTICLE 11</w:t>
            </w:r>
          </w:p>
        </w:tc>
        <w:tc>
          <w:tcPr>
            <w:tcW w:w="334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r>
      <w:tr>
        <w:trPr>
          <w:trHeight w:val="399"/>
        </w:trPr>
        <w:tc>
          <w:tcPr>
            <w:tcW w:w="1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Redemption of Securities</w:t>
            </w:r>
          </w:p>
        </w:tc>
        <w:tc>
          <w:tcPr>
            <w:tcW w:w="28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38"/>
        </w:trPr>
        <w:tc>
          <w:tcPr>
            <w:tcW w:w="1660" w:type="dxa"/>
            <w:vAlign w:val="bottom"/>
          </w:tcPr>
          <w:p>
            <w:pPr>
              <w:spacing w:after="0"/>
              <w:rPr>
                <w:sz w:val="20"/>
                <w:szCs w:val="20"/>
                <w:color w:val="auto"/>
              </w:rPr>
            </w:pPr>
            <w:r>
              <w:rPr>
                <w:rFonts w:ascii="Arial" w:cs="Arial" w:eastAsia="Arial" w:hAnsi="Arial"/>
                <w:sz w:val="18"/>
                <w:szCs w:val="18"/>
                <w:color w:val="auto"/>
              </w:rPr>
              <w:t>SECTION 11.01.</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Applicability Of Article</w:t>
            </w:r>
          </w:p>
        </w:tc>
        <w:tc>
          <w:tcPr>
            <w:tcW w:w="1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11.02.</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Notice Of Redemption; Partial Redemptions</w:t>
            </w:r>
          </w:p>
        </w:tc>
        <w:tc>
          <w:tcPr>
            <w:tcW w:w="1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SECTION 11.03.</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Payment of Securities Called for Redemption</w:t>
            </w:r>
          </w:p>
        </w:tc>
        <w:tc>
          <w:tcPr>
            <w:tcW w:w="1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7"/>
        </w:trPr>
        <w:tc>
          <w:tcPr>
            <w:tcW w:w="1660" w:type="dxa"/>
            <w:vAlign w:val="bottom"/>
          </w:tcPr>
          <w:p>
            <w:pPr>
              <w:spacing w:after="0"/>
              <w:rPr>
                <w:sz w:val="20"/>
                <w:szCs w:val="20"/>
                <w:color w:val="auto"/>
              </w:rPr>
            </w:pPr>
            <w:r>
              <w:rPr>
                <w:rFonts w:ascii="Arial" w:cs="Arial" w:eastAsia="Arial" w:hAnsi="Arial"/>
                <w:sz w:val="18"/>
                <w:szCs w:val="18"/>
                <w:color w:val="auto"/>
              </w:rPr>
              <w:t>SECTION 11.04.</w:t>
            </w:r>
          </w:p>
        </w:tc>
        <w:tc>
          <w:tcPr>
            <w:tcW w:w="7900" w:type="dxa"/>
            <w:vAlign w:val="bottom"/>
            <w:gridSpan w:val="5"/>
          </w:tcPr>
          <w:p>
            <w:pPr>
              <w:ind w:left="30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186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1" w:name="page122"/>
    <w:bookmarkEnd w:id="121"/>
    <w:tbl>
      <w:tblPr>
        <w:tblLayout w:type="fixed"/>
        <w:tblInd w:w="18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380" w:type="dxa"/>
            <w:vAlign w:val="bottom"/>
            <w:gridSpan w:val="2"/>
          </w:tcPr>
          <w:p>
            <w:pPr>
              <w:ind w:left="960"/>
              <w:spacing w:after="0"/>
              <w:rPr>
                <w:sz w:val="20"/>
                <w:szCs w:val="20"/>
                <w:color w:val="auto"/>
              </w:rPr>
            </w:pPr>
            <w:r>
              <w:rPr>
                <w:rFonts w:ascii="Arial" w:cs="Arial" w:eastAsia="Arial" w:hAnsi="Arial"/>
                <w:sz w:val="18"/>
                <w:szCs w:val="18"/>
                <w:b w:val="1"/>
                <w:bCs w:val="1"/>
                <w:color w:val="auto"/>
              </w:rPr>
              <w:t>CROSS-REFERENCE TABLE*</w:t>
            </w:r>
          </w:p>
        </w:tc>
      </w:tr>
      <w:tr>
        <w:trPr>
          <w:trHeight w:val="365"/>
        </w:trPr>
        <w:tc>
          <w:tcPr>
            <w:tcW w:w="18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Trust Indenture Act Section</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rPr>
              <w:t>Indenture Section</w:t>
            </w:r>
          </w:p>
        </w:tc>
      </w:tr>
      <w:tr>
        <w:trPr>
          <w:trHeight w:val="20"/>
        </w:trPr>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22"/>
        </w:trPr>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w w:val="93"/>
              </w:rPr>
              <w:t>310</w:t>
            </w: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(a)(1)</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5.08</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(a)(2)</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5.08</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(a)(3)</w:t>
            </w:r>
          </w:p>
        </w:tc>
        <w:tc>
          <w:tcPr>
            <w:tcW w:w="59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(a)(4)</w:t>
            </w:r>
          </w:p>
        </w:tc>
        <w:tc>
          <w:tcPr>
            <w:tcW w:w="59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(a)(5)</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5.08</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59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5.09(b)</w:t>
            </w:r>
          </w:p>
        </w:tc>
      </w:tr>
      <w:tr>
        <w:trPr>
          <w:trHeight w:val="203"/>
        </w:trPr>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w:t>
            </w:r>
          </w:p>
        </w:tc>
        <w:tc>
          <w:tcPr>
            <w:tcW w:w="59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Not Applicable</w:t>
            </w:r>
          </w:p>
        </w:tc>
      </w:tr>
      <w:tr>
        <w:trPr>
          <w:trHeight w:val="216"/>
        </w:trPr>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w w:val="93"/>
              </w:rPr>
              <w:t>311</w:t>
            </w: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5.04</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5.04</w:t>
            </w:r>
          </w:p>
        </w:tc>
      </w:tr>
      <w:tr>
        <w:trPr>
          <w:trHeight w:val="203"/>
        </w:trPr>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w:t>
            </w:r>
          </w:p>
        </w:tc>
        <w:tc>
          <w:tcPr>
            <w:tcW w:w="59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Not Applicable</w:t>
            </w:r>
          </w:p>
        </w:tc>
      </w:tr>
      <w:tr>
        <w:trPr>
          <w:trHeight w:val="216"/>
        </w:trPr>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w w:val="93"/>
              </w:rPr>
              <w:t>312</w:t>
            </w: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3.06</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rPr>
              <w:t>10.05</w:t>
            </w:r>
          </w:p>
        </w:tc>
      </w:tr>
      <w:tr>
        <w:trPr>
          <w:trHeight w:val="203"/>
        </w:trPr>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w:t>
            </w:r>
          </w:p>
        </w:tc>
        <w:tc>
          <w:tcPr>
            <w:tcW w:w="7380" w:type="dxa"/>
            <w:vAlign w:val="bottom"/>
            <w:gridSpan w:val="2"/>
          </w:tcPr>
          <w:p>
            <w:pPr>
              <w:jc w:val="center"/>
              <w:ind w:left="5870"/>
              <w:spacing w:after="0" w:line="202" w:lineRule="exact"/>
              <w:rPr>
                <w:sz w:val="20"/>
                <w:szCs w:val="20"/>
                <w:color w:val="auto"/>
              </w:rPr>
            </w:pPr>
            <w:r>
              <w:rPr>
                <w:rFonts w:ascii="Arial" w:cs="Arial" w:eastAsia="Arial" w:hAnsi="Arial"/>
                <w:sz w:val="18"/>
                <w:szCs w:val="18"/>
                <w:color w:val="auto"/>
              </w:rPr>
              <w:t>10.05</w:t>
            </w:r>
          </w:p>
        </w:tc>
      </w:tr>
      <w:tr>
        <w:trPr>
          <w:trHeight w:val="216"/>
        </w:trPr>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w w:val="93"/>
              </w:rPr>
              <w:t>313</w:t>
            </w: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3.08</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(b)(1)</w:t>
            </w:r>
          </w:p>
        </w:tc>
        <w:tc>
          <w:tcPr>
            <w:tcW w:w="59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(b)(2)</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3.08</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9"/>
              </w:rPr>
              <w:t>3.08; 10.02</w:t>
            </w:r>
          </w:p>
        </w:tc>
      </w:tr>
      <w:tr>
        <w:trPr>
          <w:trHeight w:val="203"/>
        </w:trPr>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w:t>
            </w:r>
          </w:p>
        </w:tc>
        <w:tc>
          <w:tcPr>
            <w:tcW w:w="7380" w:type="dxa"/>
            <w:vAlign w:val="bottom"/>
            <w:gridSpan w:val="2"/>
          </w:tcPr>
          <w:p>
            <w:pPr>
              <w:jc w:val="center"/>
              <w:ind w:left="5870"/>
              <w:spacing w:after="0" w:line="202" w:lineRule="exact"/>
              <w:rPr>
                <w:sz w:val="20"/>
                <w:szCs w:val="20"/>
                <w:color w:val="auto"/>
              </w:rPr>
            </w:pPr>
            <w:r>
              <w:rPr>
                <w:rFonts w:ascii="Arial" w:cs="Arial" w:eastAsia="Arial" w:hAnsi="Arial"/>
                <w:sz w:val="18"/>
                <w:szCs w:val="18"/>
                <w:color w:val="auto"/>
                <w:w w:val="96"/>
              </w:rPr>
              <w:t>3.08</w:t>
            </w:r>
          </w:p>
        </w:tc>
      </w:tr>
      <w:tr>
        <w:trPr>
          <w:trHeight w:val="216"/>
        </w:trPr>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w w:val="93"/>
              </w:rPr>
              <w:t>314</w:t>
            </w: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w:t>
            </w:r>
          </w:p>
        </w:tc>
        <w:tc>
          <w:tcPr>
            <w:tcW w:w="7380" w:type="dxa"/>
            <w:vAlign w:val="bottom"/>
            <w:gridSpan w:val="2"/>
          </w:tcPr>
          <w:p>
            <w:pPr>
              <w:jc w:val="center"/>
              <w:ind w:left="5890"/>
              <w:spacing w:after="0"/>
              <w:rPr>
                <w:sz w:val="20"/>
                <w:szCs w:val="20"/>
                <w:color w:val="auto"/>
              </w:rPr>
            </w:pPr>
            <w:r>
              <w:rPr>
                <w:rFonts w:ascii="Arial" w:cs="Arial" w:eastAsia="Arial" w:hAnsi="Arial"/>
                <w:sz w:val="18"/>
                <w:szCs w:val="18"/>
                <w:color w:val="auto"/>
                <w:w w:val="99"/>
              </w:rPr>
              <w:t>3.05; 3.07</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59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(c)(1)</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rPr>
              <w:t>10.06</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(c)(2)</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rPr>
              <w:t>10.06</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(c)(3)</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rPr>
              <w:t>10.06</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(d)</w:t>
            </w:r>
          </w:p>
        </w:tc>
        <w:tc>
          <w:tcPr>
            <w:tcW w:w="59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(e)</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rPr>
              <w:t>10.06</w:t>
            </w:r>
          </w:p>
        </w:tc>
      </w:tr>
      <w:tr>
        <w:trPr>
          <w:trHeight w:val="203"/>
        </w:trPr>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w:t>
            </w:r>
          </w:p>
        </w:tc>
        <w:tc>
          <w:tcPr>
            <w:tcW w:w="59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9"/>
              </w:rPr>
              <w:t>Not Applicable</w:t>
            </w:r>
          </w:p>
        </w:tc>
      </w:tr>
      <w:tr>
        <w:trPr>
          <w:trHeight w:val="216"/>
        </w:trPr>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w w:val="93"/>
              </w:rPr>
              <w:t>315</w:t>
            </w: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5.01</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4.11</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5.01</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(d)</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5.01</w:t>
            </w:r>
          </w:p>
        </w:tc>
      </w:tr>
      <w:tr>
        <w:trPr>
          <w:trHeight w:val="203"/>
        </w:trPr>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(e)</w:t>
            </w:r>
          </w:p>
        </w:tc>
        <w:tc>
          <w:tcPr>
            <w:tcW w:w="7380" w:type="dxa"/>
            <w:vAlign w:val="bottom"/>
            <w:gridSpan w:val="2"/>
          </w:tcPr>
          <w:p>
            <w:pPr>
              <w:jc w:val="center"/>
              <w:ind w:left="5870"/>
              <w:spacing w:after="0" w:line="202" w:lineRule="exact"/>
              <w:rPr>
                <w:sz w:val="20"/>
                <w:szCs w:val="20"/>
                <w:color w:val="auto"/>
              </w:rPr>
            </w:pPr>
            <w:r>
              <w:rPr>
                <w:rFonts w:ascii="Arial" w:cs="Arial" w:eastAsia="Arial" w:hAnsi="Arial"/>
                <w:sz w:val="18"/>
                <w:szCs w:val="18"/>
                <w:color w:val="auto"/>
                <w:w w:val="96"/>
              </w:rPr>
              <w:t>4.12</w:t>
            </w:r>
          </w:p>
        </w:tc>
      </w:tr>
      <w:tr>
        <w:trPr>
          <w:trHeight w:val="216"/>
        </w:trPr>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w w:val="93"/>
              </w:rPr>
              <w:t>316</w:t>
            </w: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 (last sentence)</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6.04</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(a)(1)(A)</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4.09</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(a)(1)(B)</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4.10</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(a)(2)</w:t>
            </w:r>
          </w:p>
        </w:tc>
        <w:tc>
          <w:tcPr>
            <w:tcW w:w="59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4.07</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(c)</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6.02</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317 (a)(1)</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4.02</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(a)(2)</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4.02</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w w:val="96"/>
              </w:rPr>
              <w:t>3.04</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318 (a)</w:t>
            </w:r>
          </w:p>
        </w:tc>
        <w:tc>
          <w:tcPr>
            <w:tcW w:w="7380" w:type="dxa"/>
            <w:vAlign w:val="bottom"/>
            <w:gridSpan w:val="2"/>
          </w:tcPr>
          <w:p>
            <w:pPr>
              <w:jc w:val="center"/>
              <w:ind w:left="5870"/>
              <w:spacing w:after="0"/>
              <w:rPr>
                <w:sz w:val="20"/>
                <w:szCs w:val="20"/>
                <w:color w:val="auto"/>
              </w:rPr>
            </w:pPr>
            <w:r>
              <w:rPr>
                <w:rFonts w:ascii="Arial" w:cs="Arial" w:eastAsia="Arial" w:hAnsi="Arial"/>
                <w:sz w:val="18"/>
                <w:szCs w:val="18"/>
                <w:color w:val="auto"/>
              </w:rPr>
              <w:t>10.08</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2"/>
          </w:tcPr>
          <w:p>
            <w:pPr>
              <w:ind w:left="260"/>
              <w:spacing w:after="0"/>
              <w:rPr>
                <w:sz w:val="20"/>
                <w:szCs w:val="20"/>
                <w:color w:val="auto"/>
              </w:rPr>
            </w:pPr>
            <w:r>
              <w:rPr>
                <w:rFonts w:ascii="Arial" w:cs="Arial" w:eastAsia="Arial" w:hAnsi="Arial"/>
                <w:sz w:val="18"/>
                <w:szCs w:val="18"/>
                <w:color w:val="auto"/>
              </w:rPr>
              <w:t>(b)</w:t>
            </w:r>
          </w:p>
        </w:tc>
        <w:tc>
          <w:tcPr>
            <w:tcW w:w="59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03"/>
        </w:trPr>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w:t>
            </w:r>
          </w:p>
        </w:tc>
        <w:tc>
          <w:tcPr>
            <w:tcW w:w="7380" w:type="dxa"/>
            <w:vAlign w:val="bottom"/>
            <w:gridSpan w:val="2"/>
          </w:tcPr>
          <w:p>
            <w:pPr>
              <w:jc w:val="center"/>
              <w:ind w:left="5870"/>
              <w:spacing w:after="0" w:line="202" w:lineRule="exact"/>
              <w:rPr>
                <w:sz w:val="20"/>
                <w:szCs w:val="20"/>
                <w:color w:val="auto"/>
              </w:rPr>
            </w:pPr>
            <w:r>
              <w:rPr>
                <w:rFonts w:ascii="Arial" w:cs="Arial" w:eastAsia="Arial" w:hAnsi="Arial"/>
                <w:sz w:val="18"/>
                <w:szCs w:val="18"/>
                <w:color w:val="auto"/>
              </w:rPr>
              <w:t>10.08</w:t>
            </w:r>
          </w:p>
        </w:tc>
      </w:tr>
    </w:tbl>
    <w:p>
      <w:pPr>
        <w:spacing w:after="0" w:line="246" w:lineRule="auto"/>
        <w:rPr>
          <w:sz w:val="20"/>
          <w:szCs w:val="20"/>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0" w:right="279" w:bottom="1440" w:gutter="0" w:footer="0" w:header="0"/>
        </w:sectPr>
      </w:pPr>
    </w:p>
    <w:bookmarkStart w:id="122" w:name="page123"/>
    <w:bookmarkEnd w:id="122"/>
    <w:p>
      <w:pPr>
        <w:ind w:left="2600"/>
        <w:spacing w:after="0"/>
        <w:rPr>
          <w:sz w:val="20"/>
          <w:szCs w:val="20"/>
          <w:color w:val="auto"/>
        </w:rPr>
      </w:pPr>
      <w:r>
        <w:rPr>
          <w:rFonts w:ascii="Arial" w:cs="Arial" w:eastAsia="Arial" w:hAnsi="Arial"/>
          <w:sz w:val="18"/>
          <w:szCs w:val="18"/>
          <w:color w:val="auto"/>
        </w:rPr>
        <w:t>THIS INDENTURE, dated as of _____________, _____ between GasLog Partners LP, a limited partnership</w:t>
      </w:r>
    </w:p>
    <w:p>
      <w:pPr>
        <w:ind w:left="1960"/>
        <w:spacing w:after="0"/>
        <w:rPr>
          <w:sz w:val="20"/>
          <w:szCs w:val="20"/>
          <w:color w:val="auto"/>
        </w:rPr>
      </w:pPr>
      <w:r>
        <w:rPr>
          <w:rFonts w:ascii="Arial" w:cs="Arial" w:eastAsia="Arial" w:hAnsi="Arial"/>
          <w:sz w:val="18"/>
          <w:szCs w:val="18"/>
          <w:color w:val="auto"/>
        </w:rPr>
        <w:t>organized under the laws of the Republic of the Marshall Islands (the “</w:t>
      </w:r>
      <w:r>
        <w:rPr>
          <w:rFonts w:ascii="Arial" w:cs="Arial" w:eastAsia="Arial" w:hAnsi="Arial"/>
          <w:sz w:val="18"/>
          <w:szCs w:val="18"/>
          <w:u w:val="single" w:color="auto"/>
          <w:color w:val="auto"/>
        </w:rPr>
        <w:t>Issuer</w:t>
      </w:r>
      <w:r>
        <w:rPr>
          <w:rFonts w:ascii="Arial" w:cs="Arial" w:eastAsia="Arial" w:hAnsi="Arial"/>
          <w:sz w:val="18"/>
          <w:szCs w:val="18"/>
          <w:color w:val="auto"/>
        </w:rPr>
        <w:t>”), and [ ],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98" w:lineRule="exact"/>
        <w:rPr>
          <w:sz w:val="20"/>
          <w:szCs w:val="20"/>
          <w:color w:val="auto"/>
        </w:rPr>
      </w:pPr>
    </w:p>
    <w:p>
      <w:pPr>
        <w:ind w:right="120" w:firstLine="1297"/>
        <w:spacing w:after="0"/>
        <w:rPr>
          <w:sz w:val="20"/>
          <w:szCs w:val="20"/>
          <w:color w:val="auto"/>
        </w:rPr>
      </w:pPr>
      <w:r>
        <w:rPr>
          <w:rFonts w:ascii="Arial" w:cs="Arial" w:eastAsia="Arial" w:hAnsi="Arial"/>
          <w:sz w:val="18"/>
          <w:szCs w:val="18"/>
          <w:color w:val="auto"/>
        </w:rPr>
        <w:t>In consideration of the premises and the purchases of the debentures, notes or other evidences of indebtedness of the Issuer to be issued in one or more series (the “</w:t>
      </w:r>
      <w:r>
        <w:rPr>
          <w:rFonts w:ascii="Arial" w:cs="Arial" w:eastAsia="Arial" w:hAnsi="Arial"/>
          <w:sz w:val="18"/>
          <w:szCs w:val="18"/>
          <w:u w:val="single" w:color="auto"/>
          <w:color w:val="auto"/>
        </w:rPr>
        <w:t>Securities</w:t>
      </w:r>
      <w:r>
        <w:rPr>
          <w:rFonts w:ascii="Arial" w:cs="Arial" w:eastAsia="Arial" w:hAnsi="Arial"/>
          <w:sz w:val="18"/>
          <w:szCs w:val="18"/>
          <w:color w:val="auto"/>
        </w:rPr>
        <w:t>”) by the holders thereof, the Issuer and the Trustee mutually covenant and agree for the equal and proportionate benefit of the respective holders from time to time of the Securities as follows:</w:t>
      </w:r>
    </w:p>
    <w:p>
      <w:pPr>
        <w:spacing w:after="0" w:line="18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1</w:t>
      </w:r>
    </w:p>
    <w:p>
      <w:pPr>
        <w:spacing w:after="0" w:line="198"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Definitions</w:t>
      </w:r>
    </w:p>
    <w:p>
      <w:pPr>
        <w:spacing w:after="0" w:line="198" w:lineRule="exact"/>
        <w:rPr>
          <w:sz w:val="20"/>
          <w:szCs w:val="20"/>
          <w:color w:val="auto"/>
        </w:rPr>
      </w:pPr>
    </w:p>
    <w:p>
      <w:pPr>
        <w:ind w:firstLine="1297"/>
        <w:spacing w:after="0" w:line="23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Terms Defined.</w:t>
      </w:r>
      <w:r>
        <w:rPr>
          <w:rFonts w:ascii="Arial" w:cs="Arial" w:eastAsia="Arial" w:hAnsi="Arial"/>
          <w:sz w:val="18"/>
          <w:szCs w:val="18"/>
          <w:color w:val="auto"/>
        </w:rPr>
        <w:t xml:space="preserve"> The following terms (except as otherwise expressly provided herein or in any indenture supplemental hereto,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“generally accepted accounting principles” means such accounting principles as are generally accepted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 The words “including,” “includes” and similar words shall be deemed to be followed by “without limitation”.</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Agent</w:t>
      </w:r>
      <w:r>
        <w:rPr>
          <w:rFonts w:ascii="Arial" w:cs="Arial" w:eastAsia="Arial" w:hAnsi="Arial"/>
          <w:sz w:val="18"/>
          <w:szCs w:val="18"/>
          <w:color w:val="auto"/>
        </w:rPr>
        <w:t>” shall have the meaning set forth in Section 10.13.</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other than a Registered Security.</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either the board of directors of the Issuer or any committee of such board of directors duly authorized to act</w:t>
      </w:r>
    </w:p>
    <w:p>
      <w:pPr>
        <w:spacing w:after="0"/>
        <w:rPr>
          <w:sz w:val="20"/>
          <w:szCs w:val="20"/>
          <w:color w:val="auto"/>
        </w:rPr>
      </w:pPr>
      <w:r>
        <w:rPr>
          <w:rFonts w:ascii="Arial" w:cs="Arial" w:eastAsia="Arial" w:hAnsi="Arial"/>
          <w:sz w:val="18"/>
          <w:szCs w:val="18"/>
          <w:color w:val="auto"/>
        </w:rPr>
        <w:t>hereunder.</w:t>
      </w:r>
    </w:p>
    <w:p>
      <w:pPr>
        <w:spacing w:after="0" w:line="198" w:lineRule="exact"/>
        <w:rPr>
          <w:sz w:val="20"/>
          <w:szCs w:val="20"/>
          <w:color w:val="auto"/>
        </w:rPr>
      </w:pPr>
    </w:p>
    <w:p>
      <w:pPr>
        <w:ind w:right="60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one or more resolutions, certified by the secretary of the Board to have been duly adopted or consented to by the Board and to be in full force and effect, and delivered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18" w:right="259" w:bottom="1440" w:gutter="0" w:footer="0" w:header="0"/>
        </w:sectPr>
      </w:pPr>
    </w:p>
    <w:bookmarkStart w:id="123" w:name="page124"/>
    <w:bookmarkEnd w:id="123"/>
    <w:p>
      <w:pPr>
        <w:ind w:right="60" w:firstLine="129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with respect to any Security, a day that in the city (or in any of the cities, if more than one) in which amounts are payable, as specified in the form of such Security, is not a day on which banking institutions are authorized by law or regulation to close.</w:t>
      </w:r>
    </w:p>
    <w:p>
      <w:pPr>
        <w:spacing w:after="0" w:line="189" w:lineRule="exact"/>
        <w:rPr>
          <w:sz w:val="20"/>
          <w:szCs w:val="20"/>
          <w:color w:val="auto"/>
        </w:rPr>
      </w:pPr>
    </w:p>
    <w:p>
      <w:pPr>
        <w:ind w:right="60" w:firstLine="129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189" w:lineRule="exact"/>
        <w:rPr>
          <w:sz w:val="20"/>
          <w:szCs w:val="20"/>
          <w:color w:val="auto"/>
        </w:rPr>
      </w:pPr>
    </w:p>
    <w:p>
      <w:pPr>
        <w:ind w:right="46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located in The City of New York at which at any particular time its corporate trust business shall be administered.</w:t>
      </w:r>
    </w:p>
    <w:p>
      <w:pPr>
        <w:spacing w:after="0" w:line="183" w:lineRule="exact"/>
        <w:rPr>
          <w:sz w:val="20"/>
          <w:szCs w:val="20"/>
          <w:color w:val="auto"/>
        </w:rPr>
      </w:pPr>
    </w:p>
    <w:p>
      <w:pPr>
        <w:ind w:right="40" w:firstLine="1297"/>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189" w:lineRule="exact"/>
        <w:rPr>
          <w:sz w:val="20"/>
          <w:szCs w:val="20"/>
          <w:color w:val="auto"/>
        </w:rPr>
      </w:pPr>
    </w:p>
    <w:p>
      <w:pPr>
        <w:ind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means the coin or currency of the United States of America as at the time of payment is legal tender for the payment of public and private debts.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any event or condition specified as such in Section 4.01.</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w:t>
      </w:r>
      <w:r>
        <w:rPr>
          <w:rFonts w:ascii="Arial" w:cs="Arial" w:eastAsia="Arial" w:hAnsi="Arial"/>
          <w:sz w:val="18"/>
          <w:szCs w:val="18"/>
          <w:u w:val="single" w:color="auto"/>
          <w:color w:val="auto"/>
        </w:rPr>
        <w:t>Holder of Securities</w:t>
      </w:r>
      <w:r>
        <w:rPr>
          <w:rFonts w:ascii="Arial" w:cs="Arial" w:eastAsia="Arial" w:hAnsi="Arial"/>
          <w:sz w:val="18"/>
          <w:szCs w:val="18"/>
          <w:color w:val="auto"/>
        </w:rPr>
        <w:t>”, “</w:t>
      </w:r>
      <w:r>
        <w:rPr>
          <w:rFonts w:ascii="Arial" w:cs="Arial" w:eastAsia="Arial" w:hAnsi="Arial"/>
          <w:sz w:val="18"/>
          <w:szCs w:val="18"/>
          <w:u w:val="single" w:color="auto"/>
          <w:color w:val="auto"/>
        </w:rPr>
        <w:t>Securityholder</w:t>
      </w:r>
      <w:r>
        <w:rPr>
          <w:rFonts w:ascii="Arial" w:cs="Arial" w:eastAsia="Arial" w:hAnsi="Arial"/>
          <w:sz w:val="18"/>
          <w:szCs w:val="18"/>
          <w:color w:val="auto"/>
        </w:rPr>
        <w:t>” or other similar terms mean the registered holder of any Security.</w:t>
      </w:r>
    </w:p>
    <w:p>
      <w:pPr>
        <w:spacing w:after="0" w:line="198" w:lineRule="exact"/>
        <w:rPr>
          <w:sz w:val="20"/>
          <w:szCs w:val="20"/>
          <w:color w:val="auto"/>
        </w:rPr>
      </w:pPr>
    </w:p>
    <w:p>
      <w:pPr>
        <w:ind w:right="80" w:firstLine="129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when used with respect to non-interest bearing Securities, interest payable after maturity.</w:t>
      </w:r>
    </w:p>
    <w:p>
      <w:pPr>
        <w:spacing w:after="0" w:line="198" w:lineRule="exact"/>
        <w:rPr>
          <w:sz w:val="20"/>
          <w:szCs w:val="20"/>
          <w:color w:val="auto"/>
        </w:rPr>
      </w:pPr>
    </w:p>
    <w:p>
      <w:pPr>
        <w:ind w:right="6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means (except as otherwise provided in Article 5) GasLog Partners LP, a limited partnership organized under the laws of the Republic of the Marshall Islands, and, subject to Article 8, its successors and assigns.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shall have the meaning set forth in Section 10.14.</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Banking Day</w:t>
      </w:r>
      <w:r>
        <w:rPr>
          <w:rFonts w:ascii="Arial" w:cs="Arial" w:eastAsia="Arial" w:hAnsi="Arial"/>
          <w:sz w:val="18"/>
          <w:szCs w:val="18"/>
          <w:color w:val="auto"/>
        </w:rPr>
        <w:t>” shall have the meaning set forth in Section 10.14.</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24" w:name="page125"/>
    <w:bookmarkEnd w:id="124"/>
    <w:p>
      <w:pPr>
        <w:ind w:right="24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Currency</w:t>
      </w:r>
      <w:r>
        <w:rPr>
          <w:rFonts w:ascii="Arial" w:cs="Arial" w:eastAsia="Arial" w:hAnsi="Arial"/>
          <w:sz w:val="18"/>
          <w:szCs w:val="18"/>
          <w:color w:val="auto"/>
        </w:rPr>
        <w:t>” means a currency issued by the government of a country other than the United States (or any currency unit comprised of any such currencies).</w:t>
      </w:r>
    </w:p>
    <w:p>
      <w:pPr>
        <w:spacing w:after="0" w:line="183" w:lineRule="exact"/>
        <w:rPr>
          <w:sz w:val="20"/>
          <w:szCs w:val="20"/>
          <w:color w:val="auto"/>
        </w:rPr>
      </w:pPr>
    </w:p>
    <w:p>
      <w:pPr>
        <w:ind w:right="220" w:firstLine="129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(i) signed by any officer of the Issuer authorized by the Board to execute any such certificate and (ii) delivered to the Trustee. Each such certificate shall comply with Section 314 of the Trust Indenture Act of 1939 and include the statements provided for in Section 10.06, if and to the extent required hereby.</w:t>
      </w:r>
    </w:p>
    <w:p>
      <w:pPr>
        <w:spacing w:after="0" w:line="189" w:lineRule="exact"/>
        <w:rPr>
          <w:sz w:val="20"/>
          <w:szCs w:val="20"/>
          <w:color w:val="auto"/>
        </w:rPr>
      </w:pPr>
    </w:p>
    <w:p>
      <w:pPr>
        <w:jc w:val="both"/>
        <w:ind w:right="220" w:firstLine="129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an opinion reasonably satisfactory to the Trustee in writing signed by legal counsel who may be an employee of or counsel to the Issuer. Each such opinion shall comply with Section 314 of the Trust Indenture Act of 1939 and include the statements provided for in Section 10.06, if and to the extent required hereby.</w:t>
      </w:r>
    </w:p>
    <w:p>
      <w:pPr>
        <w:spacing w:after="0" w:line="189" w:lineRule="exact"/>
        <w:rPr>
          <w:sz w:val="20"/>
          <w:szCs w:val="20"/>
          <w:color w:val="auto"/>
        </w:rPr>
      </w:pPr>
    </w:p>
    <w:p>
      <w:pPr>
        <w:ind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83" w:lineRule="exact"/>
        <w:rPr>
          <w:sz w:val="20"/>
          <w:szCs w:val="20"/>
          <w:color w:val="auto"/>
        </w:rPr>
      </w:pPr>
    </w:p>
    <w:p>
      <w:pPr>
        <w:ind w:right="6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4.01.</w:t>
      </w:r>
    </w:p>
    <w:p>
      <w:pPr>
        <w:spacing w:after="0" w:line="183" w:lineRule="exact"/>
        <w:rPr>
          <w:sz w:val="20"/>
          <w:szCs w:val="20"/>
          <w:color w:val="auto"/>
        </w:rPr>
      </w:pPr>
    </w:p>
    <w:p>
      <w:pPr>
        <w:ind w:right="68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reference to Securities, shall, subject to the provisions of Section 6.04, mean, as of any particular time, all Securities authenticated and delivered by the Trustee under this Indenture, except:</w:t>
      </w:r>
    </w:p>
    <w:p>
      <w:pPr>
        <w:spacing w:after="0" w:line="183" w:lineRule="exact"/>
        <w:rPr>
          <w:sz w:val="20"/>
          <w:szCs w:val="20"/>
          <w:color w:val="auto"/>
        </w:rPr>
      </w:pPr>
    </w:p>
    <w:p>
      <w:pPr>
        <w:ind w:left="1580" w:hanging="275"/>
        <w:spacing w:after="0"/>
        <w:tabs>
          <w:tab w:leader="none" w:pos="1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98" w:lineRule="exact"/>
        <w:rPr>
          <w:rFonts w:ascii="Arial" w:cs="Arial" w:eastAsia="Arial" w:hAnsi="Arial"/>
          <w:sz w:val="18"/>
          <w:szCs w:val="18"/>
          <w:color w:val="auto"/>
        </w:rPr>
      </w:pPr>
    </w:p>
    <w:p>
      <w:pPr>
        <w:ind w:left="660" w:firstLine="645"/>
        <w:spacing w:after="0" w:line="238" w:lineRule="auto"/>
        <w:tabs>
          <w:tab w:leader="none" w:pos="15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189" w:lineRule="exact"/>
        <w:rPr>
          <w:rFonts w:ascii="Arial" w:cs="Arial" w:eastAsia="Arial" w:hAnsi="Arial"/>
          <w:sz w:val="18"/>
          <w:szCs w:val="18"/>
          <w:color w:val="auto"/>
        </w:rPr>
      </w:pPr>
    </w:p>
    <w:p>
      <w:pPr>
        <w:ind w:left="660" w:right="160" w:firstLine="645"/>
        <w:spacing w:after="0"/>
        <w:tabs>
          <w:tab w:leader="none" w:pos="15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189" w:lineRule="exact"/>
        <w:rPr>
          <w:sz w:val="20"/>
          <w:szCs w:val="20"/>
          <w:color w:val="auto"/>
        </w:rPr>
      </w:pPr>
    </w:p>
    <w:p>
      <w:pPr>
        <w:ind w:right="220" w:firstLine="1297"/>
        <w:spacing w:after="0" w:line="246"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25" w:name="page126"/>
    <w:bookmarkEnd w:id="125"/>
    <w:p>
      <w:pPr>
        <w:ind w:right="20"/>
        <w:spacing w:after="0"/>
        <w:rPr>
          <w:sz w:val="20"/>
          <w:szCs w:val="20"/>
          <w:color w:val="auto"/>
        </w:rPr>
      </w:pPr>
      <w:r>
        <w:rPr>
          <w:rFonts w:ascii="Arial" w:cs="Arial" w:eastAsia="Arial" w:hAnsi="Arial"/>
          <w:sz w:val="18"/>
          <w:szCs w:val="18"/>
          <w:color w:val="auto"/>
        </w:rPr>
        <w:t>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189" w:lineRule="exact"/>
        <w:rPr>
          <w:sz w:val="20"/>
          <w:szCs w:val="20"/>
          <w:color w:val="auto"/>
        </w:rPr>
      </w:pPr>
    </w:p>
    <w:p>
      <w:pPr>
        <w:ind w:right="66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government or any agency or political subdivision thereof.</w:t>
      </w:r>
    </w:p>
    <w:p>
      <w:pPr>
        <w:spacing w:after="0" w:line="183" w:lineRule="exact"/>
        <w:rPr>
          <w:sz w:val="20"/>
          <w:szCs w:val="20"/>
          <w:color w:val="auto"/>
        </w:rPr>
      </w:pPr>
    </w:p>
    <w:p>
      <w:pPr>
        <w:ind w:right="18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w:t>
      </w:r>
      <w:r>
        <w:rPr>
          <w:rFonts w:ascii="Arial" w:cs="Arial" w:eastAsia="Arial" w:hAnsi="Arial"/>
          <w:sz w:val="18"/>
          <w:szCs w:val="18"/>
          <w:color w:val="auto"/>
        </w:rPr>
        <w:t>” whenever used with reference to the Securities or any Security or any portion thereof, shall be deemed to include “and premium, if any”.</w:t>
      </w:r>
    </w:p>
    <w:p>
      <w:pPr>
        <w:spacing w:after="0" w:line="183" w:lineRule="exact"/>
        <w:rPr>
          <w:sz w:val="20"/>
          <w:szCs w:val="20"/>
          <w:color w:val="auto"/>
        </w:rPr>
      </w:pPr>
    </w:p>
    <w:p>
      <w:pPr>
        <w:jc w:val="both"/>
        <w:ind w:right="46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Global Security</w:t>
      </w:r>
      <w:r>
        <w:rPr>
          <w:rFonts w:ascii="Arial" w:cs="Arial" w:eastAsia="Arial" w:hAnsi="Arial"/>
          <w:sz w:val="18"/>
          <w:szCs w:val="18"/>
          <w:color w:val="auto"/>
        </w:rPr>
        <w:t>”, means a Security evidencing all or a part of a series of Registered Securities, issued to the Depositary for such series in accordance with Section 2.03, and bearing the legend prescribed by the applicable supplemental indenture.</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registered on the Security register of the Issuer.</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Currency</w:t>
      </w:r>
      <w:r>
        <w:rPr>
          <w:rFonts w:ascii="Arial" w:cs="Arial" w:eastAsia="Arial" w:hAnsi="Arial"/>
          <w:sz w:val="18"/>
          <w:szCs w:val="18"/>
          <w:color w:val="auto"/>
        </w:rPr>
        <w:t>” shall have the meaning set forth in Section 10.14.</w:t>
      </w:r>
    </w:p>
    <w:p>
      <w:pPr>
        <w:spacing w:after="0" w:line="198" w:lineRule="exact"/>
        <w:rPr>
          <w:sz w:val="20"/>
          <w:szCs w:val="20"/>
          <w:color w:val="auto"/>
        </w:rPr>
      </w:pPr>
    </w:p>
    <w:p>
      <w:pPr>
        <w:ind w:right="20" w:firstLine="1297"/>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officer of the Trustee, including any vice president, assistant vice president, secretary, assistant secretary, any assistant treasurer, any trust officer,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that particular subject and who shall have direct responsibility for the administration of this Indenture.</w:t>
      </w:r>
    </w:p>
    <w:p>
      <w:pPr>
        <w:spacing w:after="0" w:line="189" w:lineRule="exact"/>
        <w:rPr>
          <w:sz w:val="20"/>
          <w:szCs w:val="20"/>
          <w:color w:val="auto"/>
        </w:rPr>
      </w:pPr>
    </w:p>
    <w:p>
      <w:pPr>
        <w:ind w:right="32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83" w:lineRule="exact"/>
        <w:rPr>
          <w:sz w:val="20"/>
          <w:szCs w:val="20"/>
          <w:color w:val="auto"/>
        </w:rPr>
      </w:pPr>
    </w:p>
    <w:p>
      <w:pPr>
        <w:ind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identified as “Trustee” in the first paragraph hereof and, subject to the provisions of Article 5, shall also include any successor trustee.</w:t>
      </w:r>
    </w:p>
    <w:p>
      <w:pPr>
        <w:spacing w:after="0" w:line="183" w:lineRule="exact"/>
        <w:rPr>
          <w:sz w:val="20"/>
          <w:szCs w:val="20"/>
          <w:color w:val="auto"/>
        </w:rPr>
      </w:pPr>
    </w:p>
    <w:p>
      <w:pPr>
        <w:ind w:right="4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 of 1939</w:t>
      </w:r>
      <w:r>
        <w:rPr>
          <w:rFonts w:ascii="Arial" w:cs="Arial" w:eastAsia="Arial" w:hAnsi="Arial"/>
          <w:sz w:val="18"/>
          <w:szCs w:val="18"/>
          <w:color w:val="auto"/>
        </w:rPr>
        <w:t>” (except as otherwise provided in Sections 5.01 and 5.02) means the Trust Indenture Act of 1939 as in force at the date as of which this Indenture was originally executed.</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w:t>
      </w:r>
      <w:r>
        <w:rPr>
          <w:rFonts w:ascii="Arial" w:cs="Arial" w:eastAsia="Arial" w:hAnsi="Arial"/>
          <w:sz w:val="18"/>
          <w:szCs w:val="18"/>
          <w:color w:val="auto"/>
        </w:rPr>
        <w:t>s” shall have the meaning set forth in Section 9.01.</w:t>
      </w:r>
    </w:p>
    <w:p>
      <w:pPr>
        <w:spacing w:after="0" w:line="198" w:lineRule="exact"/>
        <w:rPr>
          <w:sz w:val="20"/>
          <w:szCs w:val="20"/>
          <w:color w:val="auto"/>
        </w:rPr>
      </w:pPr>
    </w:p>
    <w:p>
      <w:pPr>
        <w:ind w:right="120" w:firstLine="12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redetermination of interest on such series, and calculated in accordance with accepted financial practice.</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2</w:t>
      </w:r>
    </w:p>
    <w:p>
      <w:pPr>
        <w:spacing w:after="0" w:line="198"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Securities</w:t>
      </w:r>
    </w:p>
    <w:p>
      <w:pPr>
        <w:spacing w:after="0" w:line="198" w:lineRule="exact"/>
        <w:rPr>
          <w:sz w:val="20"/>
          <w:szCs w:val="20"/>
          <w:color w:val="auto"/>
        </w:rPr>
      </w:pPr>
    </w:p>
    <w:p>
      <w:pPr>
        <w:ind w:firstLine="1297"/>
        <w:spacing w:after="0" w:line="23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Generally.</w:t>
      </w:r>
      <w:r>
        <w:rPr>
          <w:rFonts w:ascii="Arial" w:cs="Arial" w:eastAsia="Arial" w:hAnsi="Arial"/>
          <w:sz w:val="18"/>
          <w:szCs w:val="18"/>
          <w:color w:val="auto"/>
        </w:rPr>
        <w:t xml:space="preserve"> The Securities of each series shall be substantially in such form (not inconsistent with this Indenture) as shall be established by or pursuant to a resolution of the Board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w:t>
      </w:r>
    </w:p>
    <w:p>
      <w:pPr>
        <w:spacing w:after="0" w:line="192" w:lineRule="exact"/>
        <w:rPr>
          <w:sz w:val="20"/>
          <w:szCs w:val="20"/>
          <w:color w:val="auto"/>
        </w:rPr>
      </w:pPr>
    </w:p>
    <w:p>
      <w:pPr>
        <w:ind w:right="40" w:firstLine="1297"/>
        <w:spacing w:after="0" w:line="246" w:lineRule="auto"/>
        <w:rPr>
          <w:sz w:val="20"/>
          <w:szCs w:val="20"/>
          <w:color w:val="auto"/>
        </w:rPr>
      </w:pPr>
      <w:r>
        <w:rPr>
          <w:rFonts w:ascii="Arial" w:cs="Arial" w:eastAsia="Arial" w:hAnsi="Arial"/>
          <w:sz w:val="18"/>
          <w:szCs w:val="18"/>
          <w:color w:val="auto"/>
        </w:rPr>
        <w:t>The definitive Securities shall be printed or lithographed on security printed paper or may be produced in any other manner, all as determined by the officers executing such Securities, as evidenced by their execution of such Securities.</w:t>
      </w:r>
    </w:p>
    <w:p>
      <w:pPr>
        <w:spacing w:after="0" w:line="183" w:lineRule="exact"/>
        <w:rPr>
          <w:sz w:val="20"/>
          <w:szCs w:val="20"/>
          <w:color w:val="auto"/>
        </w:rPr>
      </w:pPr>
    </w:p>
    <w:p>
      <w:pPr>
        <w:ind w:right="280" w:firstLine="1297"/>
        <w:spacing w:after="0" w:line="246"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Certification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6350</wp:posOffset>
            </wp:positionV>
            <wp:extent cx="19551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8"/>
          <w:szCs w:val="18"/>
          <w:color w:val="auto"/>
        </w:rPr>
        <w:t>Authorized</w:t>
      </w:r>
    </w:p>
    <w:p>
      <w:pPr>
        <w:ind w:left="2200"/>
        <w:spacing w:after="0"/>
        <w:rPr>
          <w:sz w:val="20"/>
          <w:szCs w:val="20"/>
          <w:color w:val="auto"/>
        </w:rPr>
      </w:pPr>
      <w:r>
        <w:rPr>
          <w:rFonts w:ascii="Arial" w:cs="Arial" w:eastAsia="Arial" w:hAnsi="Arial"/>
          <w:sz w:val="18"/>
          <w:szCs w:val="18"/>
          <w:color w:val="auto"/>
        </w:rPr>
        <w:t>Signatory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Dated:________________________</w:t>
      </w:r>
    </w:p>
    <w:p>
      <w:pPr>
        <w:spacing w:after="0" w:line="198" w:lineRule="exact"/>
        <w:rPr>
          <w:sz w:val="20"/>
          <w:szCs w:val="20"/>
          <w:color w:val="auto"/>
        </w:rPr>
      </w:pPr>
    </w:p>
    <w:p>
      <w:pPr>
        <w:ind w:right="1000" w:firstLine="1297"/>
        <w:spacing w:after="0" w:line="24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83" w:lineRule="exact"/>
        <w:rPr>
          <w:sz w:val="20"/>
          <w:szCs w:val="20"/>
          <w:color w:val="auto"/>
        </w:rPr>
      </w:pPr>
    </w:p>
    <w:p>
      <w:pPr>
        <w:ind w:right="120" w:firstLine="1297"/>
        <w:spacing w:after="0"/>
        <w:rPr>
          <w:sz w:val="20"/>
          <w:szCs w:val="20"/>
          <w:color w:val="auto"/>
        </w:rPr>
      </w:pPr>
      <w:r>
        <w:rPr>
          <w:rFonts w:ascii="Arial" w:cs="Arial" w:eastAsia="Arial" w:hAnsi="Arial"/>
          <w:sz w:val="18"/>
          <w:szCs w:val="18"/>
          <w:color w:val="auto"/>
        </w:rPr>
        <w:t>The Securities may be issued in one or more series and unless provided for otherwise in an indenture supplemental hereto, each such series shall rank equally and pari passu with all other unsecured and unsubordinated debt of the Issuer. There shall be established in or pursuant to a resolution of the Board and set forth in an Officers’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Certificate, or established in one or more indentures supplemental hereto, prior to the issuance of Securities of any series,</w:t>
      </w:r>
    </w:p>
    <w:p>
      <w:pPr>
        <w:spacing w:after="0" w:line="198" w:lineRule="exact"/>
        <w:rPr>
          <w:sz w:val="20"/>
          <w:szCs w:val="20"/>
          <w:color w:val="auto"/>
        </w:rPr>
      </w:pPr>
    </w:p>
    <w:p>
      <w:pPr>
        <w:ind w:left="1580" w:hanging="275"/>
        <w:spacing w:after="0"/>
        <w:tabs>
          <w:tab w:leader="none" w:pos="15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shall distinguish the Securities of the series from all other Securities);</w:t>
      </w:r>
    </w:p>
    <w:p>
      <w:pPr>
        <w:spacing w:after="0" w:line="198" w:lineRule="exact"/>
        <w:rPr>
          <w:rFonts w:ascii="Arial" w:cs="Arial" w:eastAsia="Arial" w:hAnsi="Arial"/>
          <w:sz w:val="18"/>
          <w:szCs w:val="18"/>
          <w:color w:val="auto"/>
        </w:rPr>
      </w:pPr>
    </w:p>
    <w:p>
      <w:pPr>
        <w:ind w:left="660" w:right="60" w:firstLine="645"/>
        <w:spacing w:after="0"/>
        <w:tabs>
          <w:tab w:leader="none" w:pos="157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11.03);</w:t>
      </w:r>
    </w:p>
    <w:p>
      <w:pPr>
        <w:spacing w:after="0" w:line="184" w:lineRule="exact"/>
        <w:rPr>
          <w:rFonts w:ascii="Arial" w:cs="Arial" w:eastAsia="Arial" w:hAnsi="Arial"/>
          <w:sz w:val="18"/>
          <w:szCs w:val="18"/>
          <w:color w:val="auto"/>
        </w:rPr>
      </w:pPr>
    </w:p>
    <w:p>
      <w:pPr>
        <w:ind w:left="1560" w:hanging="255"/>
        <w:spacing w:after="0"/>
        <w:tabs>
          <w:tab w:leader="none" w:pos="15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other than Dollars, the coin or currency in which the Securities of that series are denominated (including any Non-U.S.</w:t>
      </w:r>
    </w:p>
    <w:p>
      <w:pPr>
        <w:ind w:left="660"/>
        <w:spacing w:after="0"/>
        <w:rPr>
          <w:rFonts w:ascii="Arial" w:cs="Arial" w:eastAsia="Arial" w:hAnsi="Arial"/>
          <w:sz w:val="18"/>
          <w:szCs w:val="18"/>
          <w:color w:val="auto"/>
        </w:rPr>
      </w:pPr>
      <w:r>
        <w:rPr>
          <w:rFonts w:ascii="Arial" w:cs="Arial" w:eastAsia="Arial" w:hAnsi="Arial"/>
          <w:sz w:val="18"/>
          <w:szCs w:val="18"/>
          <w:color w:val="auto"/>
        </w:rPr>
        <w:t>Currency);</w:t>
      </w:r>
    </w:p>
    <w:p>
      <w:pPr>
        <w:spacing w:after="0" w:line="198" w:lineRule="exact"/>
        <w:rPr>
          <w:rFonts w:ascii="Arial" w:cs="Arial" w:eastAsia="Arial" w:hAnsi="Arial"/>
          <w:sz w:val="18"/>
          <w:szCs w:val="18"/>
          <w:color w:val="auto"/>
        </w:rPr>
      </w:pPr>
    </w:p>
    <w:p>
      <w:pPr>
        <w:ind w:left="1580" w:hanging="275"/>
        <w:spacing w:after="0"/>
        <w:tabs>
          <w:tab w:leader="none" w:pos="15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98" w:lineRule="exact"/>
        <w:rPr>
          <w:rFonts w:ascii="Arial" w:cs="Arial" w:eastAsia="Arial" w:hAnsi="Arial"/>
          <w:sz w:val="18"/>
          <w:szCs w:val="18"/>
          <w:color w:val="auto"/>
        </w:rPr>
      </w:pPr>
    </w:p>
    <w:p>
      <w:pPr>
        <w:ind w:left="660" w:firstLine="645"/>
        <w:spacing w:after="0" w:line="239" w:lineRule="auto"/>
        <w:tabs>
          <w:tab w:leader="none" w:pos="157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 and/or the method by which such rate or rates or date or dates shall be determined;</w:t>
      </w:r>
    </w:p>
    <w:p>
      <w:pPr>
        <w:spacing w:after="0" w:line="188" w:lineRule="exact"/>
        <w:rPr>
          <w:rFonts w:ascii="Arial" w:cs="Arial" w:eastAsia="Arial" w:hAnsi="Arial"/>
          <w:sz w:val="18"/>
          <w:szCs w:val="18"/>
          <w:color w:val="auto"/>
        </w:rPr>
      </w:pPr>
    </w:p>
    <w:p>
      <w:pPr>
        <w:ind w:left="660" w:right="520" w:firstLine="645"/>
        <w:spacing w:after="0" w:line="246" w:lineRule="auto"/>
        <w:tabs>
          <w:tab w:leader="none" w:pos="152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interest on Securities of the series shall be payable (if other than as provided in Section 3.02);</w:t>
      </w:r>
    </w:p>
    <w:p>
      <w:pPr>
        <w:spacing w:after="0" w:line="183" w:lineRule="exact"/>
        <w:rPr>
          <w:rFonts w:ascii="Arial" w:cs="Arial" w:eastAsia="Arial" w:hAnsi="Arial"/>
          <w:sz w:val="18"/>
          <w:szCs w:val="18"/>
          <w:color w:val="auto"/>
        </w:rPr>
      </w:pPr>
    </w:p>
    <w:p>
      <w:pPr>
        <w:ind w:left="660" w:right="280" w:firstLine="645"/>
        <w:spacing w:after="0" w:line="246" w:lineRule="auto"/>
        <w:tabs>
          <w:tab w:leader="none" w:pos="157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83" w:lineRule="exact"/>
        <w:rPr>
          <w:rFonts w:ascii="Arial" w:cs="Arial" w:eastAsia="Arial" w:hAnsi="Arial"/>
          <w:sz w:val="18"/>
          <w:szCs w:val="18"/>
          <w:color w:val="auto"/>
        </w:rPr>
      </w:pPr>
    </w:p>
    <w:p>
      <w:pPr>
        <w:ind w:left="660" w:right="160" w:firstLine="645"/>
        <w:spacing w:after="0" w:line="239" w:lineRule="auto"/>
        <w:tabs>
          <w:tab w:leader="none" w:pos="157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188" w:lineRule="exact"/>
        <w:rPr>
          <w:rFonts w:ascii="Arial" w:cs="Arial" w:eastAsia="Arial" w:hAnsi="Arial"/>
          <w:sz w:val="18"/>
          <w:szCs w:val="18"/>
          <w:color w:val="auto"/>
        </w:rPr>
      </w:pPr>
    </w:p>
    <w:p>
      <w:pPr>
        <w:ind w:left="660" w:right="700" w:firstLine="645"/>
        <w:spacing w:after="0" w:line="246" w:lineRule="auto"/>
        <w:tabs>
          <w:tab w:leader="none" w:pos="151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other than denominations of $2,000 and integral multiples of $1,000 in excess thereof, the denominations in which Securities of the series shall be issuable;</w:t>
      </w:r>
    </w:p>
    <w:p>
      <w:pPr>
        <w:spacing w:after="0" w:line="183" w:lineRule="exact"/>
        <w:rPr>
          <w:rFonts w:ascii="Arial" w:cs="Arial" w:eastAsia="Arial" w:hAnsi="Arial"/>
          <w:sz w:val="18"/>
          <w:szCs w:val="18"/>
          <w:color w:val="auto"/>
        </w:rPr>
      </w:pPr>
    </w:p>
    <w:p>
      <w:pPr>
        <w:ind w:left="660" w:right="60" w:firstLine="645"/>
        <w:spacing w:after="0"/>
        <w:tabs>
          <w:tab w:leader="none" w:pos="151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8" w:name="page129"/>
    <w:bookmarkEnd w:id="128"/>
    <w:p>
      <w:pPr>
        <w:ind w:left="-540" w:right="560" w:firstLine="645"/>
        <w:spacing w:after="0" w:line="246" w:lineRule="auto"/>
        <w:tabs>
          <w:tab w:leader="none" w:pos="36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other than the coin or currency in which the Securities of that series are denominated, the coin or currency in which payment of the principal of or interest on the Securities of such series shall be payable;</w:t>
      </w:r>
    </w:p>
    <w:p>
      <w:pPr>
        <w:spacing w:after="0" w:line="183" w:lineRule="exact"/>
        <w:rPr>
          <w:rFonts w:ascii="Arial" w:cs="Arial" w:eastAsia="Arial" w:hAnsi="Arial"/>
          <w:sz w:val="18"/>
          <w:szCs w:val="18"/>
          <w:color w:val="auto"/>
        </w:rPr>
      </w:pPr>
    </w:p>
    <w:p>
      <w:pPr>
        <w:ind w:left="-540" w:right="40" w:firstLine="645"/>
        <w:spacing w:after="0"/>
        <w:tabs>
          <w:tab w:leader="none" w:pos="31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principal of or interest on the Securities of such series are to be payable, at the election of the Issuer or a Holder thereof, in a coin or currency other than that in which the Securities are denominated, the period or periods within which, and the terms and conditions upon which, such election may be made;</w:t>
      </w:r>
    </w:p>
    <w:p>
      <w:pPr>
        <w:spacing w:after="0" w:line="189" w:lineRule="exact"/>
        <w:rPr>
          <w:rFonts w:ascii="Arial" w:cs="Arial" w:eastAsia="Arial" w:hAnsi="Arial"/>
          <w:sz w:val="18"/>
          <w:szCs w:val="18"/>
          <w:color w:val="auto"/>
        </w:rPr>
      </w:pPr>
    </w:p>
    <w:p>
      <w:pPr>
        <w:ind w:left="-540" w:right="200" w:firstLine="645"/>
        <w:spacing w:after="0"/>
        <w:tabs>
          <w:tab w:leader="none" w:pos="4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with reference to an index based on a coin or currency other than that in which the Securities of the series are denominated, or with reference to any currencies, securities or baskets of securities, commodities or indices, the manner in which such amounts shall be determined;</w:t>
      </w:r>
    </w:p>
    <w:p>
      <w:pPr>
        <w:spacing w:after="0" w:line="189" w:lineRule="exact"/>
        <w:rPr>
          <w:rFonts w:ascii="Arial" w:cs="Arial" w:eastAsia="Arial" w:hAnsi="Arial"/>
          <w:sz w:val="18"/>
          <w:szCs w:val="18"/>
          <w:color w:val="auto"/>
        </w:rPr>
      </w:pPr>
    </w:p>
    <w:p>
      <w:pPr>
        <w:jc w:val="both"/>
        <w:ind w:left="-540" w:firstLine="645"/>
        <w:spacing w:after="0"/>
        <w:tabs>
          <w:tab w:leader="none" w:pos="37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Holders of the Securities of the series may convert or exchange the Securities of the series into or for securities of the Issuer or of other entities or other property (or the cash value thereof), the specific terms of and period during which such conversion or exchange may be made;</w:t>
      </w:r>
    </w:p>
    <w:p>
      <w:pPr>
        <w:spacing w:after="0" w:line="189" w:lineRule="exact"/>
        <w:rPr>
          <w:rFonts w:ascii="Arial" w:cs="Arial" w:eastAsia="Arial" w:hAnsi="Arial"/>
          <w:sz w:val="18"/>
          <w:szCs w:val="18"/>
          <w:color w:val="auto"/>
        </w:rPr>
      </w:pPr>
    </w:p>
    <w:p>
      <w:pPr>
        <w:ind w:left="-540" w:right="180" w:firstLine="645"/>
        <w:spacing w:after="0" w:line="238" w:lineRule="auto"/>
        <w:tabs>
          <w:tab w:leader="none" w:pos="37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whether the Securities of the series will be issuable as Registered Securities (and if so, whether such Securities will be issuable as Registered Global Securities) or Bearer Securities (with or without coupons), or any combination of the foregoing, any restrictions applicable to the offer, sale, transfer, exchange or delivery of Bearer Securities or Registered Securities or the payment of interest thereon and, if other than as provided herein, the terms upon which Bearer Securities of any series may be exchanged for Registered Securities of such series and vice versa;</w:t>
      </w:r>
    </w:p>
    <w:p>
      <w:pPr>
        <w:spacing w:after="0" w:line="189" w:lineRule="exact"/>
        <w:rPr>
          <w:rFonts w:ascii="Arial" w:cs="Arial" w:eastAsia="Arial" w:hAnsi="Arial"/>
          <w:sz w:val="18"/>
          <w:szCs w:val="18"/>
          <w:color w:val="auto"/>
        </w:rPr>
      </w:pPr>
    </w:p>
    <w:p>
      <w:pPr>
        <w:ind w:left="-540" w:right="240" w:firstLine="645"/>
        <w:spacing w:after="0"/>
        <w:tabs>
          <w:tab w:leader="none" w:pos="37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such Securities rather than pay such additional amounts;</w:t>
      </w:r>
    </w:p>
    <w:p>
      <w:pPr>
        <w:spacing w:after="0" w:line="189" w:lineRule="exact"/>
        <w:rPr>
          <w:rFonts w:ascii="Arial" w:cs="Arial" w:eastAsia="Arial" w:hAnsi="Arial"/>
          <w:sz w:val="18"/>
          <w:szCs w:val="18"/>
          <w:color w:val="auto"/>
        </w:rPr>
      </w:pPr>
    </w:p>
    <w:p>
      <w:pPr>
        <w:ind w:left="-540" w:right="260" w:firstLine="645"/>
        <w:spacing w:after="0"/>
        <w:tabs>
          <w:tab w:leader="none" w:pos="37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89" w:lineRule="exact"/>
        <w:rPr>
          <w:rFonts w:ascii="Arial" w:cs="Arial" w:eastAsia="Arial" w:hAnsi="Arial"/>
          <w:sz w:val="18"/>
          <w:szCs w:val="18"/>
          <w:color w:val="auto"/>
        </w:rPr>
      </w:pPr>
    </w:p>
    <w:p>
      <w:pPr>
        <w:ind w:left="-540" w:right="100" w:firstLine="645"/>
        <w:spacing w:after="0" w:line="246" w:lineRule="auto"/>
        <w:tabs>
          <w:tab w:leader="none" w:pos="33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trustees, depositaries, authenticating or paying agents, transfer agents or registrars or any other agents with respect to the Securities of such series;</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135255</wp:posOffset>
            </wp:positionV>
            <wp:extent cx="72466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00"/>
          </w:cols>
          <w:pgMar w:left="1440" w:top="422" w:right="259" w:bottom="1440" w:gutter="0" w:footer="0" w:header="0"/>
        </w:sectPr>
      </w:pPr>
    </w:p>
    <w:bookmarkStart w:id="129" w:name="page130"/>
    <w:bookmarkEnd w:id="129"/>
    <w:p>
      <w:pPr>
        <w:ind w:left="660" w:right="20" w:firstLine="645"/>
        <w:spacing w:after="0" w:line="237" w:lineRule="auto"/>
        <w:tabs>
          <w:tab w:leader="none" w:pos="156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applicable United States federal income tax and other income tax provisions, including: whether and under what circumstances the Issuer will pay additional amounts on Securities for any tax, assessment or governmental charge withheld or deducted and, if so, whether it will have the option to redeem those Securities rather than pay the additional amounts; tax considerations applicable to any discounted Securities or to Securities issued at par that are treated as having been issued at a discount for United States federal income tax purposes; and tax considerations applicable to any Securities denominated and payable in foreign currencies;</w:t>
      </w:r>
    </w:p>
    <w:p>
      <w:pPr>
        <w:spacing w:after="0" w:line="191" w:lineRule="exact"/>
        <w:rPr>
          <w:rFonts w:ascii="Arial" w:cs="Arial" w:eastAsia="Arial" w:hAnsi="Arial"/>
          <w:sz w:val="18"/>
          <w:szCs w:val="18"/>
          <w:color w:val="auto"/>
        </w:rPr>
      </w:pPr>
    </w:p>
    <w:p>
      <w:pPr>
        <w:ind w:left="660" w:right="20" w:firstLine="645"/>
        <w:spacing w:after="0" w:line="246" w:lineRule="auto"/>
        <w:tabs>
          <w:tab w:leader="none" w:pos="15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whether certain payments on the Securities will be guaranteed under a financial insurance guaranty policy and the terms of that guaranty;</w:t>
      </w:r>
    </w:p>
    <w:p>
      <w:pPr>
        <w:spacing w:after="0" w:line="183" w:lineRule="exact"/>
        <w:rPr>
          <w:rFonts w:ascii="Arial" w:cs="Arial" w:eastAsia="Arial" w:hAnsi="Arial"/>
          <w:sz w:val="18"/>
          <w:szCs w:val="18"/>
          <w:color w:val="auto"/>
        </w:rPr>
      </w:pPr>
    </w:p>
    <w:p>
      <w:pPr>
        <w:ind w:left="1580" w:hanging="275"/>
        <w:spacing w:after="0"/>
        <w:tabs>
          <w:tab w:leader="none" w:pos="15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applicable selling restrictions;</w:t>
      </w:r>
    </w:p>
    <w:p>
      <w:pPr>
        <w:spacing w:after="0" w:line="198" w:lineRule="exact"/>
        <w:rPr>
          <w:rFonts w:ascii="Arial" w:cs="Arial" w:eastAsia="Arial" w:hAnsi="Arial"/>
          <w:sz w:val="18"/>
          <w:szCs w:val="18"/>
          <w:color w:val="auto"/>
        </w:rPr>
      </w:pPr>
    </w:p>
    <w:p>
      <w:pPr>
        <w:ind w:left="660" w:firstLine="645"/>
        <w:spacing w:after="0" w:line="239" w:lineRule="auto"/>
        <w:tabs>
          <w:tab w:leader="none" w:pos="156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covenants (or modifications to covenants set forth herein) with respect to the Securities of such series or any events of default (or modifications to the events of default set forth herein) with respect to the Securities of such series or modifications or elimination of any acceleration rights with respect to the Securities of such series and any terms required by or advisable under applicable laws or regulations; and</w:t>
      </w:r>
    </w:p>
    <w:p>
      <w:pPr>
        <w:spacing w:after="0" w:line="188" w:lineRule="exact"/>
        <w:rPr>
          <w:rFonts w:ascii="Arial" w:cs="Arial" w:eastAsia="Arial" w:hAnsi="Arial"/>
          <w:sz w:val="18"/>
          <w:szCs w:val="18"/>
          <w:color w:val="auto"/>
        </w:rPr>
      </w:pPr>
    </w:p>
    <w:p>
      <w:pPr>
        <w:ind w:left="1600" w:hanging="295"/>
        <w:spacing w:after="0"/>
        <w:tabs>
          <w:tab w:leader="none" w:pos="16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98" w:lineRule="exact"/>
        <w:rPr>
          <w:sz w:val="20"/>
          <w:szCs w:val="20"/>
          <w:color w:val="auto"/>
        </w:rPr>
      </w:pPr>
    </w:p>
    <w:p>
      <w:pPr>
        <w:ind w:right="20" w:firstLine="1297"/>
        <w:spacing w:after="0" w:line="239"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such resolution of the Board or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w:t>
      </w:r>
    </w:p>
    <w:p>
      <w:pPr>
        <w:spacing w:after="0" w:line="188" w:lineRule="exact"/>
        <w:rPr>
          <w:sz w:val="20"/>
          <w:szCs w:val="20"/>
          <w:color w:val="auto"/>
        </w:rPr>
      </w:pPr>
    </w:p>
    <w:p>
      <w:pPr>
        <w:ind w:firstLine="1297"/>
        <w:spacing w:after="0" w:line="23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Authentication and Delivery of Securities.</w:t>
      </w:r>
      <w:r>
        <w:rPr>
          <w:rFonts w:ascii="Arial" w:cs="Arial" w:eastAsia="Arial" w:hAnsi="Arial"/>
          <w:sz w:val="18"/>
          <w:szCs w:val="18"/>
          <w:color w:val="auto"/>
        </w:rPr>
        <w:t xml:space="preserve">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signed by any officer of the Issuer authorized by the Board to execute any such order, without any further action by the Issuer. In authenticating such Securities and accepting the additional responsibilities under this Indenture in relation to such Securities the Trustee shall be provided with, and (subject to Section 5.01) shall be fully protected in relying upon:</w:t>
      </w:r>
    </w:p>
    <w:p>
      <w:pPr>
        <w:spacing w:after="0" w:line="192" w:lineRule="exact"/>
        <w:rPr>
          <w:sz w:val="20"/>
          <w:szCs w:val="20"/>
          <w:color w:val="auto"/>
        </w:rPr>
      </w:pPr>
    </w:p>
    <w:p>
      <w:pPr>
        <w:ind w:left="660" w:right="460" w:firstLine="645"/>
        <w:spacing w:after="0" w:line="246" w:lineRule="auto"/>
        <w:tabs>
          <w:tab w:leader="none" w:pos="15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certified copy of any resolution or resolutions of the Board authorizing the action taken pursuant to the resolution or resolutions delivered under clause 2.04(b) below;</w:t>
      </w:r>
    </w:p>
    <w:p>
      <w:pPr>
        <w:spacing w:after="0" w:line="183" w:lineRule="exact"/>
        <w:rPr>
          <w:rFonts w:ascii="Arial" w:cs="Arial" w:eastAsia="Arial" w:hAnsi="Arial"/>
          <w:sz w:val="18"/>
          <w:szCs w:val="18"/>
          <w:color w:val="auto"/>
        </w:rPr>
      </w:pPr>
    </w:p>
    <w:p>
      <w:pPr>
        <w:ind w:left="660" w:right="280" w:firstLine="645"/>
        <w:spacing w:after="0" w:line="246" w:lineRule="auto"/>
        <w:tabs>
          <w:tab w:leader="none" w:pos="15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copy of any resolution or resolutions of the Board relating to such series, in each case certified by the Secretary or an Assistant Secretary of the Issuer;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422" w:right="339" w:bottom="1440" w:gutter="0" w:footer="0" w:header="0"/>
        </w:sectPr>
      </w:pPr>
    </w:p>
    <w:bookmarkStart w:id="130" w:name="page131"/>
    <w:bookmarkEnd w:id="130"/>
    <w:p>
      <w:pPr>
        <w:ind w:left="1560" w:hanging="255"/>
        <w:spacing w:after="0"/>
        <w:tabs>
          <w:tab w:leader="none" w:pos="15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executed supplemental indenture, if any;</w:t>
      </w:r>
    </w:p>
    <w:p>
      <w:pPr>
        <w:spacing w:after="0" w:line="198" w:lineRule="exact"/>
        <w:rPr>
          <w:rFonts w:ascii="Arial" w:cs="Arial" w:eastAsia="Arial" w:hAnsi="Arial"/>
          <w:sz w:val="18"/>
          <w:szCs w:val="18"/>
          <w:color w:val="auto"/>
        </w:rPr>
      </w:pPr>
    </w:p>
    <w:p>
      <w:pPr>
        <w:ind w:left="660" w:right="360" w:firstLine="645"/>
        <w:spacing w:after="0" w:line="246" w:lineRule="auto"/>
        <w:tabs>
          <w:tab w:leader="none" w:pos="157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Officers’ Certificate setting forth the form and terms of the Securities as required pursuant to Section 2.01 and 2.03, respectively and prepared in accordance with Section 10.06;</w:t>
      </w:r>
    </w:p>
    <w:p>
      <w:pPr>
        <w:spacing w:after="0" w:line="183" w:lineRule="exact"/>
        <w:rPr>
          <w:rFonts w:ascii="Arial" w:cs="Arial" w:eastAsia="Arial" w:hAnsi="Arial"/>
          <w:sz w:val="18"/>
          <w:szCs w:val="18"/>
          <w:color w:val="auto"/>
        </w:rPr>
      </w:pPr>
    </w:p>
    <w:p>
      <w:pPr>
        <w:ind w:left="1580" w:hanging="275"/>
        <w:spacing w:after="0"/>
        <w:tabs>
          <w:tab w:leader="none" w:pos="1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Opinion of Counsel, prepared in accordance with Section 10.06, to the effect that</w:t>
      </w:r>
    </w:p>
    <w:p>
      <w:pPr>
        <w:spacing w:after="0" w:line="198" w:lineRule="exact"/>
        <w:rPr>
          <w:rFonts w:ascii="Arial" w:cs="Arial" w:eastAsia="Arial" w:hAnsi="Arial"/>
          <w:sz w:val="18"/>
          <w:szCs w:val="18"/>
          <w:color w:val="auto"/>
        </w:rPr>
      </w:pPr>
    </w:p>
    <w:p>
      <w:pPr>
        <w:ind w:left="1300" w:right="20" w:firstLine="653"/>
        <w:spacing w:after="0" w:line="246" w:lineRule="auto"/>
        <w:tabs>
          <w:tab w:leader="none" w:pos="215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form or forms and terms of such Securities have been established by or pursuant to a resolution of the Board or by a supplemental indenture as permitted by Section 2.01 and 2.03 in conformity with the provisions of this Indenture;</w:t>
      </w:r>
    </w:p>
    <w:p>
      <w:pPr>
        <w:spacing w:after="0" w:line="183" w:lineRule="exact"/>
        <w:rPr>
          <w:rFonts w:ascii="Arial" w:cs="Arial" w:eastAsia="Arial" w:hAnsi="Arial"/>
          <w:sz w:val="18"/>
          <w:szCs w:val="18"/>
          <w:color w:val="auto"/>
        </w:rPr>
      </w:pPr>
    </w:p>
    <w:p>
      <w:pPr>
        <w:ind w:left="1300" w:right="180" w:firstLine="653"/>
        <w:spacing w:after="0" w:line="246" w:lineRule="auto"/>
        <w:tabs>
          <w:tab w:leader="none" w:pos="219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such Securities, when authenticated and delivered by the Trustee and issued by the Issuer in the manner and subject to any conditions specified in such Opinion of Counsel, will constitute valid and binding obligations of the Issuer; and</w:t>
      </w:r>
    </w:p>
    <w:p>
      <w:pPr>
        <w:spacing w:after="0" w:line="183" w:lineRule="exact"/>
        <w:rPr>
          <w:rFonts w:ascii="Arial" w:cs="Arial" w:eastAsia="Arial" w:hAnsi="Arial"/>
          <w:sz w:val="18"/>
          <w:szCs w:val="18"/>
          <w:color w:val="auto"/>
        </w:rPr>
      </w:pPr>
    </w:p>
    <w:p>
      <w:pPr>
        <w:ind w:left="1300" w:right="580" w:firstLine="653"/>
        <w:spacing w:after="0" w:line="246" w:lineRule="auto"/>
        <w:tabs>
          <w:tab w:leader="none" w:pos="223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laws and requirements in respect of the execution and delivery by the Issuer of the Securities have been complied with; and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covering such other matters as the Trustee may reasonably request.</w:t>
      </w:r>
    </w:p>
    <w:p>
      <w:pPr>
        <w:spacing w:after="0" w:line="198" w:lineRule="exact"/>
        <w:rPr>
          <w:sz w:val="20"/>
          <w:szCs w:val="20"/>
          <w:color w:val="auto"/>
        </w:rPr>
      </w:pPr>
    </w:p>
    <w:p>
      <w:pPr>
        <w:ind w:firstLine="1297"/>
        <w:spacing w:after="0" w:line="239" w:lineRule="auto"/>
        <w:rPr>
          <w:sz w:val="20"/>
          <w:szCs w:val="20"/>
          <w:color w:val="auto"/>
        </w:rPr>
      </w:pPr>
      <w:r>
        <w:rPr>
          <w:rFonts w:ascii="Arial" w:cs="Arial" w:eastAsia="Arial" w:hAnsi="Arial"/>
          <w:sz w:val="18"/>
          <w:szCs w:val="18"/>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w:t>
      </w:r>
    </w:p>
    <w:p>
      <w:pPr>
        <w:spacing w:after="0" w:line="188" w:lineRule="exact"/>
        <w:rPr>
          <w:sz w:val="20"/>
          <w:szCs w:val="20"/>
          <w:color w:val="auto"/>
        </w:rPr>
      </w:pPr>
    </w:p>
    <w:p>
      <w:pPr>
        <w:ind w:right="80" w:firstLine="1297"/>
        <w:spacing w:after="0" w:line="238"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Execution of Securities.</w:t>
      </w:r>
      <w:r>
        <w:rPr>
          <w:rFonts w:ascii="Arial" w:cs="Arial" w:eastAsia="Arial" w:hAnsi="Arial"/>
          <w:sz w:val="18"/>
          <w:szCs w:val="18"/>
          <w:color w:val="auto"/>
        </w:rPr>
        <w:t xml:space="preserve"> The Securities shall be signed on behalf of the Issuer by any officer of the Issuer authorized by the Board to execute such Securities, which Securities may, but need not, be attested. Such signatures may be the manual or facsimile signatures of the present or any future such officers. Typographical and other minor errors or defects in any such reproduction of the seal or any such signature shall not affect the validity or enforceability of any Security that has been duly authenticated and delivered by the Trustee.</w:t>
      </w:r>
    </w:p>
    <w:p>
      <w:pPr>
        <w:spacing w:after="0" w:line="189" w:lineRule="exact"/>
        <w:rPr>
          <w:sz w:val="20"/>
          <w:szCs w:val="20"/>
          <w:color w:val="auto"/>
        </w:rPr>
      </w:pPr>
    </w:p>
    <w:p>
      <w:pPr>
        <w:ind w:right="60" w:firstLine="1297"/>
        <w:spacing w:after="0" w:line="238"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 as, at the actual date of the execution of such Security, shall be a proper officer of the Issuer, although at the date of the execution and delivery of this Indenture any such person was not such an officer.</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31" w:name="page132"/>
    <w:bookmarkEnd w:id="131"/>
    <w:p>
      <w:pPr>
        <w:ind w:firstLine="1297"/>
        <w:spacing w:after="0" w:line="238"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Certificate of Authorization.</w:t>
      </w:r>
      <w:r>
        <w:rPr>
          <w:rFonts w:ascii="Arial" w:cs="Arial" w:eastAsia="Arial" w:hAnsi="Arial"/>
          <w:sz w:val="18"/>
          <w:szCs w:val="18"/>
          <w:color w:val="auto"/>
        </w:rPr>
        <w:t xml:space="preserve">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89" w:lineRule="exact"/>
        <w:rPr>
          <w:sz w:val="20"/>
          <w:szCs w:val="20"/>
          <w:color w:val="auto"/>
        </w:rPr>
      </w:pPr>
    </w:p>
    <w:p>
      <w:pPr>
        <w:ind w:right="40" w:firstLine="1297"/>
        <w:spacing w:after="0" w:line="237"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Denomination and Date of Securities; Payments of Interest.</w:t>
      </w:r>
      <w:r>
        <w:rPr>
          <w:rFonts w:ascii="Arial" w:cs="Arial" w:eastAsia="Arial" w:hAnsi="Arial"/>
          <w:sz w:val="18"/>
          <w:szCs w:val="18"/>
          <w:color w:val="auto"/>
        </w:rPr>
        <w:t xml:space="preserve">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$ 2,000 and integral multiples of $1,000 in excess thereof. The Securities shall be numbered, lettered, or otherwise distinguished in such manner or in accordance with such plan as the officers of the Issuer executing the same may determine with the approval of the Trustee as evidenced by the execution and authentication thereof.</w:t>
      </w:r>
    </w:p>
    <w:p>
      <w:pPr>
        <w:spacing w:after="0" w:line="192" w:lineRule="exact"/>
        <w:rPr>
          <w:sz w:val="20"/>
          <w:szCs w:val="20"/>
          <w:color w:val="auto"/>
        </w:rPr>
      </w:pPr>
    </w:p>
    <w:p>
      <w:pPr>
        <w:ind w:right="60" w:firstLine="1297"/>
        <w:spacing w:after="0" w:line="246" w:lineRule="auto"/>
        <w:rPr>
          <w:sz w:val="20"/>
          <w:szCs w:val="20"/>
          <w:color w:val="auto"/>
        </w:rPr>
      </w:pPr>
      <w:r>
        <w:rPr>
          <w:rFonts w:ascii="Arial" w:cs="Arial" w:eastAsia="Arial" w:hAnsi="Arial"/>
          <w:sz w:val="18"/>
          <w:szCs w:val="18"/>
          <w:color w:val="auto"/>
        </w:rPr>
        <w:t>Each Security shall be dated the date of its authentication, shall bear interest, if any, from the date and shall be payable on the dates, in each case, which shall be specified as contemplated by Section 2.03.</w:t>
      </w:r>
    </w:p>
    <w:p>
      <w:pPr>
        <w:spacing w:after="0" w:line="183" w:lineRule="exact"/>
        <w:rPr>
          <w:sz w:val="20"/>
          <w:szCs w:val="20"/>
          <w:color w:val="auto"/>
        </w:rPr>
      </w:pPr>
    </w:p>
    <w:p>
      <w:pPr>
        <w:ind w:right="20" w:firstLine="1297"/>
        <w:spacing w:after="0" w:line="236" w:lineRule="auto"/>
        <w:rPr>
          <w:sz w:val="20"/>
          <w:szCs w:val="20"/>
          <w:color w:val="auto"/>
        </w:rPr>
      </w:pPr>
      <w:r>
        <w:rPr>
          <w:rFonts w:ascii="Arial" w:cs="Arial" w:eastAsia="Arial" w:hAnsi="Arial"/>
          <w:sz w:val="18"/>
          <w:szCs w:val="18"/>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w:t>
      </w:r>
      <w:r>
        <w:rPr>
          <w:rFonts w:ascii="Arial" w:cs="Arial" w:eastAsia="Arial" w:hAnsi="Arial"/>
          <w:sz w:val="18"/>
          <w:szCs w:val="18"/>
          <w:u w:val="single" w:color="auto"/>
          <w:color w:val="auto"/>
        </w:rPr>
        <w:t>record date</w:t>
      </w:r>
      <w:r>
        <w:rPr>
          <w:rFonts w:ascii="Arial" w:cs="Arial" w:eastAsia="Arial" w:hAnsi="Arial"/>
          <w:sz w:val="18"/>
          <w:szCs w:val="18"/>
          <w:color w:val="auto"/>
        </w:rPr>
        <w:t>”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191" w:lineRule="exact"/>
        <w:rPr>
          <w:sz w:val="20"/>
          <w:szCs w:val="20"/>
          <w:color w:val="auto"/>
        </w:rPr>
      </w:pPr>
    </w:p>
    <w:p>
      <w:pPr>
        <w:ind w:right="300" w:firstLine="1297"/>
        <w:spacing w:after="0" w:line="23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Regulation, Transfer and Exchange.</w:t>
      </w:r>
      <w:r>
        <w:rPr>
          <w:rFonts w:ascii="Arial" w:cs="Arial" w:eastAsia="Arial" w:hAnsi="Arial"/>
          <w:sz w:val="18"/>
          <w:szCs w:val="18"/>
          <w:color w:val="auto"/>
        </w:rPr>
        <w:t xml:space="preserv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32" w:name="page133"/>
    <w:bookmarkEnd w:id="132"/>
    <w:p>
      <w:pPr>
        <w:ind w:right="260"/>
        <w:spacing w:after="0" w:line="246" w:lineRule="auto"/>
        <w:rPr>
          <w:sz w:val="20"/>
          <w:szCs w:val="20"/>
          <w:color w:val="auto"/>
        </w:rPr>
      </w:pPr>
      <w:r>
        <w:rPr>
          <w:rFonts w:ascii="Arial" w:cs="Arial" w:eastAsia="Arial" w:hAnsi="Arial"/>
          <w:sz w:val="18"/>
          <w:szCs w:val="18"/>
          <w:color w:val="auto"/>
        </w:rPr>
        <w:t>form capable of being converted into such form within a reasonable time. At all reasonable times such register or registers shall be open for inspection by the Trustee.</w:t>
      </w:r>
    </w:p>
    <w:p>
      <w:pPr>
        <w:spacing w:after="0" w:line="183" w:lineRule="exact"/>
        <w:rPr>
          <w:sz w:val="20"/>
          <w:szCs w:val="20"/>
          <w:color w:val="auto"/>
        </w:rPr>
      </w:pPr>
    </w:p>
    <w:p>
      <w:pPr>
        <w:ind w:right="180" w:firstLine="1297"/>
        <w:spacing w:after="0" w:line="261" w:lineRule="auto"/>
        <w:rPr>
          <w:sz w:val="20"/>
          <w:szCs w:val="20"/>
          <w:color w:val="auto"/>
        </w:rPr>
      </w:pPr>
      <w:r>
        <w:rPr>
          <w:rFonts w:ascii="Arial" w:cs="Arial" w:eastAsia="Arial" w:hAnsi="Arial"/>
          <w:sz w:val="17"/>
          <w:szCs w:val="17"/>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in authorized denominations for a like aggregate principal amount.</w:t>
      </w:r>
    </w:p>
    <w:p>
      <w:pPr>
        <w:spacing w:after="0" w:line="173" w:lineRule="exact"/>
        <w:rPr>
          <w:sz w:val="20"/>
          <w:szCs w:val="20"/>
          <w:color w:val="auto"/>
        </w:rPr>
      </w:pPr>
    </w:p>
    <w:p>
      <w:pPr>
        <w:ind w:firstLine="1297"/>
        <w:spacing w:after="0" w:line="238" w:lineRule="auto"/>
        <w:rPr>
          <w:sz w:val="20"/>
          <w:szCs w:val="20"/>
          <w:color w:val="auto"/>
        </w:rPr>
      </w:pPr>
      <w:r>
        <w:rPr>
          <w:rFonts w:ascii="Arial" w:cs="Arial" w:eastAsia="Arial" w:hAnsi="Arial"/>
          <w:sz w:val="18"/>
          <w:szCs w:val="18"/>
          <w:color w:val="auto"/>
        </w:rPr>
        <w:t>Any Security or Securities of any series may be exchanged for a Security or Securities of the same series in other authorized denominations, in an equal aggregate principal amount. Securities of any series to be exchanged shall be surrendered at any office or agency to be maintained by the Issuer for the purpose as provided in Section 3.02, and the Issuer shall execute and the Trustee shall authenticate and deliver in exchange therefor the Security or Securities of the same series which the Securityholder making the exchange shall be entitled to receive, bearing numbers not contemporaneously outstanding.</w:t>
      </w:r>
    </w:p>
    <w:p>
      <w:pPr>
        <w:spacing w:after="0" w:line="189" w:lineRule="exact"/>
        <w:rPr>
          <w:sz w:val="20"/>
          <w:szCs w:val="20"/>
          <w:color w:val="auto"/>
        </w:rPr>
      </w:pPr>
    </w:p>
    <w:p>
      <w:pPr>
        <w:ind w:right="100" w:firstLine="1297"/>
        <w:spacing w:after="0"/>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attorney duly authorized in writing.</w:t>
      </w:r>
    </w:p>
    <w:p>
      <w:pPr>
        <w:spacing w:after="0" w:line="189" w:lineRule="exact"/>
        <w:rPr>
          <w:sz w:val="20"/>
          <w:szCs w:val="20"/>
          <w:color w:val="auto"/>
        </w:rPr>
      </w:pPr>
    </w:p>
    <w:p>
      <w:pPr>
        <w:ind w:right="300" w:firstLine="1297"/>
        <w:spacing w:after="0" w:line="246" w:lineRule="auto"/>
        <w:rPr>
          <w:sz w:val="20"/>
          <w:szCs w:val="20"/>
          <w:color w:val="auto"/>
        </w:rPr>
      </w:pPr>
      <w:r>
        <w:rPr>
          <w:rFonts w:ascii="Arial" w:cs="Arial" w:eastAsia="Arial" w:hAnsi="Arial"/>
          <w:sz w:val="18"/>
          <w:szCs w:val="18"/>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183" w:lineRule="exact"/>
        <w:rPr>
          <w:sz w:val="20"/>
          <w:szCs w:val="20"/>
          <w:color w:val="auto"/>
        </w:rPr>
      </w:pPr>
    </w:p>
    <w:p>
      <w:pPr>
        <w:ind w:right="160" w:firstLine="1297"/>
        <w:spacing w:after="0" w:line="239" w:lineRule="auto"/>
        <w:rPr>
          <w:sz w:val="20"/>
          <w:szCs w:val="20"/>
          <w:color w:val="auto"/>
        </w:rPr>
      </w:pPr>
      <w:r>
        <w:rPr>
          <w:rFonts w:ascii="Arial" w:cs="Arial" w:eastAsia="Arial" w:hAnsi="Arial"/>
          <w:sz w:val="18"/>
          <w:szCs w:val="18"/>
          <w:color w:val="auto"/>
        </w:rPr>
        <w:t>The Issuer shall not be required to exchange or register a transfer of (a) any Securities of any series for a period of 15 days next preceding the first mailing of notice of redemption of Securities of such series to be redeemed, or (b) any Securities selected, called or being called for redemption except, in the case of any Security where notice has been given that such Security is to be redeemed in part, the portion thereof not so to be redeemed.</w:t>
      </w:r>
    </w:p>
    <w:p>
      <w:pPr>
        <w:spacing w:after="0" w:line="188" w:lineRule="exact"/>
        <w:rPr>
          <w:sz w:val="20"/>
          <w:szCs w:val="20"/>
          <w:color w:val="auto"/>
        </w:rPr>
      </w:pPr>
    </w:p>
    <w:p>
      <w:pPr>
        <w:ind w:right="100" w:firstLine="1297"/>
        <w:spacing w:after="0" w:line="246"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83" w:lineRule="exact"/>
        <w:rPr>
          <w:sz w:val="20"/>
          <w:szCs w:val="20"/>
          <w:color w:val="auto"/>
        </w:rPr>
      </w:pPr>
    </w:p>
    <w:p>
      <w:pPr>
        <w:ind w:right="80" w:firstLine="1297"/>
        <w:spacing w:after="0" w:line="238"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Mutilated, Defaced, Destroyed, Lost and Stolen Securities.</w:t>
      </w:r>
      <w:r>
        <w:rPr>
          <w:rFonts w:ascii="Arial" w:cs="Arial" w:eastAsia="Arial" w:hAnsi="Arial"/>
          <w:sz w:val="18"/>
          <w:szCs w:val="18"/>
          <w:color w:val="auto"/>
        </w:rPr>
        <w:t xml:space="preserve">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bearing a number not contemporaneously outstanding, in exchange and substitution for the mutilated or defaced Security, or in lieu of and substitution for the Security so destroyed, lost or stolen. In every case the applicant for a</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33" w:name="page134"/>
    <w:bookmarkEnd w:id="133"/>
    <w:p>
      <w:pPr>
        <w:ind w:right="20"/>
        <w:spacing w:after="0" w:line="239" w:lineRule="auto"/>
        <w:rPr>
          <w:sz w:val="20"/>
          <w:szCs w:val="20"/>
          <w:color w:val="auto"/>
        </w:rPr>
      </w:pPr>
      <w:r>
        <w:rPr>
          <w:rFonts w:ascii="Arial" w:cs="Arial" w:eastAsia="Arial" w:hAnsi="Arial"/>
          <w:sz w:val="18"/>
          <w:szCs w:val="18"/>
          <w:color w:val="auto"/>
        </w:rPr>
        <w:t>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 or such agent.</w:t>
      </w:r>
    </w:p>
    <w:p>
      <w:pPr>
        <w:spacing w:after="0" w:line="188" w:lineRule="exact"/>
        <w:rPr>
          <w:sz w:val="20"/>
          <w:szCs w:val="20"/>
          <w:color w:val="auto"/>
        </w:rPr>
      </w:pPr>
    </w:p>
    <w:p>
      <w:pPr>
        <w:ind w:right="140" w:firstLine="1297"/>
        <w:spacing w:after="0" w:line="252" w:lineRule="auto"/>
        <w:rPr>
          <w:sz w:val="20"/>
          <w:szCs w:val="20"/>
          <w:color w:val="auto"/>
        </w:rPr>
      </w:pPr>
      <w:r>
        <w:rPr>
          <w:rFonts w:ascii="Arial" w:cs="Arial" w:eastAsia="Arial" w:hAnsi="Arial"/>
          <w:sz w:val="17"/>
          <w:szCs w:val="17"/>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or its agent)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81" w:lineRule="exact"/>
        <w:rPr>
          <w:sz w:val="20"/>
          <w:szCs w:val="20"/>
          <w:color w:val="auto"/>
        </w:rPr>
      </w:pPr>
    </w:p>
    <w:p>
      <w:pPr>
        <w:ind w:firstLine="1297"/>
        <w:spacing w:after="0" w:line="236" w:lineRule="auto"/>
        <w:rPr>
          <w:sz w:val="20"/>
          <w:szCs w:val="20"/>
          <w:color w:val="auto"/>
        </w:rPr>
      </w:pPr>
      <w:r>
        <w:rPr>
          <w:rFonts w:ascii="Arial" w:cs="Arial" w:eastAsia="Arial" w:hAnsi="Arial"/>
          <w:sz w:val="18"/>
          <w:szCs w:val="18"/>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95" w:lineRule="exact"/>
        <w:rPr>
          <w:sz w:val="20"/>
          <w:szCs w:val="20"/>
          <w:color w:val="auto"/>
        </w:rPr>
      </w:pPr>
    </w:p>
    <w:p>
      <w:pPr>
        <w:ind w:right="80" w:firstLine="1297"/>
        <w:spacing w:after="0" w:line="23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Cancellation of Securities.</w:t>
      </w:r>
      <w:r>
        <w:rPr>
          <w:rFonts w:ascii="Arial" w:cs="Arial" w:eastAsia="Arial" w:hAnsi="Arial"/>
          <w:sz w:val="18"/>
          <w:szCs w:val="18"/>
          <w:color w:val="auto"/>
        </w:rPr>
        <w:t xml:space="preserve"> All Securities surrendered for payment, redemption,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in accordance with its procedures for the disposition of cancelled Securities and deliver a certificate of disposition to the Issuer upon its request therefor.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4" w:name="page135"/>
    <w:bookmarkEnd w:id="134"/>
    <w:p>
      <w:pPr>
        <w:ind w:right="20" w:firstLine="1297"/>
        <w:spacing w:after="0" w:line="236"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 unless otherwise established pursuant to Section 2.03.</w:t>
      </w:r>
    </w:p>
    <w:p>
      <w:pPr>
        <w:spacing w:after="0" w:line="190" w:lineRule="exact"/>
        <w:rPr>
          <w:sz w:val="20"/>
          <w:szCs w:val="20"/>
          <w:color w:val="auto"/>
        </w:rPr>
      </w:pPr>
    </w:p>
    <w:p>
      <w:pPr>
        <w:ind w:firstLine="1297"/>
        <w:spacing w:after="0" w:line="23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CUSIP Numbers.</w:t>
      </w:r>
      <w:r>
        <w:rPr>
          <w:rFonts w:ascii="Arial" w:cs="Arial" w:eastAsia="Arial" w:hAnsi="Arial"/>
          <w:sz w:val="18"/>
          <w:szCs w:val="18"/>
          <w:color w:val="auto"/>
        </w:rPr>
        <w:t xml:space="preserve">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promptly notify the Trustee in writing of any change in the “CUSIP” numbers.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 of the Issuer and the Trustee</w:t>
      </w:r>
    </w:p>
    <w:p>
      <w:pPr>
        <w:spacing w:after="0" w:line="198" w:lineRule="exact"/>
        <w:rPr>
          <w:sz w:val="20"/>
          <w:szCs w:val="20"/>
          <w:color w:val="auto"/>
        </w:rPr>
      </w:pPr>
    </w:p>
    <w:p>
      <w:pPr>
        <w:ind w:right="20" w:firstLine="1297"/>
        <w:spacing w:after="0" w:line="23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Subject to any other provisions that may be established pursuant to Section 2.03, the interest on Securities (together with any additional amounts payable pursuant to the terms of such Securities) shall be payable only to or upon the written order of the Holders thereof and, at the option of the Issuer, may be paid by wire transfer or by mailing checks for such interest payable to or upon the written order of such Holders at their last addresses as they appear on the registry books of the Issuer.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35" w:name="page136"/>
    <w:bookmarkEnd w:id="135"/>
    <w:p>
      <w:pPr>
        <w:ind w:right="80" w:firstLine="1297"/>
        <w:spacing w:after="0" w:line="23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Offices for Payments, etc.</w:t>
      </w:r>
      <w:r>
        <w:rPr>
          <w:rFonts w:ascii="Arial" w:cs="Arial" w:eastAsia="Arial" w:hAnsi="Arial"/>
          <w:sz w:val="18"/>
          <w:szCs w:val="18"/>
          <w:color w:val="auto"/>
        </w:rPr>
        <w:t xml:space="preserve"> So long as any of the Securities remain outstanding, the Issuer will maintain in the Borough of Manhattan, The City of New York, the following for each series: an office or agency (a) where the Securities may be presented for payment, (b) where the Securities may be presented for registration of transfer and for exchange as in this Indenture provided and (c) where notices and demands to or upon the Issuer in respect of the Securities or of this Indenture may be served. The Issuer will give to the Trustee written notice of the location of any such office or agency and of any change of location thereof. Unless otherwise specified in accordance with Section 2.03, the Issuer hereby initially designates the Corporate Trust Office of the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195" w:lineRule="exact"/>
        <w:rPr>
          <w:sz w:val="20"/>
          <w:szCs w:val="20"/>
          <w:color w:val="auto"/>
        </w:rPr>
      </w:pPr>
    </w:p>
    <w:p>
      <w:pPr>
        <w:ind w:firstLine="1297"/>
        <w:spacing w:after="0" w:line="237" w:lineRule="auto"/>
        <w:rPr>
          <w:sz w:val="20"/>
          <w:szCs w:val="20"/>
          <w:color w:val="auto"/>
        </w:rPr>
      </w:pPr>
      <w:r>
        <w:rPr>
          <w:rFonts w:ascii="Arial" w:cs="Arial" w:eastAsia="Arial" w:hAnsi="Arial"/>
          <w:sz w:val="18"/>
          <w:szCs w:val="18"/>
          <w:color w:val="auto"/>
        </w:rPr>
        <w:t>The Issuer may from time to time designate one or more additional offices or agencies where the Securities of a series may be presented for payment, where the Securities of that series may be presented for exchange as provided in this Indenture and pursuant to Section 2.03 and where the Securities of that series may be presented for registration of transfer as provided in this Indenture, and the Issuer may from time to time rescind any such designation, as the Issuer may deem desirable or expedient; provided, however,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92" w:lineRule="exact"/>
        <w:rPr>
          <w:sz w:val="20"/>
          <w:szCs w:val="20"/>
          <w:color w:val="auto"/>
        </w:rPr>
      </w:pPr>
    </w:p>
    <w:p>
      <w:pPr>
        <w:jc w:val="both"/>
        <w:ind w:right="20" w:firstLine="1297"/>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Appointment to Fill a Vacancy in Office of Trustee.</w:t>
      </w:r>
      <w:r>
        <w:rPr>
          <w:rFonts w:ascii="Arial" w:cs="Arial" w:eastAsia="Arial" w:hAnsi="Arial"/>
          <w:sz w:val="18"/>
          <w:szCs w:val="18"/>
          <w:color w:val="auto"/>
        </w:rPr>
        <w:t xml:space="preserve"> The Issuer, whenever necessary to avoid or fill a vacancy in the office of Trustee, will appoint, in the manner provided in Section 5.09, a Trustee, so that there shall at all times be a Trustee with respect to each series of Securities hereunder.</w:t>
      </w:r>
    </w:p>
    <w:p>
      <w:pPr>
        <w:spacing w:after="0" w:line="189" w:lineRule="exact"/>
        <w:rPr>
          <w:sz w:val="20"/>
          <w:szCs w:val="20"/>
          <w:color w:val="auto"/>
        </w:rPr>
      </w:pPr>
    </w:p>
    <w:p>
      <w:pPr>
        <w:jc w:val="both"/>
        <w:ind w:right="260" w:firstLine="1297"/>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89" w:lineRule="exact"/>
        <w:rPr>
          <w:sz w:val="20"/>
          <w:szCs w:val="20"/>
          <w:color w:val="auto"/>
        </w:rPr>
      </w:pPr>
    </w:p>
    <w:p>
      <w:pPr>
        <w:ind w:left="660" w:right="120" w:firstLine="645"/>
        <w:spacing w:after="0"/>
        <w:tabs>
          <w:tab w:leader="none" w:pos="157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89" w:lineRule="exact"/>
        <w:rPr>
          <w:rFonts w:ascii="Arial" w:cs="Arial" w:eastAsia="Arial" w:hAnsi="Arial"/>
          <w:sz w:val="18"/>
          <w:szCs w:val="18"/>
          <w:color w:val="auto"/>
        </w:rPr>
      </w:pPr>
    </w:p>
    <w:p>
      <w:pPr>
        <w:ind w:left="660" w:right="340" w:firstLine="645"/>
        <w:spacing w:after="0" w:line="246" w:lineRule="auto"/>
        <w:tabs>
          <w:tab w:leader="none" w:pos="157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36" w:name="page137"/>
    <w:bookmarkEnd w:id="136"/>
    <w:p>
      <w:pPr>
        <w:ind w:left="660" w:right="220" w:firstLine="645"/>
        <w:spacing w:after="0" w:line="246" w:lineRule="auto"/>
        <w:tabs>
          <w:tab w:leader="none" w:pos="156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that it will pay any such sums so held in trust by it to the Trustee upon the Trustee’s written request at any time during the continuance of the failure referred to in clause 3.04(b) above.</w:t>
      </w:r>
    </w:p>
    <w:p>
      <w:pPr>
        <w:spacing w:after="0" w:line="183" w:lineRule="exact"/>
        <w:rPr>
          <w:sz w:val="20"/>
          <w:szCs w:val="20"/>
          <w:color w:val="auto"/>
        </w:rPr>
      </w:pPr>
    </w:p>
    <w:p>
      <w:pPr>
        <w:jc w:val="both"/>
        <w:ind w:right="80" w:firstLine="1297"/>
        <w:spacing w:after="0"/>
        <w:rPr>
          <w:sz w:val="20"/>
          <w:szCs w:val="20"/>
          <w:color w:val="auto"/>
        </w:rPr>
      </w:pPr>
      <w:r>
        <w:rPr>
          <w:rFonts w:ascii="Arial" w:cs="Arial" w:eastAsia="Arial" w:hAnsi="Arial"/>
          <w:sz w:val="18"/>
          <w:szCs w:val="18"/>
          <w:color w:val="auto"/>
        </w:rPr>
        <w:t>The Issuer will, on or prior to 10:00 a.m. New York City time on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89" w:lineRule="exact"/>
        <w:rPr>
          <w:sz w:val="20"/>
          <w:szCs w:val="20"/>
          <w:color w:val="auto"/>
        </w:rPr>
      </w:pPr>
    </w:p>
    <w:p>
      <w:pPr>
        <w:ind w:right="160" w:firstLine="1297"/>
        <w:spacing w:after="0" w:line="239" w:lineRule="auto"/>
        <w:rPr>
          <w:sz w:val="20"/>
          <w:szCs w:val="20"/>
          <w:color w:val="auto"/>
        </w:rPr>
      </w:pPr>
      <w:r>
        <w:rPr>
          <w:rFonts w:ascii="Arial" w:cs="Arial" w:eastAsia="Arial" w:hAnsi="Arial"/>
          <w:sz w:val="18"/>
          <w:szCs w:val="18"/>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88" w:lineRule="exact"/>
        <w:rPr>
          <w:sz w:val="20"/>
          <w:szCs w:val="20"/>
          <w:color w:val="auto"/>
        </w:rPr>
      </w:pPr>
    </w:p>
    <w:p>
      <w:pPr>
        <w:jc w:val="both"/>
        <w:ind w:right="80" w:firstLine="1297"/>
        <w:spacing w:after="0" w:line="239" w:lineRule="auto"/>
        <w:rPr>
          <w:sz w:val="20"/>
          <w:szCs w:val="20"/>
          <w:color w:val="auto"/>
        </w:rPr>
      </w:pPr>
      <w:r>
        <w:rPr>
          <w:rFonts w:ascii="Arial" w:cs="Arial" w:eastAsia="Arial" w:hAnsi="Arial"/>
          <w:sz w:val="18"/>
          <w:szCs w:val="18"/>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88" w:lineRule="exact"/>
        <w:rPr>
          <w:sz w:val="20"/>
          <w:szCs w:val="20"/>
          <w:color w:val="auto"/>
        </w:rPr>
      </w:pPr>
    </w:p>
    <w:p>
      <w:pPr>
        <w:ind w:right="560" w:firstLine="1297"/>
        <w:spacing w:after="0" w:line="246"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 9.03 and 9.04.</w:t>
      </w:r>
    </w:p>
    <w:p>
      <w:pPr>
        <w:spacing w:after="0" w:line="183" w:lineRule="exact"/>
        <w:rPr>
          <w:sz w:val="20"/>
          <w:szCs w:val="20"/>
          <w:color w:val="auto"/>
        </w:rPr>
      </w:pPr>
    </w:p>
    <w:p>
      <w:pPr>
        <w:jc w:val="both"/>
        <w:ind w:right="120" w:firstLine="1297"/>
        <w:spacing w:after="0" w:line="23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Certificate of the Issuer.</w:t>
      </w:r>
      <w:r>
        <w:rPr>
          <w:rFonts w:ascii="Arial" w:cs="Arial" w:eastAsia="Arial" w:hAnsi="Arial"/>
          <w:sz w:val="18"/>
          <w:szCs w:val="18"/>
          <w:color w:val="auto"/>
        </w:rPr>
        <w:t xml:space="preserve"> The Issuer will furnish to the Trustee on or before [__] in each year (beginning with [__]) an Officers’ Certificate of the Issuer as to the signers’ knowledge of the Issuer’s compliance with all conditions and covenants under the Indenture (such compliance to be determined without regard to any period of grace or requirement of notice provided under the Indenture). In the event an Officer of the Issuer comes to have actual knowledge of an Event of Default or an event which, with notice or the lapse of time or both, would constitute an Event of Default, regardless of the date, the Issuer shall deliver an Officers’ Certificate to the Trustee specifying such Default and the nature and status thereof.</w:t>
      </w:r>
    </w:p>
    <w:p>
      <w:pPr>
        <w:spacing w:after="0" w:line="192" w:lineRule="exact"/>
        <w:rPr>
          <w:sz w:val="20"/>
          <w:szCs w:val="20"/>
          <w:color w:val="auto"/>
        </w:rPr>
      </w:pPr>
    </w:p>
    <w:p>
      <w:pPr>
        <w:ind w:firstLine="1297"/>
        <w:spacing w:after="0" w:line="238"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Securityholders Lists.</w:t>
      </w:r>
      <w:r>
        <w:rPr>
          <w:rFonts w:ascii="Arial" w:cs="Arial" w:eastAsia="Arial" w:hAnsi="Arial"/>
          <w:sz w:val="18"/>
          <w:szCs w:val="18"/>
          <w:color w:val="auto"/>
        </w:rPr>
        <w:t xml:space="preserve">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15 days after each record date for the payment of interest on such Securities, as hereinabove specified, as of such record date and on dates to be determined pursuant to Section 2.03 for non-interest bearing securities in each year, and (b) at such other times as the Trustee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37" w:name="page138"/>
    <w:bookmarkEnd w:id="137"/>
    <w:p>
      <w:pPr>
        <w:ind w:right="340"/>
        <w:spacing w:after="0" w:line="246" w:lineRule="auto"/>
        <w:rPr>
          <w:sz w:val="20"/>
          <w:szCs w:val="20"/>
          <w:color w:val="auto"/>
        </w:rPr>
      </w:pPr>
      <w:r>
        <w:rPr>
          <w:rFonts w:ascii="Arial" w:cs="Arial" w:eastAsia="Arial" w:hAnsi="Arial"/>
          <w:sz w:val="18"/>
          <w:szCs w:val="18"/>
          <w:color w:val="auto"/>
        </w:rPr>
        <w:t>may request in writing, within thirty days after receipt by the Issuer of any such request as of a date not more than 15 days prior to the time such information is furnished.</w:t>
      </w:r>
    </w:p>
    <w:p>
      <w:pPr>
        <w:spacing w:after="0" w:line="183" w:lineRule="exact"/>
        <w:rPr>
          <w:sz w:val="20"/>
          <w:szCs w:val="20"/>
          <w:color w:val="auto"/>
        </w:rPr>
      </w:pPr>
    </w:p>
    <w:p>
      <w:pPr>
        <w:ind w:firstLine="1297"/>
        <w:spacing w:after="0" w:line="23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Reports by the Issuer.</w:t>
      </w:r>
      <w:r>
        <w:rPr>
          <w:rFonts w:ascii="Arial" w:cs="Arial" w:eastAsia="Arial" w:hAnsi="Arial"/>
          <w:sz w:val="18"/>
          <w:szCs w:val="18"/>
          <w:color w:val="auto"/>
        </w:rPr>
        <w:t xml:space="preserve"> The Issuer covenants to file with the Trustee, within 15 days after the Issuer files the same with the Commission, copies of the annual reports and of the information, documents, and other reports that the Issuer may be required to file with the Commission pursuant to Section 13 or Section 15(d) of the Securities Exchange Act of 1934. 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92" w:lineRule="exact"/>
        <w:rPr>
          <w:sz w:val="20"/>
          <w:szCs w:val="20"/>
          <w:color w:val="auto"/>
        </w:rPr>
      </w:pPr>
    </w:p>
    <w:p>
      <w:pPr>
        <w:ind w:right="60" w:firstLine="1297"/>
        <w:spacing w:after="0" w:line="23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 xml:space="preserve"> Any Trustee’s report required under Section 313(a) of the Trust Indenture Act of 1939 shall be transmitted on or before [__ ] in each year following the date hereof, so long as any Securities are outstanding hereunder, and shall be dated as of a date convenient to the Trustee no more than 60 nor less than 45 days prior thereto. The Trustee shall also comply with Section 313(b) of the Trust Indenture Act of 1939.</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Remedies of the Trustee and Securityholders on Event of Default</w:t>
      </w:r>
    </w:p>
    <w:p>
      <w:pPr>
        <w:spacing w:after="0" w:line="198" w:lineRule="exact"/>
        <w:rPr>
          <w:sz w:val="20"/>
          <w:szCs w:val="20"/>
          <w:color w:val="auto"/>
        </w:rPr>
      </w:pPr>
    </w:p>
    <w:p>
      <w:pPr>
        <w:ind w:right="40" w:firstLine="1297"/>
        <w:spacing w:after="0" w:line="23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Event of Default; Acceleration of Maturity; Waiver of Default.</w:t>
      </w:r>
      <w:r>
        <w:rPr>
          <w:rFonts w:ascii="Arial" w:cs="Arial" w:eastAsia="Arial" w:hAnsi="Arial"/>
          <w:sz w:val="18"/>
          <w:szCs w:val="18"/>
          <w:color w:val="auto"/>
        </w:rPr>
        <w:t xml:space="preserve"> Unless otherwise established in accordance with Section 2.03 or by any applicable supplemental indenture, “Event of Default”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9" w:lineRule="exact"/>
        <w:rPr>
          <w:sz w:val="20"/>
          <w:szCs w:val="20"/>
          <w:color w:val="auto"/>
        </w:rPr>
      </w:pPr>
    </w:p>
    <w:p>
      <w:pPr>
        <w:ind w:left="1580" w:hanging="275"/>
        <w:spacing w:after="0"/>
        <w:tabs>
          <w:tab w:leader="none" w:pos="15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default for more than 30 days in the payment of interest, premium or principal in respect of the Securities; or</w:t>
      </w:r>
    </w:p>
    <w:p>
      <w:pPr>
        <w:spacing w:after="0" w:line="198" w:lineRule="exact"/>
        <w:rPr>
          <w:rFonts w:ascii="Arial" w:cs="Arial" w:eastAsia="Arial" w:hAnsi="Arial"/>
          <w:sz w:val="18"/>
          <w:szCs w:val="18"/>
          <w:color w:val="auto"/>
        </w:rPr>
      </w:pPr>
    </w:p>
    <w:p>
      <w:pPr>
        <w:ind w:left="660" w:firstLine="645"/>
        <w:spacing w:after="0" w:line="246" w:lineRule="auto"/>
        <w:tabs>
          <w:tab w:leader="none" w:pos="157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failure to perform or observe any other obligations under the Securities which failure continues for the period of 60 days next following service on the Issuer of notice requiring the same to be remedied; or</w:t>
      </w:r>
    </w:p>
    <w:p>
      <w:pPr>
        <w:spacing w:after="0" w:line="183" w:lineRule="exact"/>
        <w:rPr>
          <w:rFonts w:ascii="Arial" w:cs="Arial" w:eastAsia="Arial" w:hAnsi="Arial"/>
          <w:sz w:val="18"/>
          <w:szCs w:val="18"/>
          <w:color w:val="auto"/>
        </w:rPr>
      </w:pPr>
    </w:p>
    <w:p>
      <w:pPr>
        <w:ind w:left="1560" w:hanging="255"/>
        <w:spacing w:after="0"/>
        <w:tabs>
          <w:tab w:leader="none" w:pos="1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w:t>
      </w:r>
    </w:p>
    <w:p>
      <w:pPr>
        <w:spacing w:after="0" w:line="198" w:lineRule="exact"/>
        <w:rPr>
          <w:sz w:val="20"/>
          <w:szCs w:val="20"/>
          <w:color w:val="auto"/>
        </w:rPr>
      </w:pPr>
    </w:p>
    <w:p>
      <w:pPr>
        <w:ind w:left="1300" w:right="200" w:firstLine="653"/>
        <w:spacing w:after="0" w:line="246" w:lineRule="auto"/>
        <w:tabs>
          <w:tab w:leader="none" w:pos="215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decree or order for relief in respect of the Issuer in an involuntary case or proceeding under any applicable U.S. federal, state or non-U.S. bankruptcy, insolvency, reorganization or other similar law;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22" w:right="299" w:bottom="1440" w:gutter="0" w:footer="0" w:header="0"/>
        </w:sectPr>
      </w:pPr>
    </w:p>
    <w:bookmarkStart w:id="138" w:name="page139"/>
    <w:bookmarkEnd w:id="138"/>
    <w:p>
      <w:pPr>
        <w:ind w:left="1300" w:right="120" w:firstLine="653"/>
        <w:spacing w:after="0" w:line="237" w:lineRule="auto"/>
        <w:tabs>
          <w:tab w:leader="none" w:pos="219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decree or order adjudging the Issuer a bankrupt or insolvent, or approving as properly filed a petition seeking reorganization, arrangement, adjustment or composition of or in respect of the Issuer under any applicable U.S. federal, state or non-U.S. law, or appointing a custodian, receiver, liquidator, assignee, trustee, sequestrator or other similar official of the Issuer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191" w:lineRule="exact"/>
        <w:rPr>
          <w:rFonts w:ascii="Arial" w:cs="Arial" w:eastAsia="Arial" w:hAnsi="Arial"/>
          <w:sz w:val="18"/>
          <w:szCs w:val="18"/>
          <w:color w:val="auto"/>
        </w:rPr>
      </w:pPr>
    </w:p>
    <w:p>
      <w:pPr>
        <w:ind w:left="660" w:firstLine="645"/>
        <w:spacing w:after="0" w:line="236" w:lineRule="auto"/>
        <w:tabs>
          <w:tab w:leader="none" w:pos="157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commencement by the Issuer of a voluntary case or proceeding under any applicable U.S. federal, state or non-U.S. bankruptcy, insolvency, reorganization or other similar law or of any other case or proceeding to be adjudicated a bankrupt or insolvent, or the consent by the Issuer to the entry of a decree or order for relief in respect of the Issuer in an involuntary case or proceeding under any applicable U.S. federal, state or non-U.S. bankruptcy, insolvency, reorganization or other similar law or to the commencement of any bankruptcy or insolvency case or proceeding against the Issuer, or the filing by the Issuer of a petition or answer or consent seeking reorganization or relief under any applicable U.S. federal, state or non-U.S. law, or the consent by the Issuer to the filing of such petition or to the appointment of or the taking possession by a custodian, receiver, liquidator, assignee, trustee, sequestrator or other similar official of the Issuer or of any substantial part of its property, or the making by the Issuer of an assignment for the benefit of creditors, or the admission by the Issuer in writing of its inability to pay its debts generally as they become due, or the taking of corporate action by the Issuer expressly in furtherance of any such action; or</w:t>
      </w:r>
    </w:p>
    <w:p>
      <w:pPr>
        <w:spacing w:after="0" w:line="193" w:lineRule="exact"/>
        <w:rPr>
          <w:rFonts w:ascii="Arial" w:cs="Arial" w:eastAsia="Arial" w:hAnsi="Arial"/>
          <w:sz w:val="18"/>
          <w:szCs w:val="18"/>
          <w:color w:val="auto"/>
        </w:rPr>
      </w:pPr>
    </w:p>
    <w:p>
      <w:pPr>
        <w:ind w:left="660" w:right="320" w:firstLine="645"/>
        <w:spacing w:after="0" w:line="246" w:lineRule="auto"/>
        <w:tabs>
          <w:tab w:leader="none" w:pos="157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under which such series of Securities is issued or in the form of Security for such series.</w:t>
      </w:r>
    </w:p>
    <w:p>
      <w:pPr>
        <w:spacing w:after="0" w:line="183" w:lineRule="exact"/>
        <w:rPr>
          <w:sz w:val="20"/>
          <w:szCs w:val="20"/>
          <w:color w:val="auto"/>
        </w:rPr>
      </w:pPr>
    </w:p>
    <w:p>
      <w:pPr>
        <w:ind w:firstLine="1297"/>
        <w:spacing w:after="0" w:line="236" w:lineRule="auto"/>
        <w:rPr>
          <w:sz w:val="20"/>
          <w:szCs w:val="20"/>
          <w:color w:val="auto"/>
        </w:rPr>
      </w:pPr>
      <w:r>
        <w:rPr>
          <w:rFonts w:ascii="Arial" w:cs="Arial" w:eastAsia="Arial" w:hAnsi="Arial"/>
          <w:sz w:val="18"/>
          <w:szCs w:val="18"/>
          <w:color w:val="auto"/>
        </w:rPr>
        <w:t>Unless otherwise set forth in any applicable supplemental indenture, if an Event of Default described in clauses 4.01(a), 4.01(b), or 4.01(e) above (if the Event of Default under clauses 4.01(b) or 4.01(e) is with respect to less than all series of Securities then Outstanding) occurs and is continuing, then, and in each and every such case, except for any series the principal of which shall have already become due and payable, either the Trustee or the holders of not less than 25% in aggregate principal amount of the Securities of all series affected thereby then Outstanding hereunder (treated as one class) by notice in writing to the Issuer (and to the Trustee if given by Securityholders), may declare the entire principal (or, if the Securities of any such affected series are Original Issue Discount Securities, such portion of the principal amount as may be specified in the terms of such series) of all Securities of such affected series and the interest accrued thereon, if any, to be due and payable immediately, and upon any such declaration the same shall become immediately due and payable. Unless otherwise set forth in any applicable supplemental indenture, if an Event of Default described in clauses 4.01(b) or 4.01(e) (if the Event of Default under clauses 4.01(b) or 4.01(e) is with respect to all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39" w:name="page140"/>
    <w:bookmarkEnd w:id="139"/>
    <w:p>
      <w:pPr>
        <w:ind w:right="100"/>
        <w:spacing w:after="0" w:line="236" w:lineRule="auto"/>
        <w:rPr>
          <w:sz w:val="20"/>
          <w:szCs w:val="20"/>
          <w:color w:val="auto"/>
        </w:rPr>
      </w:pPr>
      <w:r>
        <w:rPr>
          <w:rFonts w:ascii="Arial" w:cs="Arial" w:eastAsia="Arial" w:hAnsi="Arial"/>
          <w:sz w:val="18"/>
          <w:szCs w:val="18"/>
          <w:color w:val="auto"/>
        </w:rPr>
        <w:t>series of Securities at the time Outstanding) occurs and is continuing, then and in each and every such case, unless the principal of all the Securities shall have already become due and payable, either the Trustee or the holders of not less than 25% in aggregate principal amount of all the then Outstanding Securities hereunder (treated as one class) for which any applicable supplemental indenture does not prevent acceleration under the relevant circumstances, by notice in writing to the Issuer (and to the Trustee if given by Securityholders), may declare the entire principal (or, if any Securities are Original Issue Discount Securities, such portion of the principal as may be specified in the terms thereof) of all the Securities then Outstanding and interest accrued thereon, if any, to be due and payable immediately, and upon any such declaration the same shall become immediately due and payable. Unless otherwise set forth in any applicable supplemental indenture, if an Event of Default described in clauses 4.01(c) or 4.01(d) occurs, then the principal and accrued and unpaid interest, and premium of any, with respect to any Securities then Outstanding shall ipso facto become and be immediately due and payable without any declaration or other act on the part of the Trustee or any Holder.</w:t>
      </w:r>
    </w:p>
    <w:p>
      <w:pPr>
        <w:spacing w:after="0" w:line="193" w:lineRule="exact"/>
        <w:rPr>
          <w:sz w:val="20"/>
          <w:szCs w:val="20"/>
          <w:color w:val="auto"/>
        </w:rPr>
      </w:pPr>
    </w:p>
    <w:p>
      <w:pPr>
        <w:ind w:firstLine="1297"/>
        <w:spacing w:after="0" w:line="235" w:lineRule="auto"/>
        <w:rPr>
          <w:sz w:val="20"/>
          <w:szCs w:val="20"/>
          <w:color w:val="auto"/>
        </w:rPr>
      </w:pPr>
      <w:r>
        <w:rPr>
          <w:rFonts w:ascii="Arial" w:cs="Arial" w:eastAsia="Arial" w:hAnsi="Arial"/>
          <w:sz w:val="18"/>
          <w:szCs w:val="18"/>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Securities of each such series (or of all the Securities, as the case may be) then Outstanding (in each case treated as one class), by written notice to the Issuer and to the Trustee, may waive all defaults with respect to each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201" w:lineRule="exact"/>
        <w:rPr>
          <w:sz w:val="20"/>
          <w:szCs w:val="20"/>
          <w:color w:val="auto"/>
        </w:rPr>
      </w:pPr>
    </w:p>
    <w:p>
      <w:pPr>
        <w:ind w:right="420" w:firstLine="1297"/>
        <w:spacing w:after="0" w:line="246"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due and payable pursuant to the provisions hereof, then, from and after such declaration, unless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40" w:name="page141"/>
    <w:bookmarkEnd w:id="140"/>
    <w:p>
      <w:pPr>
        <w:ind w:right="160"/>
        <w:spacing w:after="0" w:line="239" w:lineRule="auto"/>
        <w:rPr>
          <w:sz w:val="20"/>
          <w:szCs w:val="20"/>
          <w:color w:val="auto"/>
        </w:rPr>
      </w:pPr>
      <w:r>
        <w:rPr>
          <w:rFonts w:ascii="Arial" w:cs="Arial" w:eastAsia="Arial" w:hAnsi="Arial"/>
          <w:sz w:val="18"/>
          <w:szCs w:val="18"/>
          <w:color w:val="auto"/>
        </w:rPr>
        <w:t>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88" w:lineRule="exact"/>
        <w:rPr>
          <w:sz w:val="20"/>
          <w:szCs w:val="20"/>
          <w:color w:val="auto"/>
        </w:rPr>
      </w:pPr>
    </w:p>
    <w:p>
      <w:pPr>
        <w:ind w:firstLine="1297"/>
        <w:spacing w:after="0" w:line="236"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Collection of Indebtedness by Trustee; Trustee May Prove Debt.</w:t>
      </w:r>
      <w:r>
        <w:rPr>
          <w:rFonts w:ascii="Arial" w:cs="Arial" w:eastAsia="Arial" w:hAnsi="Arial"/>
          <w:sz w:val="18"/>
          <w:szCs w:val="18"/>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91" w:lineRule="exact"/>
        <w:rPr>
          <w:sz w:val="20"/>
          <w:szCs w:val="20"/>
          <w:color w:val="auto"/>
        </w:rPr>
      </w:pPr>
    </w:p>
    <w:p>
      <w:pPr>
        <w:ind w:right="220" w:firstLine="1297"/>
        <w:spacing w:after="0" w:line="246" w:lineRule="auto"/>
        <w:rPr>
          <w:sz w:val="20"/>
          <w:szCs w:val="20"/>
          <w:color w:val="auto"/>
        </w:rPr>
      </w:pPr>
      <w:r>
        <w:rPr>
          <w:rFonts w:ascii="Arial" w:cs="Arial" w:eastAsia="Arial" w:hAnsi="Arial"/>
          <w:sz w:val="18"/>
          <w:szCs w:val="18"/>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183" w:lineRule="exact"/>
        <w:rPr>
          <w:sz w:val="20"/>
          <w:szCs w:val="20"/>
          <w:color w:val="auto"/>
        </w:rPr>
      </w:pPr>
    </w:p>
    <w:p>
      <w:pPr>
        <w:ind w:right="40" w:firstLine="1297"/>
        <w:spacing w:after="0" w:line="238"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9" w:lineRule="exact"/>
        <w:rPr>
          <w:sz w:val="20"/>
          <w:szCs w:val="20"/>
          <w:color w:val="auto"/>
        </w:rPr>
      </w:pPr>
    </w:p>
    <w:p>
      <w:pPr>
        <w:ind w:firstLine="1297"/>
        <w:spacing w:after="0" w:line="238" w:lineRule="auto"/>
        <w:rPr>
          <w:sz w:val="20"/>
          <w:szCs w:val="20"/>
          <w:color w:val="auto"/>
        </w:rPr>
      </w:pPr>
      <w:r>
        <w:rPr>
          <w:rFonts w:ascii="Arial" w:cs="Arial" w:eastAsia="Arial" w:hAnsi="Arial"/>
          <w:sz w:val="18"/>
          <w:szCs w:val="18"/>
          <w:color w:val="auto"/>
        </w:rPr>
        <w:t>In case there shall be pending proceedings relative to the Issuer or any other obligor upon the Securities under Title 11 of the United States Code or any other applicable federal, state or non-U.S.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41" w:name="page142"/>
    <w:bookmarkEnd w:id="141"/>
    <w:p>
      <w:pPr>
        <w:ind w:right="20"/>
        <w:spacing w:after="0"/>
        <w:rPr>
          <w:sz w:val="20"/>
          <w:szCs w:val="20"/>
          <w:color w:val="auto"/>
        </w:rPr>
      </w:pPr>
      <w:r>
        <w:rPr>
          <w:rFonts w:ascii="Arial" w:cs="Arial" w:eastAsia="Arial" w:hAnsi="Arial"/>
          <w:sz w:val="18"/>
          <w:szCs w:val="18"/>
          <w:color w:val="auto"/>
        </w:rPr>
        <w:t>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89" w:lineRule="exact"/>
        <w:rPr>
          <w:sz w:val="20"/>
          <w:szCs w:val="20"/>
          <w:color w:val="auto"/>
        </w:rPr>
      </w:pPr>
    </w:p>
    <w:p>
      <w:pPr>
        <w:ind w:left="660" w:right="20" w:firstLine="645"/>
        <w:spacing w:after="0" w:line="236" w:lineRule="auto"/>
        <w:tabs>
          <w:tab w:leader="none" w:pos="157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94" w:lineRule="exact"/>
        <w:rPr>
          <w:rFonts w:ascii="Arial" w:cs="Arial" w:eastAsia="Arial" w:hAnsi="Arial"/>
          <w:sz w:val="18"/>
          <w:szCs w:val="18"/>
          <w:color w:val="auto"/>
        </w:rPr>
      </w:pPr>
    </w:p>
    <w:p>
      <w:pPr>
        <w:ind w:left="660" w:right="180" w:firstLine="645"/>
        <w:spacing w:after="0"/>
        <w:tabs>
          <w:tab w:leader="none" w:pos="157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89" w:lineRule="exact"/>
        <w:rPr>
          <w:rFonts w:ascii="Arial" w:cs="Arial" w:eastAsia="Arial" w:hAnsi="Arial"/>
          <w:sz w:val="18"/>
          <w:szCs w:val="18"/>
          <w:color w:val="auto"/>
        </w:rPr>
      </w:pPr>
    </w:p>
    <w:p>
      <w:pPr>
        <w:ind w:left="660" w:firstLine="645"/>
        <w:spacing w:after="0" w:line="237" w:lineRule="auto"/>
        <w:tabs>
          <w:tab w:leader="none" w:pos="156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w:t>
      </w:r>
    </w:p>
    <w:p>
      <w:pPr>
        <w:spacing w:after="0" w:line="190" w:lineRule="exact"/>
        <w:rPr>
          <w:sz w:val="20"/>
          <w:szCs w:val="20"/>
          <w:color w:val="auto"/>
        </w:rPr>
      </w:pPr>
    </w:p>
    <w:p>
      <w:pPr>
        <w:ind w:right="80" w:firstLine="1297"/>
        <w:spacing w:after="0" w:line="239"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88" w:lineRule="exact"/>
        <w:rPr>
          <w:sz w:val="20"/>
          <w:szCs w:val="20"/>
          <w:color w:val="auto"/>
        </w:rPr>
      </w:pPr>
    </w:p>
    <w:p>
      <w:pPr>
        <w:ind w:right="40" w:firstLine="1297"/>
        <w:spacing w:after="0" w:line="246" w:lineRule="auto"/>
        <w:rPr>
          <w:sz w:val="20"/>
          <w:szCs w:val="20"/>
          <w:color w:val="auto"/>
        </w:rPr>
      </w:pPr>
      <w:r>
        <w:rPr>
          <w:rFonts w:ascii="Arial" w:cs="Arial" w:eastAsia="Arial" w:hAnsi="Arial"/>
          <w:sz w:val="18"/>
          <w:szCs w:val="18"/>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42" w:name="page143"/>
    <w:bookmarkEnd w:id="142"/>
    <w:p>
      <w:pPr>
        <w:ind w:right="240"/>
        <w:spacing w:after="0"/>
        <w:rPr>
          <w:sz w:val="20"/>
          <w:szCs w:val="20"/>
          <w:color w:val="auto"/>
        </w:rPr>
      </w:pPr>
      <w:r>
        <w:rPr>
          <w:rFonts w:ascii="Arial" w:cs="Arial" w:eastAsia="Arial" w:hAnsi="Arial"/>
          <w:sz w:val="18"/>
          <w:szCs w:val="18"/>
          <w:color w:val="auto"/>
        </w:rPr>
        <w:t>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89" w:lineRule="exact"/>
        <w:rPr>
          <w:sz w:val="20"/>
          <w:szCs w:val="20"/>
          <w:color w:val="auto"/>
        </w:rPr>
      </w:pPr>
    </w:p>
    <w:p>
      <w:pPr>
        <w:ind w:right="100" w:firstLine="1297"/>
        <w:spacing w:after="0"/>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89" w:lineRule="exact"/>
        <w:rPr>
          <w:sz w:val="20"/>
          <w:szCs w:val="20"/>
          <w:color w:val="auto"/>
        </w:rPr>
      </w:pPr>
    </w:p>
    <w:p>
      <w:pPr>
        <w:ind w:right="100" w:firstLine="1297"/>
        <w:spacing w:after="0" w:line="238"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89" w:lineRule="exact"/>
        <w:rPr>
          <w:sz w:val="20"/>
          <w:szCs w:val="20"/>
          <w:color w:val="auto"/>
        </w:rPr>
      </w:pPr>
    </w:p>
    <w:p>
      <w:pPr>
        <w:ind w:left="660" w:right="140" w:firstLine="648"/>
        <w:spacing w:after="0" w:line="239" w:lineRule="auto"/>
        <w:rPr>
          <w:sz w:val="20"/>
          <w:szCs w:val="20"/>
          <w:color w:val="auto"/>
        </w:rPr>
      </w:pPr>
      <w:r>
        <w:rPr>
          <w:rFonts w:ascii="Arial" w:cs="Arial" w:eastAsia="Arial" w:hAnsi="Arial"/>
          <w:sz w:val="18"/>
          <w:szCs w:val="18"/>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w:t>
      </w:r>
    </w:p>
    <w:p>
      <w:pPr>
        <w:spacing w:after="0" w:line="188" w:lineRule="exact"/>
        <w:rPr>
          <w:sz w:val="20"/>
          <w:szCs w:val="20"/>
          <w:color w:val="auto"/>
        </w:rPr>
      </w:pPr>
    </w:p>
    <w:p>
      <w:pPr>
        <w:ind w:left="660" w:right="80" w:firstLine="648"/>
        <w:spacing w:after="0" w:line="255" w:lineRule="auto"/>
        <w:rPr>
          <w:sz w:val="20"/>
          <w:szCs w:val="20"/>
          <w:color w:val="auto"/>
        </w:rPr>
      </w:pPr>
      <w:r>
        <w:rPr>
          <w:rFonts w:ascii="Arial" w:cs="Arial" w:eastAsia="Arial" w:hAnsi="Arial"/>
          <w:sz w:val="17"/>
          <w:szCs w:val="17"/>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77" w:lineRule="exact"/>
        <w:rPr>
          <w:sz w:val="20"/>
          <w:szCs w:val="20"/>
          <w:color w:val="auto"/>
        </w:rPr>
      </w:pPr>
    </w:p>
    <w:p>
      <w:pPr>
        <w:ind w:left="660" w:firstLine="648"/>
        <w:spacing w:after="0" w:line="237" w:lineRule="auto"/>
        <w:rPr>
          <w:sz w:val="20"/>
          <w:szCs w:val="20"/>
          <w:color w:val="auto"/>
        </w:rPr>
      </w:pPr>
      <w:r>
        <w:rPr>
          <w:rFonts w:ascii="Arial" w:cs="Arial" w:eastAsia="Arial" w:hAnsi="Arial"/>
          <w:sz w:val="18"/>
          <w:szCs w:val="18"/>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43" w:name="page144"/>
    <w:bookmarkEnd w:id="143"/>
    <w:p>
      <w:pPr>
        <w:ind w:left="660" w:right="60"/>
        <w:spacing w:after="0" w:line="239" w:lineRule="auto"/>
        <w:rPr>
          <w:sz w:val="20"/>
          <w:szCs w:val="20"/>
          <w:color w:val="auto"/>
        </w:rPr>
      </w:pPr>
      <w:r>
        <w:rPr>
          <w:rFonts w:ascii="Arial" w:cs="Arial" w:eastAsia="Arial" w:hAnsi="Arial"/>
          <w:sz w:val="18"/>
          <w:szCs w:val="18"/>
          <w:color w:val="auto"/>
        </w:rPr>
        <w:t>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FOURTH: To the payment of the remainder, if any, to the Issuer or as a court of competent jurisdiction shall direct in writing.</w:t>
      </w:r>
    </w:p>
    <w:p>
      <w:pPr>
        <w:spacing w:after="0" w:line="198" w:lineRule="exact"/>
        <w:rPr>
          <w:sz w:val="20"/>
          <w:szCs w:val="20"/>
          <w:color w:val="auto"/>
        </w:rPr>
      </w:pPr>
    </w:p>
    <w:p>
      <w:pPr>
        <w:ind w:right="100" w:firstLine="1297"/>
        <w:spacing w:after="0" w:line="238"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Suits for Enforcement.</w:t>
      </w:r>
      <w:r>
        <w:rPr>
          <w:rFonts w:ascii="Arial" w:cs="Arial" w:eastAsia="Arial" w:hAnsi="Arial"/>
          <w:sz w:val="18"/>
          <w:szCs w:val="18"/>
          <w:color w:val="auto"/>
        </w:rPr>
        <w:t xml:space="preserve"> In case an Event of Default has occurred, has not been waived and is continuing, the Trustee may in its discretion proceed to protect and enforce the rights vested in it by this Indenture by such appropriate judicial proceedings as the Trustee shall deem necessary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9" w:lineRule="exact"/>
        <w:rPr>
          <w:sz w:val="20"/>
          <w:szCs w:val="20"/>
          <w:color w:val="auto"/>
        </w:rPr>
      </w:pPr>
    </w:p>
    <w:p>
      <w:pPr>
        <w:ind w:firstLine="1297"/>
        <w:spacing w:after="0" w:line="23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Restoration of Rights on Abandonment of Proceeding.</w:t>
      </w:r>
      <w:r>
        <w:rPr>
          <w:rFonts w:ascii="Arial" w:cs="Arial" w:eastAsia="Arial" w:hAnsi="Arial"/>
          <w:sz w:val="18"/>
          <w:szCs w:val="18"/>
          <w:color w:val="auto"/>
        </w:rPr>
        <w:t xml:space="preserve">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89" w:lineRule="exact"/>
        <w:rPr>
          <w:sz w:val="20"/>
          <w:szCs w:val="20"/>
          <w:color w:val="auto"/>
        </w:rPr>
      </w:pPr>
    </w:p>
    <w:p>
      <w:pPr>
        <w:ind w:right="20" w:firstLine="1297"/>
        <w:spacing w:after="0" w:line="236"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Limitations on Suits by Securityholder.</w:t>
      </w:r>
      <w:r>
        <w:rPr>
          <w:rFonts w:ascii="Arial" w:cs="Arial" w:eastAsia="Arial" w:hAnsi="Arial"/>
          <w:sz w:val="18"/>
          <w:szCs w:val="18"/>
          <w:color w:val="auto"/>
        </w:rPr>
        <w:t xml:space="preserve">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each affected series then Outstanding (treated as a single class) shall have made written request upon the Trustee to institute such action or proceedings in its own name as trustee hereunder and shall have offered to the Trustee such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taker and Holder of every Security with every other taker and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44" w:name="page145"/>
    <w:bookmarkEnd w:id="144"/>
    <w:p>
      <w:pPr>
        <w:ind w:right="140"/>
        <w:spacing w:after="0"/>
        <w:rPr>
          <w:sz w:val="20"/>
          <w:szCs w:val="20"/>
          <w:color w:val="auto"/>
        </w:rPr>
      </w:pPr>
      <w:r>
        <w:rPr>
          <w:rFonts w:ascii="Arial" w:cs="Arial" w:eastAsia="Arial" w:hAnsi="Arial"/>
          <w:sz w:val="18"/>
          <w:szCs w:val="18"/>
          <w:color w:val="auto"/>
        </w:rPr>
        <w:t>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89" w:lineRule="exact"/>
        <w:rPr>
          <w:sz w:val="20"/>
          <w:szCs w:val="20"/>
          <w:color w:val="auto"/>
        </w:rPr>
      </w:pPr>
    </w:p>
    <w:p>
      <w:pPr>
        <w:ind w:right="20" w:firstLine="1297"/>
        <w:spacing w:after="0" w:line="23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Unconditional Right of Securityholders to Institute Certain Suits.</w:t>
      </w:r>
      <w:r>
        <w:rPr>
          <w:rFonts w:ascii="Arial" w:cs="Arial" w:eastAsia="Arial" w:hAnsi="Arial"/>
          <w:sz w:val="18"/>
          <w:szCs w:val="18"/>
          <w:color w:val="auto"/>
        </w:rPr>
        <w:t xml:space="preserve"> Notwithstanding any other provision in this Indenture and any provision of any Security, the right of any Holder of any Security to receive payment of the principal of and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Powers and Remedies Cumulative; Delay or Omission Not Waiver of Default.</w:t>
      </w:r>
      <w:r>
        <w:rPr>
          <w:rFonts w:ascii="Arial" w:cs="Arial" w:eastAsia="Arial" w:hAnsi="Arial"/>
          <w:sz w:val="18"/>
          <w:szCs w:val="18"/>
          <w:color w:val="auto"/>
        </w:rPr>
        <w:t xml:space="preserve"> Except as provided in Section</w:t>
      </w:r>
    </w:p>
    <w:p>
      <w:pPr>
        <w:spacing w:after="0"/>
        <w:rPr>
          <w:sz w:val="20"/>
          <w:szCs w:val="20"/>
          <w:color w:val="auto"/>
        </w:rPr>
      </w:pPr>
      <w:r>
        <w:rPr>
          <w:rFonts w:ascii="Arial" w:cs="Arial" w:eastAsia="Arial" w:hAnsi="Arial"/>
          <w:sz w:val="17"/>
          <w:szCs w:val="17"/>
          <w:color w:val="auto"/>
        </w:rPr>
        <w:t>4.06, no right or remedy herein conferred upon or reserved to the Trustee or to the Securityholders is intended to be exclusive of any other right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or remedy, and every right and remedy shall, to the extent permitted by law, be cumulative and in addition to every other right and remedy</w:t>
      </w:r>
    </w:p>
    <w:p>
      <w:pPr>
        <w:spacing w:after="0" w:line="234" w:lineRule="auto"/>
        <w:rPr>
          <w:sz w:val="20"/>
          <w:szCs w:val="20"/>
          <w:color w:val="auto"/>
        </w:rPr>
      </w:pPr>
      <w:r>
        <w:rPr>
          <w:rFonts w:ascii="Arial" w:cs="Arial" w:eastAsia="Arial" w:hAnsi="Arial"/>
          <w:sz w:val="18"/>
          <w:szCs w:val="18"/>
          <w:color w:val="auto"/>
        </w:rPr>
        <w:t>given hereunder or now or hereafter existing at law or in equity or otherwise. The assertion or employment of any right or remedy hereunder,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otherwise, shall not prevent the concurrent assertion or employment of any other appropriate right or remedy.</w:t>
      </w:r>
    </w:p>
    <w:p>
      <w:pPr>
        <w:spacing w:after="0" w:line="198" w:lineRule="exact"/>
        <w:rPr>
          <w:sz w:val="20"/>
          <w:szCs w:val="20"/>
          <w:color w:val="auto"/>
        </w:rPr>
      </w:pPr>
    </w:p>
    <w:p>
      <w:pPr>
        <w:ind w:right="40" w:firstLine="1297"/>
        <w:spacing w:after="0" w:line="239" w:lineRule="auto"/>
        <w:rPr>
          <w:sz w:val="20"/>
          <w:szCs w:val="20"/>
          <w:color w:val="auto"/>
        </w:rPr>
      </w:pPr>
      <w:r>
        <w:rPr>
          <w:rFonts w:ascii="Arial" w:cs="Arial" w:eastAsia="Arial" w:hAnsi="Arial"/>
          <w:sz w:val="18"/>
          <w:szCs w:val="18"/>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188" w:lineRule="exact"/>
        <w:rPr>
          <w:sz w:val="20"/>
          <w:szCs w:val="20"/>
          <w:color w:val="auto"/>
        </w:rPr>
      </w:pPr>
    </w:p>
    <w:p>
      <w:pPr>
        <w:ind w:firstLine="1297"/>
        <w:spacing w:after="0" w:line="236"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 xml:space="preserve"> The Holders of a majority in aggregate principal amount of the Securities of each series affected (with all such series voting as a single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forebearances specified in or pursuant to such direction would be unduly prejudicial to the interests of Holders of the Securities of all series so affected not joining in the giving of said direction, it being understood that (subject to Section 5.01)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Trustee shall have no duty to ascertain whether or not such actions or forebearances are unduly prejudicial to such Holders.</w:t>
      </w:r>
    </w:p>
    <w:p>
      <w:pPr>
        <w:spacing w:after="0" w:line="198" w:lineRule="exact"/>
        <w:rPr>
          <w:sz w:val="20"/>
          <w:szCs w:val="20"/>
          <w:color w:val="auto"/>
        </w:rPr>
      </w:pPr>
    </w:p>
    <w:p>
      <w:pPr>
        <w:ind w:right="160" w:firstLine="1297"/>
        <w:spacing w:after="0" w:line="246"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83" w:lineRule="exact"/>
        <w:rPr>
          <w:sz w:val="20"/>
          <w:szCs w:val="20"/>
          <w:color w:val="auto"/>
        </w:rPr>
      </w:pPr>
    </w:p>
    <w:p>
      <w:pPr>
        <w:ind w:right="60" w:firstLine="1297"/>
        <w:spacing w:after="0" w:line="23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xml:space="preserve"> Prior to the acceleration of the maturity of any Securities as provided in Section 4.01, the Holders of a majority in aggregate principal amount of the Securities of all series at the time Outstanding with respect to which an Event of Default shall have occurred and be continuing (voting as a single class) may on behalf of the Holders of all such Securities waive any past default or Event of Default described in Section 4.01 and its consequences, except a default in respect of a covenant or provision hereof which cannot be modified or amended without the consent of the Holder of each Security affected. In the case of any such waiver, the Issuer, the Trustee and the Holders of all such Securities shall be restored to their former positions and rights hereunder, respectively; but no such waiver shall extend to any subsequent or other default or impair any right consequent thereon.</w:t>
      </w:r>
    </w:p>
    <w:p>
      <w:pPr>
        <w:spacing w:after="0" w:line="190" w:lineRule="exact"/>
        <w:rPr>
          <w:sz w:val="20"/>
          <w:szCs w:val="20"/>
          <w:color w:val="auto"/>
        </w:rPr>
      </w:pPr>
    </w:p>
    <w:p>
      <w:pPr>
        <w:ind w:right="20" w:firstLine="1297"/>
        <w:spacing w:after="0"/>
        <w:rPr>
          <w:sz w:val="20"/>
          <w:szCs w:val="20"/>
          <w:color w:val="auto"/>
        </w:rPr>
      </w:pPr>
      <w:r>
        <w:rPr>
          <w:rFonts w:ascii="Arial" w:cs="Arial" w:eastAsia="Arial" w:hAnsi="Arial"/>
          <w:sz w:val="18"/>
          <w:szCs w:val="18"/>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89" w:lineRule="exact"/>
        <w:rPr>
          <w:sz w:val="20"/>
          <w:szCs w:val="20"/>
          <w:color w:val="auto"/>
        </w:rPr>
      </w:pPr>
    </w:p>
    <w:p>
      <w:pPr>
        <w:ind w:right="120" w:firstLine="1297"/>
        <w:spacing w:after="0" w:line="252"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Trustee to Give Notice of Default, But May Withhold in Certain Circumstances.</w:t>
      </w:r>
      <w:r>
        <w:rPr>
          <w:rFonts w:ascii="Arial" w:cs="Arial" w:eastAsia="Arial" w:hAnsi="Arial"/>
          <w:sz w:val="17"/>
          <w:szCs w:val="17"/>
          <w:color w:val="auto"/>
        </w:rPr>
        <w:t xml:space="preserve"> The Trustee shall give to the Securityholders of any series, as the names and addresses of such Holders appear on the registry books, notice by mail of all defaults known to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79" w:lineRule="exact"/>
        <w:rPr>
          <w:sz w:val="20"/>
          <w:szCs w:val="20"/>
          <w:color w:val="auto"/>
        </w:rPr>
      </w:pPr>
    </w:p>
    <w:p>
      <w:pPr>
        <w:ind w:firstLine="1297"/>
        <w:spacing w:after="0" w:line="239"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Right of Court to Require Filing of Undertaking to Pay Costs.</w:t>
      </w:r>
      <w:r>
        <w:rPr>
          <w:rFonts w:ascii="Arial" w:cs="Arial" w:eastAsia="Arial" w:hAnsi="Arial"/>
          <w:sz w:val="18"/>
          <w:szCs w:val="18"/>
          <w:color w:val="auto"/>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46" w:name="page147"/>
    <w:bookmarkEnd w:id="146"/>
    <w:p>
      <w:pPr>
        <w:spacing w:after="0" w:line="236" w:lineRule="auto"/>
        <w:rPr>
          <w:sz w:val="20"/>
          <w:szCs w:val="20"/>
          <w:color w:val="auto"/>
        </w:rPr>
      </w:pPr>
      <w:r>
        <w:rPr>
          <w:rFonts w:ascii="Arial" w:cs="Arial" w:eastAsia="Arial" w:hAnsi="Arial"/>
          <w:sz w:val="18"/>
          <w:szCs w:val="18"/>
          <w:color w:val="auto"/>
        </w:rPr>
        <w:t>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clauses 4.01(b) or 4.01(e) (if the suit relates to Securities of more than one but less than all series), 10% in aggregate principal amount of Securities Outstanding affected thereby, or in the case of any suit relating to or arising under clauses 4.01(b) or 4.01(e) (if the suit relates to all the Securities then Outstanding), 4.01(c) or 4.01(d), 10% in aggregate principal amount of all Securities Outstanding, or to any suit instituted by any Securityholder for the enforcement of the payment of the principal of or interest on any Security on or after the due date expressed in such Security.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Concerning the Trustee</w:t>
      </w:r>
    </w:p>
    <w:p>
      <w:pPr>
        <w:spacing w:after="0" w:line="198" w:lineRule="exact"/>
        <w:rPr>
          <w:sz w:val="20"/>
          <w:szCs w:val="20"/>
          <w:color w:val="auto"/>
        </w:rPr>
      </w:pPr>
    </w:p>
    <w:p>
      <w:pPr>
        <w:ind w:right="20" w:firstLine="1297"/>
        <w:spacing w:after="0" w:line="23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Duties and Responsibilities of the Trustee; During Default; Prior to Default.</w:t>
      </w:r>
      <w:r>
        <w:rPr>
          <w:rFonts w:ascii="Arial" w:cs="Arial" w:eastAsia="Arial" w:hAnsi="Arial"/>
          <w:sz w:val="18"/>
          <w:szCs w:val="18"/>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with respect to such series of Securities such of the rights and powers vested in it by this Indenture, and use the same degree of care and skill in their exercise, as a prudent person would exercise or use under the circumstances in the conduct of his or her own affairs.</w:t>
      </w:r>
    </w:p>
    <w:p>
      <w:pPr>
        <w:spacing w:after="0" w:line="190" w:lineRule="exact"/>
        <w:rPr>
          <w:sz w:val="20"/>
          <w:szCs w:val="20"/>
          <w:color w:val="auto"/>
        </w:rPr>
      </w:pPr>
    </w:p>
    <w:p>
      <w:pPr>
        <w:ind w:right="640" w:firstLine="1297"/>
        <w:spacing w:after="0" w:line="246"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83" w:lineRule="exact"/>
        <w:rPr>
          <w:sz w:val="20"/>
          <w:szCs w:val="20"/>
          <w:color w:val="auto"/>
        </w:rPr>
      </w:pPr>
    </w:p>
    <w:p>
      <w:pPr>
        <w:ind w:left="660" w:right="140" w:firstLine="645"/>
        <w:spacing w:after="0" w:line="246" w:lineRule="auto"/>
        <w:tabs>
          <w:tab w:leader="none" w:pos="157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any series and after the curing or waiving of all such Events of Default with respect to such series which may have occurred:</w:t>
      </w:r>
    </w:p>
    <w:p>
      <w:pPr>
        <w:spacing w:after="0" w:line="183" w:lineRule="exact"/>
        <w:rPr>
          <w:rFonts w:ascii="Arial" w:cs="Arial" w:eastAsia="Arial" w:hAnsi="Arial"/>
          <w:sz w:val="18"/>
          <w:szCs w:val="18"/>
          <w:color w:val="auto"/>
        </w:rPr>
      </w:pPr>
    </w:p>
    <w:p>
      <w:pPr>
        <w:ind w:left="1300" w:right="220" w:firstLine="653"/>
        <w:spacing w:after="0" w:line="239" w:lineRule="auto"/>
        <w:tabs>
          <w:tab w:leader="none" w:pos="215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47" w:name="page148"/>
    <w:bookmarkEnd w:id="147"/>
    <w:p>
      <w:pPr>
        <w:ind w:left="1300" w:firstLine="653"/>
        <w:spacing w:after="0" w:line="237" w:lineRule="auto"/>
        <w:tabs>
          <w:tab w:leader="none" w:pos="219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91" w:lineRule="exact"/>
        <w:rPr>
          <w:rFonts w:ascii="Arial" w:cs="Arial" w:eastAsia="Arial" w:hAnsi="Arial"/>
          <w:sz w:val="18"/>
          <w:szCs w:val="18"/>
          <w:color w:val="auto"/>
        </w:rPr>
      </w:pPr>
    </w:p>
    <w:p>
      <w:pPr>
        <w:ind w:left="660" w:firstLine="645"/>
        <w:spacing w:after="0" w:line="246" w:lineRule="auto"/>
        <w:tabs>
          <w:tab w:leader="none" w:pos="15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83" w:lineRule="exact"/>
        <w:rPr>
          <w:rFonts w:ascii="Arial" w:cs="Arial" w:eastAsia="Arial" w:hAnsi="Arial"/>
          <w:sz w:val="18"/>
          <w:szCs w:val="18"/>
          <w:color w:val="auto"/>
        </w:rPr>
      </w:pPr>
    </w:p>
    <w:p>
      <w:pPr>
        <w:ind w:left="660" w:right="180" w:firstLine="645"/>
        <w:spacing w:after="0"/>
        <w:tabs>
          <w:tab w:leader="none" w:pos="156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4.09 relating to the time, method and place of conducting any proceeding for any remedy available to the Trustee, or exercising any trust or power conferred upon the Trustee, under this Indenture.</w:t>
      </w:r>
    </w:p>
    <w:p>
      <w:pPr>
        <w:spacing w:after="0" w:line="189" w:lineRule="exact"/>
        <w:rPr>
          <w:sz w:val="20"/>
          <w:szCs w:val="20"/>
          <w:color w:val="auto"/>
        </w:rPr>
      </w:pPr>
    </w:p>
    <w:p>
      <w:pPr>
        <w:ind w:right="200" w:firstLine="1297"/>
        <w:spacing w:after="0"/>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provisions of this Section 5.01 are in furtherance of and subject to Sections 315 and 316 of the Trust Indenture Act of</w:t>
      </w:r>
    </w:p>
    <w:p>
      <w:pPr>
        <w:spacing w:after="0"/>
        <w:rPr>
          <w:sz w:val="20"/>
          <w:szCs w:val="20"/>
          <w:color w:val="auto"/>
        </w:rPr>
      </w:pPr>
      <w:r>
        <w:rPr>
          <w:rFonts w:ascii="Arial" w:cs="Arial" w:eastAsia="Arial" w:hAnsi="Arial"/>
          <w:sz w:val="18"/>
          <w:szCs w:val="18"/>
          <w:color w:val="auto"/>
        </w:rPr>
        <w:t>1939.</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Certain Rights of the Trustee.</w:t>
      </w:r>
      <w:r>
        <w:rPr>
          <w:rFonts w:ascii="Arial" w:cs="Arial" w:eastAsia="Arial" w:hAnsi="Arial"/>
          <w:sz w:val="18"/>
          <w:szCs w:val="18"/>
          <w:color w:val="auto"/>
        </w:rPr>
        <w:t xml:space="preserve"> In furtherance of and subject to the Trust Indenture Act of 1939, and subject to</w:t>
      </w:r>
    </w:p>
    <w:p>
      <w:pPr>
        <w:spacing w:after="0"/>
        <w:rPr>
          <w:sz w:val="20"/>
          <w:szCs w:val="20"/>
          <w:color w:val="auto"/>
        </w:rPr>
      </w:pPr>
      <w:r>
        <w:rPr>
          <w:rFonts w:ascii="Arial" w:cs="Arial" w:eastAsia="Arial" w:hAnsi="Arial"/>
          <w:sz w:val="18"/>
          <w:szCs w:val="18"/>
          <w:color w:val="auto"/>
        </w:rPr>
        <w:t>Section 5.01:</w:t>
      </w:r>
    </w:p>
    <w:p>
      <w:pPr>
        <w:spacing w:after="0" w:line="198" w:lineRule="exact"/>
        <w:rPr>
          <w:sz w:val="20"/>
          <w:szCs w:val="20"/>
          <w:color w:val="auto"/>
        </w:rPr>
      </w:pPr>
    </w:p>
    <w:p>
      <w:pPr>
        <w:ind w:left="660" w:right="100" w:firstLine="645"/>
        <w:spacing w:after="0" w:line="239" w:lineRule="auto"/>
        <w:tabs>
          <w:tab w:leader="none" w:pos="15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Officers’ Certificate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88" w:lineRule="exact"/>
        <w:rPr>
          <w:rFonts w:ascii="Arial" w:cs="Arial" w:eastAsia="Arial" w:hAnsi="Arial"/>
          <w:sz w:val="18"/>
          <w:szCs w:val="18"/>
          <w:color w:val="auto"/>
        </w:rPr>
      </w:pPr>
    </w:p>
    <w:p>
      <w:pPr>
        <w:ind w:left="660" w:right="560" w:firstLine="645"/>
        <w:spacing w:after="0"/>
        <w:tabs>
          <w:tab w:leader="none" w:pos="15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may be evidenced to the Trustee by a copy thereof certified by the secretary or an assistant secretary of the Issuer;</w:t>
      </w:r>
    </w:p>
    <w:p>
      <w:pPr>
        <w:spacing w:after="0" w:line="189" w:lineRule="exact"/>
        <w:rPr>
          <w:rFonts w:ascii="Arial" w:cs="Arial" w:eastAsia="Arial" w:hAnsi="Arial"/>
          <w:sz w:val="18"/>
          <w:szCs w:val="18"/>
          <w:color w:val="auto"/>
        </w:rPr>
      </w:pPr>
    </w:p>
    <w:p>
      <w:pPr>
        <w:ind w:left="660" w:right="560" w:firstLine="645"/>
        <w:spacing w:after="0" w:line="246" w:lineRule="auto"/>
        <w:tabs>
          <w:tab w:leader="none" w:pos="15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any advice or Opinion of Counsel shall be full and complete authorization and protection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48" w:name="page149"/>
    <w:bookmarkEnd w:id="148"/>
    <w:p>
      <w:pPr>
        <w:spacing w:after="0" w:line="246" w:lineRule="auto"/>
        <w:rPr>
          <w:sz w:val="20"/>
          <w:szCs w:val="20"/>
          <w:color w:val="auto"/>
        </w:rPr>
      </w:pPr>
      <w:r>
        <w:rPr>
          <w:rFonts w:ascii="Arial" w:cs="Arial" w:eastAsia="Arial" w:hAnsi="Arial"/>
          <w:sz w:val="18"/>
          <w:szCs w:val="18"/>
          <w:color w:val="auto"/>
        </w:rPr>
        <w:t>respect of any action taken, suffered or omitted to be taken by it hereunder in good faith and in accordance with such advice or Opinion of Counsel;</w:t>
      </w:r>
    </w:p>
    <w:p>
      <w:pPr>
        <w:spacing w:after="0" w:line="183" w:lineRule="exact"/>
        <w:rPr>
          <w:sz w:val="20"/>
          <w:szCs w:val="20"/>
          <w:color w:val="auto"/>
        </w:rPr>
      </w:pPr>
    </w:p>
    <w:p>
      <w:pPr>
        <w:ind w:right="80" w:firstLine="645"/>
        <w:spacing w:after="0" w:line="239" w:lineRule="auto"/>
        <w:tabs>
          <w:tab w:leader="none" w:pos="91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security or indemnity satisfactory to it against the costs, expenses and liabilities which might be incurred therein or thereby;</w:t>
      </w:r>
    </w:p>
    <w:p>
      <w:pPr>
        <w:spacing w:after="0" w:line="188" w:lineRule="exact"/>
        <w:rPr>
          <w:rFonts w:ascii="Arial" w:cs="Arial" w:eastAsia="Arial" w:hAnsi="Arial"/>
          <w:sz w:val="18"/>
          <w:szCs w:val="18"/>
          <w:color w:val="auto"/>
        </w:rPr>
      </w:pPr>
    </w:p>
    <w:p>
      <w:pPr>
        <w:ind w:right="80" w:firstLine="645"/>
        <w:spacing w:after="0" w:line="246" w:lineRule="auto"/>
        <w:tabs>
          <w:tab w:leader="none" w:pos="91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83" w:lineRule="exact"/>
        <w:rPr>
          <w:rFonts w:ascii="Arial" w:cs="Arial" w:eastAsia="Arial" w:hAnsi="Arial"/>
          <w:sz w:val="18"/>
          <w:szCs w:val="18"/>
          <w:color w:val="auto"/>
        </w:rPr>
      </w:pPr>
    </w:p>
    <w:p>
      <w:pPr>
        <w:ind w:right="40" w:firstLine="645"/>
        <w:spacing w:after="0" w:line="236" w:lineRule="auto"/>
        <w:tabs>
          <w:tab w:leader="none" w:pos="86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193" w:lineRule="exact"/>
        <w:rPr>
          <w:rFonts w:ascii="Arial" w:cs="Arial" w:eastAsia="Arial" w:hAnsi="Arial"/>
          <w:sz w:val="18"/>
          <w:szCs w:val="18"/>
          <w:color w:val="auto"/>
        </w:rPr>
      </w:pPr>
    </w:p>
    <w:p>
      <w:pPr>
        <w:ind w:right="260" w:firstLine="645"/>
        <w:spacing w:after="0"/>
        <w:tabs>
          <w:tab w:leader="none" w:pos="91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9" w:lineRule="exact"/>
        <w:rPr>
          <w:rFonts w:ascii="Arial" w:cs="Arial" w:eastAsia="Arial" w:hAnsi="Arial"/>
          <w:sz w:val="18"/>
          <w:szCs w:val="18"/>
          <w:color w:val="auto"/>
        </w:rPr>
      </w:pPr>
    </w:p>
    <w:p>
      <w:pPr>
        <w:ind w:right="100" w:firstLine="645"/>
        <w:spacing w:after="0"/>
        <w:tabs>
          <w:tab w:leader="none" w:pos="91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w:t>
      </w:r>
    </w:p>
    <w:p>
      <w:pPr>
        <w:spacing w:after="0" w:line="189" w:lineRule="exact"/>
        <w:rPr>
          <w:rFonts w:ascii="Arial" w:cs="Arial" w:eastAsia="Arial" w:hAnsi="Arial"/>
          <w:sz w:val="18"/>
          <w:szCs w:val="18"/>
          <w:color w:val="auto"/>
        </w:rPr>
      </w:pPr>
    </w:p>
    <w:p>
      <w:pPr>
        <w:ind w:right="180" w:firstLine="645"/>
        <w:spacing w:after="0"/>
        <w:tabs>
          <w:tab w:leader="none" w:pos="85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Event of Default or an event which, with notice or lapse of time or both, would constitute an Event of Default unless a Responsible Officer of the Trustee has actual knowledge thereof or unless written notice of any event which is in fact such a default is</w:t>
      </w:r>
    </w:p>
    <w:p>
      <w:pPr>
        <w:spacing w:after="0" w:line="17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135255</wp:posOffset>
            </wp:positionV>
            <wp:extent cx="72466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40"/>
          </w:cols>
          <w:pgMar w:left="900" w:top="422" w:right="259" w:bottom="1440" w:gutter="0" w:footer="0" w:header="0"/>
        </w:sectPr>
      </w:pPr>
    </w:p>
    <w:bookmarkStart w:id="149" w:name="page150"/>
    <w:bookmarkEnd w:id="149"/>
    <w:p>
      <w:pPr>
        <w:ind w:left="660"/>
        <w:spacing w:after="0"/>
        <w:rPr>
          <w:sz w:val="20"/>
          <w:szCs w:val="20"/>
          <w:color w:val="auto"/>
        </w:rPr>
      </w:pPr>
      <w:r>
        <w:rPr>
          <w:rFonts w:ascii="Arial" w:cs="Arial" w:eastAsia="Arial" w:hAnsi="Arial"/>
          <w:sz w:val="18"/>
          <w:szCs w:val="18"/>
          <w:color w:val="auto"/>
        </w:rPr>
        <w:t>received by the Trustee at the Corporate Trust Office of the Trustee, and such notice references the Securities and this Indenture;</w:t>
      </w:r>
    </w:p>
    <w:p>
      <w:pPr>
        <w:spacing w:after="0" w:line="198" w:lineRule="exact"/>
        <w:rPr>
          <w:sz w:val="20"/>
          <w:szCs w:val="20"/>
          <w:color w:val="auto"/>
        </w:rPr>
      </w:pPr>
    </w:p>
    <w:p>
      <w:pPr>
        <w:ind w:left="660" w:right="120" w:firstLine="645"/>
        <w:spacing w:after="0"/>
        <w:tabs>
          <w:tab w:leader="none" w:pos="151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its right to be indemnified, are extended to, and shall be enforceable by, the Trustee in each of its capacities hereunder, and each agent, custodian and other Person employed to act hereunder;</w:t>
      </w:r>
    </w:p>
    <w:p>
      <w:pPr>
        <w:spacing w:after="0" w:line="189" w:lineRule="exact"/>
        <w:rPr>
          <w:rFonts w:ascii="Arial" w:cs="Arial" w:eastAsia="Arial" w:hAnsi="Arial"/>
          <w:sz w:val="18"/>
          <w:szCs w:val="18"/>
          <w:color w:val="auto"/>
        </w:rPr>
      </w:pPr>
    </w:p>
    <w:p>
      <w:pPr>
        <w:ind w:left="660" w:right="180" w:firstLine="645"/>
        <w:spacing w:after="0" w:line="239" w:lineRule="auto"/>
        <w:tabs>
          <w:tab w:leader="none" w:pos="156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188" w:lineRule="exact"/>
        <w:rPr>
          <w:rFonts w:ascii="Arial" w:cs="Arial" w:eastAsia="Arial" w:hAnsi="Arial"/>
          <w:sz w:val="18"/>
          <w:szCs w:val="18"/>
          <w:color w:val="auto"/>
        </w:rPr>
      </w:pPr>
    </w:p>
    <w:p>
      <w:pPr>
        <w:ind w:left="660" w:right="260" w:firstLine="645"/>
        <w:spacing w:after="0"/>
        <w:tabs>
          <w:tab w:leader="none" w:pos="151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89" w:lineRule="exact"/>
        <w:rPr>
          <w:sz w:val="20"/>
          <w:szCs w:val="20"/>
          <w:color w:val="auto"/>
        </w:rPr>
      </w:pPr>
    </w:p>
    <w:p>
      <w:pPr>
        <w:ind w:right="20" w:firstLine="1297"/>
        <w:spacing w:after="0" w:line="23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Trustee Not Responsible for Recitals, Disposition of Securities or Application of Proceeds Thereof.</w:t>
      </w:r>
      <w:r>
        <w:rPr>
          <w:rFonts w:ascii="Arial" w:cs="Arial" w:eastAsia="Arial" w:hAnsi="Arial"/>
          <w:sz w:val="18"/>
          <w:szCs w:val="18"/>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89" w:lineRule="exact"/>
        <w:rPr>
          <w:sz w:val="20"/>
          <w:szCs w:val="20"/>
          <w:color w:val="auto"/>
        </w:rPr>
      </w:pPr>
    </w:p>
    <w:p>
      <w:pPr>
        <w:ind w:right="100" w:firstLine="1297"/>
        <w:spacing w:after="0" w:line="23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and Agents May Hold Securities; Collections, etc.</w:t>
      </w:r>
      <w:r>
        <w:rPr>
          <w:rFonts w:ascii="Arial" w:cs="Arial" w:eastAsia="Arial" w:hAnsi="Arial"/>
          <w:sz w:val="18"/>
          <w:szCs w:val="18"/>
          <w:color w:val="auto"/>
        </w:rPr>
        <w:t xml:space="preserve"> Subject to Section 311 of the Trust Indenture Act of 1939,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8" w:lineRule="exact"/>
        <w:rPr>
          <w:sz w:val="20"/>
          <w:szCs w:val="20"/>
          <w:color w:val="auto"/>
        </w:rPr>
      </w:pPr>
    </w:p>
    <w:p>
      <w:pPr>
        <w:ind w:firstLine="1297"/>
        <w:spacing w:after="0" w:line="23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Moneys Held by Trustee.</w:t>
      </w:r>
      <w:r>
        <w:rPr>
          <w:rFonts w:ascii="Arial" w:cs="Arial" w:eastAsia="Arial" w:hAnsi="Arial"/>
          <w:sz w:val="18"/>
          <w:szCs w:val="18"/>
          <w:color w:val="auto"/>
        </w:rPr>
        <w:t xml:space="preserve"> Subject to the provisions of Section 9.04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8" w:lineRule="exact"/>
        <w:rPr>
          <w:sz w:val="20"/>
          <w:szCs w:val="20"/>
          <w:color w:val="auto"/>
        </w:rPr>
      </w:pPr>
    </w:p>
    <w:p>
      <w:pPr>
        <w:jc w:val="both"/>
        <w:ind w:right="140" w:firstLine="1297"/>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Compensation and Indemnification of Trustee and its Prior Claim.</w:t>
      </w:r>
      <w:r>
        <w:rPr>
          <w:rFonts w:ascii="Arial" w:cs="Arial" w:eastAsia="Arial" w:hAnsi="Arial"/>
          <w:sz w:val="18"/>
          <w:szCs w:val="18"/>
          <w:color w:val="auto"/>
        </w:rPr>
        <w:t xml:space="preserve"> The Issuer covenants and agrees to pay to the Trustee from time to time, and the Trustee shall be entitled to, compensation as the Issuer and the Trustee shall from time to time agree in writing (which shall not be limited by any provision of law in regard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50" w:name="page151"/>
    <w:bookmarkEnd w:id="150"/>
    <w:p>
      <w:pPr>
        <w:spacing w:after="0" w:line="236" w:lineRule="auto"/>
        <w:rPr>
          <w:sz w:val="20"/>
          <w:szCs w:val="20"/>
          <w:color w:val="auto"/>
        </w:rPr>
      </w:pPr>
      <w:r>
        <w:rPr>
          <w:rFonts w:ascii="Arial" w:cs="Arial" w:eastAsia="Arial" w:hAnsi="Arial"/>
          <w:sz w:val="18"/>
          <w:szCs w:val="18"/>
          <w:color w:val="auto"/>
        </w:rPr>
        <w:t>to the compensation of a trustee of an express trust) and the Issuer covenants and agrees to pay or reimburse the Trustee and each predecessor Trustee upon its request for all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is caused by its own negligence, willful misconduct or bad faith. The Issuer also covenants to indemnify the Trustee and each predecessor Trustee and their agents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in the premises, except to the extent such loss liability or expense is caused by the negligence, willful misconduct or bad faith of the Trustee, its agents or employees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89" w:lineRule="exact"/>
        <w:rPr>
          <w:sz w:val="20"/>
          <w:szCs w:val="20"/>
          <w:color w:val="auto"/>
        </w:rPr>
      </w:pPr>
    </w:p>
    <w:p>
      <w:pPr>
        <w:ind w:right="260" w:firstLine="1297"/>
        <w:spacing w:after="0" w:line="261" w:lineRule="auto"/>
        <w:rPr>
          <w:sz w:val="20"/>
          <w:szCs w:val="20"/>
          <w:color w:val="auto"/>
        </w:rPr>
      </w:pPr>
      <w:r>
        <w:rPr>
          <w:rFonts w:ascii="Arial" w:cs="Arial" w:eastAsia="Arial" w:hAnsi="Arial"/>
          <w:sz w:val="17"/>
          <w:szCs w:val="17"/>
          <w:color w:val="auto"/>
        </w:rPr>
        <w:t>When the Trustee incurs expenses or renders services in connection with an Event of Default specified in Section 4.01(c) or Section 4.01(d), the expenses (including the reasonable charges and expenses of its counsel) and the compensation for the services are intended to constitute expenses of administration under any applicable federal, state or non-U.S. bankruptcy, insolvency or other similar law.</w:t>
      </w:r>
    </w:p>
    <w:p>
      <w:pPr>
        <w:spacing w:after="0" w:line="173" w:lineRule="exact"/>
        <w:rPr>
          <w:sz w:val="20"/>
          <w:szCs w:val="20"/>
          <w:color w:val="auto"/>
        </w:rPr>
      </w:pPr>
    </w:p>
    <w:p>
      <w:pPr>
        <w:ind w:right="80" w:firstLine="1297"/>
        <w:spacing w:after="0" w:line="23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Right of Trustee to Rely on Officers’ Certificate, etc.</w:t>
      </w:r>
      <w:r>
        <w:rPr>
          <w:rFonts w:ascii="Arial" w:cs="Arial" w:eastAsia="Arial" w:hAnsi="Arial"/>
          <w:sz w:val="18"/>
          <w:szCs w:val="18"/>
          <w:color w:val="auto"/>
        </w:rPr>
        <w:t xml:space="preserve">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2" w:lineRule="exact"/>
        <w:rPr>
          <w:sz w:val="20"/>
          <w:szCs w:val="20"/>
          <w:color w:val="auto"/>
        </w:rPr>
      </w:pPr>
    </w:p>
    <w:p>
      <w:pPr>
        <w:ind w:right="220" w:firstLine="1297"/>
        <w:spacing w:after="0" w:line="238"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Persons Eligible for Appointment as Trustee.</w:t>
      </w:r>
      <w:r>
        <w:rPr>
          <w:rFonts w:ascii="Arial" w:cs="Arial" w:eastAsia="Arial" w:hAnsi="Arial"/>
          <w:sz w:val="18"/>
          <w:szCs w:val="18"/>
          <w:color w:val="auto"/>
        </w:rPr>
        <w:t xml:space="preserve"> The Trustee for each series of Securities hereunder shall at all times be a corporation organized and doing business under the laws of the United States of America or the District of Columbia having a combined capital and surplus of at least $ 25,000,000, and which is eligible in accordance with the provisions of Section 310(a) of the Trust Indenture Act of 1939. If such corporation publishes reports of condition at least annually, pursuant to law or to the requirements of a federal, state or District of Columbia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51" w:name="page152"/>
    <w:bookmarkEnd w:id="151"/>
    <w:p>
      <w:pPr>
        <w:spacing w:after="0" w:line="246" w:lineRule="auto"/>
        <w:rPr>
          <w:sz w:val="20"/>
          <w:szCs w:val="20"/>
          <w:color w:val="auto"/>
        </w:rPr>
      </w:pPr>
      <w:r>
        <w:rPr>
          <w:rFonts w:ascii="Arial" w:cs="Arial" w:eastAsia="Arial" w:hAnsi="Arial"/>
          <w:sz w:val="18"/>
          <w:szCs w:val="18"/>
          <w:color w:val="auto"/>
        </w:rPr>
        <w:t>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83" w:lineRule="exact"/>
        <w:rPr>
          <w:sz w:val="20"/>
          <w:szCs w:val="20"/>
          <w:color w:val="auto"/>
        </w:rPr>
      </w:pPr>
    </w:p>
    <w:p>
      <w:pPr>
        <w:ind w:firstLine="1297"/>
        <w:spacing w:after="0" w:line="23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Resignation and Removal; Appointment of Successor Trustee.</w:t>
      </w:r>
      <w:r>
        <w:rPr>
          <w:rFonts w:ascii="Arial" w:cs="Arial" w:eastAsia="Arial" w:hAnsi="Arial"/>
          <w:sz w:val="18"/>
          <w:szCs w:val="18"/>
          <w:color w:val="auto"/>
        </w:rPr>
        <w:t xml:space="preserve"> (a) The Trustee, or any trustee or trustees hereafter appointed, may at any time resign with respect to one or more or all series of Securities by giving written notice of resignation to the Issuer and by mailing notice thereof by first class mail to Holders of the applicable series of Securities at their last addresses as they shall appear on the Security register. Upon receiving such notice of resignation, the Issuer shall promptly appoint a successor trustee or trustees with respect to the applicable series by written instrument in duplicate, executed by authority of the Board,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at the Issuer’s expense may petition any court of competent jurisdiction for the appointment of a successor trustee, or any Securityholder who has been a bona fide Holder of a Security or Securities of the applicable series for at least six months may, subject to the provisions of Section</w:t>
      </w:r>
    </w:p>
    <w:p>
      <w:pPr>
        <w:spacing w:after="0" w:line="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4.12, on behalf of himself and all others similarly situated, petition any such court for the appointment of a successor trustee. Such court may thereupon, after such notice, if any, as it may deem proper and prescribe, appoint a successor trustee.</w:t>
      </w:r>
    </w:p>
    <w:p>
      <w:pPr>
        <w:spacing w:after="0" w:line="183" w:lineRule="exact"/>
        <w:rPr>
          <w:sz w:val="20"/>
          <w:szCs w:val="20"/>
          <w:color w:val="auto"/>
        </w:rPr>
      </w:pPr>
    </w:p>
    <w:p>
      <w:pPr>
        <w:ind w:left="1580" w:hanging="275"/>
        <w:spacing w:after="0"/>
        <w:tabs>
          <w:tab w:leader="none" w:pos="1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98" w:lineRule="exact"/>
        <w:rPr>
          <w:rFonts w:ascii="Arial" w:cs="Arial" w:eastAsia="Arial" w:hAnsi="Arial"/>
          <w:sz w:val="18"/>
          <w:szCs w:val="18"/>
          <w:color w:val="auto"/>
        </w:rPr>
      </w:pPr>
    </w:p>
    <w:p>
      <w:pPr>
        <w:ind w:left="1300" w:right="120" w:firstLine="653"/>
        <w:spacing w:after="0"/>
        <w:tabs>
          <w:tab w:leader="none" w:pos="215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89" w:lineRule="exact"/>
        <w:rPr>
          <w:rFonts w:ascii="Arial" w:cs="Arial" w:eastAsia="Arial" w:hAnsi="Arial"/>
          <w:sz w:val="18"/>
          <w:szCs w:val="18"/>
          <w:color w:val="auto"/>
        </w:rPr>
      </w:pPr>
    </w:p>
    <w:p>
      <w:pPr>
        <w:ind w:left="1300" w:right="80" w:firstLine="653"/>
        <w:spacing w:after="0" w:line="246" w:lineRule="auto"/>
        <w:tabs>
          <w:tab w:leader="none" w:pos="219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83" w:lineRule="exact"/>
        <w:rPr>
          <w:rFonts w:ascii="Arial" w:cs="Arial" w:eastAsia="Arial" w:hAnsi="Arial"/>
          <w:sz w:val="18"/>
          <w:szCs w:val="18"/>
          <w:color w:val="auto"/>
        </w:rPr>
      </w:pPr>
    </w:p>
    <w:p>
      <w:pPr>
        <w:ind w:left="1300" w:right="240" w:firstLine="653"/>
        <w:spacing w:after="0" w:line="261" w:lineRule="auto"/>
        <w:tabs>
          <w:tab w:leader="none" w:pos="2238"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7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then, in any such case, the Issuer may remove the Trustee with respect to the applicable series of Securities and appoint a successor trustee for such series by written instrument, in duplicate, executed by order of the Board of the Issuer, one copy of which instrument shall be delivered to the Trustee so removed and one copy to the successor trustee, or,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52" w:name="page153"/>
    <w:bookmarkEnd w:id="152"/>
    <w:p>
      <w:pPr>
        <w:jc w:val="both"/>
        <w:ind w:right="100"/>
        <w:spacing w:after="0" w:line="239" w:lineRule="auto"/>
        <w:rPr>
          <w:sz w:val="20"/>
          <w:szCs w:val="20"/>
          <w:color w:val="auto"/>
        </w:rPr>
      </w:pPr>
      <w:r>
        <w:rPr>
          <w:rFonts w:ascii="Arial" w:cs="Arial" w:eastAsia="Arial" w:hAnsi="Arial"/>
          <w:sz w:val="18"/>
          <w:szCs w:val="18"/>
          <w:color w:val="auto"/>
        </w:rPr>
        <w:t>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88" w:lineRule="exact"/>
        <w:rPr>
          <w:sz w:val="20"/>
          <w:szCs w:val="20"/>
          <w:color w:val="auto"/>
        </w:rPr>
      </w:pPr>
    </w:p>
    <w:p>
      <w:pPr>
        <w:ind w:left="660" w:firstLine="645"/>
        <w:spacing w:after="0" w:line="239" w:lineRule="auto"/>
        <w:tabs>
          <w:tab w:leader="none" w:pos="156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6.01 of the action in that regard taken by the Securityholders.</w:t>
      </w:r>
    </w:p>
    <w:p>
      <w:pPr>
        <w:spacing w:after="0" w:line="188" w:lineRule="exact"/>
        <w:rPr>
          <w:rFonts w:ascii="Arial" w:cs="Arial" w:eastAsia="Arial" w:hAnsi="Arial"/>
          <w:sz w:val="18"/>
          <w:szCs w:val="18"/>
          <w:color w:val="auto"/>
        </w:rPr>
      </w:pPr>
    </w:p>
    <w:p>
      <w:pPr>
        <w:ind w:left="660" w:right="40" w:firstLine="645"/>
        <w:spacing w:after="0"/>
        <w:tabs>
          <w:tab w:leader="none" w:pos="15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Acceptance of Appointment by Successor Trustee.</w:t>
      </w:r>
      <w:r>
        <w:rPr>
          <w:rFonts w:ascii="Arial" w:cs="Arial" w:eastAsia="Arial" w:hAnsi="Arial"/>
          <w:sz w:val="18"/>
          <w:szCs w:val="18"/>
          <w:color w:val="auto"/>
        </w:rPr>
        <w:t xml:space="preserve"> Any successor trustee appointed as provided in Section</w:t>
      </w:r>
    </w:p>
    <w:p>
      <w:pPr>
        <w:spacing w:after="0"/>
        <w:rPr>
          <w:sz w:val="20"/>
          <w:szCs w:val="20"/>
          <w:color w:val="auto"/>
        </w:rPr>
      </w:pPr>
      <w:r>
        <w:rPr>
          <w:rFonts w:ascii="Arial" w:cs="Arial" w:eastAsia="Arial" w:hAnsi="Arial"/>
          <w:sz w:val="17"/>
          <w:szCs w:val="17"/>
          <w:color w:val="auto"/>
        </w:rPr>
        <w:t>5.09 shall execute and deliver to the Issuer and to its predecessor trustee an instrument accepting such appointment hereunder, and thereupon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resignation or removal of the predecessor trustee with respect to all or any applicable series shall become effective and such successor</w:t>
      </w:r>
    </w:p>
    <w:p>
      <w:pPr>
        <w:spacing w:after="0" w:line="234" w:lineRule="auto"/>
        <w:rPr>
          <w:sz w:val="20"/>
          <w:szCs w:val="20"/>
          <w:color w:val="auto"/>
        </w:rPr>
      </w:pPr>
      <w:r>
        <w:rPr>
          <w:rFonts w:ascii="Arial" w:cs="Arial" w:eastAsia="Arial" w:hAnsi="Arial"/>
          <w:sz w:val="18"/>
          <w:szCs w:val="18"/>
          <w:color w:val="auto"/>
        </w:rPr>
        <w:t>trustee, without any further act, deed or conveyance, shall become vested with all rights, powers, duties and obligations with respect to such</w:t>
      </w:r>
    </w:p>
    <w:p>
      <w:pPr>
        <w:spacing w:after="0" w:line="235" w:lineRule="auto"/>
        <w:rPr>
          <w:sz w:val="20"/>
          <w:szCs w:val="20"/>
          <w:color w:val="auto"/>
        </w:rPr>
      </w:pPr>
      <w:r>
        <w:rPr>
          <w:rFonts w:ascii="Arial" w:cs="Arial" w:eastAsia="Arial" w:hAnsi="Arial"/>
          <w:sz w:val="18"/>
          <w:szCs w:val="18"/>
          <w:color w:val="auto"/>
        </w:rPr>
        <w:t>series of its predecessor hereunder, with like effect as if originally named as trustee for such series hereunder; but, nevertheless, on the written</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request of the Issuer or of the successor trustee, upon payment of its charges then unpaid, the trustee ceasing to act shall, subject to Section 9.04,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192" w:lineRule="exact"/>
        <w:rPr>
          <w:sz w:val="20"/>
          <w:szCs w:val="20"/>
          <w:color w:val="auto"/>
        </w:rPr>
      </w:pPr>
    </w:p>
    <w:p>
      <w:pPr>
        <w:ind w:right="40" w:firstLine="1297"/>
        <w:spacing w:after="0" w:line="237" w:lineRule="auto"/>
        <w:rPr>
          <w:sz w:val="20"/>
          <w:szCs w:val="20"/>
          <w:color w:val="auto"/>
        </w:rPr>
      </w:pPr>
      <w:r>
        <w:rPr>
          <w:rFonts w:ascii="Arial" w:cs="Arial" w:eastAsia="Arial" w:hAnsi="Arial"/>
          <w:sz w:val="18"/>
          <w:szCs w:val="18"/>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53" w:name="page154"/>
    <w:bookmarkEnd w:id="153"/>
    <w:p>
      <w:pPr>
        <w:ind w:right="220"/>
        <w:spacing w:after="0" w:line="246" w:lineRule="auto"/>
        <w:rPr>
          <w:sz w:val="20"/>
          <w:szCs w:val="20"/>
          <w:color w:val="auto"/>
        </w:rPr>
      </w:pPr>
      <w:r>
        <w:rPr>
          <w:rFonts w:ascii="Arial" w:cs="Arial" w:eastAsia="Arial" w:hAnsi="Arial"/>
          <w:sz w:val="18"/>
          <w:szCs w:val="18"/>
          <w:color w:val="auto"/>
        </w:rPr>
        <w:t>trustee, it being understood that nothing herein or in such supplemental indenture shall constitute such trustees co-trustees of the same trust and that each such trustee shall be trustee of a trust or trusts under separate indentures.</w:t>
      </w:r>
    </w:p>
    <w:p>
      <w:pPr>
        <w:spacing w:after="0" w:line="183" w:lineRule="exact"/>
        <w:rPr>
          <w:sz w:val="20"/>
          <w:szCs w:val="20"/>
          <w:color w:val="auto"/>
        </w:rPr>
      </w:pPr>
    </w:p>
    <w:p>
      <w:pPr>
        <w:ind w:firstLine="1297"/>
        <w:spacing w:after="0" w:line="237" w:lineRule="auto"/>
        <w:rPr>
          <w:sz w:val="20"/>
          <w:szCs w:val="20"/>
          <w:color w:val="auto"/>
        </w:rPr>
      </w:pPr>
      <w:r>
        <w:rPr>
          <w:rFonts w:ascii="Arial" w:cs="Arial" w:eastAsia="Arial" w:hAnsi="Arial"/>
          <w:sz w:val="18"/>
          <w:szCs w:val="18"/>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192" w:lineRule="exact"/>
        <w:rPr>
          <w:sz w:val="20"/>
          <w:szCs w:val="20"/>
          <w:color w:val="auto"/>
        </w:rPr>
      </w:pPr>
    </w:p>
    <w:p>
      <w:pPr>
        <w:ind w:right="20" w:firstLine="1297"/>
        <w:spacing w:after="0" w:line="23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Merger, Conversion, Consolidation or Succession to Business of Trustee.</w:t>
      </w:r>
      <w:r>
        <w:rPr>
          <w:rFonts w:ascii="Arial" w:cs="Arial" w:eastAsia="Arial" w:hAnsi="Arial"/>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corporation shall be eligible under the provisions of Section 5.08, without the execution or filing of any paper or any further act on the part of any of the parties hereto, anything herein to the contrary notwithstanding.</w:t>
      </w:r>
    </w:p>
    <w:p>
      <w:pPr>
        <w:spacing w:after="0" w:line="192" w:lineRule="exact"/>
        <w:rPr>
          <w:sz w:val="20"/>
          <w:szCs w:val="20"/>
          <w:color w:val="auto"/>
        </w:rPr>
      </w:pPr>
    </w:p>
    <w:p>
      <w:pPr>
        <w:ind w:firstLine="1297"/>
        <w:spacing w:after="0" w:line="236" w:lineRule="auto"/>
        <w:rPr>
          <w:sz w:val="20"/>
          <w:szCs w:val="20"/>
          <w:color w:val="auto"/>
        </w:rPr>
      </w:pPr>
      <w:r>
        <w:rPr>
          <w:rFonts w:ascii="Arial" w:cs="Arial" w:eastAsia="Arial" w:hAnsi="Arial"/>
          <w:sz w:val="18"/>
          <w:szCs w:val="18"/>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Concerning the Securityholders</w:t>
      </w:r>
    </w:p>
    <w:p>
      <w:pPr>
        <w:spacing w:after="0" w:line="198" w:lineRule="exact"/>
        <w:rPr>
          <w:sz w:val="20"/>
          <w:szCs w:val="20"/>
          <w:color w:val="auto"/>
        </w:rPr>
      </w:pPr>
    </w:p>
    <w:p>
      <w:pPr>
        <w:ind w:right="160" w:firstLine="1297"/>
        <w:spacing w:after="0" w:line="23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Evidence of Action Taken by Securityholders.</w:t>
      </w:r>
      <w:r>
        <w:rPr>
          <w:rFonts w:ascii="Arial" w:cs="Arial" w:eastAsia="Arial" w:hAnsi="Arial"/>
          <w:sz w:val="18"/>
          <w:szCs w:val="18"/>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3" w:right="259" w:bottom="1440" w:gutter="0" w:footer="0" w:header="0"/>
        </w:sectPr>
      </w:pPr>
    </w:p>
    <w:bookmarkStart w:id="154" w:name="page155"/>
    <w:bookmarkEnd w:id="154"/>
    <w:p>
      <w:pPr>
        <w:ind w:right="260"/>
        <w:spacing w:after="0"/>
        <w:rPr>
          <w:sz w:val="20"/>
          <w:szCs w:val="20"/>
          <w:color w:val="auto"/>
        </w:rPr>
      </w:pPr>
      <w:r>
        <w:rPr>
          <w:rFonts w:ascii="Arial" w:cs="Arial" w:eastAsia="Arial" w:hAnsi="Arial"/>
          <w:sz w:val="18"/>
          <w:szCs w:val="18"/>
          <w:color w:val="auto"/>
        </w:rPr>
        <w:t>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189" w:lineRule="exact"/>
        <w:rPr>
          <w:sz w:val="20"/>
          <w:szCs w:val="20"/>
          <w:color w:val="auto"/>
        </w:rPr>
      </w:pPr>
    </w:p>
    <w:p>
      <w:pPr>
        <w:ind w:right="120" w:firstLine="1297"/>
        <w:spacing w:after="0" w:line="236"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Proof of Execution of Instruments and of Holding of Securities; Record Date.</w:t>
      </w:r>
      <w:r>
        <w:rPr>
          <w:rFonts w:ascii="Arial" w:cs="Arial" w:eastAsia="Arial" w:hAnsi="Arial"/>
          <w:sz w:val="18"/>
          <w:szCs w:val="18"/>
          <w:color w:val="auto"/>
        </w:rPr>
        <w:t xml:space="preserve"> Subject to Sections 5.01 and 5.02, the execution of any instrument by a Securityholder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194" w:lineRule="exact"/>
        <w:rPr>
          <w:sz w:val="20"/>
          <w:szCs w:val="20"/>
          <w:color w:val="auto"/>
        </w:rPr>
      </w:pPr>
    </w:p>
    <w:p>
      <w:pPr>
        <w:ind w:right="120" w:firstLine="1297"/>
        <w:spacing w:after="0" w:line="23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Holders to be Treated as Owners.</w:t>
      </w:r>
      <w:r>
        <w:rPr>
          <w:rFonts w:ascii="Arial" w:cs="Arial" w:eastAsia="Arial" w:hAnsi="Arial"/>
          <w:sz w:val="18"/>
          <w:szCs w:val="18"/>
          <w:color w:val="auto"/>
        </w:rPr>
        <w:t xml:space="preserve">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90" w:lineRule="exact"/>
        <w:rPr>
          <w:sz w:val="20"/>
          <w:szCs w:val="20"/>
          <w:color w:val="auto"/>
        </w:rPr>
      </w:pPr>
    </w:p>
    <w:p>
      <w:pPr>
        <w:ind w:firstLine="1297"/>
        <w:spacing w:after="0" w:line="236"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Securities Owned by Issuer Deemed Not Outstanding.</w:t>
      </w:r>
      <w:r>
        <w:rPr>
          <w:rFonts w:ascii="Arial" w:cs="Arial" w:eastAsia="Arial" w:hAnsi="Arial"/>
          <w:sz w:val="18"/>
          <w:szCs w:val="18"/>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 may be regarded as Outstanding if the pledgee establishes to the satisfaction of the Trustee the pledgee’s right so to act with respect to such Securities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55" w:name="page156"/>
    <w:bookmarkEnd w:id="155"/>
    <w:p>
      <w:pPr>
        <w:spacing w:after="0" w:line="237" w:lineRule="auto"/>
        <w:rPr>
          <w:sz w:val="20"/>
          <w:szCs w:val="20"/>
          <w:color w:val="auto"/>
        </w:rPr>
      </w:pPr>
      <w:r>
        <w:rPr>
          <w:rFonts w:ascii="Arial" w:cs="Arial" w:eastAsia="Arial" w:hAnsi="Arial"/>
          <w:sz w:val="18"/>
          <w:szCs w:val="18"/>
          <w:color w:val="auto"/>
        </w:rPr>
        <w:t>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5.01 and 5.02, the Trustee shall be entitled to accept such Officers’ Certificate as conclusive evidence of the facts therein set forth and of the fact that all Securities not listed therein are Outstanding for the purpose of any such determination.</w:t>
      </w:r>
    </w:p>
    <w:p>
      <w:pPr>
        <w:spacing w:after="0" w:line="190" w:lineRule="exact"/>
        <w:rPr>
          <w:sz w:val="20"/>
          <w:szCs w:val="20"/>
          <w:color w:val="auto"/>
        </w:rPr>
      </w:pPr>
    </w:p>
    <w:p>
      <w:pPr>
        <w:ind w:right="80" w:firstLine="1297"/>
        <w:spacing w:after="0" w:line="236"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 of Revocation of Action Taken.</w:t>
      </w:r>
      <w:r>
        <w:rPr>
          <w:rFonts w:ascii="Arial" w:cs="Arial" w:eastAsia="Arial" w:hAnsi="Arial"/>
          <w:sz w:val="18"/>
          <w:szCs w:val="18"/>
          <w:color w:val="auto"/>
        </w:rPr>
        <w:t xml:space="preserve">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Supplemental Indentures</w:t>
      </w:r>
    </w:p>
    <w:p>
      <w:pPr>
        <w:spacing w:after="0" w:line="198" w:lineRule="exact"/>
        <w:rPr>
          <w:sz w:val="20"/>
          <w:szCs w:val="20"/>
          <w:color w:val="auto"/>
        </w:rPr>
      </w:pPr>
    </w:p>
    <w:p>
      <w:pPr>
        <w:ind w:right="140" w:firstLine="1297"/>
        <w:spacing w:after="0" w:line="23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Supplemental Indentures Without Consent of Securityholders.</w:t>
      </w:r>
      <w:r>
        <w:rPr>
          <w:rFonts w:ascii="Arial" w:cs="Arial" w:eastAsia="Arial" w:hAnsi="Arial"/>
          <w:sz w:val="18"/>
          <w:szCs w:val="18"/>
          <w:color w:val="auto"/>
        </w:rPr>
        <w:t xml:space="preserve"> The Issuer, when authorized by a resolution of its Board (which resolutions may provide general authorization for such action and may provide that the specific terms of such action may be determined by officers of the Issuer authorized thereby), and the Trustee may from time to time and at any time enter into an indenture or indentures supplemental hereto for one or more of the following purposes:</w:t>
      </w:r>
    </w:p>
    <w:p>
      <w:pPr>
        <w:spacing w:after="0" w:line="188" w:lineRule="exact"/>
        <w:rPr>
          <w:sz w:val="20"/>
          <w:szCs w:val="20"/>
          <w:color w:val="auto"/>
        </w:rPr>
      </w:pPr>
    </w:p>
    <w:p>
      <w:pPr>
        <w:ind w:left="660" w:right="540" w:firstLine="645"/>
        <w:spacing w:after="0" w:line="246" w:lineRule="auto"/>
        <w:tabs>
          <w:tab w:leader="none" w:pos="157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convey, transfer, assign, mortgage or pledge to the Trustee as security for the Securities of one or more series any property or assets;</w:t>
      </w:r>
    </w:p>
    <w:p>
      <w:pPr>
        <w:spacing w:after="0" w:line="183" w:lineRule="exact"/>
        <w:rPr>
          <w:rFonts w:ascii="Arial" w:cs="Arial" w:eastAsia="Arial" w:hAnsi="Arial"/>
          <w:sz w:val="18"/>
          <w:szCs w:val="18"/>
          <w:color w:val="auto"/>
        </w:rPr>
      </w:pPr>
    </w:p>
    <w:p>
      <w:pPr>
        <w:ind w:left="660" w:right="440" w:firstLine="645"/>
        <w:spacing w:after="0" w:line="246" w:lineRule="auto"/>
        <w:tabs>
          <w:tab w:leader="none" w:pos="157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evidence the succession of another legal entity to the Issuer, or successive successions, and the assumption by the successor legal entity of the covenants, agreements and obligations of the Issuer pursuant to Article 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56" w:name="page157"/>
    <w:bookmarkEnd w:id="156"/>
    <w:p>
      <w:pPr>
        <w:ind w:left="660" w:right="240" w:firstLine="645"/>
        <w:spacing w:after="0" w:line="236" w:lineRule="auto"/>
        <w:tabs>
          <w:tab w:leader="none" w:pos="156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add to the covenants of the Issuer such further covenants, restrictions, conditions or provisions as the Issuer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93" w:lineRule="exact"/>
        <w:rPr>
          <w:rFonts w:ascii="Arial" w:cs="Arial" w:eastAsia="Arial" w:hAnsi="Arial"/>
          <w:sz w:val="18"/>
          <w:szCs w:val="18"/>
          <w:color w:val="auto"/>
        </w:rPr>
      </w:pPr>
    </w:p>
    <w:p>
      <w:pPr>
        <w:ind w:left="660" w:right="120" w:firstLine="645"/>
        <w:spacing w:after="0" w:line="257" w:lineRule="auto"/>
        <w:tabs>
          <w:tab w:leader="none" w:pos="157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may deem necessary or desirable and which shall not adversely affect the interests of the Holders of the Securities in any material respect;</w:t>
      </w:r>
    </w:p>
    <w:p>
      <w:pPr>
        <w:spacing w:after="0" w:line="175" w:lineRule="exact"/>
        <w:rPr>
          <w:rFonts w:ascii="Arial" w:cs="Arial" w:eastAsia="Arial" w:hAnsi="Arial"/>
          <w:sz w:val="17"/>
          <w:szCs w:val="17"/>
          <w:color w:val="auto"/>
        </w:rPr>
      </w:pPr>
    </w:p>
    <w:p>
      <w:pPr>
        <w:ind w:left="1580" w:hanging="275"/>
        <w:spacing w:after="0"/>
        <w:tabs>
          <w:tab w:leader="none" w:pos="15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 and</w:t>
      </w:r>
    </w:p>
    <w:p>
      <w:pPr>
        <w:spacing w:after="0" w:line="198" w:lineRule="exact"/>
        <w:rPr>
          <w:rFonts w:ascii="Arial" w:cs="Arial" w:eastAsia="Arial" w:hAnsi="Arial"/>
          <w:sz w:val="18"/>
          <w:szCs w:val="18"/>
          <w:color w:val="auto"/>
        </w:rPr>
      </w:pPr>
    </w:p>
    <w:p>
      <w:pPr>
        <w:ind w:left="660" w:right="120" w:firstLine="645"/>
        <w:spacing w:after="0"/>
        <w:tabs>
          <w:tab w:leader="none" w:pos="15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189" w:lineRule="exact"/>
        <w:rPr>
          <w:sz w:val="20"/>
          <w:szCs w:val="20"/>
          <w:color w:val="auto"/>
        </w:rPr>
      </w:pPr>
    </w:p>
    <w:p>
      <w:pPr>
        <w:ind w:firstLine="1297"/>
        <w:spacing w:after="0" w:line="239" w:lineRule="auto"/>
        <w:rPr>
          <w:sz w:val="20"/>
          <w:szCs w:val="20"/>
          <w:color w:val="auto"/>
        </w:rPr>
      </w:pPr>
      <w:r>
        <w:rPr>
          <w:rFonts w:ascii="Arial" w:cs="Arial" w:eastAsia="Arial" w:hAnsi="Arial"/>
          <w:sz w:val="18"/>
          <w:szCs w:val="18"/>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ind w:right="20" w:firstLine="1297"/>
        <w:spacing w:after="0" w:line="246"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 xml:space="preserve"> With the consent (evidenced as provided in Article</w:t>
      </w:r>
    </w:p>
    <w:p>
      <w:pPr>
        <w:ind w:right="400" w:firstLine="8"/>
        <w:spacing w:after="0" w:line="246" w:lineRule="auto"/>
        <w:tabs>
          <w:tab w:leader="none" w:pos="21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of the Holders of not less than a majority in aggregate principal amount of the Securities at the time Outstanding of all series affected by such supplemental indenture (voting as one class),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57" w:name="page158"/>
    <w:bookmarkEnd w:id="157"/>
    <w:p>
      <w:pPr>
        <w:spacing w:after="0" w:line="235" w:lineRule="auto"/>
        <w:rPr>
          <w:sz w:val="20"/>
          <w:szCs w:val="20"/>
          <w:color w:val="auto"/>
        </w:rPr>
      </w:pPr>
      <w:r>
        <w:rPr>
          <w:rFonts w:ascii="Arial" w:cs="Arial" w:eastAsia="Arial" w:hAnsi="Arial"/>
          <w:sz w:val="18"/>
          <w:szCs w:val="18"/>
          <w:color w:val="auto"/>
        </w:rPr>
        <w:t>the Issuer, when authorized by a resolution of its Board (which resolutions may provide general authorization for such action and may provide that the specific terms of such action may be determined by officers of the Issuer authorized thereby),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(a) (i) extend the final maturity of any Security, (ii) reduce the principal amount thereof, (iii) reduce the rate or extend the time of payment of interest thereon, (iv) reduce any amount payable on redemption thereof, (v) make the principal thereof (including any amount in respect of original issue discount), or interest thereon payable in any coin or currency other than that provided in the Securities or in accordance with the terms thereof, (vi) modify or amend any provisions for converting any currency into any other currency as provided in the Securities or in accordance with the terms thereof, (vii) reduce the amount of the principal of an Original Issue Discount Security that would be due and payable upon an acceleration of the maturity thereof pursuant to Section 4.01 or the amount thereof provable in bankruptcy pursuant to Section 4.02, (viii) modify or amend any provisions relating to the conversion or exchange of the Securities for securities of the Issuer or of other entities or other property (or the cash value thereof), including the determination of the amount of securities or other property (or cash) into which the Securities shall be converted or exchanged, other than as provided in the antidilution provisions or other similar adjustment provisions of the Securities or otherwise in accordance with the terms thereof, (ix) alter the provisions of Section 10.12 or Section 10.14 or impair or affect the right of any Securityholder to institute suit for the payment thereof or, if the Securities provide therefor, any right of repayment at the option of the Securityholder, in each case without the consent of the Holder of each Security so affected, or (b) reduce the aforesaid percentage of Securities of any series, the consent of the Holders of which is required for any such supplemental indenture, without the consent of the Holders of each Security so affected.</w:t>
      </w:r>
    </w:p>
    <w:p>
      <w:pPr>
        <w:spacing w:after="0" w:line="201" w:lineRule="exact"/>
        <w:rPr>
          <w:sz w:val="20"/>
          <w:szCs w:val="20"/>
          <w:color w:val="auto"/>
        </w:rPr>
      </w:pPr>
    </w:p>
    <w:p>
      <w:pPr>
        <w:jc w:val="both"/>
        <w:ind w:right="160" w:firstLine="1297"/>
        <w:spacing w:after="0" w:line="239"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88" w:lineRule="exact"/>
        <w:rPr>
          <w:sz w:val="20"/>
          <w:szCs w:val="20"/>
          <w:color w:val="auto"/>
        </w:rPr>
      </w:pPr>
    </w:p>
    <w:p>
      <w:pPr>
        <w:ind w:right="280" w:firstLine="1297"/>
        <w:spacing w:after="0" w:line="237" w:lineRule="auto"/>
        <w:rPr>
          <w:sz w:val="20"/>
          <w:szCs w:val="20"/>
          <w:color w:val="auto"/>
        </w:rPr>
      </w:pPr>
      <w:r>
        <w:rPr>
          <w:rFonts w:ascii="Arial" w:cs="Arial" w:eastAsia="Arial" w:hAnsi="Arial"/>
          <w:sz w:val="18"/>
          <w:szCs w:val="18"/>
          <w:color w:val="auto"/>
        </w:rPr>
        <w:t>Upon the request of the Issuer, accompanied by a copy of a resolution of the Board (which resolutions may provide general authorization for such action and may provide that the specific terms of such action may be determined by officers of the Issuer authorized thereby)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case the Trustee may in its discretion, but shall not be obligated to, enter into such supplemental indenture.</w:t>
      </w:r>
    </w:p>
    <w:p>
      <w:pPr>
        <w:spacing w:after="0" w:line="198" w:lineRule="exact"/>
        <w:rPr>
          <w:sz w:val="20"/>
          <w:szCs w:val="20"/>
          <w:color w:val="auto"/>
        </w:rPr>
      </w:pPr>
    </w:p>
    <w:p>
      <w:pPr>
        <w:ind w:right="720" w:firstLine="1297"/>
        <w:spacing w:after="0" w:line="246"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83" w:lineRule="exact"/>
        <w:rPr>
          <w:sz w:val="20"/>
          <w:szCs w:val="20"/>
          <w:color w:val="auto"/>
        </w:rPr>
      </w:pPr>
    </w:p>
    <w:p>
      <w:pPr>
        <w:ind w:right="120" w:firstLine="1297"/>
        <w:spacing w:after="0" w:line="238" w:lineRule="auto"/>
        <w:rPr>
          <w:sz w:val="20"/>
          <w:szCs w:val="20"/>
          <w:color w:val="auto"/>
        </w:rPr>
      </w:pPr>
      <w:r>
        <w:rPr>
          <w:rFonts w:ascii="Arial" w:cs="Arial" w:eastAsia="Arial" w:hAnsi="Arial"/>
          <w:sz w:val="18"/>
          <w:szCs w:val="18"/>
          <w:color w:val="auto"/>
        </w:rPr>
        <w:t>Promptly after the execution by the Issuer and the Trustee of any supplemental indenture pursuant to the provisions of this Section, the Trustee shall give notice thereof by (a) first class mail to the Holders of Securities of each series affected thereby at their addresses as they shall appear on the registry books of the Issuer or (b) by any other means set forth in such supplemental indenture, setting forth in general terms the substance of such supplemental indenture. Any failure of the Trustee to mail such notice, or any defect therein, shall not, however, in any way impair or affect the validity of any such supplemental indenture.</w:t>
      </w:r>
    </w:p>
    <w:p>
      <w:pPr>
        <w:spacing w:after="0" w:line="189" w:lineRule="exact"/>
        <w:rPr>
          <w:sz w:val="20"/>
          <w:szCs w:val="20"/>
          <w:color w:val="auto"/>
        </w:rPr>
      </w:pPr>
    </w:p>
    <w:p>
      <w:pPr>
        <w:ind w:right="400" w:firstLine="1297"/>
        <w:spacing w:after="0" w:line="23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Effect of Supplemental Indenture.</w:t>
      </w:r>
      <w:r>
        <w:rPr>
          <w:rFonts w:ascii="Arial" w:cs="Arial" w:eastAsia="Arial" w:hAnsi="Arial"/>
          <w:sz w:val="18"/>
          <w:szCs w:val="18"/>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92" w:lineRule="exact"/>
        <w:rPr>
          <w:sz w:val="20"/>
          <w:szCs w:val="20"/>
          <w:color w:val="auto"/>
        </w:rPr>
      </w:pPr>
    </w:p>
    <w:p>
      <w:pPr>
        <w:ind w:firstLine="1297"/>
        <w:spacing w:after="0" w:line="238"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Documents to Be Given to Trustee.</w:t>
      </w:r>
      <w:r>
        <w:rPr>
          <w:rFonts w:ascii="Arial" w:cs="Arial" w:eastAsia="Arial" w:hAnsi="Arial"/>
          <w:sz w:val="18"/>
          <w:szCs w:val="18"/>
          <w:color w:val="auto"/>
        </w:rPr>
        <w:t xml:space="preserve"> In executing, or accepting the additional trusts created by, any supplemental indenture permitted by this Article or the modification thereby of the trusts created by this Indenture, the Trustee shall be provided with, and shall be fully protected in relying upon, an Opinion of Counsel stating that the execution of such supplemental indenture is authorized or permitted by this Indenture. The Trustee may, but shall not be obligated to, enter into any such supplemental indenture which adversely affects the Trustee’s own rights, duties or immunities under this Indenture or otherwise.</w:t>
      </w:r>
    </w:p>
    <w:p>
      <w:pPr>
        <w:spacing w:after="0" w:line="189" w:lineRule="exact"/>
        <w:rPr>
          <w:sz w:val="20"/>
          <w:szCs w:val="20"/>
          <w:color w:val="auto"/>
        </w:rPr>
      </w:pPr>
    </w:p>
    <w:p>
      <w:pPr>
        <w:ind w:right="20" w:firstLine="1297"/>
        <w:spacing w:after="0" w:line="23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Notation on Securities in Respect of Supplemental Indentures.</w:t>
      </w:r>
      <w:r>
        <w:rPr>
          <w:rFonts w:ascii="Arial" w:cs="Arial" w:eastAsia="Arial" w:hAnsi="Arial"/>
          <w:sz w:val="18"/>
          <w:szCs w:val="18"/>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to any modification of this Indenture contained in any such supplemental indenture may be prepared by the Issuer, authenticated by the Trustee and delivered in exchange for the Securities of such series then Outstanding.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3" w:right="25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color w:val="auto"/>
        </w:rPr>
        <w:t>ARTICLE 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Consolidation, Merger, Sale or Conveyance</w:t>
      </w:r>
    </w:p>
    <w:p>
      <w:pPr>
        <w:spacing w:after="0" w:line="198" w:lineRule="exact"/>
        <w:rPr>
          <w:sz w:val="20"/>
          <w:szCs w:val="20"/>
          <w:color w:val="auto"/>
        </w:rPr>
      </w:pPr>
    </w:p>
    <w:p>
      <w:pPr>
        <w:ind w:right="60" w:firstLine="1297"/>
        <w:spacing w:after="0" w:line="236"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Issuer May Consolidate, etc., on Certain Terms.</w:t>
      </w:r>
      <w:r>
        <w:rPr>
          <w:rFonts w:ascii="Arial" w:cs="Arial" w:eastAsia="Arial" w:hAnsi="Arial"/>
          <w:sz w:val="18"/>
          <w:szCs w:val="18"/>
          <w:color w:val="auto"/>
        </w:rPr>
        <w:t xml:space="preserve"> The Issuer covenants that it will not merge or consolidate with any other Person or sell or convey all or substantially all of its assets to any Person, unless (i) either the Issuer shall be the continuing legal entity, or the successor legal entity or the Person which acquires by sale or conveyance substantially all the assets of the Issuer (if other than the Issuer)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successor legal entity, and (ii) the Issuer or such successor legal entity, as the case may be, shall not, immediately after such merger or consolidation, or such sale or conveyance, be in default in the performance of any such covenant or condition.</w:t>
      </w:r>
    </w:p>
    <w:p>
      <w:pPr>
        <w:spacing w:after="0" w:line="195" w:lineRule="exact"/>
        <w:rPr>
          <w:sz w:val="20"/>
          <w:szCs w:val="20"/>
          <w:color w:val="auto"/>
        </w:rPr>
      </w:pPr>
    </w:p>
    <w:p>
      <w:pPr>
        <w:ind w:right="80" w:firstLine="1297"/>
        <w:spacing w:after="0" w:line="23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Successor Substituted.</w:t>
      </w:r>
      <w:r>
        <w:rPr>
          <w:rFonts w:ascii="Arial" w:cs="Arial" w:eastAsia="Arial" w:hAnsi="Arial"/>
          <w:sz w:val="18"/>
          <w:szCs w:val="18"/>
          <w:color w:val="auto"/>
        </w:rPr>
        <w:t xml:space="preserve"> In case of any such consolidation, merger, sale or conveyance, and following such an assumption by the successor legal entity, all in the manner described in Section 8.01, such successor legal entity shall succeed to and be substituted for the Issuer, with the same effect as if it had been named herein. Such successor legal entity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legal entity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legal entity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93" w:lineRule="exact"/>
        <w:rPr>
          <w:sz w:val="20"/>
          <w:szCs w:val="20"/>
          <w:color w:val="auto"/>
        </w:rPr>
      </w:pPr>
    </w:p>
    <w:p>
      <w:pPr>
        <w:ind w:right="920" w:firstLine="1297"/>
        <w:spacing w:after="0" w:line="246" w:lineRule="auto"/>
        <w:rPr>
          <w:sz w:val="20"/>
          <w:szCs w:val="20"/>
          <w:color w:val="auto"/>
        </w:rPr>
      </w:pPr>
      <w:r>
        <w:rPr>
          <w:rFonts w:ascii="Arial" w:cs="Arial" w:eastAsia="Arial" w:hAnsi="Arial"/>
          <w:sz w:val="18"/>
          <w:szCs w:val="18"/>
          <w:color w:val="auto"/>
        </w:rPr>
        <w:t>In case of any such consolidation, merger, sale, lease or conveyance such changes in phrasing and form (but not in substance) may be made in the Securities thereafter to be issued as may be appropriate.</w:t>
      </w:r>
    </w:p>
    <w:p>
      <w:pPr>
        <w:spacing w:after="0" w:line="183" w:lineRule="exact"/>
        <w:rPr>
          <w:sz w:val="20"/>
          <w:szCs w:val="20"/>
          <w:color w:val="auto"/>
        </w:rPr>
      </w:pPr>
    </w:p>
    <w:p>
      <w:pPr>
        <w:ind w:firstLine="1297"/>
        <w:spacing w:after="0"/>
        <w:rPr>
          <w:sz w:val="20"/>
          <w:szCs w:val="20"/>
          <w:color w:val="auto"/>
        </w:rPr>
      </w:pPr>
      <w:r>
        <w:rPr>
          <w:rFonts w:ascii="Arial" w:cs="Arial" w:eastAsia="Arial" w:hAnsi="Arial"/>
          <w:sz w:val="18"/>
          <w:szCs w:val="18"/>
          <w:color w:val="auto"/>
        </w:rPr>
        <w:t>In the event of any such sale or conveyance (other than a conveyance by way of lease) the Issuer or any successor legal entity which shall theretofore have become such in the manner described in this Article shall be discharged from all obligations and covenants under this Indenture and the Securities and may be liquidated and dissolved.</w:t>
      </w:r>
    </w:p>
    <w:p>
      <w:pPr>
        <w:spacing w:after="0" w:line="189" w:lineRule="exact"/>
        <w:rPr>
          <w:sz w:val="20"/>
          <w:szCs w:val="20"/>
          <w:color w:val="auto"/>
        </w:rPr>
      </w:pPr>
    </w:p>
    <w:p>
      <w:pPr>
        <w:ind w:right="140" w:firstLine="1297"/>
        <w:spacing w:after="0" w:line="246"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Opinion of Counsel to Trustee.</w:t>
      </w:r>
      <w:r>
        <w:rPr>
          <w:rFonts w:ascii="Arial" w:cs="Arial" w:eastAsia="Arial" w:hAnsi="Arial"/>
          <w:sz w:val="18"/>
          <w:szCs w:val="18"/>
          <w:color w:val="auto"/>
        </w:rPr>
        <w:t xml:space="preserve"> The Trustee, subject to the provisions of Sections 5.01 and 5.02, shall receive an Opinion of Counsel, prepared in accordance with Section 10.06, as conclusive evidence that any such consolidation,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60" w:name="page161"/>
    <w:bookmarkEnd w:id="160"/>
    <w:p>
      <w:pPr>
        <w:ind w:right="180"/>
        <w:spacing w:after="0" w:line="246" w:lineRule="auto"/>
        <w:rPr>
          <w:sz w:val="20"/>
          <w:szCs w:val="20"/>
          <w:color w:val="auto"/>
        </w:rPr>
      </w:pPr>
      <w:r>
        <w:rPr>
          <w:rFonts w:ascii="Arial" w:cs="Arial" w:eastAsia="Arial" w:hAnsi="Arial"/>
          <w:sz w:val="18"/>
          <w:szCs w:val="18"/>
          <w:color w:val="auto"/>
        </w:rPr>
        <w:t>merger, sale, lease or conveyance, and any such assumption, and any such liquidation or dissolution, complies with the applicable provisions of this Indenture.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Satisfaction and Discharge of Indenture; Unclaimed Moneys</w:t>
      </w:r>
    </w:p>
    <w:p>
      <w:pPr>
        <w:spacing w:after="0" w:line="198" w:lineRule="exact"/>
        <w:rPr>
          <w:sz w:val="20"/>
          <w:szCs w:val="20"/>
          <w:color w:val="auto"/>
        </w:rPr>
      </w:pPr>
    </w:p>
    <w:p>
      <w:pPr>
        <w:ind w:firstLine="1297"/>
        <w:spacing w:after="0" w:line="235"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xml:space="preserve"> (a) If at any time (i) the Issuer shall have paid or caused to be paid the principal of and interest on all the Securities of any series outstanding hereunder (other than Securities of such series which have been destroyed, lost or stolen and which have been replaced or paid as provided in Section 2.09) as and when the same shall have become due and payable, or (ii) the Issuer shall have delivered to the Trustee for cancellation all Securities of any series theretofore authenticated (other than any Securities of such series which shall have been destroyed, lost or stolen and which shall have been replaced or paid as provided in Section 2.09) or (iii) (A)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(B) the Issuer shall have irrevocably deposited or caused to be deposited with the Trustee as trust funds the entire amount in cash (other than moneys repaid by the Trustee or any paying agent to the Issuer in accordance with Section 9.04) in the case of any series of Securities the payments on which may only be made in United States dollars, direct obligations of the United States of America, backed by its full faith and credit (“</w:t>
      </w:r>
      <w:r>
        <w:rPr>
          <w:rFonts w:ascii="Arial" w:cs="Arial" w:eastAsia="Arial" w:hAnsi="Arial"/>
          <w:sz w:val="18"/>
          <w:szCs w:val="18"/>
          <w:u w:val="single" w:color="auto"/>
          <w:color w:val="auto"/>
        </w:rPr>
        <w:t>U.S. Government Obligations</w:t>
      </w:r>
      <w:r>
        <w:rPr>
          <w:rFonts w:ascii="Arial" w:cs="Arial" w:eastAsia="Arial" w:hAnsi="Arial"/>
          <w:sz w:val="18"/>
          <w:szCs w:val="18"/>
          <w:color w:val="auto"/>
        </w:rPr>
        <w:t>”), maturing as to principal and interest at such times and in such amounts as will insure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2.09) not theretofore delivered to the Trustee for cancellation, including principal and interest due or to become due on or prior to such date of maturity as the case may be, and if, in any such case, the Issuer shall also pay or cause to be paid all other sums payable hereunder by the Issuer with respect to Securities of such series, then this Indenture shall cease to be of further effect with respect to Securities of such series (except as to (i) rights of registration of transfer and exchange of securities of such series, and the Issuer’s right of optional redemption, if any, (ii) substitution of mutilated, defaced, destroyed, lost or stolen Securities, (iii) rights of holders to receive payments of principal thereof and interest thereon upon the original stated due date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Issuer accompanied by an Officers’ Certificate and an Opinion of Counsel and at the cost and expense of the Issuer,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61" w:name="page162"/>
    <w:bookmarkEnd w:id="161"/>
    <w:p>
      <w:pPr>
        <w:ind w:right="400"/>
        <w:spacing w:after="0"/>
        <w:rPr>
          <w:sz w:val="20"/>
          <w:szCs w:val="20"/>
          <w:color w:val="auto"/>
        </w:rPr>
      </w:pPr>
      <w:r>
        <w:rPr>
          <w:rFonts w:ascii="Arial" w:cs="Arial" w:eastAsia="Arial" w:hAnsi="Arial"/>
          <w:sz w:val="18"/>
          <w:szCs w:val="18"/>
          <w:color w:val="auto"/>
        </w:rPr>
        <w:t>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89" w:lineRule="exact"/>
        <w:rPr>
          <w:sz w:val="20"/>
          <w:szCs w:val="20"/>
          <w:color w:val="auto"/>
        </w:rPr>
      </w:pPr>
    </w:p>
    <w:p>
      <w:pPr>
        <w:ind w:left="660" w:right="100" w:firstLine="645"/>
        <w:spacing w:after="0" w:line="248" w:lineRule="auto"/>
        <w:tabs>
          <w:tab w:leader="none" w:pos="1578"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following provisions shall apply to the Securities of each series unless specifically otherwise provided in a Board Resolution, Officers’ Certificate or indenture supplemental hereto provided pursuant to Section 2.03. In addition to discharge of the Indenture pursuant to the next preceding paragraph, in the case of any series of Securities the exact amounts (including the currency of payment) of principal of and interest due on which can be determined at the time of making the deposit referred to in clause 9.01(b)</w:t>
      </w:r>
    </w:p>
    <w:p>
      <w:pPr>
        <w:spacing w:after="0" w:line="2" w:lineRule="exact"/>
        <w:rPr>
          <w:rFonts w:ascii="Arial" w:cs="Arial" w:eastAsia="Arial" w:hAnsi="Arial"/>
          <w:sz w:val="17"/>
          <w:szCs w:val="17"/>
          <w:color w:val="auto"/>
        </w:rPr>
      </w:pPr>
    </w:p>
    <w:p>
      <w:pPr>
        <w:ind w:left="660" w:hanging="4"/>
        <w:spacing w:after="0" w:line="236" w:lineRule="auto"/>
        <w:tabs>
          <w:tab w:leader="none" w:pos="87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below, the Issuer shall be deemed to have paid and discharged the entire indebtedness on all the Securities of such a series on the 91st day after the date of the deposit referred to in clause 9.01(b)(i) below, and the provisions of this Indenture with respect to the Securities of such series thereto shall no longer be in effect (except as to (1) rights of registration of transfer and exchange of Securities of such series and the Issuer’s right of optional redemption, if any, (2) substitution of mutilated, defaced, destroyed, lost or stolen Securities, (3) rights of Holders of Securities to receive payments of principal thereof and interest thereon, upon the original stated due dates therefor (but not upon acceleration), and remaining rights of the Holders to receive mandatory sinking fund payments, if any, (4) the rights, obligations, duties and immunities of the Trustee hereunder, (5) the rights of the Holders of Securities of such series as beneficiaries hereof with respect to the property so deposited with the Trustee payable to all or any of them and (6) the obligations of the Issuer under Section 3.02) and the Trustee, at the expense of the Issuer, shall at the Issuer’s request, execute proper instruments acknowledging the same, if</w:t>
      </w:r>
    </w:p>
    <w:p>
      <w:pPr>
        <w:spacing w:after="0" w:line="193" w:lineRule="exact"/>
        <w:rPr>
          <w:rFonts w:ascii="Arial" w:cs="Arial" w:eastAsia="Arial" w:hAnsi="Arial"/>
          <w:sz w:val="18"/>
          <w:szCs w:val="18"/>
          <w:color w:val="auto"/>
        </w:rPr>
      </w:pPr>
    </w:p>
    <w:p>
      <w:pPr>
        <w:ind w:left="1300" w:firstLine="653"/>
        <w:spacing w:after="0" w:line="236" w:lineRule="auto"/>
        <w:tabs>
          <w:tab w:leader="none" w:pos="2158" w:val="left"/>
        </w:tabs>
        <w:numPr>
          <w:ilvl w:val="2"/>
          <w:numId w:val="162"/>
        </w:numPr>
        <w:rPr>
          <w:rFonts w:ascii="Arial" w:cs="Arial" w:eastAsia="Arial" w:hAnsi="Arial"/>
          <w:sz w:val="18"/>
          <w:szCs w:val="18"/>
          <w:color w:val="auto"/>
        </w:rPr>
      </w:pPr>
      <w:r>
        <w:rPr>
          <w:rFonts w:ascii="Arial" w:cs="Arial" w:eastAsia="Arial" w:hAnsi="Arial"/>
          <w:sz w:val="18"/>
          <w:szCs w:val="18"/>
          <w:color w:val="auto"/>
        </w:rPr>
        <w:t>with reference to this provision the Issuer has irrevocably deposited or caused to be irrevocably deposited with the Trustee as trust funds in trust, specifically pledged as security for, and dedicated solely to, the benefit of the Holders of the Securities of such series (A) cash in an amount, or (B) in the case of any series of Securities the payments on which may only be made in Dollars, U.S. Government Obligations, maturing as to principal and interest at such times and in such amounts as will insure the availability of cash or (C) a combination thereof, sufficient, in the opinion of a nationally recognized firm of independent public accountants expressed in a written certification thereof delivered to the Trustee, to pay (1) the principal and interest on all Securities of such series and coupons appertaining thereto on each date that such principal or interest is due and payable and (2) any mandatory sinking fund payments on the dates on which such payments are due and payable in accordance with the terms of the Indenture and the Securities of such series;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62" w:name="page163"/>
    <w:bookmarkEnd w:id="162"/>
    <w:p>
      <w:pPr>
        <w:ind w:left="640" w:firstLine="653"/>
        <w:spacing w:after="0" w:line="246" w:lineRule="auto"/>
        <w:tabs>
          <w:tab w:leader="none" w:pos="153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any agreement or instrument to which the Issuer is a party or by which it is bound;</w:t>
      </w:r>
    </w:p>
    <w:p>
      <w:pPr>
        <w:spacing w:after="0" w:line="183" w:lineRule="exact"/>
        <w:rPr>
          <w:rFonts w:ascii="Arial" w:cs="Arial" w:eastAsia="Arial" w:hAnsi="Arial"/>
          <w:sz w:val="18"/>
          <w:szCs w:val="18"/>
          <w:color w:val="auto"/>
        </w:rPr>
      </w:pPr>
    </w:p>
    <w:p>
      <w:pPr>
        <w:ind w:left="640" w:right="60" w:firstLine="653"/>
        <w:spacing w:after="0" w:line="237" w:lineRule="auto"/>
        <w:tabs>
          <w:tab w:leader="none" w:pos="157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Issuer has delivered to the Trustee an Opinion of Counsel based on the fact that (x) the Issuer has received from, or there has been published by, the Internal Revenue Service a ruling or (y) since the date hereof, there has been a change in the applicable federal income tax law, in either case to the effect that, and such opinion shall confirm that, the Holders of the Securities of such series and coupons appertaining thereto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89" w:lineRule="exact"/>
        <w:rPr>
          <w:rFonts w:ascii="Arial" w:cs="Arial" w:eastAsia="Arial" w:hAnsi="Arial"/>
          <w:sz w:val="18"/>
          <w:szCs w:val="18"/>
          <w:color w:val="auto"/>
        </w:rPr>
      </w:pPr>
    </w:p>
    <w:p>
      <w:pPr>
        <w:ind w:left="640" w:right="320" w:firstLine="653"/>
        <w:spacing w:after="0" w:line="246" w:lineRule="auto"/>
        <w:tabs>
          <w:tab w:leader="none" w:pos="158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Counsel, each stating that all conditions precedent provided for relating to the defeasance contemplated by this provision have been complied with.</w:t>
      </w:r>
    </w:p>
    <w:p>
      <w:pPr>
        <w:spacing w:after="0" w:line="183" w:lineRule="exact"/>
        <w:rPr>
          <w:rFonts w:ascii="Arial" w:cs="Arial" w:eastAsia="Arial" w:hAnsi="Arial"/>
          <w:sz w:val="18"/>
          <w:szCs w:val="18"/>
          <w:color w:val="auto"/>
        </w:rPr>
      </w:pPr>
    </w:p>
    <w:p>
      <w:pPr>
        <w:ind w:right="80" w:firstLine="645"/>
        <w:spacing w:after="0" w:line="236" w:lineRule="auto"/>
        <w:tabs>
          <w:tab w:leader="none" w:pos="90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Issuer shall be released from its obligations under Section 9.01 with respect to the Securities of any series Outstanding, on and after the date the conditions set forth below are satisfied (hereinafter, “</w:t>
      </w:r>
      <w:r>
        <w:rPr>
          <w:rFonts w:ascii="Arial" w:cs="Arial" w:eastAsia="Arial" w:hAnsi="Arial"/>
          <w:sz w:val="18"/>
          <w:szCs w:val="18"/>
          <w:u w:val="single" w:color="auto"/>
          <w:color w:val="auto"/>
        </w:rPr>
        <w:t>covenant defeasance</w:t>
      </w:r>
      <w:r>
        <w:rPr>
          <w:rFonts w:ascii="Arial" w:cs="Arial" w:eastAsia="Arial" w:hAnsi="Arial"/>
          <w:sz w:val="18"/>
          <w:szCs w:val="18"/>
          <w:color w:val="auto"/>
        </w:rPr>
        <w:t>”). For this purpose, such covenant defeasance means that, with respect to the Outstanding Securities of any series, the Issuer may omit to comply with and shall have no liability in respect of any term, condition or limitation set forth in such Sections, whether directly or indirectly by reason of any reference elsewhere herein to such Sections or by reason of any reference in such Sections to any other provision herein or in any other document and such omission to comply shall not constitute an Event of Default under Section 4.01, but the remainder of this Indenture and such Securities and coupons shall be unaffected thereby. The following shall be the conditions to application of this subsection (c) of this Section 9.01:</w:t>
      </w:r>
    </w:p>
    <w:p>
      <w:pPr>
        <w:spacing w:after="0" w:line="194" w:lineRule="exact"/>
        <w:rPr>
          <w:rFonts w:ascii="Arial" w:cs="Arial" w:eastAsia="Arial" w:hAnsi="Arial"/>
          <w:sz w:val="18"/>
          <w:szCs w:val="18"/>
          <w:color w:val="auto"/>
        </w:rPr>
      </w:pPr>
    </w:p>
    <w:p>
      <w:pPr>
        <w:ind w:left="640" w:right="60" w:firstLine="653"/>
        <w:spacing w:after="0" w:line="234" w:lineRule="auto"/>
        <w:tabs>
          <w:tab w:leader="none" w:pos="149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Issuer has irrevocably deposited or caused to be deposited with the Trustee as trust funds in trust for the purpose of making the following payments, specifically pledged as security for, and dedicated solely to, the benefit of the holders of the Securities of such series, (A) cash in an amount, or (B) in the case of any series of Securities the payments on which may only be made in Dollars, U.S. Government Obligations maturing as to principal and interest at such times and in such amounts as will insure the availability of cash or (C) a combination thereof, sufficient, in the opinion of a nationally recognized firm of independent public accountants expressed in a written certification thereof delivered to the Trustee, to pay</w:t>
      </w:r>
    </w:p>
    <w:p>
      <w:pPr>
        <w:spacing w:after="0" w:line="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 the principal and interest on all Securities of such series and coupons appertaining thereto and (2) any</w:t>
      </w:r>
    </w:p>
    <w:p>
      <w:pPr>
        <w:spacing w:after="0" w:line="18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135255</wp:posOffset>
            </wp:positionV>
            <wp:extent cx="72466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20"/>
          </w:cols>
          <w:pgMar w:left="900" w:top="422" w:right="379" w:bottom="1440" w:gutter="0" w:footer="0" w:header="0"/>
        </w:sectPr>
      </w:pPr>
    </w:p>
    <w:bookmarkStart w:id="163" w:name="page164"/>
    <w:bookmarkEnd w:id="163"/>
    <w:p>
      <w:pPr>
        <w:ind w:left="1300" w:right="280"/>
        <w:spacing w:after="0" w:line="246" w:lineRule="auto"/>
        <w:rPr>
          <w:sz w:val="20"/>
          <w:szCs w:val="20"/>
          <w:color w:val="auto"/>
        </w:rPr>
      </w:pPr>
      <w:r>
        <w:rPr>
          <w:rFonts w:ascii="Arial" w:cs="Arial" w:eastAsia="Arial" w:hAnsi="Arial"/>
          <w:sz w:val="18"/>
          <w:szCs w:val="18"/>
          <w:color w:val="auto"/>
        </w:rPr>
        <w:t>mandatory sinking fund payments on the day on which such payments are due and payable in accordance with the terms of the Indenture and the Securities of such series.</w:t>
      </w:r>
    </w:p>
    <w:p>
      <w:pPr>
        <w:spacing w:after="0" w:line="183" w:lineRule="exact"/>
        <w:rPr>
          <w:sz w:val="20"/>
          <w:szCs w:val="20"/>
          <w:color w:val="auto"/>
        </w:rPr>
      </w:pPr>
    </w:p>
    <w:p>
      <w:pPr>
        <w:ind w:left="1300" w:right="200" w:firstLine="653"/>
        <w:spacing w:after="0" w:line="239" w:lineRule="auto"/>
        <w:tabs>
          <w:tab w:leader="none" w:pos="219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the Securities shall have occurred and be continuing on the date of such deposit or, insofar as subsections 4.01(c) and 4.01(d) are concerned, at any time during the period ending on the 91st day after the date of such deposit (it being understood that this condition shall not be deemed satisfied until the expiration of such period).</w:t>
      </w:r>
    </w:p>
    <w:p>
      <w:pPr>
        <w:spacing w:after="0" w:line="188" w:lineRule="exact"/>
        <w:rPr>
          <w:rFonts w:ascii="Arial" w:cs="Arial" w:eastAsia="Arial" w:hAnsi="Arial"/>
          <w:sz w:val="18"/>
          <w:szCs w:val="18"/>
          <w:color w:val="auto"/>
        </w:rPr>
      </w:pPr>
    </w:p>
    <w:p>
      <w:pPr>
        <w:ind w:left="1300" w:right="520" w:firstLine="653"/>
        <w:spacing w:after="0" w:line="246" w:lineRule="auto"/>
        <w:tabs>
          <w:tab w:leader="none" w:pos="223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Such covenant defeasance shall not cause the Trustee to have a conflicting interest for purposes of the Trust Indenture Act of 1939 with respect to any securities of the Issuer.</w:t>
      </w:r>
    </w:p>
    <w:p>
      <w:pPr>
        <w:spacing w:after="0" w:line="183" w:lineRule="exact"/>
        <w:rPr>
          <w:rFonts w:ascii="Arial" w:cs="Arial" w:eastAsia="Arial" w:hAnsi="Arial"/>
          <w:sz w:val="18"/>
          <w:szCs w:val="18"/>
          <w:color w:val="auto"/>
        </w:rPr>
      </w:pPr>
    </w:p>
    <w:p>
      <w:pPr>
        <w:ind w:left="1300" w:firstLine="653"/>
        <w:spacing w:after="0" w:line="246" w:lineRule="auto"/>
        <w:tabs>
          <w:tab w:leader="none" w:pos="224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Such covenant defeasance shall not result in a breach or violation of, or constitute a default under, this Indenture or any other agreement or instrument to which the Issuer is a party or by which it is bound.</w:t>
      </w:r>
    </w:p>
    <w:p>
      <w:pPr>
        <w:spacing w:after="0" w:line="183" w:lineRule="exact"/>
        <w:rPr>
          <w:rFonts w:ascii="Arial" w:cs="Arial" w:eastAsia="Arial" w:hAnsi="Arial"/>
          <w:sz w:val="18"/>
          <w:szCs w:val="18"/>
          <w:color w:val="auto"/>
        </w:rPr>
      </w:pPr>
    </w:p>
    <w:p>
      <w:pPr>
        <w:ind w:left="1300" w:right="800" w:firstLine="653"/>
        <w:spacing w:after="0" w:line="246" w:lineRule="auto"/>
        <w:tabs>
          <w:tab w:leader="none" w:pos="220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Such covenant defeasance shall not cause any Securities then listed on any registered national securities exchange under the Securities Exchange Act of 1934, as amended, to be delisted.</w:t>
      </w:r>
    </w:p>
    <w:p>
      <w:pPr>
        <w:spacing w:after="0" w:line="183" w:lineRule="exact"/>
        <w:rPr>
          <w:rFonts w:ascii="Arial" w:cs="Arial" w:eastAsia="Arial" w:hAnsi="Arial"/>
          <w:sz w:val="18"/>
          <w:szCs w:val="18"/>
          <w:color w:val="auto"/>
        </w:rPr>
      </w:pPr>
    </w:p>
    <w:p>
      <w:pPr>
        <w:ind w:left="1300" w:right="140" w:firstLine="653"/>
        <w:spacing w:after="0" w:line="239" w:lineRule="auto"/>
        <w:tabs>
          <w:tab w:leader="none" w:pos="224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Opinion of Counsel to the effect that the Holders of the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8" w:lineRule="exact"/>
        <w:rPr>
          <w:rFonts w:ascii="Arial" w:cs="Arial" w:eastAsia="Arial" w:hAnsi="Arial"/>
          <w:sz w:val="18"/>
          <w:szCs w:val="18"/>
          <w:color w:val="auto"/>
        </w:rPr>
      </w:pPr>
    </w:p>
    <w:p>
      <w:pPr>
        <w:ind w:left="1300" w:right="60" w:firstLine="653"/>
        <w:spacing w:after="0"/>
        <w:tabs>
          <w:tab w:leader="none" w:pos="228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all conditions precedent provided for relating to the covenant defeasance contemplated by this provision have been complied with.</w:t>
      </w:r>
    </w:p>
    <w:p>
      <w:pPr>
        <w:spacing w:after="0" w:line="189" w:lineRule="exact"/>
        <w:rPr>
          <w:sz w:val="20"/>
          <w:szCs w:val="20"/>
          <w:color w:val="auto"/>
        </w:rPr>
      </w:pPr>
    </w:p>
    <w:p>
      <w:pPr>
        <w:ind w:right="80" w:firstLine="1297"/>
        <w:spacing w:after="0" w:line="23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Application by Trustee of Funds Deposited for Payment of Securities.</w:t>
      </w:r>
      <w:r>
        <w:rPr>
          <w:rFonts w:ascii="Arial" w:cs="Arial" w:eastAsia="Arial" w:hAnsi="Arial"/>
          <w:sz w:val="18"/>
          <w:szCs w:val="18"/>
          <w:color w:val="auto"/>
        </w:rPr>
        <w:t xml:space="preserve"> Subject to Section 9.04 and any subordination provisions applicable to the Securities, all moneys deposited with the Trustee pursuant to Section 9.01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64" w:name="page165"/>
    <w:bookmarkEnd w:id="164"/>
    <w:p>
      <w:pPr>
        <w:ind w:right="80" w:firstLine="1297"/>
        <w:spacing w:after="0" w:line="23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88" w:lineRule="exact"/>
        <w:rPr>
          <w:sz w:val="20"/>
          <w:szCs w:val="20"/>
          <w:color w:val="auto"/>
        </w:rPr>
      </w:pPr>
    </w:p>
    <w:p>
      <w:pPr>
        <w:ind w:right="20" w:firstLine="1297"/>
        <w:spacing w:after="0" w:line="236"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Return of Moneys Held by Trustee and Paying Agent Unclaimed for Two Years.</w:t>
      </w:r>
      <w:r>
        <w:rPr>
          <w:rFonts w:ascii="Arial" w:cs="Arial" w:eastAsia="Arial" w:hAnsi="Arial"/>
          <w:sz w:val="18"/>
          <w:szCs w:val="18"/>
          <w:color w:val="auto"/>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Security of such series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w:t>
      </w:r>
    </w:p>
    <w:p>
      <w:pPr>
        <w:spacing w:after="0" w:line="195" w:lineRule="exact"/>
        <w:rPr>
          <w:sz w:val="20"/>
          <w:szCs w:val="20"/>
          <w:color w:val="auto"/>
        </w:rPr>
      </w:pPr>
    </w:p>
    <w:p>
      <w:pPr>
        <w:ind w:right="140" w:firstLine="1297"/>
        <w:spacing w:after="0"/>
        <w:rPr>
          <w:sz w:val="20"/>
          <w:szCs w:val="20"/>
          <w:color w:val="auto"/>
        </w:rPr>
      </w:pPr>
      <w:r>
        <w:rPr>
          <w:rFonts w:ascii="Arial" w:cs="Arial" w:eastAsia="Arial" w:hAnsi="Arial"/>
          <w:sz w:val="18"/>
          <w:szCs w:val="18"/>
          <w:color w:val="auto"/>
        </w:rPr>
        <w:t>The Issuer shall pay and indemnify the Trustee against any tax, fee or other charge imposed on or assessed against the U.S. Government Obligations deposited pursuant to Section 9.01 or the principal and interest received in respect thereof other than any such tax, fee or other charge which by law is for the account of the Holders of Outstanding Securities.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 Provisions</w:t>
      </w:r>
    </w:p>
    <w:p>
      <w:pPr>
        <w:spacing w:after="0" w:line="198" w:lineRule="exact"/>
        <w:rPr>
          <w:sz w:val="20"/>
          <w:szCs w:val="20"/>
          <w:color w:val="auto"/>
        </w:rPr>
      </w:pPr>
    </w:p>
    <w:p>
      <w:pPr>
        <w:ind w:firstLine="1297"/>
        <w:spacing w:after="0" w:line="23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General Partner, Members, Officers and Directors of Issuer Exempt from Individual Liability.</w:t>
      </w:r>
      <w:r>
        <w:rPr>
          <w:rFonts w:ascii="Arial" w:cs="Arial" w:eastAsia="Arial" w:hAnsi="Arial"/>
          <w:sz w:val="18"/>
          <w:szCs w:val="18"/>
          <w:color w:val="auto"/>
        </w:rPr>
        <w:t xml:space="preserve"> No recourse under or upon any obligation, covenant or agreement contained in this Indenture, or in any Security, or because of any indebtedness evidenced thereby, shall be had against any past, present or future managing member or general partner, member,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92" w:lineRule="exact"/>
        <w:rPr>
          <w:sz w:val="20"/>
          <w:szCs w:val="20"/>
          <w:color w:val="auto"/>
        </w:rPr>
      </w:pPr>
    </w:p>
    <w:p>
      <w:pPr>
        <w:ind w:right="80" w:firstLine="1297"/>
        <w:spacing w:after="0" w:line="239"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Provisions of Indenture for the Sole Benefit of Parties and Securityholders.</w:t>
      </w:r>
      <w:r>
        <w:rPr>
          <w:rFonts w:ascii="Arial" w:cs="Arial" w:eastAsia="Arial" w:hAnsi="Arial"/>
          <w:sz w:val="18"/>
          <w:szCs w:val="18"/>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65" w:name="page166"/>
    <w:bookmarkEnd w:id="165"/>
    <w:p>
      <w:pPr>
        <w:ind w:right="440"/>
        <w:spacing w:after="0" w:line="246" w:lineRule="auto"/>
        <w:rPr>
          <w:sz w:val="20"/>
          <w:szCs w:val="20"/>
          <w:color w:val="auto"/>
        </w:rPr>
      </w:pPr>
      <w:r>
        <w:rPr>
          <w:rFonts w:ascii="Arial" w:cs="Arial" w:eastAsia="Arial" w:hAnsi="Arial"/>
          <w:sz w:val="18"/>
          <w:szCs w:val="18"/>
          <w:color w:val="auto"/>
        </w:rPr>
        <w:t>contained, all such covenants and provisions being for the sole benefit of the parties hereto and their successors and of the Holders of the Securities.</w:t>
      </w:r>
    </w:p>
    <w:p>
      <w:pPr>
        <w:spacing w:after="0" w:line="183" w:lineRule="exact"/>
        <w:rPr>
          <w:sz w:val="20"/>
          <w:szCs w:val="20"/>
          <w:color w:val="auto"/>
        </w:rPr>
      </w:pPr>
    </w:p>
    <w:p>
      <w:pPr>
        <w:ind w:right="660" w:firstLine="1297"/>
        <w:spacing w:after="0" w:line="246"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Successors and Assigns of Issuer Bound by Indenture.</w:t>
      </w:r>
      <w:r>
        <w:rPr>
          <w:rFonts w:ascii="Arial" w:cs="Arial" w:eastAsia="Arial" w:hAnsi="Arial"/>
          <w:sz w:val="18"/>
          <w:szCs w:val="18"/>
          <w:color w:val="auto"/>
        </w:rPr>
        <w:t xml:space="preserve"> All the covenants, stipulations, promises and agreements in this Indenture contained by or in behalf of the Issuer shall bind its successors and assigns, whether so expressed or not.</w:t>
      </w:r>
    </w:p>
    <w:p>
      <w:pPr>
        <w:spacing w:after="0" w:line="183" w:lineRule="exact"/>
        <w:rPr>
          <w:sz w:val="20"/>
          <w:szCs w:val="20"/>
          <w:color w:val="auto"/>
        </w:rPr>
      </w:pPr>
    </w:p>
    <w:p>
      <w:pPr>
        <w:ind w:firstLine="1297"/>
        <w:spacing w:after="0" w:line="23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Notices and Demands on Issuer, Trustee and Securityholders.</w:t>
      </w:r>
      <w:r>
        <w:rPr>
          <w:rFonts w:ascii="Arial" w:cs="Arial" w:eastAsia="Arial" w:hAnsi="Arial"/>
          <w:sz w:val="18"/>
          <w:szCs w:val="18"/>
          <w:color w:val="auto"/>
        </w:rPr>
        <w:t xml:space="preserve">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GasLog Partners LP at the following address: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4" w:lineRule="auto"/>
        <w:rPr>
          <w:sz w:val="20"/>
          <w:szCs w:val="20"/>
          <w:color w:val="auto"/>
        </w:rPr>
      </w:pPr>
      <w:r>
        <w:rPr>
          <w:rFonts w:ascii="Arial" w:cs="Arial" w:eastAsia="Arial" w:hAnsi="Arial"/>
          <w:sz w:val="18"/>
          <w:szCs w:val="18"/>
          <w:color w:val="auto"/>
        </w:rPr>
        <w:t>Gildo Pastor Center</w:t>
      </w:r>
    </w:p>
    <w:p>
      <w:pPr>
        <w:spacing w:after="0" w:line="235" w:lineRule="auto"/>
        <w:rPr>
          <w:sz w:val="20"/>
          <w:szCs w:val="20"/>
          <w:color w:val="auto"/>
        </w:rPr>
      </w:pPr>
      <w:r>
        <w:rPr>
          <w:rFonts w:ascii="Arial" w:cs="Arial" w:eastAsia="Arial" w:hAnsi="Arial"/>
          <w:sz w:val="18"/>
          <w:szCs w:val="18"/>
          <w:color w:val="auto"/>
        </w:rPr>
        <w:t>7 Rue du Gabian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MC 98000, Monaco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Cravath Swaine &amp; Moore LLP</w:t>
      </w:r>
    </w:p>
    <w:p>
      <w:pPr>
        <w:spacing w:after="0" w:line="234" w:lineRule="auto"/>
        <w:rPr>
          <w:sz w:val="20"/>
          <w:szCs w:val="20"/>
          <w:color w:val="auto"/>
        </w:rPr>
      </w:pPr>
      <w:r>
        <w:rPr>
          <w:rFonts w:ascii="Arial" w:cs="Arial" w:eastAsia="Arial" w:hAnsi="Arial"/>
          <w:sz w:val="18"/>
          <w:szCs w:val="18"/>
          <w:color w:val="auto"/>
        </w:rPr>
        <w:t>825 Eighth Avenue</w:t>
      </w:r>
    </w:p>
    <w:p>
      <w:pPr>
        <w:spacing w:after="0" w:line="235" w:lineRule="auto"/>
        <w:rPr>
          <w:sz w:val="20"/>
          <w:szCs w:val="20"/>
          <w:color w:val="auto"/>
        </w:rPr>
      </w:pPr>
      <w:r>
        <w:rPr>
          <w:rFonts w:ascii="Arial" w:cs="Arial" w:eastAsia="Arial" w:hAnsi="Arial"/>
          <w:sz w:val="18"/>
          <w:szCs w:val="18"/>
          <w:color w:val="auto"/>
        </w:rPr>
        <w:t>New York, New York 10019</w:t>
      </w:r>
    </w:p>
    <w:p>
      <w:pPr>
        <w:spacing w:after="0" w:line="235" w:lineRule="auto"/>
        <w:rPr>
          <w:sz w:val="20"/>
          <w:szCs w:val="20"/>
          <w:color w:val="auto"/>
        </w:rPr>
      </w:pPr>
      <w:r>
        <w:rPr>
          <w:rFonts w:ascii="Arial" w:cs="Arial" w:eastAsia="Arial" w:hAnsi="Arial"/>
          <w:sz w:val="18"/>
          <w:szCs w:val="18"/>
          <w:color w:val="auto"/>
        </w:rPr>
        <w:t>Attention: D. Scott Bennett, Esq.</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Facsimile: (212) 474-3700</w:t>
      </w:r>
    </w:p>
    <w:p>
      <w:pPr>
        <w:spacing w:after="0" w:line="198" w:lineRule="exact"/>
        <w:rPr>
          <w:sz w:val="20"/>
          <w:szCs w:val="20"/>
          <w:color w:val="auto"/>
        </w:rPr>
      </w:pPr>
    </w:p>
    <w:p>
      <w:pPr>
        <w:ind w:right="220" w:firstLine="1297"/>
        <w:spacing w:after="0" w:line="246" w:lineRule="auto"/>
        <w:rPr>
          <w:sz w:val="20"/>
          <w:szCs w:val="20"/>
          <w:color w:val="auto"/>
        </w:rPr>
      </w:pPr>
      <w:r>
        <w:rPr>
          <w:rFonts w:ascii="Arial" w:cs="Arial" w:eastAsia="Arial" w:hAnsi="Arial"/>
          <w:sz w:val="18"/>
          <w:szCs w:val="18"/>
          <w:color w:val="auto"/>
        </w:rPr>
        <w:t>Any notice, direction, request or demand by the Issuer or any Securityholder to or upon the Trustee shall be deemed to have been sufficiently given or made, for all purposes, if delivered in person or mailed by first-class mail to the Trustee at [ ].</w:t>
      </w:r>
    </w:p>
    <w:p>
      <w:pPr>
        <w:spacing w:after="0" w:line="183" w:lineRule="exact"/>
        <w:rPr>
          <w:sz w:val="20"/>
          <w:szCs w:val="20"/>
          <w:color w:val="auto"/>
        </w:rPr>
      </w:pPr>
    </w:p>
    <w:p>
      <w:pPr>
        <w:ind w:right="180" w:firstLine="1297"/>
        <w:spacing w:after="0" w:line="237" w:lineRule="auto"/>
        <w:rPr>
          <w:sz w:val="20"/>
          <w:szCs w:val="20"/>
          <w:color w:val="auto"/>
        </w:rPr>
      </w:pPr>
      <w:r>
        <w:rPr>
          <w:rFonts w:ascii="Arial" w:cs="Arial" w:eastAsia="Arial" w:hAnsi="Arial"/>
          <w:sz w:val="18"/>
          <w:szCs w:val="18"/>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66" w:name="page167"/>
    <w:bookmarkEnd w:id="166"/>
    <w:p>
      <w:pPr>
        <w:ind w:firstLine="1297"/>
        <w:spacing w:after="0"/>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189" w:lineRule="exact"/>
        <w:rPr>
          <w:sz w:val="20"/>
          <w:szCs w:val="20"/>
          <w:color w:val="auto"/>
        </w:rPr>
      </w:pPr>
    </w:p>
    <w:p>
      <w:pPr>
        <w:ind w:firstLine="1297"/>
        <w:spacing w:after="0" w:line="236" w:lineRule="auto"/>
        <w:rPr>
          <w:sz w:val="20"/>
          <w:szCs w:val="20"/>
          <w:color w:val="auto"/>
        </w:rPr>
      </w:pPr>
      <w:r>
        <w:rPr>
          <w:rFonts w:ascii="Arial" w:cs="Arial" w:eastAsia="Arial" w:hAnsi="Arial"/>
          <w:sz w:val="18"/>
          <w:szCs w:val="18"/>
          <w:color w:val="auto"/>
        </w:rPr>
        <w:t>Notwithstanding anything to the contrary, the Trustee agrees to accept and act upon instructions or directions pursuant to this Indenture sent by unsecured e-mail, pdf,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2" w:lineRule="exact"/>
        <w:rPr>
          <w:sz w:val="20"/>
          <w:szCs w:val="20"/>
          <w:color w:val="auto"/>
        </w:rPr>
      </w:pPr>
    </w:p>
    <w:p>
      <w:pPr>
        <w:ind w:right="20" w:firstLine="1297"/>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Communication by Securityholders with Other Securityholders</w:t>
      </w:r>
      <w:r>
        <w:rPr>
          <w:rFonts w:ascii="Arial" w:cs="Arial" w:eastAsia="Arial" w:hAnsi="Arial"/>
          <w:sz w:val="18"/>
          <w:szCs w:val="18"/>
          <w:color w:val="auto"/>
        </w:rPr>
        <w:t>. Securityholders may communicate pursuant to Section 312(b) of the Trust Indenture Act of 1939 with other Securityholders with respect to their rights under this Indenture or the Securities. The Issuer, the Trustee, any registrar and anyone else shall have the protection of Section 312(c) of the Trust Indenture Act of 1939.</w:t>
      </w:r>
    </w:p>
    <w:p>
      <w:pPr>
        <w:spacing w:after="0" w:line="189" w:lineRule="exact"/>
        <w:rPr>
          <w:sz w:val="20"/>
          <w:szCs w:val="20"/>
          <w:color w:val="auto"/>
        </w:rPr>
      </w:pPr>
    </w:p>
    <w:p>
      <w:pPr>
        <w:ind w:right="80" w:firstLine="1297"/>
        <w:spacing w:after="0" w:line="239"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w:t>
      </w:r>
    </w:p>
    <w:p>
      <w:pPr>
        <w:spacing w:after="0" w:line="188" w:lineRule="exact"/>
        <w:rPr>
          <w:sz w:val="20"/>
          <w:szCs w:val="20"/>
          <w:color w:val="auto"/>
        </w:rPr>
      </w:pPr>
    </w:p>
    <w:p>
      <w:pPr>
        <w:ind w:right="120" w:firstLine="1297"/>
        <w:spacing w:after="0" w:line="237" w:lineRule="auto"/>
        <w:rPr>
          <w:sz w:val="20"/>
          <w:szCs w:val="20"/>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and (d) a statement as to whether or not, in the opinion of such person, such condition or covenant has been complied with.</w:t>
      </w:r>
    </w:p>
    <w:p>
      <w:pPr>
        <w:spacing w:after="0" w:line="198" w:lineRule="exact"/>
        <w:rPr>
          <w:sz w:val="20"/>
          <w:szCs w:val="20"/>
          <w:color w:val="auto"/>
        </w:rPr>
      </w:pPr>
    </w:p>
    <w:p>
      <w:pPr>
        <w:ind w:firstLine="1297"/>
        <w:spacing w:after="0" w:line="236" w:lineRule="auto"/>
        <w:rPr>
          <w:sz w:val="20"/>
          <w:szCs w:val="20"/>
          <w:color w:val="auto"/>
        </w:rPr>
      </w:pPr>
      <w:r>
        <w:rPr>
          <w:rFonts w:ascii="Arial" w:cs="Arial" w:eastAsia="Arial" w:hAnsi="Arial"/>
          <w:sz w:val="18"/>
          <w:szCs w:val="18"/>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95" w:lineRule="exact"/>
        <w:rPr>
          <w:sz w:val="20"/>
          <w:szCs w:val="20"/>
          <w:color w:val="auto"/>
        </w:rPr>
      </w:pPr>
    </w:p>
    <w:p>
      <w:pPr>
        <w:ind w:firstLine="1297"/>
        <w:spacing w:after="0" w:line="238" w:lineRule="auto"/>
        <w:rPr>
          <w:sz w:val="20"/>
          <w:szCs w:val="20"/>
          <w:color w:val="auto"/>
        </w:rPr>
      </w:pPr>
      <w:r>
        <w:rPr>
          <w:rFonts w:ascii="Arial" w:cs="Arial" w:eastAsia="Arial" w:hAnsi="Arial"/>
          <w:sz w:val="18"/>
          <w:szCs w:val="18"/>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89" w:lineRule="exact"/>
        <w:rPr>
          <w:sz w:val="20"/>
          <w:szCs w:val="20"/>
          <w:color w:val="auto"/>
        </w:rPr>
      </w:pPr>
    </w:p>
    <w:p>
      <w:pPr>
        <w:ind w:right="360" w:firstLine="1297"/>
        <w:spacing w:after="0" w:line="246" w:lineRule="auto"/>
        <w:rPr>
          <w:sz w:val="20"/>
          <w:szCs w:val="20"/>
          <w:color w:val="auto"/>
        </w:rPr>
      </w:pPr>
      <w:r>
        <w:rPr>
          <w:rFonts w:ascii="Arial" w:cs="Arial" w:eastAsia="Arial" w:hAnsi="Arial"/>
          <w:sz w:val="18"/>
          <w:szCs w:val="18"/>
          <w:color w:val="auto"/>
        </w:rPr>
        <w:t>Any certificate or opinion of any independent firm of public accountants filed with the Trustee shall contain a statement that such firm is independent.</w:t>
      </w:r>
    </w:p>
    <w:p>
      <w:pPr>
        <w:spacing w:after="0" w:line="183" w:lineRule="exact"/>
        <w:rPr>
          <w:sz w:val="20"/>
          <w:szCs w:val="20"/>
          <w:color w:val="auto"/>
        </w:rPr>
      </w:pPr>
    </w:p>
    <w:p>
      <w:pPr>
        <w:ind w:right="60" w:firstLine="1297"/>
        <w:spacing w:after="0" w:line="239"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88" w:lineRule="exact"/>
        <w:rPr>
          <w:sz w:val="20"/>
          <w:szCs w:val="20"/>
          <w:color w:val="auto"/>
        </w:rPr>
      </w:pPr>
    </w:p>
    <w:p>
      <w:pPr>
        <w:jc w:val="both"/>
        <w:ind w:right="100" w:firstLine="1297"/>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(an “</w:t>
      </w:r>
      <w:r>
        <w:rPr>
          <w:rFonts w:ascii="Arial" w:cs="Arial" w:eastAsia="Arial" w:hAnsi="Arial"/>
          <w:sz w:val="18"/>
          <w:szCs w:val="18"/>
          <w:u w:val="single" w:color="auto"/>
          <w:color w:val="auto"/>
        </w:rPr>
        <w:t>incorporated provision</w:t>
      </w:r>
      <w:r>
        <w:rPr>
          <w:rFonts w:ascii="Arial" w:cs="Arial" w:eastAsia="Arial" w:hAnsi="Arial"/>
          <w:sz w:val="18"/>
          <w:szCs w:val="18"/>
          <w:color w:val="auto"/>
        </w:rPr>
        <w:t>”), such incorporated provision shall control.</w:t>
      </w:r>
    </w:p>
    <w:p>
      <w:pPr>
        <w:spacing w:after="0" w:line="189" w:lineRule="exact"/>
        <w:rPr>
          <w:sz w:val="20"/>
          <w:szCs w:val="20"/>
          <w:color w:val="auto"/>
        </w:rPr>
      </w:pPr>
    </w:p>
    <w:p>
      <w:pPr>
        <w:ind w:right="840" w:firstLine="1297"/>
        <w:spacing w:after="0" w:line="246"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New York Law to Govern.</w:t>
      </w:r>
      <w:r>
        <w:rPr>
          <w:rFonts w:ascii="Arial" w:cs="Arial" w:eastAsia="Arial" w:hAnsi="Arial"/>
          <w:sz w:val="18"/>
          <w:szCs w:val="18"/>
          <w:color w:val="auto"/>
        </w:rPr>
        <w:t xml:space="preserve"> This Indenture and each Security shall be governed by, and construed in accordance with, the laws of the State of New York, except as may otherwise be required by mandatory provisions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3" w:right="259" w:bottom="1440" w:gutter="0" w:footer="0" w:header="0"/>
        </w:sectPr>
      </w:pPr>
    </w:p>
    <w:bookmarkStart w:id="168" w:name="page169"/>
    <w:bookmarkEnd w:id="168"/>
    <w:p>
      <w:pPr>
        <w:ind w:right="440" w:firstLine="1297"/>
        <w:spacing w:after="0" w:line="246"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83" w:lineRule="exact"/>
        <w:rPr>
          <w:sz w:val="20"/>
          <w:szCs w:val="20"/>
          <w:color w:val="auto"/>
        </w:rPr>
      </w:pPr>
    </w:p>
    <w:p>
      <w:pPr>
        <w:ind w:right="220" w:firstLine="1297"/>
        <w:spacing w:after="0" w:line="246"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83" w:lineRule="exact"/>
        <w:rPr>
          <w:sz w:val="20"/>
          <w:szCs w:val="20"/>
          <w:color w:val="auto"/>
        </w:rPr>
      </w:pPr>
    </w:p>
    <w:p>
      <w:pPr>
        <w:ind w:right="20" w:firstLine="1297"/>
        <w:spacing w:after="0" w:line="236"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Securities in a Non-U.S. Currency.</w:t>
      </w:r>
      <w:r>
        <w:rPr>
          <w:rFonts w:ascii="Arial" w:cs="Arial" w:eastAsia="Arial" w:hAnsi="Arial"/>
          <w:sz w:val="18"/>
          <w:szCs w:val="18"/>
          <w:color w:val="auto"/>
        </w:rPr>
        <w:t xml:space="preserve"> Unless otherwise specified in an Officers’ Certificate delivered pursuant to Section 2.03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For purposes of this Section 10.12,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190" w:lineRule="exact"/>
        <w:rPr>
          <w:sz w:val="20"/>
          <w:szCs w:val="20"/>
          <w:color w:val="auto"/>
        </w:rPr>
      </w:pPr>
    </w:p>
    <w:p>
      <w:pPr>
        <w:jc w:val="both"/>
        <w:ind w:right="40" w:firstLine="1297"/>
        <w:spacing w:after="0"/>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Issuer and all Holders.</w:t>
      </w:r>
    </w:p>
    <w:p>
      <w:pPr>
        <w:spacing w:after="0" w:line="189" w:lineRule="exact"/>
        <w:rPr>
          <w:sz w:val="20"/>
          <w:szCs w:val="20"/>
          <w:color w:val="auto"/>
        </w:rPr>
      </w:pPr>
    </w:p>
    <w:p>
      <w:pPr>
        <w:ind w:firstLine="1297"/>
        <w:spacing w:after="0" w:line="237"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The Issuer agrees that any legal suit, action or proceeding arising out of or based upon this Indenture may be instituted in any federal or state court sitting in New York City, and, to the fullest extent permitted by law, waives any objection which it may now or hereafter have to the laying of venue of any such proceeding, and irrevocably submits to the jurisdiction of such court in any suit, action or proceeding. The Issuer, as long as any of the Securities remain Outstanding or the parties hereto have any obligation under this Indenture, shall have an authorized agent (the “</w:t>
      </w:r>
      <w:r>
        <w:rPr>
          <w:rFonts w:ascii="Arial" w:cs="Arial" w:eastAsia="Arial" w:hAnsi="Arial"/>
          <w:sz w:val="18"/>
          <w:szCs w:val="18"/>
          <w:u w:val="single" w:color="auto"/>
          <w:color w:val="auto"/>
        </w:rPr>
        <w:t>Authorized Agent</w:t>
      </w:r>
      <w:r>
        <w:rPr>
          <w:rFonts w:ascii="Arial" w:cs="Arial" w:eastAsia="Arial" w:hAnsi="Arial"/>
          <w:sz w:val="18"/>
          <w:szCs w:val="18"/>
          <w:color w:val="auto"/>
        </w:rPr>
        <w:t>”) in the United States upon whom process may be served in any such legal action or proceeding. Service of process upon such agent and written notice of such service mailed or delivered to it shall to the extent permitted by law be deemed in every respect effective service of process upon it in any such legal action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69" w:name="page170"/>
    <w:bookmarkEnd w:id="169"/>
    <w:p>
      <w:pPr>
        <w:ind w:right="60"/>
        <w:spacing w:after="0" w:line="239" w:lineRule="auto"/>
        <w:rPr>
          <w:sz w:val="20"/>
          <w:szCs w:val="20"/>
          <w:color w:val="auto"/>
        </w:rPr>
      </w:pPr>
      <w:r>
        <w:rPr>
          <w:rFonts w:ascii="Arial" w:cs="Arial" w:eastAsia="Arial" w:hAnsi="Arial"/>
          <w:sz w:val="18"/>
          <w:szCs w:val="18"/>
          <w:color w:val="auto"/>
        </w:rPr>
        <w:t>proceeding and, if it fails to maintain such agent, any such process or summons may be served by mailing a copy thereof by registered mail, or a form of mail substantially equivalent thereto, addressed to it at its address as provided for notices hereunder. The Issuer hereby appoints [ ] as its agent for such purposes, and covenants and agrees that service of process in any legal action or proceeding may be made upon it at such office of such agent.</w:t>
      </w:r>
    </w:p>
    <w:p>
      <w:pPr>
        <w:spacing w:after="0" w:line="188" w:lineRule="exact"/>
        <w:rPr>
          <w:sz w:val="20"/>
          <w:szCs w:val="20"/>
          <w:color w:val="auto"/>
        </w:rPr>
      </w:pPr>
    </w:p>
    <w:p>
      <w:pPr>
        <w:ind w:firstLine="1297"/>
        <w:spacing w:after="0" w:line="235"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The Issuer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8"/>
          <w:szCs w:val="18"/>
          <w:u w:val="single" w:color="auto"/>
          <w:color w:val="auto"/>
        </w:rPr>
        <w:t>Required Currency</w:t>
      </w:r>
      <w:r>
        <w:rPr>
          <w:rFonts w:ascii="Arial" w:cs="Arial" w:eastAsia="Arial" w:hAnsi="Arial"/>
          <w:sz w:val="18"/>
          <w:szCs w:val="18"/>
          <w:color w:val="auto"/>
        </w:rPr>
        <w:t>”) into a currency in which a judgment will be rendered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to the extent permitted by applicable law,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or a day on which banking institutions in The City of New York are authorized or required by law or executive order to close.</w:t>
      </w:r>
    </w:p>
    <w:p>
      <w:pPr>
        <w:spacing w:after="0" w:line="201" w:lineRule="exact"/>
        <w:rPr>
          <w:sz w:val="20"/>
          <w:szCs w:val="20"/>
          <w:color w:val="auto"/>
        </w:rPr>
      </w:pPr>
    </w:p>
    <w:p>
      <w:pPr>
        <w:ind w:right="220" w:firstLine="1297"/>
        <w:spacing w:after="0" w:line="261"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ISSUER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73" w:lineRule="exact"/>
        <w:rPr>
          <w:sz w:val="20"/>
          <w:szCs w:val="20"/>
          <w:color w:val="auto"/>
        </w:rPr>
      </w:pPr>
    </w:p>
    <w:p>
      <w:pPr>
        <w:ind w:right="80" w:firstLine="1297"/>
        <w:spacing w:after="0" w:line="239"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Force Majeure.</w:t>
      </w:r>
      <w:r>
        <w:rPr>
          <w:rFonts w:ascii="Arial" w:cs="Arial" w:eastAsia="Arial" w:hAnsi="Arial"/>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70" w:name="page171"/>
    <w:bookmarkEnd w:id="170"/>
    <w:p>
      <w:pPr>
        <w:ind w:right="520"/>
        <w:spacing w:after="0" w:line="246" w:lineRule="auto"/>
        <w:rPr>
          <w:sz w:val="20"/>
          <w:szCs w:val="20"/>
          <w:color w:val="auto"/>
        </w:rPr>
      </w:pPr>
      <w:r>
        <w:rPr>
          <w:rFonts w:ascii="Arial" w:cs="Arial" w:eastAsia="Arial" w:hAnsi="Arial"/>
          <w:sz w:val="18"/>
          <w:szCs w:val="18"/>
          <w:color w:val="auto"/>
        </w:rPr>
        <w:t>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11</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Redemption of Securities</w:t>
      </w:r>
    </w:p>
    <w:p>
      <w:pPr>
        <w:spacing w:after="0" w:line="198" w:lineRule="exact"/>
        <w:rPr>
          <w:sz w:val="20"/>
          <w:szCs w:val="20"/>
          <w:color w:val="auto"/>
        </w:rPr>
      </w:pPr>
    </w:p>
    <w:p>
      <w:pPr>
        <w:ind w:right="80" w:firstLine="1297"/>
        <w:spacing w:after="0" w:line="246"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except as otherwise specified as contemplated by Section 2.03 for Securities of such series.</w:t>
      </w:r>
    </w:p>
    <w:p>
      <w:pPr>
        <w:spacing w:after="0" w:line="183" w:lineRule="exact"/>
        <w:rPr>
          <w:sz w:val="20"/>
          <w:szCs w:val="20"/>
          <w:color w:val="auto"/>
        </w:rPr>
      </w:pPr>
    </w:p>
    <w:p>
      <w:pPr>
        <w:ind w:right="20" w:firstLine="1297"/>
        <w:spacing w:after="0" w:line="237"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Notice Of Redemption; Partial Redemptions.</w:t>
      </w:r>
      <w:r>
        <w:rPr>
          <w:rFonts w:ascii="Arial" w:cs="Arial" w:eastAsia="Arial" w:hAnsi="Arial"/>
          <w:sz w:val="18"/>
          <w:szCs w:val="18"/>
          <w:color w:val="auto"/>
        </w:rPr>
        <w:t xml:space="preserve">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90" w:lineRule="exact"/>
        <w:rPr>
          <w:sz w:val="20"/>
          <w:szCs w:val="20"/>
          <w:color w:val="auto"/>
        </w:rPr>
      </w:pPr>
    </w:p>
    <w:p>
      <w:pPr>
        <w:ind w:right="60" w:firstLine="1297"/>
        <w:spacing w:after="0" w:line="236" w:lineRule="auto"/>
        <w:rPr>
          <w:sz w:val="20"/>
          <w:szCs w:val="20"/>
          <w:color w:val="auto"/>
        </w:rPr>
      </w:pPr>
      <w:r>
        <w:rPr>
          <w:rFonts w:ascii="Arial" w:cs="Arial" w:eastAsia="Arial" w:hAnsi="Arial"/>
          <w:sz w:val="18"/>
          <w:szCs w:val="18"/>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95" w:lineRule="exact"/>
        <w:rPr>
          <w:sz w:val="20"/>
          <w:szCs w:val="20"/>
          <w:color w:val="auto"/>
        </w:rPr>
      </w:pPr>
    </w:p>
    <w:p>
      <w:pPr>
        <w:ind w:right="40" w:firstLine="1297"/>
        <w:spacing w:after="0" w:line="239" w:lineRule="auto"/>
        <w:rPr>
          <w:sz w:val="20"/>
          <w:szCs w:val="20"/>
          <w:color w:val="auto"/>
        </w:rPr>
      </w:pPr>
      <w:r>
        <w:rPr>
          <w:rFonts w:ascii="Arial" w:cs="Arial" w:eastAsia="Arial" w:hAnsi="Arial"/>
          <w:sz w:val="18"/>
          <w:szCs w:val="18"/>
          <w:color w:val="auto"/>
        </w:rPr>
        <w:t xml:space="preserve">The notice of redemption of Securities of any series to be redeemed at the option of the Issuer shall be given by the Issuer or, at the Issuer’s request, by the Trustee in the name and at the expense of the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latter case the Issuer shall give the Trustee at least ten (10) days advance notice of the date upon which the notice is to be given (unless a shorter notice period shall be agreed to by the Trustee in writing).</w:t>
      </w:r>
    </w:p>
    <w:p>
      <w:pPr>
        <w:spacing w:after="0" w:line="188" w:lineRule="exact"/>
        <w:rPr>
          <w:sz w:val="20"/>
          <w:szCs w:val="20"/>
          <w:color w:val="auto"/>
        </w:rPr>
      </w:pPr>
    </w:p>
    <w:p>
      <w:pPr>
        <w:ind w:firstLine="1297"/>
        <w:spacing w:after="0" w:line="246" w:lineRule="auto"/>
        <w:rPr>
          <w:sz w:val="20"/>
          <w:szCs w:val="20"/>
          <w:color w:val="auto"/>
        </w:rPr>
      </w:pPr>
      <w:r>
        <w:rPr>
          <w:rFonts w:ascii="Arial" w:cs="Arial" w:eastAsia="Arial" w:hAnsi="Arial"/>
          <w:sz w:val="18"/>
          <w:szCs w:val="18"/>
          <w:color w:val="auto"/>
        </w:rPr>
        <w:t>A notice of redemption may be conditioned and provide that it is subject to the occurrence of any event described in the notice before the date fixed for the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422" w:right="339" w:bottom="1440" w:gutter="0" w:footer="0" w:header="0"/>
        </w:sectPr>
      </w:pPr>
    </w:p>
    <w:bookmarkStart w:id="171" w:name="page172"/>
    <w:bookmarkEnd w:id="171"/>
    <w:p>
      <w:pPr>
        <w:ind w:right="60"/>
        <w:spacing w:after="0" w:line="246" w:lineRule="auto"/>
        <w:rPr>
          <w:sz w:val="20"/>
          <w:szCs w:val="20"/>
          <w:color w:val="auto"/>
        </w:rPr>
      </w:pPr>
      <w:r>
        <w:rPr>
          <w:rFonts w:ascii="Arial" w:cs="Arial" w:eastAsia="Arial" w:hAnsi="Arial"/>
          <w:sz w:val="18"/>
          <w:szCs w:val="18"/>
          <w:color w:val="auto"/>
        </w:rPr>
        <w:t>redemption. A notice of conditional redemption will be of no effect unless all conditions to the redemption have occurred before the redemption date or have been waived by the Issuer.</w:t>
      </w:r>
    </w:p>
    <w:p>
      <w:pPr>
        <w:spacing w:after="0" w:line="183" w:lineRule="exact"/>
        <w:rPr>
          <w:sz w:val="20"/>
          <w:szCs w:val="20"/>
          <w:color w:val="auto"/>
        </w:rPr>
      </w:pPr>
    </w:p>
    <w:p>
      <w:pPr>
        <w:ind w:right="20" w:firstLine="1297"/>
        <w:spacing w:after="0" w:line="237" w:lineRule="auto"/>
        <w:rPr>
          <w:sz w:val="20"/>
          <w:szCs w:val="20"/>
          <w:color w:val="auto"/>
        </w:rPr>
      </w:pPr>
      <w:r>
        <w:rPr>
          <w:rFonts w:ascii="Arial" w:cs="Arial" w:eastAsia="Arial" w:hAnsi="Arial"/>
          <w:sz w:val="18"/>
          <w:szCs w:val="18"/>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or other property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prior to the date fixed for redemption an Officers’ Certificate stating the aggregate principal amount of Securities to be redeemed.</w:t>
      </w:r>
    </w:p>
    <w:p>
      <w:pPr>
        <w:spacing w:after="0" w:line="192" w:lineRule="exact"/>
        <w:rPr>
          <w:sz w:val="20"/>
          <w:szCs w:val="20"/>
          <w:color w:val="auto"/>
        </w:rPr>
      </w:pPr>
    </w:p>
    <w:p>
      <w:pPr>
        <w:ind w:right="20" w:firstLine="1297"/>
        <w:spacing w:after="0" w:line="237" w:lineRule="auto"/>
        <w:rPr>
          <w:sz w:val="20"/>
          <w:szCs w:val="20"/>
          <w:color w:val="auto"/>
        </w:rPr>
      </w:pPr>
      <w:r>
        <w:rPr>
          <w:rFonts w:ascii="Arial" w:cs="Arial" w:eastAsia="Arial" w:hAnsi="Arial"/>
          <w:sz w:val="18"/>
          <w:szCs w:val="18"/>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190" w:lineRule="exact"/>
        <w:rPr>
          <w:sz w:val="20"/>
          <w:szCs w:val="20"/>
          <w:color w:val="auto"/>
        </w:rPr>
      </w:pPr>
    </w:p>
    <w:p>
      <w:pPr>
        <w:ind w:firstLine="1297"/>
        <w:spacing w:after="0" w:line="236"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Payment of Securities Called for Redemption.</w:t>
      </w:r>
      <w:r>
        <w:rPr>
          <w:rFonts w:ascii="Arial" w:cs="Arial" w:eastAsia="Arial" w:hAnsi="Arial"/>
          <w:sz w:val="18"/>
          <w:szCs w:val="18"/>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Sections 2.03 and 2.04 hereof.</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72" w:name="page173"/>
    <w:bookmarkEnd w:id="172"/>
    <w:p>
      <w:pPr>
        <w:ind w:firstLine="1297"/>
        <w:spacing w:after="0"/>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89" w:lineRule="exact"/>
        <w:rPr>
          <w:sz w:val="20"/>
          <w:szCs w:val="20"/>
          <w:color w:val="auto"/>
        </w:rPr>
      </w:pPr>
    </w:p>
    <w:p>
      <w:pPr>
        <w:ind w:right="500" w:firstLine="1297"/>
        <w:spacing w:after="0"/>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89" w:lineRule="exact"/>
        <w:rPr>
          <w:sz w:val="20"/>
          <w:szCs w:val="20"/>
          <w:color w:val="auto"/>
        </w:rPr>
      </w:pPr>
    </w:p>
    <w:p>
      <w:pPr>
        <w:ind w:right="20" w:firstLine="1297"/>
        <w:spacing w:after="0" w:line="238"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Exclusion of Certain Securities from Eligibility for Selection for Redemption.</w:t>
      </w:r>
      <w:r>
        <w:rPr>
          <w:rFonts w:ascii="Arial" w:cs="Arial" w:eastAsia="Arial" w:hAnsi="Arial"/>
          <w:sz w:val="18"/>
          <w:szCs w:val="18"/>
          <w:color w:val="auto"/>
        </w:rPr>
        <w:t xml:space="preserve">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3" w:right="259" w:bottom="1440" w:gutter="0" w:footer="0" w:header="0"/>
        </w:sectPr>
      </w:pPr>
    </w:p>
    <w:bookmarkStart w:id="173" w:name="page174"/>
    <w:bookmarkEnd w:id="173"/>
    <w:p>
      <w:pPr>
        <w:ind w:left="100"/>
        <w:spacing w:after="0"/>
        <w:rPr>
          <w:sz w:val="20"/>
          <w:szCs w:val="20"/>
          <w:color w:val="auto"/>
        </w:rPr>
      </w:pPr>
      <w:r>
        <w:rPr>
          <w:rFonts w:ascii="Arial" w:cs="Arial" w:eastAsia="Arial" w:hAnsi="Arial"/>
          <w:sz w:val="17"/>
          <w:szCs w:val="17"/>
          <w:color w:val="auto"/>
        </w:rPr>
        <w:t>IN WITNESS WHEREOF, the parties hereto have caused this Indenture to be duly executed as of ____________, ________.</w:t>
      </w:r>
    </w:p>
    <w:p>
      <w:pPr>
        <w:sectPr>
          <w:pgSz w:w="11900" w:h="16838" w:orient="portrait"/>
          <w:cols w:equalWidth="0" w:num="1">
            <w:col w:w="10080"/>
          </w:cols>
          <w:pgMar w:left="1440" w:top="422" w:right="379" w:bottom="1440" w:gutter="0" w:footer="0" w:header="0"/>
        </w:sectPr>
      </w:pPr>
    </w:p>
    <w:p>
      <w:pPr>
        <w:spacing w:after="0" w:line="210"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143510</wp:posOffset>
            </wp:positionV>
            <wp:extent cx="22383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ind w:left="61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143510</wp:posOffset>
            </wp:positionV>
            <wp:extent cx="22383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ind w:left="6120"/>
        <w:spacing w:after="0"/>
        <w:rPr>
          <w:sz w:val="20"/>
          <w:szCs w:val="20"/>
          <w:color w:val="auto"/>
        </w:rPr>
      </w:pPr>
      <w:r>
        <w:rPr>
          <w:rFonts w:ascii="Arial" w:cs="Arial" w:eastAsia="Arial" w:hAnsi="Arial"/>
          <w:sz w:val="18"/>
          <w:szCs w:val="18"/>
          <w:color w:val="auto"/>
        </w:rPr>
        <w:t>Title:</w:t>
      </w:r>
    </w:p>
    <w:p>
      <w:pPr>
        <w:spacing w:after="0" w:line="1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135255</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080"/>
          </w:cols>
          <w:pgMar w:left="1440" w:top="422" w:right="379" w:bottom="1440" w:gutter="0" w:footer="0" w:header="0"/>
          <w:type w:val="continuous"/>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154305</wp:posOffset>
            </wp:positionV>
            <wp:extent cx="1509395" cy="394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15093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 98000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Monaco</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have acted as special counsel on matters of the law of the Republic of the Marshall Islands (“</w:t>
      </w:r>
      <w:r>
        <w:rPr>
          <w:rFonts w:ascii="Arial" w:cs="Arial" w:eastAsia="Arial" w:hAnsi="Arial"/>
          <w:sz w:val="16"/>
          <w:szCs w:val="16"/>
          <w:u w:val="single" w:color="auto"/>
          <w:color w:val="auto"/>
        </w:rPr>
        <w:t>Marshall Islands Law</w:t>
      </w:r>
      <w:r>
        <w:rPr>
          <w:rFonts w:ascii="Arial" w:cs="Arial" w:eastAsia="Arial" w:hAnsi="Arial"/>
          <w:sz w:val="16"/>
          <w:szCs w:val="16"/>
          <w:color w:val="auto"/>
        </w:rPr>
        <w:t>”) to Gaslog Partners LP (the “</w:t>
      </w:r>
      <w:r>
        <w:rPr>
          <w:rFonts w:ascii="Arial" w:cs="Arial" w:eastAsia="Arial" w:hAnsi="Arial"/>
          <w:sz w:val="16"/>
          <w:szCs w:val="16"/>
          <w:u w:val="single" w:color="auto"/>
          <w:color w:val="auto"/>
        </w:rPr>
        <w:t>Partnership</w:t>
      </w:r>
      <w:r>
        <w:rPr>
          <w:rFonts w:ascii="Arial" w:cs="Arial" w:eastAsia="Arial" w:hAnsi="Arial"/>
          <w:sz w:val="16"/>
          <w:szCs w:val="16"/>
          <w:color w:val="auto"/>
        </w:rPr>
        <w:t>”), a Marshall Islands limited partnership, in connection with the preparation and filing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a registration statement on Form F-3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with respect to the registration under the Act and the proposed issuance and sale from time to time pursuant to Rule 415 under the Act of up to an aggregate initial offering amount of $750,000,000 of (i) common units representing limited partner interests of the Partnership (the “</w:t>
      </w:r>
      <w:r>
        <w:rPr>
          <w:rFonts w:ascii="Arial" w:cs="Arial" w:eastAsia="Arial" w:hAnsi="Arial"/>
          <w:sz w:val="16"/>
          <w:szCs w:val="16"/>
          <w:u w:val="single" w:color="auto"/>
          <w:color w:val="auto"/>
        </w:rPr>
        <w:t>Common Units</w:t>
      </w:r>
      <w:r>
        <w:rPr>
          <w:rFonts w:ascii="Arial" w:cs="Arial" w:eastAsia="Arial" w:hAnsi="Arial"/>
          <w:sz w:val="16"/>
          <w:szCs w:val="16"/>
          <w:color w:val="auto"/>
        </w:rPr>
        <w:t>”), (ii) series A cumulative redeemable perpetual fixed to floating rate preference units representing limited partner interest of the Partnership (the “</w:t>
      </w:r>
      <w:r>
        <w:rPr>
          <w:rFonts w:ascii="Arial" w:cs="Arial" w:eastAsia="Arial" w:hAnsi="Arial"/>
          <w:sz w:val="16"/>
          <w:szCs w:val="16"/>
          <w:u w:val="single" w:color="auto"/>
          <w:color w:val="auto"/>
        </w:rPr>
        <w:t>Series A Preference Units</w:t>
      </w:r>
      <w:r>
        <w:rPr>
          <w:rFonts w:ascii="Arial" w:cs="Arial" w:eastAsia="Arial" w:hAnsi="Arial"/>
          <w:sz w:val="16"/>
          <w:szCs w:val="16"/>
          <w:color w:val="auto"/>
        </w:rPr>
        <w:t>”, (iii) other classes of units representing limited partnership interests of the Partnership (the “</w:t>
      </w:r>
      <w:r>
        <w:rPr>
          <w:rFonts w:ascii="Arial" w:cs="Arial" w:eastAsia="Arial" w:hAnsi="Arial"/>
          <w:sz w:val="16"/>
          <w:szCs w:val="16"/>
          <w:u w:val="single" w:color="auto"/>
          <w:color w:val="auto"/>
        </w:rPr>
        <w:t>Other Units</w:t>
      </w:r>
      <w:r>
        <w:rPr>
          <w:rFonts w:ascii="Arial" w:cs="Arial" w:eastAsia="Arial" w:hAnsi="Arial"/>
          <w:sz w:val="16"/>
          <w:szCs w:val="16"/>
          <w:color w:val="auto"/>
        </w:rPr>
        <w:t>”), (iv) debt securities of the Partnership (the “</w:t>
      </w:r>
      <w:r>
        <w:rPr>
          <w:rFonts w:ascii="Arial" w:cs="Arial" w:eastAsia="Arial" w:hAnsi="Arial"/>
          <w:sz w:val="16"/>
          <w:szCs w:val="16"/>
          <w:u w:val="single" w:color="auto"/>
          <w:color w:val="auto"/>
        </w:rPr>
        <w:t>Debt Securities</w:t>
      </w:r>
      <w:r>
        <w:rPr>
          <w:rFonts w:ascii="Arial" w:cs="Arial" w:eastAsia="Arial" w:hAnsi="Arial"/>
          <w:sz w:val="16"/>
          <w:szCs w:val="16"/>
          <w:color w:val="auto"/>
        </w:rPr>
        <w:t>”),</w:t>
      </w:r>
    </w:p>
    <w:p>
      <w:pPr>
        <w:spacing w:after="0" w:line="3" w:lineRule="exact"/>
        <w:rPr>
          <w:sz w:val="20"/>
          <w:szCs w:val="20"/>
          <w:color w:val="auto"/>
        </w:rPr>
      </w:pPr>
    </w:p>
    <w:p>
      <w:pPr>
        <w:ind w:left="260" w:hanging="252"/>
        <w:spacing w:after="0"/>
        <w:tabs>
          <w:tab w:leader="none" w:pos="2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warrants to purchase Common Units, Series A Preference Units, Other Units or other rights of the Partnership (the “</w:t>
      </w:r>
      <w:r>
        <w:rPr>
          <w:rFonts w:ascii="Arial" w:cs="Arial" w:eastAsia="Arial" w:hAnsi="Arial"/>
          <w:sz w:val="16"/>
          <w:szCs w:val="16"/>
          <w:u w:val="single" w:color="auto"/>
          <w:color w:val="auto"/>
        </w:rPr>
        <w:t>Warrants</w:t>
      </w:r>
      <w:r>
        <w:rPr>
          <w:rFonts w:ascii="Arial" w:cs="Arial" w:eastAsia="Arial" w:hAnsi="Arial"/>
          <w:sz w:val="16"/>
          <w:szCs w:val="16"/>
          <w:color w:val="auto"/>
        </w:rPr>
        <w:t>”), (vi) rights to purchase</w:t>
      </w:r>
    </w:p>
    <w:p>
      <w:pPr>
        <w:spacing w:after="0" w:line="32"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7"/>
          <w:szCs w:val="17"/>
          <w:color w:val="auto"/>
        </w:rPr>
        <w:t>Common Units, Series A Preference Units or Other Units (the “</w:t>
      </w:r>
      <w:r>
        <w:rPr>
          <w:rFonts w:ascii="Arial" w:cs="Arial" w:eastAsia="Arial" w:hAnsi="Arial"/>
          <w:sz w:val="17"/>
          <w:szCs w:val="17"/>
          <w:u w:val="single" w:color="auto"/>
          <w:color w:val="auto"/>
        </w:rPr>
        <w:t>Rights</w:t>
      </w:r>
      <w:r>
        <w:rPr>
          <w:rFonts w:ascii="Arial" w:cs="Arial" w:eastAsia="Arial" w:hAnsi="Arial"/>
          <w:sz w:val="17"/>
          <w:szCs w:val="17"/>
          <w:color w:val="auto"/>
        </w:rPr>
        <w:t>”) and (vii) units consisting of any combination of Common Units, Series A Preference Units, Other Units, Debt Securities, Warrants and Rights (the “</w:t>
      </w:r>
      <w:r>
        <w:rPr>
          <w:rFonts w:ascii="Arial" w:cs="Arial" w:eastAsia="Arial" w:hAnsi="Arial"/>
          <w:sz w:val="17"/>
          <w:szCs w:val="17"/>
          <w:u w:val="single" w:color="auto"/>
          <w:color w:val="auto"/>
        </w:rPr>
        <w:t>Combination Units</w:t>
      </w:r>
      <w:r>
        <w:rPr>
          <w:rFonts w:ascii="Arial" w:cs="Arial" w:eastAsia="Arial" w:hAnsi="Arial"/>
          <w:sz w:val="17"/>
          <w:szCs w:val="17"/>
          <w:color w:val="auto"/>
        </w:rPr>
        <w:t>” and, together with the securities specified in clauses (i) through (vi) above, the “</w:t>
      </w:r>
      <w:r>
        <w:rPr>
          <w:rFonts w:ascii="Arial" w:cs="Arial" w:eastAsia="Arial" w:hAnsi="Arial"/>
          <w:sz w:val="17"/>
          <w:szCs w:val="17"/>
          <w:u w:val="single" w:color="auto"/>
          <w:color w:val="auto"/>
        </w:rPr>
        <w:t>Securities</w:t>
      </w:r>
      <w:r>
        <w:rPr>
          <w:rFonts w:ascii="Arial" w:cs="Arial" w:eastAsia="Arial" w:hAnsi="Arial"/>
          <w:sz w:val="17"/>
          <w:szCs w:val="17"/>
          <w:color w:val="auto"/>
        </w:rPr>
        <w:t>”). Except as otherwise defined herein, capitalized terms are used as defined in the Registration Statement.</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so acting, we have examined originals, or copies, certified or otherwise identified to our satisfaction, of (i) the Registration Statement and the form of preliminary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 included therein, and (ii) originals, or copies certified or otherwise identified to our satisfaction, of all such records of the Partnership, agreements and other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4"/>
          <w:szCs w:val="14"/>
          <w:color w:val="auto"/>
        </w:rPr>
        <w:t>45 Broadway</w:t>
        <w:tab/>
        <w:t>16th Floor New York, NY 10006</w:t>
      </w:r>
    </w:p>
    <w:p>
      <w:pPr>
        <w:spacing w:after="0" w:line="1" w:lineRule="exact"/>
        <w:rPr>
          <w:sz w:val="20"/>
          <w:szCs w:val="20"/>
          <w:color w:val="auto"/>
        </w:rPr>
      </w:pPr>
    </w:p>
    <w:p>
      <w:pPr>
        <w:jc w:val="center"/>
        <w:spacing w:after="0"/>
        <w:tabs>
          <w:tab w:leader="none" w:pos="180" w:val="left"/>
          <w:tab w:leader="none" w:pos="180" w:val="left"/>
          <w:tab w:leader="none" w:pos="100" w:val="left"/>
          <w:tab w:leader="none" w:pos="180" w:val="left"/>
        </w:tabs>
        <w:rPr>
          <w:sz w:val="20"/>
          <w:szCs w:val="20"/>
          <w:color w:val="auto"/>
        </w:rPr>
      </w:pPr>
      <w:r>
        <w:rPr>
          <w:rFonts w:ascii="Arial" w:cs="Arial" w:eastAsia="Arial" w:hAnsi="Arial"/>
          <w:sz w:val="14"/>
          <w:szCs w:val="14"/>
          <w:color w:val="auto"/>
        </w:rPr>
        <w:t>212.509.9400</w:t>
        <w:tab/>
        <w:t>800.437.7040</w:t>
        <w:tab/>
        <w:t>212.509.9492</w:t>
        <w:tab/>
        <w:t>Fax</w:t>
        <w:tab/>
        <w:t>cozen.com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5387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certificates of public officials, officers and representatives of the Partnership and other appropriate persons, and such other documents as we have deemed necessary as a basis for</w:t>
      </w:r>
    </w:p>
    <w:p>
      <w:pPr>
        <w:spacing w:after="0" w:line="17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opinions hereinafter expressed. In such examination, we have assumed without independent investigation, the genuineness of all signatures, the authenticity of all documents submitted to us as originals, the conformity with the original documents of all documents submitted to us as photostatic or facsimile copies, and the accuracy of the factual representations made to us by officers and other representatives of the Partnership. As to any questions of fact material to our opinion, we have, wherein relevant facts were not independently established, relied upon the aforesaid certificates.</w:t>
      </w:r>
    </w:p>
    <w:p>
      <w:pPr>
        <w:spacing w:after="0" w:line="15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have also assumed that (i) the definitive terms of any Securities, other than Common Units and the Series A Preference Units, offered pursuant to the Registration Statement will have been established in accordance with the provisions of the Second Amended and Restated Agreement of Limited Partnership of the Partnership filed with the Commission on May 15, 2017, resolutions of the Board of Directors of the Partnership and applicable law, (ii) any Securities issuable upon conversion, exchange or exercise of any Securities being offered, will be duly authorized, created and, if appropriate, reserved for issuance upon such conversion, exchange or exercise, (iii) any Securities consisting of Common Units, Series A Preference Units and Other Units have been duly approved for issuance by the Partnership and will be validly issued, against receipt of the consideration approved by the Partnership, (iv) the Registration Statement, and any amendments thereto, will have become effective, (v) a Prospectus Supplement will have been filed with the Commission describing the Securities offered thereby, (vi) all Securities will be issued in compliance with applicable U.S. Federal and State Securities and other laws as well as the terms of the Registration Statement and the Prospectus, and (vii) a definitive underwriting agreement or similar agreement with respect to any Securities offered will have been duly authorized and validly executed and delivered by the Partnership and the other parties thereto.</w:t>
      </w:r>
    </w:p>
    <w:p>
      <w:pPr>
        <w:spacing w:after="0" w:line="16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With respect to the issuance and sale of any Warrants, we have further assumed that (i) a warrant agreement (the “</w:t>
      </w:r>
      <w:r>
        <w:rPr>
          <w:rFonts w:ascii="Arial" w:cs="Arial" w:eastAsia="Arial" w:hAnsi="Arial"/>
          <w:sz w:val="17"/>
          <w:szCs w:val="17"/>
          <w:u w:val="single" w:color="auto"/>
          <w:color w:val="auto"/>
        </w:rPr>
        <w:t>Warrant Agreement</w:t>
      </w:r>
      <w:r>
        <w:rPr>
          <w:rFonts w:ascii="Arial" w:cs="Arial" w:eastAsia="Arial" w:hAnsi="Arial"/>
          <w:sz w:val="17"/>
          <w:szCs w:val="17"/>
          <w:color w:val="auto"/>
        </w:rPr>
        <w:t>”) with respect to such Warrants will have been executed and delivered by the Partnership, as issuer, and a warrant agent, (ii) the Warrant Agreement will be governed by New York law and will be in compliance with all applicable provisions of Marshall Islands law, (iii) the Warrants will have been duly and validly authorized, created, executed and delivered by the Partnership and duly executed by the warrant agent appointed by the Partnership, and (iv) the Warrants will have been issued and delivered by the Partnership against receipt of the consideration therefor approved by the Partnership.</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With respect to the issuance and sale of any Debt Securities, we have further assumed that (i) an indenture in substantially the form annexed to the Registration Statement which we have reviewed together with any applicable supplemental indenture (collectively, an “</w:t>
      </w:r>
      <w:r>
        <w:rPr>
          <w:rFonts w:ascii="Arial" w:cs="Arial" w:eastAsia="Arial" w:hAnsi="Arial"/>
          <w:sz w:val="18"/>
          <w:szCs w:val="18"/>
          <w:u w:val="single" w:color="auto"/>
          <w:color w:val="auto"/>
        </w:rPr>
        <w:t>Indenture</w:t>
      </w:r>
      <w:r>
        <w:rPr>
          <w:rFonts w:ascii="Arial" w:cs="Arial" w:eastAsia="Arial" w:hAnsi="Arial"/>
          <w:sz w:val="18"/>
          <w:szCs w:val="18"/>
          <w:color w:val="auto"/>
        </w:rPr>
        <w:t>”) will have been duly executed and delivered by the Partnership and the trustee named therein as well as any other entities party thereto, (ii) such Indenture will be governed by New York law and will be in compliance with all applicable provisions of Marshall Islands and U.S. Federal and State laws, and (iii) the Debt Securities will have been duly and validly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5387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authorized, executed and delivered by the Partnership and, such Debt Securities will be executed, authenticated, issued and delivered (a) against receipt of consideration therefor approved by the Partnership and (b) as provided in such Indenture and otherwise issued in compliance with all applicable laws.</w:t>
      </w:r>
    </w:p>
    <w:p>
      <w:pPr>
        <w:spacing w:after="0" w:line="12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With respect to the issuance and sale of Rights, we have further assumed (i) that a subscription rights agreement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with respect to such Rights will have been executed and delivered by the parties thereto, (ii) the Subscription Agreement will be governed by New York law and will be in compliance with all applicable provisions of Marshall Islands and U.S. Federal and State laws, and (iii) the Rights will have been duly and validly authorized, executed and delivered by the Partnership and, such Rights will be issued (a) against receipt of consideration therefor approved by the Partnership and (b) as provided in the Subscription Agreement.</w:t>
      </w:r>
    </w:p>
    <w:p>
      <w:pPr>
        <w:spacing w:after="0" w:line="18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With respect to the issuance and sale of any Combination Units, we have further assumed that (i) a unit agreement (the “</w:t>
      </w:r>
      <w:r>
        <w:rPr>
          <w:rFonts w:ascii="Arial" w:cs="Arial" w:eastAsia="Arial" w:hAnsi="Arial"/>
          <w:sz w:val="17"/>
          <w:szCs w:val="17"/>
          <w:u w:val="single" w:color="auto"/>
          <w:color w:val="auto"/>
        </w:rPr>
        <w:t>Unit Agreement</w:t>
      </w:r>
      <w:r>
        <w:rPr>
          <w:rFonts w:ascii="Arial" w:cs="Arial" w:eastAsia="Arial" w:hAnsi="Arial"/>
          <w:sz w:val="17"/>
          <w:szCs w:val="17"/>
          <w:color w:val="auto"/>
        </w:rPr>
        <w:t>”) with respect to such Combination Units will have been executed and delivered by the Partnership, as issuer, and a unit agent, (ii) the Unit Agreement will be governed by New York law and will be in compliance with all applicable provisions of Marshall Islands and U.S. Federal and State laws, (iii) the Combination Units will have been duly and validly authorized, created, executed and delivered by the Partnership and duly executed by the unit agent appointed by the Partnership, and (iv) the Combination Units will have been issued and delivered by the Partnership (a) against receipt of the consideration therefor approved by the Partnership and (b) as provided in the Unit Agreement.</w:t>
      </w:r>
    </w:p>
    <w:p>
      <w:pPr>
        <w:spacing w:after="0" w:line="178"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This opinion is limited to Marshall Islands Law as of the date hereof. In rendering our opinion as to the valid existence in good standing of the Partnership, we have relied solely on a Certificate of Goodstanding issued by the Registrar of Corporations of the Republic of the Marshall Islands on September 28,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the foregoing and having regard to legal considerations which we deem relevant, we are of the opinion that:</w:t>
      </w:r>
    </w:p>
    <w:p>
      <w:pPr>
        <w:spacing w:after="0" w:line="225" w:lineRule="exact"/>
        <w:rPr>
          <w:sz w:val="20"/>
          <w:szCs w:val="20"/>
          <w:color w:val="auto"/>
        </w:rPr>
      </w:pPr>
    </w:p>
    <w:p>
      <w:pPr>
        <w:ind w:left="1300" w:right="180" w:hanging="644"/>
        <w:spacing w:after="0" w:line="277" w:lineRule="auto"/>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Partnership is a limited partnership duly formed, validly existing and in good standing under the law of the Republic of The Marshall Islands and has the limited partnership power to issue the Securities.</w:t>
      </w:r>
    </w:p>
    <w:p>
      <w:pPr>
        <w:spacing w:after="0" w:line="170"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Securities consisting of Common Units, Series A Preference Units and Other Units when issued and delivered against payment therefor, will be duly and validly issued, fully paid and non-assessable (except as such non-assessability may be affected by Sections 30, 41, 51 and 60 of the Marshall Islands Limited Partnership Act).</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Securities consisting of Warrants, Debt Securities, Rights or Combination Units when issued and delivered pursuant to the terms of the applicable Warrant Agreement, Indenture, Subscription Agreement or Unit Agreement,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5387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300" w:right="480"/>
        <w:spacing w:after="0" w:line="277" w:lineRule="auto"/>
        <w:rPr>
          <w:sz w:val="20"/>
          <w:szCs w:val="20"/>
          <w:color w:val="auto"/>
        </w:rPr>
      </w:pPr>
      <w:r>
        <w:rPr>
          <w:rFonts w:ascii="Arial" w:cs="Arial" w:eastAsia="Arial" w:hAnsi="Arial"/>
          <w:sz w:val="18"/>
          <w:szCs w:val="18"/>
          <w:color w:val="auto"/>
        </w:rPr>
        <w:t>the case may be, will constitute legal, valid and binding obligations of the Partnership, and will be, in the case of the Debt Securities, entitled to the benefits provided by such Indenture.</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opinion is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laws.</w:t>
      </w:r>
    </w:p>
    <w:p>
      <w:pPr>
        <w:spacing w:after="0" w:line="124"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our name under the caption “Legal Matters” in such Registration Statement. In giving such consent, we do not admit that we are in the category of persons whose consent is required under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COZEN O’CONNOR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Cozen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154940</wp:posOffset>
            </wp:positionV>
            <wp:extent cx="6491605" cy="21266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649160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29, 2017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GasLog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Registration Statement on Form F-3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We have acted as special United States counsel for GasLog Partners LP, a master limited partnership organized under the laws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Republic of the Marshall Islands (the “</w:t>
      </w:r>
      <w:r>
        <w:rPr>
          <w:rFonts w:ascii="Arial" w:cs="Arial" w:eastAsia="Arial" w:hAnsi="Arial"/>
          <w:sz w:val="17"/>
          <w:szCs w:val="17"/>
          <w:u w:val="single" w:color="auto"/>
          <w:color w:val="auto"/>
        </w:rPr>
        <w:t>Partnership</w:t>
      </w:r>
      <w:r>
        <w:rPr>
          <w:rFonts w:ascii="Arial" w:cs="Arial" w:eastAsia="Arial" w:hAnsi="Arial"/>
          <w:sz w:val="17"/>
          <w:szCs w:val="17"/>
          <w:color w:val="auto"/>
        </w:rPr>
        <w:t>”), in connection with the preparation and filing with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of a registration statement on Form F-3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registration under the Securities Act and the proposed issuance and sale from time to time pursuant to Rule 415 under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 to an aggregate initial offering amount of $750,000,000 of (i) common units representing limited partner interests of the Partnership (the “</w:t>
      </w:r>
      <w:r>
        <w:rPr>
          <w:rFonts w:ascii="Arial" w:cs="Arial" w:eastAsia="Arial" w:hAnsi="Arial"/>
          <w:sz w:val="17"/>
          <w:szCs w:val="17"/>
          <w:u w:val="single" w:color="auto"/>
          <w:color w:val="auto"/>
        </w:rPr>
        <w:t>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Units</w:t>
      </w:r>
      <w:r>
        <w:rPr>
          <w:rFonts w:ascii="Arial" w:cs="Arial" w:eastAsia="Arial" w:hAnsi="Arial"/>
          <w:sz w:val="16"/>
          <w:szCs w:val="16"/>
          <w:color w:val="auto"/>
        </w:rPr>
        <w:t>”), (ii) 8.625% Series A Cumulative Redeemable Perpetual to Fixed Floating Rate Preference Units representing limited partner interests (the “</w:t>
      </w:r>
      <w:r>
        <w:rPr>
          <w:rFonts w:ascii="Arial" w:cs="Arial" w:eastAsia="Arial" w:hAnsi="Arial"/>
          <w:sz w:val="16"/>
          <w:szCs w:val="16"/>
          <w:u w:val="single" w:color="auto"/>
          <w:color w:val="auto"/>
        </w:rPr>
        <w:t>Series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Preference Units</w:t>
      </w:r>
      <w:r>
        <w:rPr>
          <w:rFonts w:ascii="Arial" w:cs="Arial" w:eastAsia="Arial" w:hAnsi="Arial"/>
          <w:sz w:val="17"/>
          <w:szCs w:val="17"/>
          <w:color w:val="auto"/>
        </w:rPr>
        <w:t>”), (iii) other classes of units representing limited partner interests of the Partnership (the “</w:t>
      </w:r>
      <w:r>
        <w:rPr>
          <w:rFonts w:ascii="Arial" w:cs="Arial" w:eastAsia="Arial" w:hAnsi="Arial"/>
          <w:sz w:val="17"/>
          <w:szCs w:val="17"/>
          <w:u w:val="single" w:color="auto"/>
          <w:color w:val="auto"/>
        </w:rPr>
        <w:t>Other Units</w:t>
      </w:r>
      <w:r>
        <w:rPr>
          <w:rFonts w:ascii="Arial" w:cs="Arial" w:eastAsia="Arial" w:hAnsi="Arial"/>
          <w:sz w:val="17"/>
          <w:szCs w:val="17"/>
          <w:color w:val="auto"/>
        </w:rPr>
        <w:t>”), (iv) debt securities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Partnership (the “</w:t>
      </w:r>
      <w:r>
        <w:rPr>
          <w:rFonts w:ascii="Arial" w:cs="Arial" w:eastAsia="Arial" w:hAnsi="Arial"/>
          <w:sz w:val="17"/>
          <w:szCs w:val="17"/>
          <w:u w:val="single" w:color="auto"/>
          <w:color w:val="auto"/>
        </w:rPr>
        <w:t>Debt Securities</w:t>
      </w:r>
      <w:r>
        <w:rPr>
          <w:rFonts w:ascii="Arial" w:cs="Arial" w:eastAsia="Arial" w:hAnsi="Arial"/>
          <w:sz w:val="17"/>
          <w:szCs w:val="17"/>
          <w:color w:val="auto"/>
        </w:rPr>
        <w:t>”), (v) warrants to purchase Common Units, Other Units or other rights of the Partnership (the “</w:t>
      </w:r>
      <w:r>
        <w:rPr>
          <w:rFonts w:ascii="Arial" w:cs="Arial" w:eastAsia="Arial" w:hAnsi="Arial"/>
          <w:sz w:val="17"/>
          <w:szCs w:val="17"/>
          <w:u w:val="single" w:color="auto"/>
          <w:color w:val="auto"/>
        </w:rPr>
        <w:t>Warrants</w:t>
      </w:r>
      <w:r>
        <w:rPr>
          <w:rFonts w:ascii="Arial" w:cs="Arial" w:eastAsia="Arial" w:hAnsi="Arial"/>
          <w:sz w:val="17"/>
          <w:szCs w:val="17"/>
          <w:color w:val="auto"/>
        </w:rPr>
        <w:t>”), (vi) rights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purchase Common Units or Other Units (the “</w:t>
      </w:r>
      <w:r>
        <w:rPr>
          <w:rFonts w:ascii="Arial" w:cs="Arial" w:eastAsia="Arial" w:hAnsi="Arial"/>
          <w:sz w:val="17"/>
          <w:szCs w:val="17"/>
          <w:u w:val="single" w:color="auto"/>
          <w:color w:val="auto"/>
        </w:rPr>
        <w:t>Rights</w:t>
      </w:r>
      <w:r>
        <w:rPr>
          <w:rFonts w:ascii="Arial" w:cs="Arial" w:eastAsia="Arial" w:hAnsi="Arial"/>
          <w:sz w:val="17"/>
          <w:szCs w:val="17"/>
          <w:color w:val="auto"/>
        </w:rPr>
        <w:t>”) and (vii) units consisting of any combination of Common Units, Series A Preference Units,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Units, Debt Securities, Warrants and Rights (the “</w:t>
      </w:r>
      <w:r>
        <w:rPr>
          <w:rFonts w:ascii="Arial" w:cs="Arial" w:eastAsia="Arial" w:hAnsi="Arial"/>
          <w:sz w:val="17"/>
          <w:szCs w:val="17"/>
          <w:u w:val="single" w:color="auto"/>
          <w:color w:val="auto"/>
        </w:rPr>
        <w:t>Combination Units</w:t>
      </w:r>
      <w:r>
        <w:rPr>
          <w:rFonts w:ascii="Arial" w:cs="Arial" w:eastAsia="Arial" w:hAnsi="Arial"/>
          <w:sz w:val="17"/>
          <w:szCs w:val="17"/>
          <w:color w:val="auto"/>
        </w:rPr>
        <w:t>” and, together with the securities specified in clauses (i) through (vi) above,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21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such documents, corporate records and other instruments as we have deemed necessary or appropriate for the purposes of this opinion. As to various questions of fact material to this opinion, we have relied upon representations of officers or directors of the Partnership and documents furnished to us by the Partnership without independent verification of their accuracy. We have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9" w:name="page180"/>
    <w:bookmarkEnd w:id="179"/>
    <w:p>
      <w:pPr>
        <w:ind w:left="11340"/>
        <w:spacing w:after="0"/>
        <w:rPr>
          <w:sz w:val="20"/>
          <w:szCs w:val="20"/>
          <w:color w:val="auto"/>
        </w:rPr>
      </w:pPr>
      <w:r>
        <w:rPr>
          <w:rFonts w:ascii="Arial" w:cs="Arial" w:eastAsia="Arial" w:hAnsi="Arial"/>
          <w:sz w:val="14"/>
          <w:szCs w:val="14"/>
          <w:color w:val="auto"/>
        </w:rPr>
        <w:t>2</w:t>
      </w: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assumed the genuineness of all signatures, the authenticity of all documents submitted to us as originals and the conformity to authentic original documents of all documents submitted to us as copies.</w:t>
      </w:r>
    </w:p>
    <w:p>
      <w:pPr>
        <w:spacing w:after="0" w:line="170"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Based upon and subject to the foregoing, and assuming that: (a) the Registration Statement and any supplements and amendments thereto (including post-effective amendments) will have become effective and will comply with all applicable laws, (b) the Registration Statement will be effective and will comply with all applicable laws at the time the Debt Securities, Warrants, Rights or Combination Units are offered or issued as contemplated by the Registration Statement, (c) a prospectus supplement will have been prepared and filed with the Commission describing any Debt Securities, Warrants, Rights or Combination Units offered thereby and will comply with all applicable laws, (d) any Debt Securities, Warrants, Rights or Combination Units will be issued and sold in compliance with all applicable Federal and state securities laws and in the manner stated in the Registration Statement and the appropriate prospectus supplement, (e) the Indenture, Warrant Agreement, Rights Agreement and Unit Agreement, each as defined below, will be governed by the laws of the State of New York, (f) a definitive purchase, underwriting or similar agreement with respect to any Debt Securities, Warrants, Rights or Combination Units offered or issued will have been duly authorized and validly executed and delivered by the Partnership, together with the other parties thereto, (g) none of the terms of the Debt Securities, Warrants, Rights or Combination Units, nor the issuance and delivery of the Debt Securities, Warrants, Rights or Combination Units, nor the compliance by the Partnership with the terms of the Debt Securities, Warrants, Rights or Combination Units will violate any applicable laws or will result in a violation of any provision of any instrument or agreement then binding upon the Partnership, or any restriction imposed by any court or governmental body having jurisdiction over the Partnership and (h) any Securities issuable upon conversion, exchange or exercise of any Security being offered or issued will be duly authorized, created and, if appropriate, reserved for issuance upon such conversion, exchange or exercise, we are of the opinion that:</w:t>
      </w:r>
    </w:p>
    <w:p>
      <w:pPr>
        <w:spacing w:after="0" w:line="183" w:lineRule="exact"/>
        <w:rPr>
          <w:sz w:val="20"/>
          <w:szCs w:val="20"/>
          <w:color w:val="auto"/>
        </w:rPr>
      </w:pPr>
    </w:p>
    <w:p>
      <w:pPr>
        <w:ind w:right="60" w:firstLine="1305"/>
        <w:spacing w:after="0" w:line="270" w:lineRule="auto"/>
        <w:tabs>
          <w:tab w:leader="none" w:pos="147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With respect to the Debt Securities to be issued in one or more series under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to be entered into by the Partnership and a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when (a) the Trustee is qualified to act as Trustee under the Indenture, (b) the Trustee has duly executed and delivered the Indenture, (c) the Indenture has been duly authorized and validly executed and delivered by the Partnership to the Trustee, (d) the Indenture has been duly qualified under the Trust Indenture Act of 1939, as amended, (e) the board of directors of the Partnership, a duly constituted and acting committee thereof or any officers of the Partnership delegated such authority (such board of directors, committee or officers being hereinafter referred to as the “</w:t>
      </w:r>
      <w:r>
        <w:rPr>
          <w:rFonts w:ascii="Arial" w:cs="Arial" w:eastAsia="Arial" w:hAnsi="Arial"/>
          <w:sz w:val="17"/>
          <w:szCs w:val="17"/>
          <w:u w:val="single" w:color="auto"/>
          <w:color w:val="auto"/>
        </w:rPr>
        <w:t>Board</w:t>
      </w:r>
      <w:r>
        <w:rPr>
          <w:rFonts w:ascii="Arial" w:cs="Arial" w:eastAsia="Arial" w:hAnsi="Arial"/>
          <w:sz w:val="17"/>
          <w:szCs w:val="17"/>
          <w:color w:val="auto"/>
        </w:rPr>
        <w:t>”) has taken all necessary corporate action to approve the due and valid issuance and terms of a particular series of Debt Securities, the terms of the offering thereof and related matters and (f) such Debt Securities have been duly executed, authenticated, issued and delivered in accordance with the provisions of the Indenture, including any supplemental indenture related thereto, and the applicable definitive purchase, underwriting or similar agreement approved by the Board, upon payment of the consideration therefor provided for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such Debt Securities will constitute valid and binding obligations of the Partnership, enforceable against the Partnership in accordance with their terms.</w:t>
      </w:r>
    </w:p>
    <w:p>
      <w:pPr>
        <w:spacing w:after="0" w:line="237" w:lineRule="exact"/>
        <w:rPr>
          <w:sz w:val="20"/>
          <w:szCs w:val="20"/>
          <w:color w:val="auto"/>
        </w:rPr>
      </w:pPr>
    </w:p>
    <w:p>
      <w:pPr>
        <w:ind w:right="140" w:firstLine="1305"/>
        <w:spacing w:after="0" w:line="291" w:lineRule="auto"/>
        <w:tabs>
          <w:tab w:leader="none" w:pos="147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With respect to the Warrants to be issued in one or more series under a warrant agreement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to be entered into by the Partnership and a warrant agent (the “</w:t>
      </w:r>
      <w:r>
        <w:rPr>
          <w:rFonts w:ascii="Arial" w:cs="Arial" w:eastAsia="Arial" w:hAnsi="Arial"/>
          <w:sz w:val="16"/>
          <w:szCs w:val="16"/>
          <w:u w:val="single" w:color="auto"/>
          <w:color w:val="auto"/>
        </w:rPr>
        <w:t>Warrant Agent</w:t>
      </w:r>
      <w:r>
        <w:rPr>
          <w:rFonts w:ascii="Arial" w:cs="Arial" w:eastAsia="Arial" w:hAnsi="Arial"/>
          <w:sz w:val="16"/>
          <w:szCs w:val="16"/>
          <w:color w:val="auto"/>
        </w:rPr>
        <w:t>”), when (a) the Warrant Agent has duly executed and delivered the Warrant Agreement, (b) the Warrant Agreement has been duly authorized and validly executed and delivered by the Partnership to the Warrant Agent, (c) the Board has taken all necessary corporate action to approve the due and valid issuance and terms of a particular series of Warrants, the terms of the offering thereof and related matters and (d) such Warrants have been duly executed, countersigned, registered and delivered in accordance with the provisions of the Warrant Agreement and the applicable definitive purchase, underwriting or similar agreement approved by the Board, upon payment of the consideration therefor provided for therein, such Warrants will constitute valid and binding obligations of the Partnership, enforceable against the Partnership in accordance with their terms.</w:t>
      </w:r>
    </w:p>
    <w:p>
      <w:pPr>
        <w:spacing w:after="0" w:line="167" w:lineRule="exact"/>
        <w:rPr>
          <w:rFonts w:ascii="Arial" w:cs="Arial" w:eastAsia="Arial" w:hAnsi="Arial"/>
          <w:sz w:val="16"/>
          <w:szCs w:val="16"/>
          <w:color w:val="auto"/>
        </w:rPr>
      </w:pPr>
    </w:p>
    <w:p>
      <w:pPr>
        <w:ind w:right="100" w:firstLine="1305"/>
        <w:spacing w:after="0" w:line="272" w:lineRule="auto"/>
        <w:tabs>
          <w:tab w:leader="none" w:pos="1477" w:val="left"/>
        </w:tabs>
        <w:numPr>
          <w:ilvl w:val="1"/>
          <w:numId w:val="169"/>
        </w:numPr>
        <w:rPr>
          <w:rFonts w:ascii="Arial" w:cs="Arial" w:eastAsia="Arial" w:hAnsi="Arial"/>
          <w:sz w:val="17"/>
          <w:szCs w:val="17"/>
          <w:color w:val="auto"/>
        </w:rPr>
      </w:pPr>
      <w:r>
        <w:rPr>
          <w:rFonts w:ascii="Arial" w:cs="Arial" w:eastAsia="Arial" w:hAnsi="Arial"/>
          <w:sz w:val="17"/>
          <w:szCs w:val="17"/>
          <w:color w:val="auto"/>
        </w:rPr>
        <w:t>With respect to the Rights to be issued in one or more series under a rights agreement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to be entered into by the Partnership and a rights agent (the “</w:t>
      </w:r>
      <w:r>
        <w:rPr>
          <w:rFonts w:ascii="Arial" w:cs="Arial" w:eastAsia="Arial" w:hAnsi="Arial"/>
          <w:sz w:val="17"/>
          <w:szCs w:val="17"/>
          <w:u w:val="single" w:color="auto"/>
          <w:color w:val="auto"/>
        </w:rPr>
        <w:t>Rights Agent</w:t>
      </w:r>
      <w:r>
        <w:rPr>
          <w:rFonts w:ascii="Arial" w:cs="Arial" w:eastAsia="Arial" w:hAnsi="Arial"/>
          <w:sz w:val="17"/>
          <w:szCs w:val="17"/>
          <w:color w:val="auto"/>
        </w:rPr>
        <w:t>”), when (a) the Rights Agent has duly executed and delivered the Rights Agreement, (b) the Rights Agreement has been duly authorized and validly executed and delivered by the Partnership to the Rights Agent, (c) the Board has taken all necessary corporate action to approve the due and valid issuance and terms of a particular series of Rights, the terms of the offering thereof and related matters and (d) such Rights have been duly executed and delivered in accordance with the provisions of the Rights Agreement and the applicable definitive purchase, underwriting or similar agreement approved by the Board, upon payment of the consideration therefor provided for therein, such Rights will constitute valid and binding obligations of the Partnership, enforceable against the Partnership in accordance with their terms.</w:t>
      </w:r>
    </w:p>
    <w:p>
      <w:pPr>
        <w:spacing w:after="0" w:line="177" w:lineRule="exact"/>
        <w:rPr>
          <w:rFonts w:ascii="Arial" w:cs="Arial" w:eastAsia="Arial" w:hAnsi="Arial"/>
          <w:sz w:val="17"/>
          <w:szCs w:val="17"/>
          <w:color w:val="auto"/>
        </w:rPr>
      </w:pPr>
    </w:p>
    <w:p>
      <w:pPr>
        <w:ind w:right="120" w:firstLine="1305"/>
        <w:spacing w:after="0" w:line="286" w:lineRule="auto"/>
        <w:tabs>
          <w:tab w:leader="none" w:pos="147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With respect to the Combination Units to be issued in one or more series under a unit agreement (the “</w:t>
      </w:r>
      <w:r>
        <w:rPr>
          <w:rFonts w:ascii="Arial" w:cs="Arial" w:eastAsia="Arial" w:hAnsi="Arial"/>
          <w:sz w:val="16"/>
          <w:szCs w:val="16"/>
          <w:u w:val="single" w:color="auto"/>
          <w:color w:val="auto"/>
        </w:rPr>
        <w:t>Unit Agreement</w:t>
      </w:r>
      <w:r>
        <w:rPr>
          <w:rFonts w:ascii="Arial" w:cs="Arial" w:eastAsia="Arial" w:hAnsi="Arial"/>
          <w:sz w:val="16"/>
          <w:szCs w:val="16"/>
          <w:color w:val="auto"/>
        </w:rPr>
        <w:t>”) to be entered into by the Partnership and a unit agent (the “</w:t>
      </w:r>
      <w:r>
        <w:rPr>
          <w:rFonts w:ascii="Arial" w:cs="Arial" w:eastAsia="Arial" w:hAnsi="Arial"/>
          <w:sz w:val="16"/>
          <w:szCs w:val="16"/>
          <w:u w:val="single" w:color="auto"/>
          <w:color w:val="auto"/>
        </w:rPr>
        <w:t>Unit Agent</w:t>
      </w:r>
      <w:r>
        <w:rPr>
          <w:rFonts w:ascii="Arial" w:cs="Arial" w:eastAsia="Arial" w:hAnsi="Arial"/>
          <w:sz w:val="16"/>
          <w:szCs w:val="16"/>
          <w:color w:val="auto"/>
        </w:rPr>
        <w:t>”), when (a) the Unit Agent has duly executed and delivered the Unit Agreement, (b) the Unit Agreement has been duly authorized and validly executed and delivered by the Partnership to the Unit Agent, (c) the Board has taken all necessary corporate action to approve the due and valid issuance and terms of a particular series of Combination Units, the terms of the offering thereof and related matters and</w:t>
      </w:r>
    </w:p>
    <w:p>
      <w:pPr>
        <w:spacing w:after="0" w:line="1" w:lineRule="exact"/>
        <w:rPr>
          <w:rFonts w:ascii="Arial" w:cs="Arial" w:eastAsia="Arial" w:hAnsi="Arial"/>
          <w:sz w:val="16"/>
          <w:szCs w:val="16"/>
          <w:color w:val="auto"/>
        </w:rPr>
      </w:pPr>
    </w:p>
    <w:p>
      <w:pPr>
        <w:ind w:firstLine="8"/>
        <w:spacing w:after="0" w:line="277" w:lineRule="auto"/>
        <w:tabs>
          <w:tab w:leader="none" w:pos="25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such Combination Units have been duly executed and delivered in accordance with the provisions of the Unit Agreement and the applicable definitive purchase, underwriting or similar agreement approved by the Board, upon payment of the consideration therefor provided for therein, such Combination Units will constitute valid and binding obligations of the Partnership, enforceable against the Partnership in accordance with their terms.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Our opinions in paragraphs 1 through 4 above are subject to the qualification that the enforceability of any Debt Securities, Warrants, Rights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Combination Units against the Partnership is subject to applicable bankruptcy, insolvency, fraudulent transfer, reorganization, moratorium and similar laws relating to or affecting creditors’ rights generally and by general principles of equity, including, without limitation, concepts of materiality, reasonableness, good faith and fair dealing, regardless of whether such enforceability is considered in proceeding in equity or at law.</w:t>
      </w:r>
    </w:p>
    <w:p>
      <w:pPr>
        <w:spacing w:after="0" w:line="166"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We express no opinion herein as to any provision of the Indenture, Warrant Agreement, Rights Agreement or Unit Agreement or the Debt Securities, Warrants, Rights or Combination Units that (a) relates to the subject matter jurisdiction of any Federal court of the United States of America, or any Federal appellate court, to adjudicate any controversy related thereto, (b) contains a waiver of an inconvenient forum, (c) relates to the waiver of rights to jury trial or (d) provides for indemnification, contribution or limitations on liability. We also express no opinion as to (i) the enforceability of the provisions of the Indenture, Warrant Agreement, Rights Agreement or Unit Agreement or the Debt Securities, Warrants, Rights or Combination Units to the extent that such provisions constitute a waiver of illegality as a defense to performance of contract obligations or any other defense to performance which cannot, as a matter of law, be effectively waived or (ii) whether a state court outside the State of New York or a Federal court of the United States would give effect to the choice of New York law provided for therein.</w:t>
      </w:r>
    </w:p>
    <w:p>
      <w:pPr>
        <w:spacing w:after="0" w:line="17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Courts in the United States have not customarily rendered judgments for money damages denominated in any currency other than United States dollars. Section 27(b) of the Judiciary Law of the State of New York provides, however, that a judgment or decree in an action based upon an obligation denominated in a currency other than United States dollars shall be rendered in the foreign currency of the underlying obligation and converted into United States dollars at the rate of exchange prevailing on the date of the entry of the judgment or decree. We express no opinion as to whether a Federal court would render a judgment other than in United States dollars.</w:t>
      </w:r>
    </w:p>
    <w:p>
      <w:pPr>
        <w:spacing w:after="0" w:line="188"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We are admitted to practice in the State of New York and express no opinion as to matters governed by any laws other than the laws of the State of New York and the Federal laws of the United States of America. In particular, we do not purport to pass on any matter governed by the laws of the Republic of the Marshall Islands. With respect to all matters of Marshall Islands law, we note that you are being provided with the opinion, dated the date hereof, of Cozen O’Connor, special counsel on Marshall Island law to the Partnership.</w:t>
      </w:r>
    </w:p>
    <w:p>
      <w:pPr>
        <w:spacing w:after="0" w:line="18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We understand that we may be referred to as counsel for certain matters relating to United States law in the prospectus and in any prospectus supplement forming a part of the Registration Statement, and we hereby consent to such use of our name in the Registration Statement and to the use of this opinion for filing with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Statement as Exhibit 5.2 thereto. In giving this consent, we do not hereby admit that we are within the category of persons whose consent is required under Section 7 of the Securities Act or the rules and regulations of the Commission promulgated thereunder.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Cravath, Swaine &amp; Moore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Cravath, Swaine &amp; Moore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MC 98000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MONACO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23.1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We consent to the incorporation by reference in this Registration Statement on Form F-3 of our report dated September 29, 2017, relating to the financial statements of GasLog Partners LP and subsidiaries (the “Partnership”) as of December 31, 2014, 2015 and 2016 for the three years ended December 31, 2016 appearing in the Current Report on Form 6-K of the Partnership filed on September 29, 2017, and to the reference to us under the heading “Experts” in this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DELOITTE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rPr>
          <w:sz w:val="20"/>
          <w:szCs w:val="20"/>
          <w:color w:val="auto"/>
        </w:rPr>
      </w:pPr>
      <w:r>
        <w:rPr>
          <w:rFonts w:ascii="Arial" w:cs="Arial" w:eastAsia="Arial" w:hAnsi="Arial"/>
          <w:sz w:val="18"/>
          <w:szCs w:val="18"/>
          <w:color w:val="auto"/>
        </w:rPr>
        <w:t>September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1)"/>
      <w:numFmt w:val="decimal"/>
      <w:start w:val="1"/>
    </w:lvl>
    <w:lvl w:ilvl="1">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1)"/>
      <w:numFmt w:val="decimal"/>
      <w:start w:val="1"/>
    </w:lvl>
  </w:abstractNum>
  <w:abstractNum w:abstractNumId="23">
    <w:nsid w:val="50801EE1"/>
    <w:multiLevelType w:val="hybridMultilevel"/>
    <w:lvl w:ilvl="0">
      <w:lvlJc w:val="left"/>
      <w:lvlText w:val="(%1)"/>
      <w:numFmt w:val="decimal"/>
      <w:start w:val="1"/>
    </w:lvl>
    <w:lvl w:ilvl="1">
      <w:lvlJc w:val="left"/>
      <w:lvlText w:val="•"/>
      <w:numFmt w:val="bullet"/>
      <w:start w:val="1"/>
    </w:lvl>
  </w:abstractNum>
  <w:abstractNum w:abstractNumId="24">
    <w:nsid w:val="488AC1A"/>
    <w:multiLevelType w:val="hybridMultilevel"/>
    <w:lvl w:ilvl="0">
      <w:lvlJc w:val="left"/>
      <w:lvlText w:val="(%1)"/>
      <w:numFmt w:val="decimal"/>
      <w:start w:val="6"/>
    </w:lvl>
  </w:abstractNum>
  <w:abstractNum w:abstractNumId="25">
    <w:nsid w:val="5FB8011C"/>
    <w:multiLevelType w:val="hybridMultilevel"/>
    <w:lvl w:ilvl="0">
      <w:lvlJc w:val="left"/>
      <w:lvlText w:val="(%1)"/>
      <w:numFmt w:val="decimal"/>
      <w:start w:val="1"/>
    </w:lvl>
  </w:abstractNum>
  <w:abstractNum w:abstractNumId="26">
    <w:nsid w:val="6AA78F7F"/>
    <w:multiLevelType w:val="hybridMultilevel"/>
    <w:lvl w:ilvl="0">
      <w:lvlJc w:val="left"/>
      <w:lvlText w:val="(%1)"/>
      <w:numFmt w:val="decimal"/>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1)"/>
      <w:numFmt w:val="decimal"/>
      <w:start w:val="1"/>
    </w:lvl>
  </w:abstractNum>
  <w:abstractNum w:abstractNumId="33">
    <w:nsid w:val="7DE67713"/>
    <w:multiLevelType w:val="hybridMultilevel"/>
    <w:lvl w:ilvl="0">
      <w:lvlJc w:val="left"/>
      <w:lvlText w:val="(%1)"/>
      <w:numFmt w:val="decimal"/>
      <w:start w:val="3"/>
    </w:lvl>
  </w:abstractNum>
  <w:abstractNum w:abstractNumId="34">
    <w:nsid w:val="555C55B5"/>
    <w:multiLevelType w:val="hybridMultilevel"/>
    <w:lvl w:ilvl="0">
      <w:lvlJc w:val="left"/>
      <w:lvlText w:val="(%1)"/>
      <w:numFmt w:val="decimal"/>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lvl w:ilvl="1">
      <w:lvlJc w:val="left"/>
      <w:lvlText w:val="•"/>
      <w:numFmt w:val="bullet"/>
      <w:start w:val="1"/>
    </w:lvl>
  </w:abstractNum>
  <w:abstractNum w:abstractNumId="38">
    <w:nsid w:val="71C91298"/>
    <w:multiLevelType w:val="hybridMultilevel"/>
    <w:lvl w:ilvl="0">
      <w:lvlJc w:val="left"/>
      <w:lvlText w:val="•"/>
      <w:numFmt w:val="bullet"/>
      <w:start w:val="1"/>
    </w:lvl>
    <w:lvl w:ilvl="1">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
      <w:numFmt w:val="bullet"/>
      <w:start w:val="1"/>
    </w:lvl>
  </w:abstractNum>
  <w:abstractNum w:abstractNumId="53">
    <w:nsid w:val="7C58FD05"/>
    <w:multiLevelType w:val="hybridMultilevel"/>
    <w:lvl w:ilvl="0">
      <w:lvlJc w:val="left"/>
      <w:lvlText w:val="•"/>
      <w:numFmt w:val="bullet"/>
      <w:start w:val="1"/>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
      <w:numFmt w:val="bullet"/>
      <w:start w:val="1"/>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1)"/>
      <w:numFmt w:val="decimal"/>
      <w:start w:val="1"/>
    </w:lvl>
  </w:abstractNum>
  <w:abstractNum w:abstractNumId="59">
    <w:nsid w:val="4BD8591A"/>
    <w:multiLevelType w:val="hybridMultilevel"/>
    <w:lvl w:ilvl="0">
      <w:lvlJc w:val="left"/>
      <w:lvlText w:val="(%1)"/>
      <w:numFmt w:val="decimal"/>
      <w:start w:val="2"/>
    </w:lvl>
  </w:abstractNum>
  <w:abstractNum w:abstractNumId="60">
    <w:nsid w:val="78DF6A55"/>
    <w:multiLevelType w:val="hybridMultilevel"/>
    <w:lvl w:ilvl="0">
      <w:lvlJc w:val="left"/>
      <w:lvlText w:val="(%1)"/>
      <w:numFmt w:val="lowerRoman"/>
      <w:start w:val="1"/>
    </w:lvl>
  </w:abstractNum>
  <w:abstractNum w:abstractNumId="61">
    <w:nsid w:val="39B7AAA2"/>
    <w:multiLevelType w:val="hybridMultilevel"/>
    <w:lvl w:ilvl="0">
      <w:lvlJc w:val="left"/>
      <w:lvlText w:val="(%1)"/>
      <w:numFmt w:val="upperLetter"/>
      <w:start w:val="1"/>
    </w:lvl>
  </w:abstractNum>
  <w:abstractNum w:abstractNumId="62">
    <w:nsid w:val="2B0D8DBE"/>
    <w:multiLevelType w:val="hybridMultilevel"/>
    <w:lvl w:ilvl="0">
      <w:lvlJc w:val="left"/>
      <w:lvlText w:val="(%1)"/>
      <w:numFmt w:val="lowerRoman"/>
      <w:start w:val="2"/>
    </w:lvl>
  </w:abstractNum>
  <w:abstractNum w:abstractNumId="63">
    <w:nsid w:val="6C80EC70"/>
    <w:multiLevelType w:val="hybridMultilevel"/>
    <w:lvl w:ilvl="0">
      <w:lvlJc w:val="left"/>
      <w:lvlText w:val="(%1)"/>
      <w:numFmt w:val="decimal"/>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
      <w:numFmt w:val="bullet"/>
      <w:start w:val="1"/>
    </w:lvl>
  </w:abstractNum>
  <w:abstractNum w:abstractNumId="66">
    <w:nsid w:val="2C27173B"/>
    <w:multiLevelType w:val="hybridMultilevel"/>
    <w:lvl w:ilvl="0">
      <w:lvlJc w:val="left"/>
      <w:lvlText w:val="(%1)"/>
      <w:numFmt w:val="lowerLetter"/>
      <w:start w:val="2"/>
    </w:lvl>
  </w:abstractNum>
  <w:abstractNum w:abstractNumId="67">
    <w:nsid w:val="4C9B0904"/>
    <w:multiLevelType w:val="hybridMultilevel"/>
    <w:lvl w:ilvl="0">
      <w:lvlJc w:val="left"/>
      <w:lvlText w:val="(%1)"/>
      <w:numFmt w:val="lowerLetter"/>
      <w:start w:val="4"/>
    </w:lvl>
  </w:abstractNum>
  <w:abstractNum w:abstractNumId="68">
    <w:nsid w:val="6AA7B75C"/>
    <w:multiLevelType w:val="hybridMultilevel"/>
    <w:lvl w:ilvl="0">
      <w:lvlJc w:val="left"/>
      <w:lvlText w:val="(%1)"/>
      <w:numFmt w:val="lowerLetter"/>
      <w:start w:val="5"/>
    </w:lvl>
  </w:abstractNum>
  <w:abstractNum w:abstractNumId="69">
    <w:nsid w:val="1DF029D3"/>
    <w:multiLevelType w:val="hybridMultilevel"/>
    <w:lvl w:ilvl="0">
      <w:lvlJc w:val="left"/>
      <w:lvlText w:val="%1"/>
      <w:numFmt w:val="lowerRoman"/>
      <w:start w:val="1"/>
    </w:lvl>
    <w:lvl w:ilvl="1">
      <w:lvlJc w:val="left"/>
      <w:lvlText w:val="(%2)"/>
      <w:numFmt w:val="lowerRoman"/>
      <w:start w:val="1"/>
    </w:lvl>
  </w:abstractNum>
  <w:abstractNum w:abstractNumId="70">
    <w:nsid w:val="5675FF36"/>
    <w:multiLevelType w:val="hybridMultilevel"/>
    <w:lvl w:ilvl="0">
      <w:lvlJc w:val="left"/>
      <w:lvlText w:val="(%1)"/>
      <w:numFmt w:val="lowerRoman"/>
      <w:start w:val="2"/>
    </w:lvl>
    <w:lvl w:ilvl="1">
      <w:lvlJc w:val="left"/>
      <w:lvlText w:val="%2"/>
      <w:numFmt w:val="lowerRoman"/>
      <w:start w:val="1"/>
    </w:lvl>
  </w:abstractNum>
  <w:abstractNum w:abstractNumId="71">
    <w:nsid w:val="3DD15094"/>
    <w:multiLevelType w:val="hybridMultilevel"/>
    <w:lvl w:ilvl="0">
      <w:lvlJc w:val="left"/>
      <w:lvlText w:val="(%1)"/>
      <w:numFmt w:val="lowerLetter"/>
      <w:start w:val="10"/>
    </w:lvl>
  </w:abstractNum>
  <w:abstractNum w:abstractNumId="72">
    <w:nsid w:val="3DB012B3"/>
    <w:multiLevelType w:val="hybridMultilevel"/>
    <w:lvl w:ilvl="0">
      <w:lvlJc w:val="left"/>
      <w:lvlText w:val="(%1)"/>
      <w:numFmt w:val="lowerLetter"/>
      <w:start w:val="13"/>
    </w:lvl>
  </w:abstractNum>
  <w:abstractNum w:abstractNumId="73">
    <w:nsid w:val="2708C9AF"/>
    <w:multiLevelType w:val="hybridMultilevel"/>
    <w:lvl w:ilvl="0">
      <w:lvlJc w:val="left"/>
      <w:lvlText w:val="(%1)"/>
      <w:numFmt w:val="lowerLetter"/>
      <w:start w:val="18"/>
    </w:lvl>
  </w:abstractNum>
  <w:abstractNum w:abstractNumId="74">
    <w:nsid w:val="5B25ACE2"/>
    <w:multiLevelType w:val="hybridMultilevel"/>
    <w:lvl w:ilvl="0">
      <w:lvlJc w:val="left"/>
      <w:lvlText w:val="(%1)"/>
      <w:numFmt w:val="lowerLetter"/>
      <w:start w:val="21"/>
    </w:lvl>
  </w:abstractNum>
  <w:abstractNum w:abstractNumId="75">
    <w:nsid w:val="175DFCF0"/>
    <w:multiLevelType w:val="hybridMultilevel"/>
    <w:lvl w:ilvl="0">
      <w:lvlJc w:val="left"/>
      <w:lvlText w:val="(%1)"/>
      <w:numFmt w:val="lowerLetter"/>
      <w:start w:val="24"/>
    </w:lvl>
  </w:abstractNum>
  <w:abstractNum w:abstractNumId="76">
    <w:nsid w:val="4F97E3E4"/>
    <w:multiLevelType w:val="hybridMultilevel"/>
    <w:lvl w:ilvl="0">
      <w:lvlJc w:val="left"/>
      <w:lvlText w:val="(%1)"/>
      <w:numFmt w:val="lowerLetter"/>
      <w:start w:val="28"/>
    </w:lvl>
  </w:abstractNum>
  <w:abstractNum w:abstractNumId="77">
    <w:nsid w:val="53B0A9E"/>
    <w:multiLevelType w:val="hybridMultilevel"/>
    <w:lvl w:ilvl="0">
      <w:lvlJc w:val="left"/>
      <w:lvlText w:val="(%1)"/>
      <w:numFmt w:val="lowerLetter"/>
      <w:start w:val="29"/>
    </w:lvl>
  </w:abstractNum>
  <w:abstractNum w:abstractNumId="78">
    <w:nsid w:val="34FD6B4F"/>
    <w:multiLevelType w:val="hybridMultilevel"/>
    <w:lvl w:ilvl="0">
      <w:lvlJc w:val="left"/>
      <w:lvlText w:val="%1"/>
      <w:numFmt w:val="lowerRoman"/>
      <w:start w:val="1"/>
    </w:lvl>
    <w:lvl w:ilvl="1">
      <w:lvlJc w:val="left"/>
      <w:lvlText w:val="(%2)"/>
      <w:numFmt w:val="lowerLetter"/>
      <w:start w:val="36"/>
    </w:lvl>
  </w:abstractNum>
  <w:abstractNum w:abstractNumId="79">
    <w:nsid w:val="5915FF32"/>
    <w:multiLevelType w:val="hybridMultilevel"/>
    <w:lvl w:ilvl="0">
      <w:lvlJc w:val="left"/>
      <w:lvlText w:val="(%1)"/>
      <w:numFmt w:val="lowerRoman"/>
      <w:start w:val="6"/>
    </w:lvl>
    <w:lvl w:ilvl="1">
      <w:lvlJc w:val="left"/>
      <w:lvlText w:val="(%2)"/>
      <w:numFmt w:val="lowerLetter"/>
      <w:start w:val="37"/>
    </w:lvl>
  </w:abstractNum>
  <w:abstractNum w:abstractNumId="80">
    <w:nsid w:val="56438D15"/>
    <w:multiLevelType w:val="hybridMultilevel"/>
    <w:lvl w:ilvl="0">
      <w:lvlJc w:val="left"/>
      <w:lvlText w:val="(%1)"/>
      <w:numFmt w:val="lowerLetter"/>
      <w:start w:val="39"/>
    </w:lvl>
  </w:abstractNum>
  <w:abstractNum w:abstractNumId="81">
    <w:nsid w:val="519E3149"/>
    <w:multiLevelType w:val="hybridMultilevel"/>
    <w:lvl w:ilvl="0">
      <w:lvlJc w:val="left"/>
      <w:lvlText w:val="(%1)"/>
      <w:numFmt w:val="lowerRoman"/>
      <w:start w:val="1"/>
    </w:lvl>
  </w:abstractNum>
  <w:abstractNum w:abstractNumId="82">
    <w:nsid w:val="2C6E4AFD"/>
    <w:multiLevelType w:val="hybridMultilevel"/>
    <w:lvl w:ilvl="0">
      <w:lvlJc w:val="left"/>
      <w:lvlText w:val="(%1)"/>
      <w:numFmt w:val="lowerRoman"/>
      <w:start w:val="2"/>
    </w:lvl>
  </w:abstractNum>
  <w:abstractNum w:abstractNumId="83">
    <w:nsid w:val="17A1B582"/>
    <w:multiLevelType w:val="hybridMultilevel"/>
    <w:lvl w:ilvl="0">
      <w:lvlJc w:val="left"/>
      <w:lvlText w:val="(%1)"/>
      <w:numFmt w:val="lowerLetter"/>
      <w:start w:val="44"/>
    </w:lvl>
  </w:abstractNum>
  <w:abstractNum w:abstractNumId="84">
    <w:nsid w:val="4DF72E4E"/>
    <w:multiLevelType w:val="hybridMultilevel"/>
    <w:lvl w:ilvl="0">
      <w:lvlJc w:val="left"/>
      <w:lvlText w:val="(%1)"/>
      <w:numFmt w:val="lowerLetter"/>
      <w:start w:val="50"/>
    </w:lvl>
  </w:abstractNum>
  <w:abstractNum w:abstractNumId="85">
    <w:nsid w:val="5046B5A9"/>
    <w:multiLevelType w:val="hybridMultilevel"/>
    <w:lvl w:ilvl="0">
      <w:lvlJc w:val="left"/>
      <w:lvlText w:val="(%1)"/>
      <w:numFmt w:val="lowerLetter"/>
      <w:start w:val="53"/>
    </w:lvl>
  </w:abstractNum>
  <w:abstractNum w:abstractNumId="86">
    <w:nsid w:val="5D888A08"/>
    <w:multiLevelType w:val="hybridMultilevel"/>
    <w:lvl w:ilvl="0">
      <w:lvlJc w:val="left"/>
      <w:lvlText w:val="(%1)"/>
      <w:numFmt w:val="lowerLetter"/>
      <w:start w:val="60"/>
    </w:lvl>
  </w:abstractNum>
  <w:abstractNum w:abstractNumId="87">
    <w:nsid w:val="2A082C70"/>
    <w:multiLevelType w:val="hybridMultilevel"/>
    <w:lvl w:ilvl="0">
      <w:lvlJc w:val="left"/>
      <w:lvlText w:val="(%1)"/>
      <w:numFmt w:val="lowerLetter"/>
      <w:start w:val="64"/>
    </w:lvl>
  </w:abstractNum>
  <w:abstractNum w:abstractNumId="88">
    <w:nsid w:val="5EC6AFD4"/>
    <w:multiLevelType w:val="hybridMultilevel"/>
    <w:lvl w:ilvl="0">
      <w:lvlJc w:val="left"/>
      <w:lvlText w:val="2"/>
      <w:numFmt w:val="bullet"/>
      <w:start w:val="1"/>
    </w:lvl>
  </w:abstractNum>
  <w:abstractNum w:abstractNumId="89">
    <w:nsid w:val="19E21BB2"/>
    <w:multiLevelType w:val="hybridMultilevel"/>
    <w:lvl w:ilvl="0">
      <w:lvlJc w:val="left"/>
      <w:lvlText w:val="(%1)"/>
      <w:numFmt w:val="lowerLetter"/>
      <w:start w:val="67"/>
    </w:lvl>
  </w:abstractNum>
  <w:abstractNum w:abstractNumId="90">
    <w:nsid w:val="75E0858A"/>
    <w:multiLevelType w:val="hybridMultilevel"/>
    <w:lvl w:ilvl="0">
      <w:lvlJc w:val="left"/>
      <w:lvlText w:val="%1."/>
      <w:numFmt w:val="decimal"/>
      <w:start w:val="2"/>
    </w:lvl>
  </w:abstractNum>
  <w:abstractNum w:abstractNumId="91">
    <w:nsid w:val="57A61A29"/>
    <w:multiLevelType w:val="hybridMultilevel"/>
    <w:lvl w:ilvl="0">
      <w:lvlJc w:val="left"/>
      <w:lvlText w:val="%1."/>
      <w:numFmt w:val="decimal"/>
      <w:start w:val="3"/>
    </w:lvl>
  </w:abstractNum>
  <w:abstractNum w:abstractNumId="92">
    <w:nsid w:val="5399C654"/>
    <w:multiLevelType w:val="hybridMultilevel"/>
    <w:lvl w:ilvl="0">
      <w:lvlJc w:val="left"/>
      <w:lvlText w:val="(%1)"/>
      <w:numFmt w:val="lowerLetter"/>
      <w:start w:val="2"/>
    </w:lvl>
  </w:abstractNum>
  <w:abstractNum w:abstractNumId="93">
    <w:nsid w:val="20EE1348"/>
    <w:multiLevelType w:val="hybridMultilevel"/>
    <w:lvl w:ilvl="0">
      <w:lvlJc w:val="left"/>
      <w:lvlText w:val="%1."/>
      <w:numFmt w:val="decimal"/>
      <w:start w:val="5"/>
    </w:lvl>
  </w:abstractNum>
  <w:abstractNum w:abstractNumId="94">
    <w:nsid w:val="4427069A"/>
    <w:multiLevelType w:val="hybridMultilevel"/>
    <w:lvl w:ilvl="0">
      <w:lvlJc w:val="left"/>
      <w:lvlText w:val="(%1)"/>
      <w:numFmt w:val="lowerLetter"/>
      <w:start w:val="1"/>
    </w:lvl>
  </w:abstractNum>
  <w:abstractNum w:abstractNumId="95">
    <w:nsid w:val="B37E80A"/>
    <w:multiLevelType w:val="hybridMultilevel"/>
    <w:lvl w:ilvl="0">
      <w:lvlJc w:val="left"/>
      <w:lvlText w:val="(%1)"/>
      <w:numFmt w:val="lowerLetter"/>
      <w:start w:val="4"/>
    </w:lvl>
  </w:abstractNum>
  <w:abstractNum w:abstractNumId="96">
    <w:nsid w:val="2157F6BC"/>
    <w:multiLevelType w:val="hybridMultilevel"/>
    <w:lvl w:ilvl="0">
      <w:lvlJc w:val="left"/>
      <w:lvlText w:val="(%1)"/>
      <w:numFmt w:val="lowerLetter"/>
      <w:start w:val="7"/>
    </w:lvl>
  </w:abstractNum>
  <w:abstractNum w:abstractNumId="97">
    <w:nsid w:val="704E1DD5"/>
    <w:multiLevelType w:val="hybridMultilevel"/>
    <w:lvl w:ilvl="0">
      <w:lvlJc w:val="left"/>
      <w:lvlText w:val="%1."/>
      <w:numFmt w:val="decimal"/>
      <w:start w:val="6"/>
    </w:lvl>
  </w:abstractNum>
  <w:abstractNum w:abstractNumId="98">
    <w:nsid w:val="57D2F10E"/>
    <w:multiLevelType w:val="hybridMultilevel"/>
    <w:lvl w:ilvl="0">
      <w:lvlJc w:val="left"/>
      <w:lvlText w:val="(%1)"/>
      <w:numFmt w:val="lowerLetter"/>
      <w:start w:val="2"/>
    </w:lvl>
  </w:abstractNum>
  <w:abstractNum w:abstractNumId="99">
    <w:nsid w:val="BFFAE18"/>
    <w:multiLevelType w:val="hybridMultilevel"/>
    <w:lvl w:ilvl="0">
      <w:lvlJc w:val="left"/>
      <w:lvlText w:val="%1."/>
      <w:numFmt w:val="decimal"/>
      <w:start w:val="7"/>
    </w:lvl>
  </w:abstractNum>
  <w:abstractNum w:abstractNumId="100">
    <w:nsid w:val="E3E47A8"/>
    <w:multiLevelType w:val="hybridMultilevel"/>
    <w:lvl w:ilvl="0">
      <w:lvlJc w:val="left"/>
      <w:lvlText w:val="%1."/>
      <w:numFmt w:val="decimal"/>
      <w:start w:val="8"/>
    </w:lvl>
  </w:abstractNum>
  <w:abstractNum w:abstractNumId="101">
    <w:nsid w:val="2E48F044"/>
    <w:multiLevelType w:val="hybridMultilevel"/>
    <w:lvl w:ilvl="0">
      <w:lvlJc w:val="left"/>
      <w:lvlText w:val="(%1)"/>
      <w:numFmt w:val="lowerLetter"/>
      <w:start w:val="1"/>
    </w:lvl>
  </w:abstractNum>
  <w:abstractNum w:abstractNumId="102">
    <w:nsid w:val="49D0FEAC"/>
    <w:multiLevelType w:val="hybridMultilevel"/>
    <w:lvl w:ilvl="0">
      <w:lvlJc w:val="left"/>
      <w:lvlText w:val="(%1)"/>
      <w:numFmt w:val="lowerLetter"/>
      <w:start w:val="7"/>
    </w:lvl>
  </w:abstractNum>
  <w:abstractNum w:abstractNumId="103">
    <w:nsid w:val="4BEE5A5B"/>
    <w:multiLevelType w:val="hybridMultilevel"/>
    <w:lvl w:ilvl="0">
      <w:lvlJc w:val="left"/>
      <w:lvlText w:val="(%1)"/>
      <w:numFmt w:val="lowerLetter"/>
      <w:start w:val="12"/>
    </w:lvl>
  </w:abstractNum>
  <w:abstractNum w:abstractNumId="104">
    <w:nsid w:val="5551B9F3"/>
    <w:multiLevelType w:val="hybridMultilevel"/>
    <w:lvl w:ilvl="0">
      <w:lvlJc w:val="left"/>
      <w:lvlText w:val="%1."/>
      <w:numFmt w:val="decimal"/>
      <w:start w:val="9"/>
    </w:lvl>
  </w:abstractNum>
  <w:abstractNum w:abstractNumId="105">
    <w:nsid w:val="24F6AB8E"/>
    <w:multiLevelType w:val="hybridMultilevel"/>
    <w:lvl w:ilvl="0">
      <w:lvlJc w:val="left"/>
      <w:lvlText w:val="(%1)"/>
      <w:numFmt w:val="lowerLetter"/>
      <w:start w:val="2"/>
    </w:lvl>
  </w:abstractNum>
  <w:abstractNum w:abstractNumId="106">
    <w:nsid w:val="634C574C"/>
    <w:multiLevelType w:val="hybridMultilevel"/>
    <w:lvl w:ilvl="0">
      <w:lvlJc w:val="left"/>
      <w:lvlText w:val="%1"/>
      <w:numFmt w:val="lowerLetter"/>
      <w:start w:val="1"/>
    </w:lvl>
    <w:lvl w:ilvl="1">
      <w:lvlJc w:val="left"/>
      <w:lvlText w:val="(%2)"/>
      <w:numFmt w:val="lowerLetter"/>
      <w:start w:val="3"/>
    </w:lvl>
  </w:abstractNum>
  <w:abstractNum w:abstractNumId="107">
    <w:nsid w:val="24E99DD7"/>
    <w:multiLevelType w:val="hybridMultilevel"/>
    <w:lvl w:ilvl="0">
      <w:lvlJc w:val="left"/>
      <w:lvlText w:val="(%1)"/>
      <w:numFmt w:val="lowerLetter"/>
      <w:start w:val="9"/>
    </w:lvl>
    <w:lvl w:ilvl="1">
      <w:lvlJc w:val="left"/>
      <w:lvlText w:val="(%2)"/>
      <w:numFmt w:val="lowerLetter"/>
      <w:start w:val="4"/>
    </w:lvl>
  </w:abstractNum>
  <w:abstractNum w:abstractNumId="108">
    <w:nsid w:val="2A31B62D"/>
    <w:multiLevelType w:val="hybridMultilevel"/>
    <w:lvl w:ilvl="0">
      <w:lvlJc w:val="left"/>
      <w:lvlText w:val="(%1)"/>
      <w:numFmt w:val="lowerLetter"/>
      <w:start w:val="5"/>
    </w:lvl>
  </w:abstractNum>
  <w:abstractNum w:abstractNumId="109">
    <w:nsid w:val="1849C29B"/>
    <w:multiLevelType w:val="hybridMultilevel"/>
    <w:lvl w:ilvl="0">
      <w:lvlJc w:val="left"/>
      <w:lvlText w:val="%1."/>
      <w:numFmt w:val="decimal"/>
      <w:start w:val="11"/>
    </w:lvl>
  </w:abstractNum>
  <w:abstractNum w:abstractNumId="110">
    <w:nsid w:val="7DFF9D09"/>
    <w:multiLevelType w:val="hybridMultilevel"/>
    <w:lvl w:ilvl="0">
      <w:lvlJc w:val="left"/>
      <w:lvlText w:val="(%1)"/>
      <w:numFmt w:val="lowerLetter"/>
      <w:start w:val="2"/>
    </w:lvl>
  </w:abstractNum>
  <w:abstractNum w:abstractNumId="111">
    <w:nsid w:val="754342"/>
    <w:multiLevelType w:val="hybridMultilevel"/>
    <w:lvl w:ilvl="0">
      <w:lvlJc w:val="left"/>
      <w:lvlText w:val="%1."/>
      <w:numFmt w:val="decimal"/>
      <w:start w:val="12"/>
    </w:lvl>
  </w:abstractNum>
  <w:abstractNum w:abstractNumId="112">
    <w:nsid w:val="69E7F3E5"/>
    <w:multiLevelType w:val="hybridMultilevel"/>
    <w:lvl w:ilvl="0">
      <w:lvlJc w:val="left"/>
      <w:lvlText w:val="%1."/>
      <w:numFmt w:val="decimal"/>
      <w:start w:val="15"/>
    </w:lvl>
  </w:abstractNum>
  <w:abstractNum w:abstractNumId="113">
    <w:nsid w:val="2A6DE806"/>
    <w:multiLevelType w:val="hybridMultilevel"/>
    <w:lvl w:ilvl="0">
      <w:lvlJc w:val="left"/>
      <w:lvlText w:val="%1."/>
      <w:numFmt w:val="decimal"/>
      <w:start w:val="16"/>
    </w:lvl>
  </w:abstractNum>
  <w:abstractNum w:abstractNumId="114">
    <w:nsid w:val="1816F8C4"/>
    <w:multiLevelType w:val="hybridMultilevel"/>
    <w:lvl w:ilvl="0">
      <w:lvlJc w:val="left"/>
      <w:lvlText w:val="%1."/>
      <w:numFmt w:val="decimal"/>
      <w:start w:val="21"/>
    </w:lvl>
  </w:abstractNum>
  <w:abstractNum w:abstractNumId="115">
    <w:nsid w:val="37DF2233"/>
    <w:multiLevelType w:val="hybridMultilevel"/>
    <w:lvl w:ilvl="0">
      <w:lvlJc w:val="left"/>
      <w:lvlText w:val="["/>
      <w:numFmt w:val="bullet"/>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
      <w:numFmt w:val="bullet"/>
      <w:start w:val="1"/>
    </w:lvl>
  </w:abstractNum>
  <w:abstractNum w:abstractNumId="119">
    <w:nsid w:val="597B4D84"/>
    <w:multiLevelType w:val="hybridMultilevel"/>
    <w:lvl w:ilvl="0">
      <w:lvlJc w:val="left"/>
      <w:lvlText w:val="["/>
      <w:numFmt w:val="bullet"/>
      <w:start w:val="1"/>
    </w:lvl>
  </w:abstractNum>
  <w:abstractNum w:abstractNumId="120">
    <w:nsid w:val="F819E7F"/>
    <w:multiLevelType w:val="hybridMultilevel"/>
    <w:lvl w:ilvl="0">
      <w:lvlJc w:val="left"/>
      <w:lvlText w:val="["/>
      <w:numFmt w:val="bullet"/>
      <w:start w:val="1"/>
    </w:lvl>
  </w:abstractNum>
  <w:abstractNum w:abstractNumId="121">
    <w:nsid w:val="57C7D42D"/>
    <w:multiLevelType w:val="hybridMultilevel"/>
    <w:lvl w:ilvl="0">
      <w:lvlJc w:val="left"/>
      <w:lvlText w:val="["/>
      <w:numFmt w:val="bullet"/>
      <w:start w:val="1"/>
    </w:lvl>
  </w:abstractNum>
  <w:abstractNum w:abstractNumId="122">
    <w:nsid w:val="312167AD"/>
    <w:multiLevelType w:val="hybridMultilevel"/>
    <w:lvl w:ilvl="0">
      <w:lvlJc w:val="left"/>
      <w:lvlText w:val="["/>
      <w:numFmt w:val="bullet"/>
      <w:start w:val="1"/>
    </w:lvl>
  </w:abstractNum>
  <w:abstractNum w:abstractNumId="123">
    <w:nsid w:val="631B64D4"/>
    <w:multiLevelType w:val="hybridMultilevel"/>
    <w:lvl w:ilvl="0">
      <w:lvlJc w:val="left"/>
      <w:lvlText w:val="["/>
      <w:numFmt w:val="bullet"/>
      <w:start w:val="1"/>
    </w:lvl>
  </w:abstractNum>
  <w:abstractNum w:abstractNumId="124">
    <w:nsid w:val="78B5E776"/>
    <w:multiLevelType w:val="hybridMultilevel"/>
    <w:lvl w:ilvl="0">
      <w:lvlJc w:val="left"/>
      <w:lvlText w:val="["/>
      <w:numFmt w:val="bullet"/>
      <w:start w:val="1"/>
    </w:lvl>
  </w:abstractNum>
  <w:abstractNum w:abstractNumId="125">
    <w:nsid w:val="75486E47"/>
    <w:multiLevelType w:val="hybridMultilevel"/>
    <w:lvl w:ilvl="0">
      <w:lvlJc w:val="left"/>
      <w:lvlText w:val="%1."/>
      <w:numFmt w:val="decimal"/>
      <w:start w:val="1"/>
    </w:lvl>
  </w:abstractNum>
  <w:abstractNum w:abstractNumId="126">
    <w:nsid w:val="6E534CDE"/>
    <w:multiLevelType w:val="hybridMultilevel"/>
    <w:lvl w:ilvl="0">
      <w:lvlJc w:val="left"/>
      <w:lvlText w:val="%1."/>
      <w:numFmt w:val="decimal"/>
      <w:start w:val="3"/>
    </w:lvl>
  </w:abstractNum>
  <w:abstractNum w:abstractNumId="127">
    <w:nsid w:val="1A0DDE32"/>
    <w:multiLevelType w:val="hybridMultilevel"/>
    <w:lvl w:ilvl="0">
      <w:lvlJc w:val="left"/>
      <w:lvlText w:val="%1."/>
      <w:numFmt w:val="decimal"/>
      <w:start w:val="9"/>
    </w:lvl>
  </w:abstractNum>
  <w:abstractNum w:abstractNumId="128">
    <w:nsid w:val="65968C1C"/>
    <w:multiLevelType w:val="hybridMultilevel"/>
    <w:lvl w:ilvl="0">
      <w:lvlJc w:val="left"/>
      <w:lvlText w:val="(%1)"/>
      <w:numFmt w:val="lowerLetter"/>
      <w:start w:val="3"/>
    </w:lvl>
  </w:abstractNum>
  <w:abstractNum w:abstractNumId="129">
    <w:nsid w:val="46263DEC"/>
    <w:multiLevelType w:val="hybridMultilevel"/>
    <w:lvl w:ilvl="0">
      <w:lvlJc w:val="left"/>
      <w:lvlText w:val="%1."/>
      <w:numFmt w:val="decimal"/>
      <w:start w:val="1"/>
    </w:lvl>
  </w:abstractNum>
  <w:abstractNum w:abstractNumId="130">
    <w:nsid w:val="260D8C4A"/>
    <w:multiLevelType w:val="hybridMultilevel"/>
    <w:lvl w:ilvl="0">
      <w:lvlJc w:val="left"/>
      <w:lvlText w:val="%1."/>
      <w:numFmt w:val="decimal"/>
      <w:start w:val="7"/>
    </w:lvl>
  </w:abstractNum>
  <w:abstractNum w:abstractNumId="131">
    <w:nsid w:val="73D4D3C4"/>
    <w:multiLevelType w:val="hybridMultilevel"/>
    <w:lvl w:ilvl="0">
      <w:lvlJc w:val="left"/>
      <w:lvlText w:val="%1."/>
      <w:numFmt w:val="decimal"/>
      <w:start w:val="14"/>
    </w:lvl>
  </w:abstractNum>
  <w:abstractNum w:abstractNumId="132">
    <w:nsid w:val="746F2E30"/>
    <w:multiLevelType w:val="hybridMultilevel"/>
    <w:lvl w:ilvl="0">
      <w:lvlJc w:val="left"/>
      <w:lvlText w:val="%1."/>
      <w:numFmt w:val="decimal"/>
      <w:start w:val="22"/>
    </w:lvl>
    <w:lvl w:ilvl="1">
      <w:lvlJc w:val="left"/>
      <w:lvlText w:val="(%2)"/>
      <w:numFmt w:val="lowerLetter"/>
      <w:start w:val="1"/>
    </w:lvl>
  </w:abstractNum>
  <w:abstractNum w:abstractNumId="133">
    <w:nsid w:val="6FDE8AF6"/>
    <w:multiLevelType w:val="hybridMultilevel"/>
    <w:lvl w:ilvl="0">
      <w:lvlJc w:val="left"/>
      <w:lvlText w:val="%1."/>
      <w:numFmt w:val="decimal"/>
      <w:start w:val="1"/>
    </w:lvl>
  </w:abstractNum>
  <w:abstractNum w:abstractNumId="134">
    <w:nsid w:val="3FC32E20"/>
    <w:multiLevelType w:val="hybridMultilevel"/>
    <w:lvl w:ilvl="0">
      <w:lvlJc w:val="left"/>
      <w:lvlText w:val="%1."/>
      <w:numFmt w:val="decimal"/>
      <w:start w:val="9"/>
    </w:lvl>
  </w:abstractNum>
  <w:abstractNum w:abstractNumId="135">
    <w:nsid w:val="49C0E823"/>
    <w:multiLevelType w:val="hybridMultilevel"/>
    <w:lvl w:ilvl="0">
      <w:lvlJc w:val="left"/>
      <w:lvlText w:val="%1."/>
      <w:numFmt w:val="decimal"/>
      <w:start w:val="1"/>
    </w:lvl>
  </w:abstractNum>
  <w:abstractNum w:abstractNumId="136">
    <w:nsid w:val="14D53685"/>
    <w:multiLevelType w:val="hybridMultilevel"/>
    <w:lvl w:ilvl="0">
      <w:lvlJc w:val="left"/>
      <w:lvlText w:val="(%1)"/>
      <w:numFmt w:val="lowerLetter"/>
      <w:start w:val="1"/>
    </w:lvl>
  </w:abstractNum>
  <w:abstractNum w:abstractNumId="137">
    <w:nsid w:val="230F856C"/>
    <w:multiLevelType w:val="hybridMultilevel"/>
    <w:lvl w:ilvl="0">
      <w:lvlJc w:val="left"/>
      <w:lvlText w:val="(%1)"/>
      <w:numFmt w:val="lowerLetter"/>
      <w:start w:val="1"/>
    </w:lvl>
  </w:abstractNum>
  <w:abstractNum w:abstractNumId="138">
    <w:nsid w:val="6EAA85FB"/>
    <w:multiLevelType w:val="hybridMultilevel"/>
    <w:lvl w:ilvl="0">
      <w:lvlJc w:val="left"/>
      <w:lvlText w:val="(%1)"/>
      <w:numFmt w:val="lowerLetter"/>
      <w:start w:val="11"/>
    </w:lvl>
  </w:abstractNum>
  <w:abstractNum w:abstractNumId="139">
    <w:nsid w:val="3F06ECB2"/>
    <w:multiLevelType w:val="hybridMultilevel"/>
    <w:lvl w:ilvl="0">
      <w:lvlJc w:val="left"/>
      <w:lvlText w:val="(%1)"/>
      <w:numFmt w:val="lowerLetter"/>
      <w:start w:val="19"/>
    </w:lvl>
  </w:abstractNum>
  <w:abstractNum w:abstractNumId="140">
    <w:nsid w:val="3B594807"/>
    <w:multiLevelType w:val="hybridMultilevel"/>
    <w:lvl w:ilvl="0">
      <w:lvlJc w:val="left"/>
      <w:lvlText w:val="(%1)"/>
      <w:numFmt w:val="lowerLetter"/>
      <w:start w:val="1"/>
    </w:lvl>
  </w:abstractNum>
  <w:abstractNum w:abstractNumId="141">
    <w:nsid w:val="6CAA2304"/>
    <w:multiLevelType w:val="hybridMultilevel"/>
    <w:lvl w:ilvl="0">
      <w:lvlJc w:val="left"/>
      <w:lvlText w:val="(%1)"/>
      <w:numFmt w:val="lowerLetter"/>
      <w:start w:val="3"/>
    </w:lvl>
    <w:lvl w:ilvl="1">
      <w:lvlJc w:val="left"/>
      <w:lvlText w:val="(%2)"/>
      <w:numFmt w:val="lowerRoman"/>
      <w:start w:val="1"/>
    </w:lvl>
  </w:abstractNum>
  <w:abstractNum w:abstractNumId="142">
    <w:nsid w:val="3F7C2FF4"/>
    <w:multiLevelType w:val="hybridMultilevel"/>
    <w:lvl w:ilvl="0">
      <w:lvlJc w:val="left"/>
      <w:lvlText w:val="(%1)"/>
      <w:numFmt w:val="lowerLetter"/>
      <w:start w:val="1"/>
    </w:lvl>
  </w:abstractNum>
  <w:abstractNum w:abstractNumId="143">
    <w:nsid w:val="25413BEC"/>
    <w:multiLevelType w:val="hybridMultilevel"/>
    <w:lvl w:ilvl="0">
      <w:lvlJc w:val="left"/>
      <w:lvlText w:val="(%1)"/>
      <w:numFmt w:val="lowerLetter"/>
      <w:start w:val="3"/>
    </w:lvl>
  </w:abstractNum>
  <w:abstractNum w:abstractNumId="144">
    <w:nsid w:val="17180B0B"/>
    <w:multiLevelType w:val="hybridMultilevel"/>
    <w:lvl w:ilvl="0">
      <w:lvlJc w:val="left"/>
      <w:lvlText w:val="(%1)"/>
      <w:numFmt w:val="lowerLetter"/>
      <w:start w:val="1"/>
    </w:lvl>
  </w:abstractNum>
  <w:abstractNum w:abstractNumId="145">
    <w:nsid w:val="579328B9"/>
    <w:multiLevelType w:val="hybridMultilevel"/>
    <w:lvl w:ilvl="0">
      <w:lvlJc w:val="left"/>
      <w:lvlText w:val="(%1)"/>
      <w:numFmt w:val="lowerRoman"/>
      <w:start w:val="1"/>
    </w:lvl>
  </w:abstractNum>
  <w:abstractNum w:abstractNumId="146">
    <w:nsid w:val="5D205E20"/>
    <w:multiLevelType w:val="hybridMultilevel"/>
    <w:lvl w:ilvl="0">
      <w:lvlJc w:val="left"/>
      <w:lvlText w:val="%1"/>
      <w:numFmt w:val="lowerLetter"/>
      <w:start w:val="1"/>
    </w:lvl>
    <w:lvl w:ilvl="1">
      <w:lvlJc w:val="left"/>
      <w:lvlText w:val="(%2)"/>
      <w:numFmt w:val="lowerLetter"/>
      <w:start w:val="35"/>
    </w:lvl>
  </w:abstractNum>
  <w:abstractNum w:abstractNumId="147">
    <w:nsid w:val="11CCA8BA"/>
    <w:multiLevelType w:val="hybridMultilevel"/>
    <w:lvl w:ilvl="0">
      <w:lvlJc w:val="left"/>
      <w:lvlText w:val="(%1)"/>
      <w:numFmt w:val="lowerLetter"/>
      <w:start w:val="4"/>
    </w:lvl>
    <w:lvl w:ilvl="1">
      <w:lvlJc w:val="left"/>
      <w:lvlText w:val="%2"/>
      <w:numFmt w:val="lowerLetter"/>
      <w:start w:val="1"/>
    </w:lvl>
  </w:abstractNum>
  <w:abstractNum w:abstractNumId="148">
    <w:nsid w:val="4D32AB86"/>
    <w:multiLevelType w:val="hybridMultilevel"/>
    <w:lvl w:ilvl="0">
      <w:lvlJc w:val="left"/>
      <w:lvlText w:val="(%1)"/>
      <w:numFmt w:val="lowerLetter"/>
      <w:start w:val="1"/>
    </w:lvl>
  </w:abstractNum>
  <w:abstractNum w:abstractNumId="149">
    <w:nsid w:val="3F07ACC3"/>
    <w:multiLevelType w:val="hybridMultilevel"/>
    <w:lvl w:ilvl="0">
      <w:lvlJc w:val="left"/>
      <w:lvlText w:val="(%1)"/>
      <w:numFmt w:val="lowerLetter"/>
      <w:start w:val="1"/>
    </w:lvl>
    <w:lvl w:ilvl="1">
      <w:lvlJc w:val="left"/>
      <w:lvlText w:val="(%2)"/>
      <w:numFmt w:val="lowerLetter"/>
      <w:start w:val="9"/>
    </w:lvl>
  </w:abstractNum>
  <w:abstractNum w:abstractNumId="150">
    <w:nsid w:val="6B47F63E"/>
    <w:multiLevelType w:val="hybridMultilevel"/>
    <w:lvl w:ilvl="0">
      <w:lvlJc w:val="left"/>
      <w:lvlText w:val="%1"/>
      <w:numFmt w:val="lowerLetter"/>
      <w:start w:val="1"/>
    </w:lvl>
    <w:lvl w:ilvl="1">
      <w:lvlJc w:val="left"/>
      <w:lvlText w:val="(%2)"/>
      <w:numFmt w:val="lowerLetter"/>
      <w:start w:val="35"/>
    </w:lvl>
  </w:abstractNum>
  <w:abstractNum w:abstractNumId="151">
    <w:nsid w:val="5CB44A05"/>
    <w:multiLevelType w:val="hybridMultilevel"/>
    <w:lvl w:ilvl="0">
      <w:lvlJc w:val="left"/>
      <w:lvlText w:val="(%1)"/>
      <w:numFmt w:val="lowerLetter"/>
      <w:start w:val="2"/>
    </w:lvl>
    <w:lvl w:ilvl="1">
      <w:lvlJc w:val="left"/>
      <w:lvlText w:val="%2"/>
      <w:numFmt w:val="lowerLetter"/>
      <w:start w:val="1"/>
    </w:lvl>
  </w:abstractNum>
  <w:abstractNum w:abstractNumId="152">
    <w:nsid w:val="16CF80F1"/>
    <w:multiLevelType w:val="hybridMultilevel"/>
    <w:lvl w:ilvl="0">
      <w:lvlJc w:val="left"/>
      <w:lvlText w:val="(%1)"/>
      <w:numFmt w:val="lowerLetter"/>
      <w:start w:val="1"/>
    </w:lvl>
  </w:abstractNum>
  <w:abstractNum w:abstractNumId="153">
    <w:nsid w:val="1C695DEC"/>
    <w:multiLevelType w:val="hybridMultilevel"/>
    <w:lvl w:ilvl="0">
      <w:lvlJc w:val="left"/>
      <w:lvlText w:val="(%1)"/>
      <w:numFmt w:val="lowerLetter"/>
      <w:start w:val="4"/>
    </w:lvl>
  </w:abstractNum>
  <w:abstractNum w:abstractNumId="154">
    <w:nsid w:val="3FCFAED9"/>
    <w:multiLevelType w:val="hybridMultilevel"/>
    <w:lvl w:ilvl="0">
      <w:lvlJc w:val="left"/>
      <w:lvlText w:val="(%1)"/>
      <w:numFmt w:val="lowerLetter"/>
      <w:start w:val="10"/>
    </w:lvl>
  </w:abstractNum>
  <w:abstractNum w:abstractNumId="155">
    <w:nsid w:val="F856867"/>
    <w:multiLevelType w:val="hybridMultilevel"/>
    <w:lvl w:ilvl="0">
      <w:lvlJc w:val="left"/>
      <w:lvlText w:val="(%1)"/>
      <w:numFmt w:val="lowerLetter"/>
      <w:start w:val="2"/>
    </w:lvl>
    <w:lvl w:ilvl="1">
      <w:lvlJc w:val="left"/>
      <w:lvlText w:val="(%2)"/>
      <w:numFmt w:val="lowerRoman"/>
      <w:start w:val="1"/>
    </w:lvl>
  </w:abstractNum>
  <w:abstractNum w:abstractNumId="156">
    <w:nsid w:val="11B1CC33"/>
    <w:multiLevelType w:val="hybridMultilevel"/>
    <w:lvl w:ilvl="0">
      <w:lvlJc w:val="left"/>
      <w:lvlText w:val="(%1)"/>
      <w:numFmt w:val="lowerLetter"/>
      <w:start w:val="3"/>
    </w:lvl>
  </w:abstractNum>
  <w:abstractNum w:abstractNumId="157">
    <w:nsid w:val="2E22FBB7"/>
    <w:multiLevelType w:val="hybridMultilevel"/>
    <w:lvl w:ilvl="0">
      <w:lvlJc w:val="left"/>
      <w:lvlText w:val="(%1)"/>
      <w:numFmt w:val="lowerLetter"/>
      <w:start w:val="1"/>
    </w:lvl>
  </w:abstractNum>
  <w:abstractNum w:abstractNumId="158">
    <w:nsid w:val="29934699"/>
    <w:multiLevelType w:val="hybridMultilevel"/>
    <w:lvl w:ilvl="0">
      <w:lvlJc w:val="left"/>
      <w:lvlText w:val="(%1)"/>
      <w:numFmt w:val="lowerLetter"/>
      <w:start w:val="3"/>
    </w:lvl>
  </w:abstractNum>
  <w:abstractNum w:abstractNumId="159">
    <w:nsid w:val="77485850"/>
    <w:multiLevelType w:val="hybridMultilevel"/>
    <w:lvl w:ilvl="0">
      <w:lvlJc w:val="left"/>
      <w:lvlText w:val="%1)"/>
      <w:numFmt w:val="decimal"/>
      <w:start w:val="6"/>
    </w:lvl>
  </w:abstractNum>
  <w:abstractNum w:abstractNumId="160">
    <w:nsid w:val="744939A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61">
    <w:nsid w:val="4FA0D2E3"/>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9"/>
    </w:lvl>
  </w:abstractNum>
  <w:abstractNum w:abstractNumId="162">
    <w:nsid w:val="6B1D2C14"/>
    <w:multiLevelType w:val="hybridMultilevel"/>
    <w:lvl w:ilvl="0">
      <w:lvlJc w:val="left"/>
      <w:lvlText w:val="%1"/>
      <w:numFmt w:val="lowerLetter"/>
      <w:start w:val="1"/>
    </w:lvl>
    <w:lvl w:ilvl="1">
      <w:lvlJc w:val="left"/>
      <w:lvlText w:val="(%2)"/>
      <w:numFmt w:val="lowerRoman"/>
      <w:start w:val="2"/>
    </w:lvl>
  </w:abstractNum>
  <w:abstractNum w:abstractNumId="163">
    <w:nsid w:val="68B867D3"/>
    <w:multiLevelType w:val="hybridMultilevel"/>
    <w:lvl w:ilvl="0">
      <w:lvlJc w:val="left"/>
      <w:lvlText w:val="(%1)"/>
      <w:numFmt w:val="lowerLetter"/>
      <w:start w:val="3"/>
    </w:lvl>
    <w:lvl w:ilvl="1">
      <w:lvlJc w:val="left"/>
      <w:lvlText w:val="(%2)"/>
      <w:numFmt w:val="lowerRoman"/>
      <w:start w:val="1"/>
    </w:lvl>
  </w:abstractNum>
  <w:abstractNum w:abstractNumId="164">
    <w:nsid w:val="3F7F5DD9"/>
    <w:multiLevelType w:val="hybridMultilevel"/>
    <w:lvl w:ilvl="0">
      <w:lvlJc w:val="left"/>
      <w:lvlText w:val="(%1)"/>
      <w:numFmt w:val="lowerRoman"/>
      <w:start w:val="2"/>
    </w:lvl>
  </w:abstractNum>
  <w:abstractNum w:abstractNumId="165">
    <w:nsid w:val="2AE05A34"/>
    <w:multiLevelType w:val="hybridMultilevel"/>
    <w:lvl w:ilvl="0">
      <w:lvlJc w:val="left"/>
      <w:lvlText w:val="(%1)"/>
      <w:numFmt w:val="lowerRoman"/>
      <w:start w:val="5"/>
    </w:lvl>
  </w:abstractNum>
  <w:abstractNum w:abstractNumId="166">
    <w:nsid w:val="32794FF7"/>
    <w:multiLevelType w:val="hybridMultilevel"/>
    <w:lvl w:ilvl="0">
      <w:lvlJc w:val="left"/>
      <w:lvlText w:val="%1."/>
      <w:numFmt w:val="upperLetter"/>
      <w:start w:val="1"/>
    </w:lvl>
  </w:abstractNum>
  <w:abstractNum w:abstractNumId="167">
    <w:nsid w:val="5454945E"/>
    <w:multiLevelType w:val="hybridMultilevel"/>
    <w:lvl w:ilvl="0">
      <w:lvlJc w:val="left"/>
      <w:lvlText w:val="%1."/>
      <w:numFmt w:val="decimal"/>
      <w:start w:val="1"/>
    </w:lvl>
  </w:abstractNum>
  <w:abstractNum w:abstractNumId="168">
    <w:nsid w:val="4DEFDFA0"/>
    <w:multiLevelType w:val="hybridMultilevel"/>
    <w:lvl w:ilvl="0">
      <w:lvlJc w:val="left"/>
      <w:lvlText w:val="%1"/>
      <w:numFmt w:val="lowerLetter"/>
      <w:start w:val="1"/>
    </w:lvl>
    <w:lvl w:ilvl="1">
      <w:lvlJc w:val="left"/>
      <w:lvlText w:val="%2."/>
      <w:numFmt w:val="decimal"/>
      <w:start w:val="2"/>
    </w:lvl>
  </w:abstractNum>
  <w:abstractNum w:abstractNumId="169">
    <w:nsid w:val="2123D5F2"/>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jpe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jpe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74" Type="http://schemas.openxmlformats.org/officeDocument/2006/relationships/hyperlink" Target="http://www.sec.gov/Archives/edgar/data/1598655/000093041314001858/c76356_ex3-1.htm" TargetMode="External"/><Relationship Id="rId75" Type="http://schemas.openxmlformats.org/officeDocument/2006/relationships/hyperlink" Target="http://www.sec.gov/Archives/edgar/data/1598655/000093041317002124/c88397_ex4-1.htm" TargetMode="External"/><Relationship Id="rId76" Type="http://schemas.openxmlformats.org/officeDocument/2006/relationships/hyperlink" Target="http://www.sec.gov/Archives/edgar/data/1598655/000093041314001858/c76356_ex3-3.htm" TargetMode="External"/><Relationship Id="rId77" Type="http://schemas.openxmlformats.org/officeDocument/2006/relationships/hyperlink" Target="http://www.sec.gov/Archives/edgar/data/1598655/000093041314001858/c76356_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2019-12-07T22:11:03Z</dcterms:created>
  <dcterms:modified xsi:type="dcterms:W3CDTF">2019-12-07T22:11:03Z</dcterms:modified>
</cp:coreProperties>
</file>