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159385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859"/>
        <w:spacing w:after="0"/>
        <w:rPr>
          <w:sz w:val="20"/>
          <w:szCs w:val="20"/>
          <w:color w:val="auto"/>
        </w:rPr>
      </w:pPr>
      <w:r>
        <w:rPr>
          <w:rFonts w:ascii="Arial" w:cs="Arial" w:eastAsia="Arial" w:hAnsi="Arial"/>
          <w:sz w:val="32"/>
          <w:szCs w:val="32"/>
          <w:b w:val="1"/>
          <w:bCs w:val="1"/>
          <w:color w:val="auto"/>
        </w:rPr>
        <w:t>SCHEDULE 13E-3</w:t>
      </w:r>
    </w:p>
    <w:p>
      <w:pPr>
        <w:spacing w:after="0" w:line="31"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(Amendment No. 3)</w:t>
      </w:r>
    </w:p>
    <w:p>
      <w:pPr>
        <w:spacing w:after="0" w:line="120"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RULE 13 E-3 TRANSACTION STATEMENT UNDER SECTION 13(E)</w:t>
      </w:r>
    </w:p>
    <w:p>
      <w:pPr>
        <w:spacing w:after="0" w:line="4"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OF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133350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859"/>
        <w:spacing w:after="0"/>
        <w:rPr>
          <w:sz w:val="20"/>
          <w:szCs w:val="20"/>
          <w:color w:val="auto"/>
        </w:rPr>
      </w:pPr>
      <w:r>
        <w:rPr>
          <w:rFonts w:ascii="Arial" w:cs="Arial" w:eastAsia="Arial" w:hAnsi="Arial"/>
          <w:sz w:val="43"/>
          <w:szCs w:val="43"/>
          <w:b w:val="1"/>
          <w:bCs w:val="1"/>
          <w:color w:val="auto"/>
        </w:rPr>
        <w:t>GasLog Partners LP</w:t>
      </w:r>
    </w:p>
    <w:p>
      <w:pPr>
        <w:spacing w:after="0" w:line="42"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159385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859"/>
        <w:spacing w:after="0"/>
        <w:rPr>
          <w:sz w:val="20"/>
          <w:szCs w:val="20"/>
          <w:color w:val="auto"/>
        </w:rPr>
      </w:pPr>
      <w:r>
        <w:rPr>
          <w:rFonts w:ascii="Arial" w:cs="Arial" w:eastAsia="Arial" w:hAnsi="Arial"/>
          <w:sz w:val="14"/>
          <w:szCs w:val="14"/>
          <w:b w:val="1"/>
          <w:bCs w:val="1"/>
          <w:color w:val="auto"/>
        </w:rPr>
        <w:t>GasLog Ltd.</w:t>
      </w:r>
    </w:p>
    <w:p>
      <w:pPr>
        <w:jc w:val="center"/>
        <w:ind w:right="-859"/>
        <w:spacing w:after="0" w:line="226" w:lineRule="auto"/>
        <w:rPr>
          <w:sz w:val="20"/>
          <w:szCs w:val="20"/>
          <w:color w:val="auto"/>
        </w:rPr>
      </w:pPr>
      <w:r>
        <w:rPr>
          <w:rFonts w:ascii="Arial" w:cs="Arial" w:eastAsia="Arial" w:hAnsi="Arial"/>
          <w:sz w:val="14"/>
          <w:szCs w:val="14"/>
          <w:b w:val="1"/>
          <w:bCs w:val="1"/>
          <w:color w:val="auto"/>
        </w:rPr>
        <w:t>GasLog Partners GP LLC</w:t>
      </w:r>
    </w:p>
    <w:p>
      <w:pPr>
        <w:jc w:val="center"/>
        <w:ind w:right="-859"/>
        <w:spacing w:after="0" w:line="221" w:lineRule="auto"/>
        <w:rPr>
          <w:sz w:val="20"/>
          <w:szCs w:val="20"/>
          <w:color w:val="auto"/>
        </w:rPr>
      </w:pPr>
      <w:r>
        <w:rPr>
          <w:rFonts w:ascii="Arial" w:cs="Arial" w:eastAsia="Arial" w:hAnsi="Arial"/>
          <w:sz w:val="14"/>
          <w:szCs w:val="14"/>
          <w:b w:val="1"/>
          <w:bCs w:val="1"/>
          <w:color w:val="auto"/>
        </w:rPr>
        <w:t>Saturn Merger Sub LLC</w:t>
      </w:r>
    </w:p>
    <w:p>
      <w:pPr>
        <w:jc w:val="center"/>
        <w:ind w:right="-859"/>
        <w:spacing w:after="0" w:line="222" w:lineRule="auto"/>
        <w:rPr>
          <w:sz w:val="20"/>
          <w:szCs w:val="20"/>
          <w:color w:val="auto"/>
        </w:rPr>
      </w:pPr>
      <w:r>
        <w:rPr>
          <w:rFonts w:ascii="Arial" w:cs="Arial" w:eastAsia="Arial" w:hAnsi="Arial"/>
          <w:sz w:val="14"/>
          <w:szCs w:val="14"/>
          <w:b w:val="1"/>
          <w:bCs w:val="1"/>
          <w:color w:val="auto"/>
        </w:rPr>
        <w:t>GasLog Partners LP</w:t>
      </w:r>
    </w:p>
    <w:p>
      <w:pPr>
        <w:jc w:val="center"/>
        <w:ind w:right="-859"/>
        <w:spacing w:after="0"/>
        <w:rPr>
          <w:sz w:val="20"/>
          <w:szCs w:val="20"/>
          <w:color w:val="auto"/>
        </w:rPr>
      </w:pPr>
      <w:r>
        <w:rPr>
          <w:rFonts w:ascii="Arial" w:cs="Arial" w:eastAsia="Arial" w:hAnsi="Arial"/>
          <w:sz w:val="14"/>
          <w:szCs w:val="14"/>
          <w:color w:val="auto"/>
        </w:rPr>
        <w:t>(Names of Person(s) Filing Statement)</w:t>
      </w:r>
    </w:p>
    <w:p>
      <w:pPr>
        <w:spacing w:after="0" w:line="215" w:lineRule="exact"/>
        <w:rPr>
          <w:sz w:val="24"/>
          <w:szCs w:val="24"/>
          <w:color w:val="auto"/>
        </w:rPr>
      </w:pPr>
    </w:p>
    <w:p>
      <w:pPr>
        <w:jc w:val="center"/>
        <w:ind w:right="-859"/>
        <w:spacing w:after="0"/>
        <w:rPr>
          <w:sz w:val="20"/>
          <w:szCs w:val="20"/>
          <w:color w:val="auto"/>
        </w:rPr>
      </w:pPr>
      <w:r>
        <w:rPr>
          <w:rFonts w:ascii="Arial" w:cs="Arial" w:eastAsia="Arial" w:hAnsi="Arial"/>
          <w:sz w:val="14"/>
          <w:szCs w:val="14"/>
          <w:b w:val="1"/>
          <w:bCs w:val="1"/>
          <w:color w:val="auto"/>
        </w:rPr>
        <w:t>Common Units Representing Limited Partner Interests</w:t>
      </w:r>
    </w:p>
    <w:p>
      <w:pPr>
        <w:spacing w:after="0" w:line="4" w:lineRule="exact"/>
        <w:rPr>
          <w:sz w:val="24"/>
          <w:szCs w:val="24"/>
          <w:color w:val="auto"/>
        </w:rPr>
      </w:pPr>
    </w:p>
    <w:p>
      <w:pPr>
        <w:jc w:val="center"/>
        <w:ind w:right="-859"/>
        <w:spacing w:after="0"/>
        <w:rPr>
          <w:sz w:val="20"/>
          <w:szCs w:val="20"/>
          <w:color w:val="auto"/>
        </w:rPr>
      </w:pPr>
      <w:r>
        <w:rPr>
          <w:rFonts w:ascii="Arial" w:cs="Arial" w:eastAsia="Arial" w:hAnsi="Arial"/>
          <w:sz w:val="14"/>
          <w:szCs w:val="14"/>
          <w:color w:val="auto"/>
        </w:rPr>
        <w:t>(Title of Class of Securities)</w:t>
      </w:r>
    </w:p>
    <w:p>
      <w:pPr>
        <w:spacing w:after="0" w:line="215" w:lineRule="exact"/>
        <w:rPr>
          <w:sz w:val="24"/>
          <w:szCs w:val="24"/>
          <w:color w:val="auto"/>
        </w:rPr>
      </w:pPr>
    </w:p>
    <w:p>
      <w:pPr>
        <w:jc w:val="center"/>
        <w:ind w:right="-859"/>
        <w:spacing w:after="0"/>
        <w:rPr>
          <w:sz w:val="20"/>
          <w:szCs w:val="20"/>
          <w:color w:val="auto"/>
        </w:rPr>
      </w:pPr>
      <w:r>
        <w:rPr>
          <w:rFonts w:ascii="Arial" w:cs="Arial" w:eastAsia="Arial" w:hAnsi="Arial"/>
          <w:sz w:val="14"/>
          <w:szCs w:val="14"/>
          <w:b w:val="1"/>
          <w:bCs w:val="1"/>
          <w:color w:val="auto"/>
        </w:rPr>
        <w:t>Y2687W108</w:t>
      </w:r>
    </w:p>
    <w:p>
      <w:pPr>
        <w:spacing w:after="0" w:line="4" w:lineRule="exact"/>
        <w:rPr>
          <w:sz w:val="24"/>
          <w:szCs w:val="24"/>
          <w:color w:val="auto"/>
        </w:rPr>
      </w:pPr>
    </w:p>
    <w:p>
      <w:pPr>
        <w:jc w:val="center"/>
        <w:ind w:right="-859"/>
        <w:spacing w:after="0"/>
        <w:rPr>
          <w:sz w:val="20"/>
          <w:szCs w:val="20"/>
          <w:color w:val="auto"/>
        </w:rPr>
      </w:pPr>
      <w:r>
        <w:rPr>
          <w:rFonts w:ascii="Arial" w:cs="Arial" w:eastAsia="Arial" w:hAnsi="Arial"/>
          <w:sz w:val="14"/>
          <w:szCs w:val="14"/>
          <w:color w:val="auto"/>
        </w:rPr>
        <w:t>(CUSIP Number of Class of Securities)</w:t>
      </w:r>
    </w:p>
    <w:p>
      <w:pPr>
        <w:spacing w:after="0" w:line="215" w:lineRule="exact"/>
        <w:rPr>
          <w:sz w:val="24"/>
          <w:szCs w:val="24"/>
          <w:color w:val="auto"/>
        </w:rPr>
      </w:pPr>
    </w:p>
    <w:p>
      <w:pPr>
        <w:jc w:val="center"/>
        <w:ind w:right="-859"/>
        <w:spacing w:after="0"/>
        <w:rPr>
          <w:sz w:val="20"/>
          <w:szCs w:val="20"/>
          <w:color w:val="auto"/>
        </w:rPr>
      </w:pPr>
      <w:r>
        <w:rPr>
          <w:rFonts w:ascii="Arial" w:cs="Arial" w:eastAsia="Arial" w:hAnsi="Arial"/>
          <w:sz w:val="14"/>
          <w:szCs w:val="14"/>
          <w:b w:val="1"/>
          <w:bCs w:val="1"/>
          <w:color w:val="auto"/>
        </w:rPr>
        <w:t>Alexandros Laios, General Counsel</w:t>
      </w:r>
    </w:p>
    <w:p>
      <w:pPr>
        <w:jc w:val="center"/>
        <w:ind w:right="-859"/>
        <w:spacing w:after="0" w:line="226" w:lineRule="auto"/>
        <w:rPr>
          <w:sz w:val="20"/>
          <w:szCs w:val="20"/>
          <w:color w:val="auto"/>
        </w:rPr>
      </w:pPr>
      <w:r>
        <w:rPr>
          <w:rFonts w:ascii="Arial" w:cs="Arial" w:eastAsia="Arial" w:hAnsi="Arial"/>
          <w:sz w:val="14"/>
          <w:szCs w:val="14"/>
          <w:b w:val="1"/>
          <w:bCs w:val="1"/>
          <w:color w:val="auto"/>
        </w:rPr>
        <w:t>c/o GasLog LNG Services Ltd.</w:t>
      </w:r>
    </w:p>
    <w:p>
      <w:pPr>
        <w:jc w:val="center"/>
        <w:ind w:right="-859"/>
        <w:spacing w:after="0" w:line="221" w:lineRule="auto"/>
        <w:rPr>
          <w:sz w:val="20"/>
          <w:szCs w:val="20"/>
          <w:color w:val="auto"/>
        </w:rPr>
      </w:pPr>
      <w:r>
        <w:rPr>
          <w:rFonts w:ascii="Arial" w:cs="Arial" w:eastAsia="Arial" w:hAnsi="Arial"/>
          <w:sz w:val="14"/>
          <w:szCs w:val="14"/>
          <w:b w:val="1"/>
          <w:bCs w:val="1"/>
          <w:color w:val="auto"/>
        </w:rPr>
        <w:t>69 Akti Miaouli</w:t>
      </w:r>
    </w:p>
    <w:p>
      <w:pPr>
        <w:jc w:val="center"/>
        <w:ind w:right="-859"/>
        <w:spacing w:after="0" w:line="222" w:lineRule="auto"/>
        <w:rPr>
          <w:sz w:val="20"/>
          <w:szCs w:val="20"/>
          <w:color w:val="auto"/>
        </w:rPr>
      </w:pPr>
      <w:r>
        <w:rPr>
          <w:rFonts w:ascii="Arial" w:cs="Arial" w:eastAsia="Arial" w:hAnsi="Arial"/>
          <w:sz w:val="14"/>
          <w:szCs w:val="14"/>
          <w:b w:val="1"/>
          <w:bCs w:val="1"/>
          <w:color w:val="auto"/>
        </w:rPr>
        <w:t>18537 Piraeus</w:t>
      </w:r>
    </w:p>
    <w:p>
      <w:pPr>
        <w:jc w:val="center"/>
        <w:ind w:right="-859"/>
        <w:spacing w:after="0" w:line="221" w:lineRule="auto"/>
        <w:rPr>
          <w:sz w:val="20"/>
          <w:szCs w:val="20"/>
          <w:color w:val="auto"/>
        </w:rPr>
      </w:pPr>
      <w:r>
        <w:rPr>
          <w:rFonts w:ascii="Arial" w:cs="Arial" w:eastAsia="Arial" w:hAnsi="Arial"/>
          <w:sz w:val="14"/>
          <w:szCs w:val="14"/>
          <w:b w:val="1"/>
          <w:bCs w:val="1"/>
          <w:color w:val="auto"/>
        </w:rPr>
        <w:t>Greece</w:t>
      </w:r>
    </w:p>
    <w:p>
      <w:pPr>
        <w:jc w:val="center"/>
        <w:ind w:right="-859"/>
        <w:spacing w:after="0" w:line="222" w:lineRule="auto"/>
        <w:rPr>
          <w:sz w:val="20"/>
          <w:szCs w:val="20"/>
          <w:color w:val="auto"/>
        </w:rPr>
      </w:pPr>
      <w:r>
        <w:rPr>
          <w:rFonts w:ascii="Arial" w:cs="Arial" w:eastAsia="Arial" w:hAnsi="Arial"/>
          <w:sz w:val="14"/>
          <w:szCs w:val="14"/>
          <w:b w:val="1"/>
          <w:bCs w:val="1"/>
          <w:color w:val="auto"/>
        </w:rPr>
        <w:t>+30 210 459 1000</w:t>
      </w:r>
    </w:p>
    <w:p>
      <w:pPr>
        <w:jc w:val="center"/>
        <w:ind w:right="-859"/>
        <w:spacing w:after="0"/>
        <w:rPr>
          <w:sz w:val="20"/>
          <w:szCs w:val="20"/>
          <w:color w:val="auto"/>
        </w:rPr>
      </w:pPr>
      <w:r>
        <w:rPr>
          <w:rFonts w:ascii="Arial" w:cs="Arial" w:eastAsia="Arial" w:hAnsi="Arial"/>
          <w:sz w:val="14"/>
          <w:szCs w:val="14"/>
          <w:color w:val="auto"/>
        </w:rPr>
        <w:t>(Name, Address, and Telephone Numbers of Person Authorized to Receive Notices and Communications on Behalf of the Persons Filing Statement)</w:t>
      </w:r>
      <w:r>
        <w:rPr>
          <w:rFonts w:ascii="Arial" w:cs="Arial" w:eastAsia="Arial" w:hAnsi="Arial"/>
          <w:sz w:val="14"/>
          <w:szCs w:val="14"/>
          <w:b w:val="1"/>
          <w:bCs w:val="1"/>
          <w:i w:val="1"/>
          <w:iCs w:val="1"/>
          <w:color w:val="auto"/>
        </w:rPr>
        <w:t>:</w:t>
      </w:r>
    </w:p>
    <w:p>
      <w:pPr>
        <w:spacing w:after="0" w:line="219" w:lineRule="exact"/>
        <w:rPr>
          <w:sz w:val="24"/>
          <w:szCs w:val="24"/>
          <w:color w:val="auto"/>
        </w:rPr>
      </w:pPr>
    </w:p>
    <w:tbl>
      <w:tblPr>
        <w:tblLayout w:type="fixed"/>
        <w:tblInd w:w="1840" w:type="dxa"/>
        <w:tblCellMar>
          <w:top w:w="0" w:type="dxa"/>
          <w:left w:w="0" w:type="dxa"/>
          <w:bottom w:w="0" w:type="dxa"/>
          <w:right w:w="0" w:type="dxa"/>
        </w:tblCellMar>
      </w:tblPr>
      <w:tr>
        <w:trPr>
          <w:trHeight w:val="182"/>
        </w:trPr>
        <w:tc>
          <w:tcPr>
            <w:tcW w:w="2660" w:type="dxa"/>
            <w:vAlign w:val="bottom"/>
          </w:tcPr>
          <w:p>
            <w:pPr>
              <w:spacing w:after="0"/>
              <w:rPr>
                <w:sz w:val="15"/>
                <w:szCs w:val="15"/>
                <w:color w:val="auto"/>
              </w:rPr>
            </w:pPr>
          </w:p>
        </w:tc>
        <w:tc>
          <w:tcPr>
            <w:tcW w:w="506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354"/>
        </w:trPr>
        <w:tc>
          <w:tcPr>
            <w:tcW w:w="266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 Scott Bennett</w:t>
            </w:r>
          </w:p>
        </w:tc>
        <w:tc>
          <w:tcPr>
            <w:tcW w:w="5060" w:type="dxa"/>
            <w:vAlign w:val="bottom"/>
          </w:tcPr>
          <w:p>
            <w:pPr>
              <w:jc w:val="center"/>
              <w:ind w:left="2748"/>
              <w:spacing w:after="0"/>
              <w:rPr>
                <w:sz w:val="20"/>
                <w:szCs w:val="20"/>
                <w:color w:val="auto"/>
              </w:rPr>
            </w:pPr>
            <w:r>
              <w:rPr>
                <w:rFonts w:ascii="Arial" w:cs="Arial" w:eastAsia="Arial" w:hAnsi="Arial"/>
                <w:sz w:val="14"/>
                <w:szCs w:val="14"/>
                <w:b w:val="1"/>
                <w:bCs w:val="1"/>
                <w:color w:val="auto"/>
                <w:w w:val="93"/>
              </w:rPr>
              <w:t>Kenneth Jackman</w:t>
            </w:r>
          </w:p>
        </w:tc>
      </w:tr>
      <w:tr>
        <w:trPr>
          <w:trHeight w:val="148"/>
        </w:trPr>
        <w:tc>
          <w:tcPr>
            <w:tcW w:w="266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5"/>
              </w:rPr>
              <w:t>Andrew C. Elken</w:t>
            </w:r>
          </w:p>
        </w:tc>
        <w:tc>
          <w:tcPr>
            <w:tcW w:w="5060" w:type="dxa"/>
            <w:vAlign w:val="bottom"/>
          </w:tcPr>
          <w:p>
            <w:pPr>
              <w:jc w:val="center"/>
              <w:ind w:left="2728"/>
              <w:spacing w:after="0" w:line="149" w:lineRule="exact"/>
              <w:rPr>
                <w:sz w:val="20"/>
                <w:szCs w:val="20"/>
                <w:color w:val="auto"/>
              </w:rPr>
            </w:pPr>
            <w:r>
              <w:rPr>
                <w:rFonts w:ascii="Arial" w:cs="Arial" w:eastAsia="Arial" w:hAnsi="Arial"/>
                <w:sz w:val="14"/>
                <w:szCs w:val="14"/>
                <w:b w:val="1"/>
                <w:bCs w:val="1"/>
                <w:color w:val="auto"/>
                <w:w w:val="97"/>
              </w:rPr>
              <w:t>Srinivas M. Raju</w:t>
            </w:r>
          </w:p>
        </w:tc>
      </w:tr>
      <w:tr>
        <w:trPr>
          <w:trHeight w:val="149"/>
        </w:trPr>
        <w:tc>
          <w:tcPr>
            <w:tcW w:w="2660" w:type="dxa"/>
            <w:vAlign w:val="bottom"/>
          </w:tcPr>
          <w:p>
            <w:pPr>
              <w:jc w:val="center"/>
              <w:ind w:right="628"/>
              <w:spacing w:after="0" w:line="149" w:lineRule="exact"/>
              <w:rPr>
                <w:sz w:val="20"/>
                <w:szCs w:val="20"/>
                <w:color w:val="auto"/>
              </w:rPr>
            </w:pPr>
            <w:r>
              <w:rPr>
                <w:rFonts w:ascii="Arial" w:cs="Arial" w:eastAsia="Arial" w:hAnsi="Arial"/>
                <w:sz w:val="14"/>
                <w:szCs w:val="14"/>
                <w:b w:val="1"/>
                <w:bCs w:val="1"/>
                <w:color w:val="auto"/>
                <w:w w:val="94"/>
              </w:rPr>
              <w:t>Jin-Kyu Baek</w:t>
            </w:r>
          </w:p>
        </w:tc>
        <w:tc>
          <w:tcPr>
            <w:tcW w:w="5060" w:type="dxa"/>
            <w:vAlign w:val="bottom"/>
          </w:tcPr>
          <w:p>
            <w:pPr>
              <w:jc w:val="center"/>
              <w:ind w:left="2728"/>
              <w:spacing w:after="0" w:line="149" w:lineRule="exact"/>
              <w:rPr>
                <w:sz w:val="20"/>
                <w:szCs w:val="20"/>
                <w:color w:val="auto"/>
              </w:rPr>
            </w:pPr>
            <w:r>
              <w:rPr>
                <w:rFonts w:ascii="Arial" w:cs="Arial" w:eastAsia="Arial" w:hAnsi="Arial"/>
                <w:sz w:val="14"/>
                <w:szCs w:val="14"/>
                <w:b w:val="1"/>
                <w:bCs w:val="1"/>
                <w:color w:val="auto"/>
                <w:w w:val="94"/>
              </w:rPr>
              <w:t>Richards, Layton &amp; Finger, P.A.</w:t>
            </w:r>
          </w:p>
        </w:tc>
      </w:tr>
      <w:tr>
        <w:trPr>
          <w:trHeight w:val="148"/>
        </w:trPr>
        <w:tc>
          <w:tcPr>
            <w:tcW w:w="266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7"/>
              </w:rPr>
              <w:t>Cravath, Swaine &amp; Moore LLP</w:t>
            </w:r>
          </w:p>
        </w:tc>
        <w:tc>
          <w:tcPr>
            <w:tcW w:w="5060" w:type="dxa"/>
            <w:vAlign w:val="bottom"/>
          </w:tcPr>
          <w:p>
            <w:pPr>
              <w:jc w:val="center"/>
              <w:ind w:left="2728"/>
              <w:spacing w:after="0" w:line="149" w:lineRule="exact"/>
              <w:rPr>
                <w:sz w:val="20"/>
                <w:szCs w:val="20"/>
                <w:color w:val="auto"/>
              </w:rPr>
            </w:pPr>
            <w:r>
              <w:rPr>
                <w:rFonts w:ascii="Arial" w:cs="Arial" w:eastAsia="Arial" w:hAnsi="Arial"/>
                <w:sz w:val="14"/>
                <w:szCs w:val="14"/>
                <w:b w:val="1"/>
                <w:bCs w:val="1"/>
                <w:color w:val="auto"/>
                <w:w w:val="92"/>
              </w:rPr>
              <w:t>One Rodney Square, 920 King Street</w:t>
            </w:r>
          </w:p>
        </w:tc>
      </w:tr>
      <w:tr>
        <w:trPr>
          <w:trHeight w:val="149"/>
        </w:trPr>
        <w:tc>
          <w:tcPr>
            <w:tcW w:w="2660" w:type="dxa"/>
            <w:vAlign w:val="bottom"/>
          </w:tcPr>
          <w:p>
            <w:pPr>
              <w:jc w:val="center"/>
              <w:ind w:right="628"/>
              <w:spacing w:after="0" w:line="149" w:lineRule="exact"/>
              <w:rPr>
                <w:sz w:val="20"/>
                <w:szCs w:val="20"/>
                <w:color w:val="auto"/>
              </w:rPr>
            </w:pPr>
            <w:r>
              <w:rPr>
                <w:rFonts w:ascii="Arial" w:cs="Arial" w:eastAsia="Arial" w:hAnsi="Arial"/>
                <w:sz w:val="14"/>
                <w:szCs w:val="14"/>
                <w:b w:val="1"/>
                <w:bCs w:val="1"/>
                <w:color w:val="auto"/>
                <w:w w:val="92"/>
              </w:rPr>
              <w:t>825 Eighth Avenue</w:t>
            </w:r>
          </w:p>
        </w:tc>
        <w:tc>
          <w:tcPr>
            <w:tcW w:w="5060" w:type="dxa"/>
            <w:vAlign w:val="bottom"/>
          </w:tcPr>
          <w:p>
            <w:pPr>
              <w:jc w:val="center"/>
              <w:ind w:left="2748"/>
              <w:spacing w:after="0" w:line="149" w:lineRule="exact"/>
              <w:rPr>
                <w:sz w:val="20"/>
                <w:szCs w:val="20"/>
                <w:color w:val="auto"/>
              </w:rPr>
            </w:pPr>
            <w:r>
              <w:rPr>
                <w:rFonts w:ascii="Arial" w:cs="Arial" w:eastAsia="Arial" w:hAnsi="Arial"/>
                <w:sz w:val="14"/>
                <w:szCs w:val="14"/>
                <w:b w:val="1"/>
                <w:bCs w:val="1"/>
                <w:color w:val="auto"/>
                <w:w w:val="95"/>
              </w:rPr>
              <w:t>Wilmington, DE 19801</w:t>
            </w:r>
          </w:p>
        </w:tc>
      </w:tr>
      <w:tr>
        <w:trPr>
          <w:trHeight w:val="148"/>
        </w:trPr>
        <w:tc>
          <w:tcPr>
            <w:tcW w:w="2660" w:type="dxa"/>
            <w:vAlign w:val="bottom"/>
          </w:tcPr>
          <w:p>
            <w:pPr>
              <w:jc w:val="center"/>
              <w:ind w:right="628"/>
              <w:spacing w:after="0" w:line="149" w:lineRule="exact"/>
              <w:rPr>
                <w:sz w:val="20"/>
                <w:szCs w:val="20"/>
                <w:color w:val="auto"/>
              </w:rPr>
            </w:pPr>
            <w:r>
              <w:rPr>
                <w:rFonts w:ascii="Arial" w:cs="Arial" w:eastAsia="Arial" w:hAnsi="Arial"/>
                <w:sz w:val="14"/>
                <w:szCs w:val="14"/>
                <w:b w:val="1"/>
                <w:bCs w:val="1"/>
                <w:color w:val="auto"/>
                <w:w w:val="95"/>
              </w:rPr>
              <w:t>New York, NY 10019</w:t>
            </w:r>
          </w:p>
        </w:tc>
        <w:tc>
          <w:tcPr>
            <w:tcW w:w="5060" w:type="dxa"/>
            <w:vAlign w:val="bottom"/>
          </w:tcPr>
          <w:p>
            <w:pPr>
              <w:jc w:val="center"/>
              <w:ind w:left="2728"/>
              <w:spacing w:after="0" w:line="149" w:lineRule="exact"/>
              <w:rPr>
                <w:sz w:val="20"/>
                <w:szCs w:val="20"/>
                <w:color w:val="auto"/>
              </w:rPr>
            </w:pPr>
            <w:r>
              <w:rPr>
                <w:rFonts w:ascii="Arial" w:cs="Arial" w:eastAsia="Arial" w:hAnsi="Arial"/>
                <w:sz w:val="14"/>
                <w:szCs w:val="14"/>
                <w:b w:val="1"/>
                <w:bCs w:val="1"/>
                <w:color w:val="auto"/>
                <w:w w:val="93"/>
              </w:rPr>
              <w:t>(302) 651-7700</w:t>
            </w:r>
          </w:p>
        </w:tc>
      </w:tr>
      <w:tr>
        <w:trPr>
          <w:trHeight w:val="186"/>
        </w:trPr>
        <w:tc>
          <w:tcPr>
            <w:tcW w:w="266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(212) 474-1000</w:t>
            </w:r>
          </w:p>
        </w:tc>
        <w:tc>
          <w:tcPr>
            <w:tcW w:w="5060" w:type="dxa"/>
            <w:vAlign w:val="bottom"/>
          </w:tcPr>
          <w:p>
            <w:pPr>
              <w:spacing w:after="0"/>
              <w:rPr>
                <w:sz w:val="16"/>
                <w:szCs w:val="16"/>
                <w:color w:val="auto"/>
              </w:rPr>
            </w:pPr>
          </w:p>
        </w:tc>
      </w:tr>
    </w:tbl>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This statement is filed in connection with (check the appropriate box):</w:t>
      </w:r>
    </w:p>
    <w:p>
      <w:pPr>
        <w:spacing w:after="0" w:line="151" w:lineRule="exact"/>
        <w:rPr>
          <w:sz w:val="24"/>
          <w:szCs w:val="24"/>
          <w:color w:val="auto"/>
        </w:rPr>
      </w:pPr>
    </w:p>
    <w:p>
      <w:pPr>
        <w:ind w:left="420" w:hanging="412"/>
        <w:spacing w:after="0" w:line="299" w:lineRule="exact"/>
        <w:tabs>
          <w:tab w:leader="none" w:pos="420" w:val="left"/>
        </w:tabs>
        <w:numPr>
          <w:ilvl w:val="0"/>
          <w:numId w:val="1"/>
        </w:numPr>
        <w:rPr>
          <w:rFonts w:ascii="Arial" w:cs="Arial" w:eastAsia="Arial" w:hAnsi="Arial"/>
          <w:sz w:val="26"/>
          <w:szCs w:val="26"/>
          <w:color w:val="auto"/>
          <w:vertAlign w:val="subscript"/>
        </w:rPr>
      </w:pPr>
      <w:r>
        <w:rPr>
          <w:rFonts w:ascii="MS PGothic" w:cs="MS PGothic" w:eastAsia="MS PGothic" w:hAnsi="MS PGothic"/>
          <w:sz w:val="13"/>
          <w:szCs w:val="13"/>
          <w:color w:val="auto"/>
        </w:rPr>
        <w:t>☐</w:t>
      </w:r>
      <w:r>
        <w:rPr>
          <w:rFonts w:ascii="Arial" w:cs="Arial" w:eastAsia="Arial" w:hAnsi="Arial"/>
          <w:sz w:val="13"/>
          <w:szCs w:val="13"/>
          <w:color w:val="auto"/>
        </w:rPr>
        <w:t xml:space="preserve">  The filing of solicitation materials or an information statement subject to Regulation 14A, Regulation 14C or Rule 13e-3(c) under the Securities Exchange Act of 1934.</w:t>
      </w:r>
    </w:p>
    <w:p>
      <w:pPr>
        <w:spacing w:after="0" w:line="125" w:lineRule="exact"/>
        <w:rPr>
          <w:rFonts w:ascii="Arial" w:cs="Arial" w:eastAsia="Arial" w:hAnsi="Arial"/>
          <w:sz w:val="26"/>
          <w:szCs w:val="26"/>
          <w:color w:val="auto"/>
          <w:vertAlign w:val="subscript"/>
        </w:rPr>
      </w:pPr>
    </w:p>
    <w:p>
      <w:pPr>
        <w:ind w:left="440" w:hanging="432"/>
        <w:spacing w:after="0" w:line="334" w:lineRule="exact"/>
        <w:tabs>
          <w:tab w:leader="none" w:pos="440" w:val="left"/>
        </w:tabs>
        <w:numPr>
          <w:ilvl w:val="0"/>
          <w:numId w:val="1"/>
        </w:numPr>
        <w:rPr>
          <w:rFonts w:ascii="Arial" w:cs="Arial" w:eastAsia="Arial" w:hAnsi="Arial"/>
          <w:sz w:val="29"/>
          <w:szCs w:val="29"/>
          <w:color w:val="auto"/>
          <w:vertAlign w:val="subscript"/>
        </w:rPr>
      </w:pPr>
      <w:r>
        <w:rPr>
          <w:rFonts w:ascii="MS PGothic" w:cs="MS PGothic" w:eastAsia="MS PGothic" w:hAnsi="MS PGothic"/>
          <w:sz w:val="14"/>
          <w:szCs w:val="14"/>
          <w:color w:val="auto"/>
        </w:rPr>
        <w:t>☐</w:t>
      </w:r>
      <w:r>
        <w:rPr>
          <w:rFonts w:ascii="Arial" w:cs="Arial" w:eastAsia="Arial" w:hAnsi="Arial"/>
          <w:sz w:val="14"/>
          <w:szCs w:val="14"/>
          <w:color w:val="auto"/>
        </w:rPr>
        <w:t xml:space="preserve">  The filing of a registration statement under the Securities Act of 1933.</w:t>
      </w:r>
    </w:p>
    <w:p>
      <w:pPr>
        <w:spacing w:after="0" w:line="125" w:lineRule="exact"/>
        <w:rPr>
          <w:rFonts w:ascii="Arial" w:cs="Arial" w:eastAsia="Arial" w:hAnsi="Arial"/>
          <w:sz w:val="29"/>
          <w:szCs w:val="29"/>
          <w:color w:val="auto"/>
          <w:vertAlign w:val="subscript"/>
        </w:rPr>
      </w:pPr>
    </w:p>
    <w:p>
      <w:pPr>
        <w:ind w:left="420" w:hanging="412"/>
        <w:spacing w:after="0" w:line="334" w:lineRule="exact"/>
        <w:tabs>
          <w:tab w:leader="none" w:pos="420" w:val="left"/>
        </w:tabs>
        <w:numPr>
          <w:ilvl w:val="0"/>
          <w:numId w:val="1"/>
        </w:numPr>
        <w:rPr>
          <w:rFonts w:ascii="Arial" w:cs="Arial" w:eastAsia="Arial" w:hAnsi="Arial"/>
          <w:sz w:val="29"/>
          <w:szCs w:val="29"/>
          <w:color w:val="auto"/>
          <w:vertAlign w:val="subscript"/>
        </w:rPr>
      </w:pPr>
      <w:r>
        <w:rPr>
          <w:rFonts w:ascii="MS PGothic" w:cs="MS PGothic" w:eastAsia="MS PGothic" w:hAnsi="MS PGothic"/>
          <w:sz w:val="14"/>
          <w:szCs w:val="14"/>
          <w:color w:val="auto"/>
        </w:rPr>
        <w:t>☐</w:t>
      </w:r>
      <w:r>
        <w:rPr>
          <w:rFonts w:ascii="Arial" w:cs="Arial" w:eastAsia="Arial" w:hAnsi="Arial"/>
          <w:sz w:val="14"/>
          <w:szCs w:val="14"/>
          <w:color w:val="auto"/>
        </w:rPr>
        <w:t xml:space="preserve">  A tender offer.</w:t>
      </w:r>
    </w:p>
    <w:p>
      <w:pPr>
        <w:spacing w:after="0" w:line="125" w:lineRule="exact"/>
        <w:rPr>
          <w:rFonts w:ascii="Arial" w:cs="Arial" w:eastAsia="Arial" w:hAnsi="Arial"/>
          <w:sz w:val="29"/>
          <w:szCs w:val="29"/>
          <w:color w:val="auto"/>
          <w:vertAlign w:val="subscript"/>
        </w:rPr>
      </w:pPr>
    </w:p>
    <w:p>
      <w:pPr>
        <w:ind w:left="440" w:hanging="432"/>
        <w:spacing w:after="0" w:line="334" w:lineRule="exact"/>
        <w:tabs>
          <w:tab w:leader="none" w:pos="440" w:val="left"/>
        </w:tabs>
        <w:numPr>
          <w:ilvl w:val="0"/>
          <w:numId w:val="1"/>
        </w:numPr>
        <w:rPr>
          <w:rFonts w:ascii="Arial" w:cs="Arial" w:eastAsia="Arial" w:hAnsi="Arial"/>
          <w:sz w:val="29"/>
          <w:szCs w:val="29"/>
          <w:color w:val="auto"/>
          <w:vertAlign w:val="subscript"/>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None of the above.</w:t>
      </w:r>
    </w:p>
    <w:p>
      <w:pPr>
        <w:spacing w:after="0" w:line="21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Check the following box if the soliciting materials or information statement referred to in checking box (a) are preliminary copies: </w:t>
      </w:r>
      <w:r>
        <w:rPr>
          <w:rFonts w:ascii="MS PGothic" w:cs="MS PGothic" w:eastAsia="MS PGothic" w:hAnsi="MS PGothic"/>
          <w:sz w:val="14"/>
          <w:szCs w:val="14"/>
          <w:color w:val="auto"/>
        </w:rPr>
        <w:t>☐</w:t>
      </w:r>
    </w:p>
    <w:p>
      <w:pPr>
        <w:spacing w:after="0" w:line="25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Check the following box if the filing is a final amendment reporting the results of the transaction: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1372" w:right="117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INTRODUCTION</w:t>
      </w:r>
    </w:p>
    <w:p>
      <w:pPr>
        <w:spacing w:after="0" w:line="239"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This Amendment No. 3 to the Transaction Statement on Schedule 13E-3 (as amended, this “Transaction Statement”), together with the exhibits hereto, is being filed with the Securities and Exchange Commission (the “SEC”) pursuant to Section 13(e) of the Securities Exchange Act of 1934, as amended (the “Exchange Act”), and Rule 13e-3 thereunder, by: (a) GasLog Partners LP, a Marshall Islands limited partnership (the “Partnership”) and the issuer of the common units representing limited partner interests in the Partnership that are subject to the Rule 13e-3 transaction, (b) GasLog Ltd., a Bermuda exempted company (“Parent”), (c) GasLog Partners GP LLC, a Marshall Islands limited liability company and the general partner of the Partnership (the “General Partner”), and (d) Saturn Merger Sub LLC, a Marshall Islands limited liability company and a direct wholly owned subsidiary of Parent (“Merger Sub”). Collectively, the persons filing this Transaction Statement are referred to as the “filing persons”.</w:t>
      </w:r>
    </w:p>
    <w:p>
      <w:pPr>
        <w:spacing w:after="0" w:line="211"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This Transaction Statement relates to the Agreement and Plan of Merger, dated April 6, 2023 (as it may be amended from time to time, the “Merger Agreement”), by and among the Partnership, the General Partner, Parent and Merger Sub, pursuant to which Merger Sub will merge with and into the Partnership (the “Merger”), with the Partnership surviving the Merger as a Marshall Islands limited partnership and as a direct subsidiary of Parent.</w:t>
      </w:r>
    </w:p>
    <w:p>
      <w:pPr>
        <w:spacing w:after="0" w:line="21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 xml:space="preserve">This Amendment No. 3 to the Transaction Statement is being filed with the SEC solely to amend Item 16 of the Schedule 13E-3 to add as exhibit (a)(6) the press release issued by the Partnership on June 28, 2023 and attached as Exhibit 99.1 to Partnership’s Current Report on Form 6-K, furnished with the SEC on June 28, 2023. The press release announces the recommendations of Institutional Shareholders Services Inc. and Glass, Lewis &amp; Co. that the Partnership’s common unitholders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the approval of the Merger Agreement and the transactions contemplated thereby, including the Merger.</w:t>
      </w:r>
    </w:p>
    <w:p>
      <w:pPr>
        <w:spacing w:after="0" w:line="174"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Except as set forth in this Amendment No. 3 to the Transaction Statement, all information in the Transaction Statement remains unchanged.</w:t>
      </w:r>
    </w:p>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While each of the filing persons acknowledges that the Merger is a going private transaction for purposes of Rule 13e-3 under the Exchange Act, the filing of this Transaction Statement shall not be construed as an admission by any filing person, or by any affiliate of a filing person, that the Partnership is “controlled” by any of the filing persons and/or their respective affiliates.</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All information concerning the Partnership contained in, or incorporated by reference into, this Transaction Statement was supplied by the Partnership. Similarly, all information concerning each other filing person contained in, or incorporated by reference into, this Transaction Statement was supplied by such filing person.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M-A Item 1016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40" w:type="dxa"/>
            <w:vAlign w:val="bottom"/>
            <w:gridSpan w:val="4"/>
          </w:tcPr>
          <w:p>
            <w:pPr>
              <w:ind w:left="176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30"/>
        </w:trPr>
        <w:tc>
          <w:tcPr>
            <w:tcW w:w="340" w:type="dxa"/>
            <w:vAlign w:val="bottom"/>
          </w:tcPr>
          <w:p>
            <w:pPr>
              <w:spacing w:after="0"/>
              <w:rPr>
                <w:sz w:val="19"/>
                <w:szCs w:val="19"/>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16">
              <w:r>
                <w:rPr>
                  <w:rFonts w:ascii="Arial" w:cs="Arial" w:eastAsia="Arial" w:hAnsi="Arial"/>
                  <w:sz w:val="18"/>
                  <w:szCs w:val="18"/>
                  <w:color w:val="0000EE"/>
                </w:rPr>
                <w:t>(a)(1)***</w:t>
              </w:r>
            </w:hyperlink>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0" w:type="dxa"/>
            <w:vAlign w:val="bottom"/>
            <w:gridSpan w:val="5"/>
          </w:tcPr>
          <w:p>
            <w:pPr>
              <w:spacing w:after="0"/>
              <w:rPr>
                <w:rFonts w:ascii="Arial" w:cs="Arial" w:eastAsia="Arial" w:hAnsi="Arial"/>
                <w:sz w:val="18"/>
                <w:szCs w:val="18"/>
                <w:color w:val="0000EE"/>
              </w:rPr>
            </w:pPr>
            <w:hyperlink r:id="rId16">
              <w:r>
                <w:rPr>
                  <w:rFonts w:ascii="Arial" w:cs="Arial" w:eastAsia="Arial" w:hAnsi="Arial"/>
                  <w:sz w:val="18"/>
                  <w:szCs w:val="18"/>
                  <w:color w:val="0000EE"/>
                </w:rPr>
                <w:t>Proxy Statement of the Partnership.</w:t>
              </w:r>
            </w:hyperlink>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17">
              <w:r>
                <w:rPr>
                  <w:rFonts w:ascii="Arial" w:cs="Arial" w:eastAsia="Arial" w:hAnsi="Arial"/>
                  <w:sz w:val="18"/>
                  <w:szCs w:val="18"/>
                  <w:color w:val="0000EE"/>
                </w:rPr>
                <w:t>(a)(2)***</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r:id="rId17">
              <w:r>
                <w:rPr>
                  <w:rFonts w:ascii="Arial" w:cs="Arial" w:eastAsia="Arial" w:hAnsi="Arial"/>
                  <w:sz w:val="18"/>
                  <w:szCs w:val="18"/>
                  <w:color w:val="0000EE"/>
                </w:rPr>
                <w:t>Form of Proxy Card (incorporated herein by reference to Annex D of the Proxy Statement).</w:t>
              </w:r>
            </w:hyperlink>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8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16">
              <w:r>
                <w:rPr>
                  <w:rFonts w:ascii="Arial" w:cs="Arial" w:eastAsia="Arial" w:hAnsi="Arial"/>
                  <w:sz w:val="18"/>
                  <w:szCs w:val="18"/>
                  <w:color w:val="0000EE"/>
                </w:rPr>
                <w:t>(a)(3)***</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r:id="rId16">
              <w:r>
                <w:rPr>
                  <w:rFonts w:ascii="Arial" w:cs="Arial" w:eastAsia="Arial" w:hAnsi="Arial"/>
                  <w:sz w:val="18"/>
                  <w:szCs w:val="18"/>
                  <w:color w:val="0000EE"/>
                </w:rPr>
                <w:t>Letter to the Common Unitholders of the Partnership (incorporated herein by reference to the Proxy Statement).</w:t>
              </w:r>
            </w:hyperlink>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18">
              <w:r>
                <w:rPr>
                  <w:rFonts w:ascii="Arial" w:cs="Arial" w:eastAsia="Arial" w:hAnsi="Arial"/>
                  <w:sz w:val="18"/>
                  <w:szCs w:val="18"/>
                  <w:color w:val="0000EE"/>
                </w:rPr>
                <w:t>(a)(4)***</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r:id="rId18">
              <w:r>
                <w:rPr>
                  <w:rFonts w:ascii="Arial" w:cs="Arial" w:eastAsia="Arial" w:hAnsi="Arial"/>
                  <w:sz w:val="18"/>
                  <w:szCs w:val="18"/>
                  <w:color w:val="0000EE"/>
                </w:rPr>
                <w:t>Notice of Special Meeting of Common Unitholders (incorporated herein by reference to the Proxy Statement).</w:t>
              </w:r>
            </w:hyperlink>
          </w:p>
        </w:tc>
      </w:tr>
      <w:tr>
        <w:trPr>
          <w:trHeight w:val="743"/>
        </w:trPr>
        <w:tc>
          <w:tcPr>
            <w:tcW w:w="340" w:type="dxa"/>
            <w:vAlign w:val="bottom"/>
            <w:tcBorders>
              <w:bottom w:val="single" w:sz="8" w:color="BFBFBF"/>
            </w:tcBorders>
          </w:tcPr>
          <w:p>
            <w:pPr>
              <w:spacing w:after="0"/>
              <w:rPr>
                <w:sz w:val="24"/>
                <w:szCs w:val="24"/>
                <w:color w:val="auto"/>
              </w:rPr>
            </w:pPr>
          </w:p>
        </w:tc>
        <w:tc>
          <w:tcPr>
            <w:tcW w:w="680" w:type="dxa"/>
            <w:vAlign w:val="bottom"/>
            <w:tcBorders>
              <w:top w:val="single" w:sz="8" w:color="0000EE"/>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2560" w:type="dxa"/>
            <w:vAlign w:val="bottom"/>
            <w:tcBorders>
              <w:top w:val="single" w:sz="8" w:color="0000EE"/>
              <w:bottom w:val="single" w:sz="8" w:color="BFBFBF"/>
            </w:tcBorders>
          </w:tcPr>
          <w:p>
            <w:pPr>
              <w:spacing w:after="0"/>
              <w:rPr>
                <w:sz w:val="24"/>
                <w:szCs w:val="24"/>
                <w:color w:val="auto"/>
              </w:rPr>
            </w:pPr>
          </w:p>
        </w:tc>
        <w:tc>
          <w:tcPr>
            <w:tcW w:w="4020" w:type="dxa"/>
            <w:vAlign w:val="bottom"/>
            <w:tcBorders>
              <w:top w:val="single" w:sz="8" w:color="0000EE"/>
              <w:bottom w:val="single" w:sz="8" w:color="BFBFBF"/>
            </w:tcBorders>
          </w:tcPr>
          <w:p>
            <w:pPr>
              <w:spacing w:after="0"/>
              <w:rPr>
                <w:sz w:val="24"/>
                <w:szCs w:val="24"/>
                <w:color w:val="auto"/>
              </w:rPr>
            </w:pPr>
          </w:p>
        </w:tc>
        <w:tc>
          <w:tcPr>
            <w:tcW w:w="1360" w:type="dxa"/>
            <w:vAlign w:val="bottom"/>
            <w:tcBorders>
              <w:top w:val="single" w:sz="8" w:color="0000EE"/>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5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0" w:type="dxa"/>
            <w:vAlign w:val="bottom"/>
            <w:gridSpan w:val="18"/>
          </w:tcPr>
          <w:p>
            <w:pPr>
              <w:ind w:left="94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229"/>
        </w:trPr>
        <w:tc>
          <w:tcPr>
            <w:tcW w:w="440" w:type="dxa"/>
            <w:vAlign w:val="bottom"/>
          </w:tcPr>
          <w:p>
            <w:pPr>
              <w:spacing w:after="0"/>
              <w:rPr>
                <w:sz w:val="19"/>
                <w:szCs w:val="19"/>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7"/>
              </w:rPr>
            </w:pPr>
            <w:hyperlink r:id="rId19">
              <w:r>
                <w:rPr>
                  <w:rFonts w:ascii="Arial" w:cs="Arial" w:eastAsia="Arial" w:hAnsi="Arial"/>
                  <w:sz w:val="18"/>
                  <w:szCs w:val="18"/>
                  <w:color w:val="0000EE"/>
                  <w:w w:val="97"/>
                </w:rPr>
                <w:t>(a)(5)*</w:t>
              </w:r>
            </w:hyperlink>
          </w:p>
        </w:tc>
        <w:tc>
          <w:tcPr>
            <w:tcW w:w="42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120" w:type="dxa"/>
            <w:vAlign w:val="bottom"/>
            <w:tcBorders>
              <w:bottom w:val="single" w:sz="8" w:color="0000EE"/>
            </w:tcBorders>
            <w:gridSpan w:val="16"/>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Press Release of the Partnership, dated April 6, 2023 (incorporated herein by reference to Exhibit 99.1 to Partnership’s Current</w:t>
              </w:r>
            </w:hyperlink>
          </w:p>
        </w:tc>
        <w:tc>
          <w:tcPr>
            <w:tcW w:w="480" w:type="dxa"/>
            <w:vAlign w:val="bottom"/>
            <w:gridSpan w:val="4"/>
          </w:tcPr>
          <w:p>
            <w:pPr>
              <w:spacing w:after="0"/>
              <w:rPr>
                <w:sz w:val="19"/>
                <w:szCs w:val="19"/>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Report on Form 6-K, furnished April 6, 2023).</w:t>
              </w:r>
            </w:hyperlink>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5"/>
          </w:tcPr>
          <w:p>
            <w:pPr>
              <w:jc w:val="center"/>
              <w:ind w:right="480"/>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(a)(6)</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Press Release of the Partnership, dated June 28, 2023 (incorporated herein by reference to Exhibit 99.1 to Partnership’s Current</w:t>
              </w:r>
            </w:hyperlink>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Report on Form 6-K, furnished June 28, 2023).</w:t>
              </w:r>
            </w:hyperlink>
          </w:p>
        </w:tc>
        <w:tc>
          <w:tcPr>
            <w:tcW w:w="5760" w:type="dxa"/>
            <w:vAlign w:val="bottom"/>
            <w:tcBorders>
              <w:top w:val="single" w:sz="8" w:color="0000EE"/>
            </w:tcBorders>
            <w:gridSpan w:val="15"/>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304"/>
        </w:trPr>
        <w:tc>
          <w:tcPr>
            <w:tcW w:w="440" w:type="dxa"/>
            <w:vAlign w:val="bottom"/>
          </w:tcPr>
          <w:p>
            <w:pPr>
              <w:spacing w:after="0"/>
              <w:rPr>
                <w:sz w:val="24"/>
                <w:szCs w:val="24"/>
                <w:color w:val="auto"/>
              </w:rPr>
            </w:pPr>
          </w:p>
        </w:tc>
        <w:tc>
          <w:tcPr>
            <w:tcW w:w="52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r:id="rId22">
              <w:r>
                <w:rPr>
                  <w:rFonts w:ascii="Arial" w:cs="Arial" w:eastAsia="Arial" w:hAnsi="Arial"/>
                  <w:sz w:val="18"/>
                  <w:szCs w:val="18"/>
                  <w:color w:val="0000EE"/>
                  <w:w w:val="97"/>
                </w:rPr>
                <w:t>(b)(1)*</w:t>
              </w:r>
            </w:hyperlink>
          </w:p>
        </w:tc>
        <w:tc>
          <w:tcPr>
            <w:tcW w:w="4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Debt Commitment Letter, dated April 6, 2023, between Parent and DNB (UK) Ltd.</w:t>
              </w:r>
            </w:hyperlink>
          </w:p>
        </w:tc>
        <w:tc>
          <w:tcPr>
            <w:tcW w:w="3620" w:type="dxa"/>
            <w:vAlign w:val="bottom"/>
            <w:gridSpan w:val="13"/>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920" w:type="dxa"/>
            <w:vAlign w:val="bottom"/>
            <w:gridSpan w:val="6"/>
          </w:tcPr>
          <w:p>
            <w:pPr>
              <w:jc w:val="center"/>
              <w:ind w:right="340"/>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(c)(1)***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23">
              <w:r>
                <w:rPr>
                  <w:rFonts w:ascii="Arial" w:cs="Arial" w:eastAsia="Arial" w:hAnsi="Arial"/>
                  <w:sz w:val="18"/>
                  <w:szCs w:val="18"/>
                  <w:color w:val="0000EE"/>
                </w:rPr>
                <w:t>Opinion of Evercore, dated April, 6 2023 (incorporated herein by reference to Annex C of the Proxy Statement).</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(c)(2)*</w:t>
              </w:r>
            </w:hyperlink>
          </w:p>
        </w:tc>
        <w:tc>
          <w:tcPr>
            <w:tcW w:w="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24">
              <w:r>
                <w:rPr>
                  <w:rFonts w:ascii="Arial" w:cs="Arial" w:eastAsia="Arial" w:hAnsi="Arial"/>
                  <w:sz w:val="18"/>
                  <w:szCs w:val="18"/>
                  <w:color w:val="0000EE"/>
                  <w:w w:val="98"/>
                </w:rPr>
                <w:t>Discussion materials prepared by Evercore, dated February 3, 2023, for the Conflicts Committee of the Partnership Board.</w:t>
              </w:r>
            </w:hyperlink>
          </w:p>
        </w:tc>
      </w:tr>
      <w:tr>
        <w:trPr>
          <w:trHeight w:val="20"/>
        </w:trPr>
        <w:tc>
          <w:tcPr>
            <w:tcW w:w="4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5">
              <w:r>
                <w:rPr>
                  <w:rFonts w:ascii="Arial" w:cs="Arial" w:eastAsia="Arial" w:hAnsi="Arial"/>
                  <w:sz w:val="18"/>
                  <w:szCs w:val="18"/>
                  <w:color w:val="0000EE"/>
                  <w:w w:val="99"/>
                </w:rPr>
                <w:t>(c)(3)*</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25">
              <w:r>
                <w:rPr>
                  <w:rFonts w:ascii="Arial" w:cs="Arial" w:eastAsia="Arial" w:hAnsi="Arial"/>
                  <w:sz w:val="18"/>
                  <w:szCs w:val="18"/>
                  <w:color w:val="0000EE"/>
                  <w:w w:val="98"/>
                </w:rPr>
                <w:t>Discussion materials prepared by Evercore, dated February 9, 2023, for the Conflicts Committee of the Partnership Board.</w:t>
              </w:r>
            </w:hyperlink>
          </w:p>
        </w:tc>
      </w:tr>
      <w:tr>
        <w:trPr>
          <w:trHeight w:val="20"/>
        </w:trPr>
        <w:tc>
          <w:tcPr>
            <w:tcW w:w="4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26">
              <w:r>
                <w:rPr>
                  <w:rFonts w:ascii="Arial" w:cs="Arial" w:eastAsia="Arial" w:hAnsi="Arial"/>
                  <w:sz w:val="18"/>
                  <w:szCs w:val="18"/>
                  <w:color w:val="0000EE"/>
                  <w:w w:val="99"/>
                </w:rPr>
                <w:t>(c)(4)*</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Discussion materials prepared by Evercore, dated February 27, 2023, for the Conflicts Committee of the Partnership Board.</w:t>
              </w:r>
            </w:hyperlink>
          </w:p>
        </w:tc>
        <w:tc>
          <w:tcPr>
            <w:tcW w:w="700" w:type="dxa"/>
            <w:vAlign w:val="bottom"/>
            <w:gridSpan w:val="6"/>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7">
              <w:r>
                <w:rPr>
                  <w:rFonts w:ascii="Arial" w:cs="Arial" w:eastAsia="Arial" w:hAnsi="Arial"/>
                  <w:sz w:val="18"/>
                  <w:szCs w:val="18"/>
                  <w:color w:val="0000EE"/>
                  <w:w w:val="99"/>
                </w:rPr>
                <w:t>(c)(5)*</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27">
              <w:r>
                <w:rPr>
                  <w:rFonts w:ascii="Arial" w:cs="Arial" w:eastAsia="Arial" w:hAnsi="Arial"/>
                  <w:sz w:val="18"/>
                  <w:szCs w:val="18"/>
                  <w:color w:val="0000EE"/>
                </w:rPr>
                <w:t>Discussion materials prepared by Evercore, dated March 3, 2023, for the Conflicts Committee of the Partnership Board.</w:t>
              </w:r>
            </w:hyperlink>
          </w:p>
        </w:tc>
      </w:tr>
      <w:tr>
        <w:trPr>
          <w:trHeight w:val="20"/>
        </w:trPr>
        <w:tc>
          <w:tcPr>
            <w:tcW w:w="4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(c)(6)*</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2"/>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Discussion materials prepared by Evercore, dated March 13, 2023, for the Conflicts Committee of the Partnership Board.</w:t>
              </w:r>
            </w:hyperlink>
          </w:p>
        </w:tc>
        <w:tc>
          <w:tcPr>
            <w:tcW w:w="880" w:type="dxa"/>
            <w:vAlign w:val="bottom"/>
            <w:gridSpan w:val="8"/>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29">
              <w:r>
                <w:rPr>
                  <w:rFonts w:ascii="Arial" w:cs="Arial" w:eastAsia="Arial" w:hAnsi="Arial"/>
                  <w:sz w:val="18"/>
                  <w:szCs w:val="18"/>
                  <w:color w:val="0000EE"/>
                  <w:w w:val="99"/>
                </w:rPr>
                <w:t>(c)(7)*</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2"/>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Discussion materials prepared by Evercore, dated March 14, 2023, for the Conflicts Committee of the Partnership Board.</w:t>
              </w:r>
            </w:hyperlink>
          </w:p>
        </w:tc>
        <w:tc>
          <w:tcPr>
            <w:tcW w:w="880" w:type="dxa"/>
            <w:vAlign w:val="bottom"/>
            <w:gridSpan w:val="8"/>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(c)(8)*</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Discussion materials prepared by Evercore, dated March 19, 2023, for the Conflicts Committee of the Partnership Board.</w:t>
              </w:r>
            </w:hyperlink>
          </w:p>
        </w:tc>
        <w:tc>
          <w:tcPr>
            <w:tcW w:w="880" w:type="dxa"/>
            <w:vAlign w:val="bottom"/>
            <w:gridSpan w:val="8"/>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(c)(9)*</w:t>
              </w:r>
            </w:hyperlink>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2"/>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Discussion materials prepared by Evercore, dated March 30, 2023, for the Conflicts Committee of the Partnership Board.</w:t>
              </w:r>
            </w:hyperlink>
          </w:p>
        </w:tc>
        <w:tc>
          <w:tcPr>
            <w:tcW w:w="880" w:type="dxa"/>
            <w:vAlign w:val="bottom"/>
            <w:gridSpan w:val="8"/>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540" w:type="dxa"/>
            <w:vAlign w:val="bottom"/>
            <w:gridSpan w:val="5"/>
          </w:tcPr>
          <w:p>
            <w:pPr>
              <w:jc w:val="center"/>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(c)(10)*</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2">
              <w:r>
                <w:rPr>
                  <w:rFonts w:ascii="Arial" w:cs="Arial" w:eastAsia="Arial" w:hAnsi="Arial"/>
                  <w:sz w:val="18"/>
                  <w:szCs w:val="18"/>
                  <w:color w:val="0000EE"/>
                </w:rPr>
                <w:t>Discussion materials prepared by Evercore, dated April 1, 2023, for the Conflicts Committee of the Partnership Board.</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40" w:type="dxa"/>
            <w:vAlign w:val="bottom"/>
            <w:gridSpan w:val="5"/>
          </w:tcPr>
          <w:p>
            <w:pPr>
              <w:jc w:val="cente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(c)(11)*</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3">
              <w:r>
                <w:rPr>
                  <w:rFonts w:ascii="Arial" w:cs="Arial" w:eastAsia="Arial" w:hAnsi="Arial"/>
                  <w:sz w:val="18"/>
                  <w:szCs w:val="18"/>
                  <w:color w:val="0000EE"/>
                </w:rPr>
                <w:t>Discussion materials prepared by Evercore, dated April 6, 2023, for the Conflicts Committee of the Partnership Board.</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20" w:type="dxa"/>
            <w:vAlign w:val="bottom"/>
            <w:gridSpan w:val="6"/>
          </w:tcPr>
          <w:p>
            <w:pPr>
              <w:jc w:val="center"/>
              <w:ind w:right="340"/>
              <w:spacing w:after="0"/>
              <w:rPr>
                <w:rFonts w:ascii="Arial" w:cs="Arial" w:eastAsia="Arial" w:hAnsi="Arial"/>
                <w:sz w:val="18"/>
                <w:szCs w:val="18"/>
                <w:color w:val="0000EE"/>
                <w:w w:val="86"/>
              </w:rPr>
            </w:pPr>
            <w:hyperlink r:id="rId34">
              <w:r>
                <w:rPr>
                  <w:rFonts w:ascii="Arial" w:cs="Arial" w:eastAsia="Arial" w:hAnsi="Arial"/>
                  <w:sz w:val="18"/>
                  <w:szCs w:val="18"/>
                  <w:color w:val="0000EE"/>
                  <w:w w:val="86"/>
                </w:rPr>
                <w:t>(c)(12)**</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4">
              <w:r>
                <w:rPr>
                  <w:rFonts w:ascii="Arial" w:cs="Arial" w:eastAsia="Arial" w:hAnsi="Arial"/>
                  <w:sz w:val="18"/>
                  <w:szCs w:val="18"/>
                  <w:color w:val="0000EE"/>
                </w:rPr>
                <w:t>Certificates of Valuation prepared by Fearnleys, dated December 21, 2022.</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20" w:type="dxa"/>
            <w:vAlign w:val="bottom"/>
            <w:gridSpan w:val="6"/>
          </w:tcPr>
          <w:p>
            <w:pPr>
              <w:jc w:val="center"/>
              <w:ind w:right="340"/>
              <w:spacing w:after="0"/>
              <w:rPr>
                <w:rFonts w:ascii="Arial" w:cs="Arial" w:eastAsia="Arial" w:hAnsi="Arial"/>
                <w:sz w:val="18"/>
                <w:szCs w:val="18"/>
                <w:color w:val="0000EE"/>
                <w:w w:val="86"/>
              </w:rPr>
            </w:pPr>
            <w:hyperlink r:id="rId35">
              <w:r>
                <w:rPr>
                  <w:rFonts w:ascii="Arial" w:cs="Arial" w:eastAsia="Arial" w:hAnsi="Arial"/>
                  <w:sz w:val="18"/>
                  <w:szCs w:val="18"/>
                  <w:color w:val="0000EE"/>
                  <w:w w:val="86"/>
                </w:rPr>
                <w:t>(c)(13)**</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5">
              <w:r>
                <w:rPr>
                  <w:rFonts w:ascii="Arial" w:cs="Arial" w:eastAsia="Arial" w:hAnsi="Arial"/>
                  <w:sz w:val="18"/>
                  <w:szCs w:val="18"/>
                  <w:color w:val="0000EE"/>
                </w:rPr>
                <w:t>Certificates of Valuation prepared by Braemar, dated December 20, 2022.</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3"/>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20" w:type="dxa"/>
            <w:vAlign w:val="bottom"/>
            <w:gridSpan w:val="6"/>
          </w:tcPr>
          <w:p>
            <w:pPr>
              <w:jc w:val="center"/>
              <w:ind w:right="340"/>
              <w:spacing w:after="0"/>
              <w:rPr>
                <w:rFonts w:ascii="Arial" w:cs="Arial" w:eastAsia="Arial" w:hAnsi="Arial"/>
                <w:sz w:val="18"/>
                <w:szCs w:val="18"/>
                <w:color w:val="0000EE"/>
                <w:w w:val="86"/>
              </w:rPr>
            </w:pPr>
            <w:hyperlink r:id="rId36">
              <w:r>
                <w:rPr>
                  <w:rFonts w:ascii="Arial" w:cs="Arial" w:eastAsia="Arial" w:hAnsi="Arial"/>
                  <w:sz w:val="18"/>
                  <w:szCs w:val="18"/>
                  <w:color w:val="0000EE"/>
                  <w:w w:val="86"/>
                </w:rPr>
                <w:t>(c)(14)**</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6">
              <w:r>
                <w:rPr>
                  <w:rFonts w:ascii="Arial" w:cs="Arial" w:eastAsia="Arial" w:hAnsi="Arial"/>
                  <w:sz w:val="18"/>
                  <w:szCs w:val="18"/>
                  <w:color w:val="0000EE"/>
                </w:rPr>
                <w:t>Certificates of Valuation prepared by Fearnleys, dated February 28, 2023.</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20" w:type="dxa"/>
            <w:vAlign w:val="bottom"/>
            <w:gridSpan w:val="6"/>
          </w:tcPr>
          <w:p>
            <w:pPr>
              <w:jc w:val="center"/>
              <w:ind w:right="340"/>
              <w:spacing w:after="0"/>
              <w:rPr>
                <w:rFonts w:ascii="Arial" w:cs="Arial" w:eastAsia="Arial" w:hAnsi="Arial"/>
                <w:sz w:val="18"/>
                <w:szCs w:val="18"/>
                <w:color w:val="0000EE"/>
                <w:w w:val="86"/>
              </w:rPr>
            </w:pPr>
            <w:hyperlink r:id="rId37">
              <w:r>
                <w:rPr>
                  <w:rFonts w:ascii="Arial" w:cs="Arial" w:eastAsia="Arial" w:hAnsi="Arial"/>
                  <w:sz w:val="18"/>
                  <w:szCs w:val="18"/>
                  <w:color w:val="0000EE"/>
                  <w:w w:val="86"/>
                </w:rPr>
                <w:t>(c)(15)**</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7">
              <w:r>
                <w:rPr>
                  <w:rFonts w:ascii="Arial" w:cs="Arial" w:eastAsia="Arial" w:hAnsi="Arial"/>
                  <w:sz w:val="18"/>
                  <w:szCs w:val="18"/>
                  <w:color w:val="0000EE"/>
                </w:rPr>
                <w:t>Certificates of Valuation prepared by Braemar, dated February 28, 2023.</w:t>
              </w:r>
            </w:hyperlink>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360" w:type="dxa"/>
            <w:vAlign w:val="bottom"/>
            <w:gridSpan w:val="7"/>
          </w:tcPr>
          <w:p>
            <w:pPr>
              <w:jc w:val="center"/>
              <w:spacing w:after="0"/>
              <w:rPr>
                <w:rFonts w:ascii="Arial" w:cs="Arial" w:eastAsia="Arial" w:hAnsi="Arial"/>
                <w:sz w:val="18"/>
                <w:szCs w:val="18"/>
                <w:color w:val="0000EE"/>
              </w:rPr>
            </w:pPr>
            <w:hyperlink r:id="rId38">
              <w:r>
                <w:rPr>
                  <w:rFonts w:ascii="Arial" w:cs="Arial" w:eastAsia="Arial" w:hAnsi="Arial"/>
                  <w:sz w:val="18"/>
                  <w:szCs w:val="18"/>
                  <w:color w:val="0000EE"/>
                </w:rPr>
                <w:t>(d)(1)***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3"/>
              </w:rPr>
            </w:pPr>
            <w:hyperlink r:id="rId38">
              <w:r>
                <w:rPr>
                  <w:rFonts w:ascii="Arial" w:cs="Arial" w:eastAsia="Arial" w:hAnsi="Arial"/>
                  <w:sz w:val="18"/>
                  <w:szCs w:val="18"/>
                  <w:color w:val="0000EE"/>
                  <w:w w:val="93"/>
                </w:rPr>
                <w:t>Agreement and Plan of Merger, dated April 6, 2023, by and among the Partnership, the General Partner, Parent and Merger Sub</w:t>
              </w:r>
            </w:hyperlink>
          </w:p>
        </w:tc>
      </w:tr>
      <w:tr>
        <w:trPr>
          <w:trHeight w:val="196"/>
        </w:trPr>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(incorporated herein by reference to Annex A of the Proxy Statement).</w:t>
              </w:r>
            </w:hyperlink>
          </w:p>
        </w:tc>
        <w:tc>
          <w:tcPr>
            <w:tcW w:w="4120" w:type="dxa"/>
            <w:vAlign w:val="bottom"/>
            <w:tcBorders>
              <w:top w:val="single" w:sz="8" w:color="0000EE"/>
            </w:tcBorders>
            <w:gridSpan w:val="15"/>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304"/>
        </w:trPr>
        <w:tc>
          <w:tcPr>
            <w:tcW w:w="440" w:type="dxa"/>
            <w:vAlign w:val="bottom"/>
          </w:tcPr>
          <w:p>
            <w:pPr>
              <w:spacing w:after="0"/>
              <w:rPr>
                <w:sz w:val="24"/>
                <w:szCs w:val="24"/>
                <w:color w:val="auto"/>
              </w:rPr>
            </w:pPr>
          </w:p>
        </w:tc>
        <w:tc>
          <w:tcPr>
            <w:tcW w:w="52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r:id="rId39">
              <w:r>
                <w:rPr>
                  <w:rFonts w:ascii="Arial" w:cs="Arial" w:eastAsia="Arial" w:hAnsi="Arial"/>
                  <w:sz w:val="18"/>
                  <w:szCs w:val="18"/>
                  <w:color w:val="0000EE"/>
                  <w:w w:val="97"/>
                </w:rPr>
                <w:t>(d)(2)*</w:t>
              </w:r>
            </w:hyperlink>
          </w:p>
        </w:tc>
        <w:tc>
          <w:tcPr>
            <w:tcW w:w="4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tcBorders>
              <w:bottom w:val="single" w:sz="8" w:color="0000EE"/>
            </w:tcBorders>
            <w:gridSpan w:val="19"/>
          </w:tcPr>
          <w:p>
            <w:pPr>
              <w:spacing w:after="0"/>
              <w:rPr>
                <w:rFonts w:ascii="Arial" w:cs="Arial" w:eastAsia="Arial" w:hAnsi="Arial"/>
                <w:sz w:val="18"/>
                <w:szCs w:val="18"/>
                <w:color w:val="0000EE"/>
                <w:w w:val="89"/>
              </w:rPr>
            </w:pPr>
            <w:hyperlink r:id="rId39">
              <w:r>
                <w:rPr>
                  <w:rFonts w:ascii="Arial" w:cs="Arial" w:eastAsia="Arial" w:hAnsi="Arial"/>
                  <w:sz w:val="18"/>
                  <w:szCs w:val="18"/>
                  <w:color w:val="0000EE"/>
                  <w:w w:val="89"/>
                </w:rPr>
                <w:t>Seventh Amended and Restated Agreement of Limited Partnership of the Partnership, dated as of August 5, 2020 (incorporated by</w:t>
              </w:r>
            </w:hyperlink>
          </w:p>
        </w:tc>
        <w:tc>
          <w:tcPr>
            <w:tcW w:w="2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reference to Exhibit 3.2 to the Current Report on Form 6-K, filed by the Partnership on August 5, 2020).</w:t>
              </w:r>
            </w:hyperlink>
          </w:p>
        </w:tc>
        <w:tc>
          <w:tcPr>
            <w:tcW w:w="2100" w:type="dxa"/>
            <w:vAlign w:val="bottom"/>
            <w:gridSpan w:val="12"/>
          </w:tcPr>
          <w:p>
            <w:pPr>
              <w:spacing w:after="0"/>
              <w:rPr>
                <w:sz w:val="17"/>
                <w:szCs w:val="17"/>
                <w:color w:val="auto"/>
              </w:rPr>
            </w:pPr>
          </w:p>
        </w:tc>
      </w:tr>
      <w:tr>
        <w:trPr>
          <w:trHeight w:val="304"/>
        </w:trPr>
        <w:tc>
          <w:tcPr>
            <w:tcW w:w="1360" w:type="dxa"/>
            <w:vAlign w:val="bottom"/>
            <w:gridSpan w:val="7"/>
          </w:tcPr>
          <w:p>
            <w:pPr>
              <w:jc w:val="center"/>
              <w:spacing w:after="0"/>
              <w:rPr>
                <w:rFonts w:ascii="Arial" w:cs="Arial" w:eastAsia="Arial" w:hAnsi="Arial"/>
                <w:sz w:val="18"/>
                <w:szCs w:val="18"/>
                <w:color w:val="0000EE"/>
              </w:rPr>
            </w:pPr>
            <w:hyperlink r:id="rId40">
              <w:r>
                <w:rPr>
                  <w:rFonts w:ascii="Arial" w:cs="Arial" w:eastAsia="Arial" w:hAnsi="Arial"/>
                  <w:sz w:val="18"/>
                  <w:szCs w:val="18"/>
                  <w:color w:val="0000EE"/>
                </w:rPr>
                <w:t>(d)(3)***</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5"/>
              </w:rPr>
            </w:pPr>
            <w:hyperlink r:id="rId40">
              <w:r>
                <w:rPr>
                  <w:rFonts w:ascii="Arial" w:cs="Arial" w:eastAsia="Arial" w:hAnsi="Arial"/>
                  <w:sz w:val="18"/>
                  <w:szCs w:val="18"/>
                  <w:color w:val="0000EE"/>
                  <w:w w:val="95"/>
                </w:rPr>
                <w:t>Voting and Support Agreement, dated as of April 6, 2023, by and between Parent and the Partnership (incorporated herein by</w:t>
              </w:r>
            </w:hyperlink>
          </w:p>
        </w:tc>
      </w:tr>
      <w:tr>
        <w:trPr>
          <w:trHeight w:val="196"/>
        </w:trPr>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reference to Annex B of the Proxy Statement).</w:t>
              </w:r>
            </w:hyperlink>
          </w:p>
        </w:tc>
        <w:tc>
          <w:tcPr>
            <w:tcW w:w="5640" w:type="dxa"/>
            <w:vAlign w:val="bottom"/>
            <w:tcBorders>
              <w:top w:val="single" w:sz="8" w:color="0000EE"/>
            </w:tcBorders>
            <w:gridSpan w:val="14"/>
          </w:tcPr>
          <w:p>
            <w:pPr>
              <w:spacing w:after="0"/>
              <w:rPr>
                <w:sz w:val="17"/>
                <w:szCs w:val="17"/>
                <w:color w:val="auto"/>
              </w:rPr>
            </w:pPr>
          </w:p>
        </w:tc>
        <w:tc>
          <w:tcPr>
            <w:tcW w:w="620" w:type="dxa"/>
            <w:vAlign w:val="bottom"/>
            <w:gridSpan w:val="5"/>
          </w:tcPr>
          <w:p>
            <w:pPr>
              <w:spacing w:after="0"/>
              <w:rPr>
                <w:sz w:val="17"/>
                <w:szCs w:val="17"/>
                <w:color w:val="auto"/>
              </w:rPr>
            </w:pPr>
          </w:p>
        </w:tc>
      </w:tr>
    </w:tbl>
    <w:p>
      <w:pPr>
        <w:spacing w:after="0" w:line="121" w:lineRule="exact"/>
        <w:rPr>
          <w:sz w:val="20"/>
          <w:szCs w:val="20"/>
          <w:color w:val="auto"/>
        </w:rPr>
      </w:pPr>
    </w:p>
    <w:p>
      <w:pPr>
        <w:ind w:left="1640" w:hanging="1026"/>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232"/>
        <w:spacing w:after="0"/>
        <w:tabs>
          <w:tab w:leader="none" w:pos="5932"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8" w:lineRule="exact"/>
        <w:rPr>
          <w:sz w:val="20"/>
          <w:szCs w:val="20"/>
          <w:color w:val="auto"/>
        </w:rPr>
      </w:pPr>
    </w:p>
    <w:p>
      <w:pPr>
        <w:ind w:left="1632" w:hanging="1063"/>
        <w:spacing w:after="0"/>
        <w:tabs>
          <w:tab w:leader="none" w:pos="1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sz w:val="20"/>
          <w:szCs w:val="20"/>
          <w:color w:val="auto"/>
        </w:rPr>
      </w:pPr>
    </w:p>
    <w:p>
      <w:pPr>
        <w:ind w:left="492"/>
        <w:spacing w:after="0"/>
        <w:tabs>
          <w:tab w:leader="none" w:pos="1612"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107*</w:t>
      </w:r>
      <w:r>
        <w:rPr>
          <w:sz w:val="20"/>
          <w:szCs w:val="20"/>
          <w:color w:val="auto"/>
        </w:rPr>
        <w:tab/>
      </w:r>
      <w:hyperlink r:id="rId43">
        <w:r>
          <w:rPr>
            <w:rFonts w:ascii="Arial" w:cs="Arial" w:eastAsia="Arial" w:hAnsi="Arial"/>
            <w:sz w:val="18"/>
            <w:szCs w:val="18"/>
            <w:u w:val="single" w:color="auto"/>
            <w:color w:val="0000EE"/>
          </w:rPr>
          <w:t>Filing Fee Table.</w:t>
        </w:r>
      </w:hyperlink>
    </w:p>
    <w:p>
      <w:pPr>
        <w:spacing w:after="0" w:line="299" w:lineRule="exact"/>
        <w:rPr>
          <w:sz w:val="20"/>
          <w:szCs w:val="20"/>
          <w:color w:val="auto"/>
        </w:rPr>
      </w:pPr>
    </w:p>
    <w:p>
      <w:pPr>
        <w:ind w:left="492" w:hanging="492"/>
        <w:spacing w:after="0"/>
        <w:tabs>
          <w:tab w:leader="none" w:pos="492"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Previously filed on May 5, 2023 as an exhibit to the Schedule 13E-3.</w:t>
      </w:r>
    </w:p>
    <w:p>
      <w:pPr>
        <w:spacing w:after="0" w:line="8" w:lineRule="exact"/>
        <w:rPr>
          <w:sz w:val="20"/>
          <w:szCs w:val="20"/>
          <w:color w:val="auto"/>
        </w:rPr>
      </w:pPr>
    </w:p>
    <w:p>
      <w:pPr>
        <w:ind w:left="492" w:hanging="492"/>
        <w:spacing w:after="0"/>
        <w:tabs>
          <w:tab w:leader="none" w:pos="492"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Previously filed on May 25, 2023 as an exhibit to Amendment No. 1 to the Schedule 13E-3.</w:t>
      </w:r>
    </w:p>
    <w:p>
      <w:pPr>
        <w:spacing w:after="0" w:line="24" w:lineRule="exact"/>
        <w:rPr>
          <w:rFonts w:ascii="Arial" w:cs="Arial" w:eastAsia="Arial" w:hAnsi="Arial"/>
          <w:sz w:val="19"/>
          <w:szCs w:val="19"/>
          <w:color w:val="auto"/>
        </w:rPr>
      </w:pPr>
    </w:p>
    <w:p>
      <w:pPr>
        <w:ind w:left="492" w:hanging="492"/>
        <w:spacing w:after="0"/>
        <w:tabs>
          <w:tab w:leader="none" w:pos="492"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Previously filed on June 5, 2023 as an exhibit to Amendment No. 2 to the Schedule 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418" w:right="1440"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due inquiry and to the best of each of the undersigned’s knowledge and belief, each of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as of June 28, 2023</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 &amp; 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GASLOG LTD.</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GASLOG PARTNERS GP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CEO of GasLog Ltd., the sole member of</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GasLog Partners GP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SATURN MERGER SUB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CEO</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6"/>
    </w:lvl>
  </w:abstractNum>
  <w:abstractNum w:abstractNumId="2">
    <w:nsid w:val="238E1F29"/>
    <w:multiLevelType w:val="hybridMultilevel"/>
    <w:lvl w:ilvl="0">
      <w:lvlJc w:val="left"/>
      <w:lvlText w:val="(%1)"/>
      <w:numFmt w:val="lowerLetter"/>
      <w:start w:val="7"/>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1" Type="http://schemas.openxmlformats.org/officeDocument/2006/relationships/image" Target="media/image9.png"/><Relationship Id="rId42"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16" Type="http://schemas.openxmlformats.org/officeDocument/2006/relationships/hyperlink" Target="https://www.sec.gov/Archives/edgar/data/1598655/000110465923068119/tm2316904d3_ex99-a1.htm" TargetMode="External"/><Relationship Id="rId17" Type="http://schemas.openxmlformats.org/officeDocument/2006/relationships/hyperlink" Target="https://www.sec.gov/Archives/edgar/data/1598655/000110465923068119/tm2316904d3_ex99-a1.htm#ad_001" TargetMode="External"/><Relationship Id="rId18" Type="http://schemas.openxmlformats.org/officeDocument/2006/relationships/hyperlink" Target="https://www.sec.gov/Archives/edgar/data/1598655/000110465923068119/tm2316904d3_ex99-a1.htm#exa4" TargetMode="External"/><Relationship Id="rId19" Type="http://schemas.openxmlformats.org/officeDocument/2006/relationships/hyperlink" Target="https://www.sec.gov/Archives/edgar/data/1598655/000110465923042698/tm2311977d1_ex99-1.htm" TargetMode="External"/><Relationship Id="rId20" Type="http://schemas.openxmlformats.org/officeDocument/2006/relationships/hyperlink" Target="https://www.sec.gov/Archives/edgar/data/1598655/000095015723000714/form6-k.htm" TargetMode="External"/><Relationship Id="rId21" Type="http://schemas.openxmlformats.org/officeDocument/2006/relationships/hyperlink" Target="https://www.sec.gov/Archives/edgar/data/1598655/000095015723000714/ex99-1.htm" TargetMode="External"/><Relationship Id="rId22" Type="http://schemas.openxmlformats.org/officeDocument/2006/relationships/hyperlink" Target="https://www.sec.gov/Archives/edgar/data/1598655/000110465923056630/tm2314213d1_ex99-b1.htm" TargetMode="External"/><Relationship Id="rId23" Type="http://schemas.openxmlformats.org/officeDocument/2006/relationships/hyperlink" Target="https://www.sec.gov/Archives/edgar/data/1598655/000110465923068119/tm2316904d3_ex99-a1.htm#sss_003" TargetMode="External"/><Relationship Id="rId24" Type="http://schemas.openxmlformats.org/officeDocument/2006/relationships/hyperlink" Target="https://www.sec.gov/Archives/edgar/data/1598655/000110465923056630/tm2314213d1_ex99-c2.htm" TargetMode="External"/><Relationship Id="rId25" Type="http://schemas.openxmlformats.org/officeDocument/2006/relationships/hyperlink" Target="https://www.sec.gov/Archives/edgar/data/1598655/000110465923056630/tm2314213d1_ex99-c3.htm" TargetMode="External"/><Relationship Id="rId26" Type="http://schemas.openxmlformats.org/officeDocument/2006/relationships/hyperlink" Target="https://www.sec.gov/Archives/edgar/data/1598655/000110465923056630/tm2314213d1_ex99-c4.htm" TargetMode="External"/><Relationship Id="rId27" Type="http://schemas.openxmlformats.org/officeDocument/2006/relationships/hyperlink" Target="https://www.sec.gov/Archives/edgar/data/1598655/000110465923056630/tm2314213d1_ex99-c5.htm" TargetMode="External"/><Relationship Id="rId28" Type="http://schemas.openxmlformats.org/officeDocument/2006/relationships/hyperlink" Target="https://www.sec.gov/Archives/edgar/data/1598655/000110465923056630/tm2314213d1_ex99-c6.htm" TargetMode="External"/><Relationship Id="rId29" Type="http://schemas.openxmlformats.org/officeDocument/2006/relationships/hyperlink" Target="https://www.sec.gov/Archives/edgar/data/1598655/000110465923056630/tm2314213d1_ex99-c7.htm" TargetMode="External"/><Relationship Id="rId30" Type="http://schemas.openxmlformats.org/officeDocument/2006/relationships/hyperlink" Target="https://www.sec.gov/Archives/edgar/data/1598655/000110465923056630/tm2314213d1_ex99-c8.htm" TargetMode="External"/><Relationship Id="rId31" Type="http://schemas.openxmlformats.org/officeDocument/2006/relationships/hyperlink" Target="https://www.sec.gov/Archives/edgar/data/1598655/000110465923056630/tm2314213d1_ex99-c9.htm" TargetMode="External"/><Relationship Id="rId32" Type="http://schemas.openxmlformats.org/officeDocument/2006/relationships/hyperlink" Target="https://www.sec.gov/Archives/edgar/data/1598655/000110465923056630/tm2314213d1_ex99-c10.htm" TargetMode="External"/><Relationship Id="rId33" Type="http://schemas.openxmlformats.org/officeDocument/2006/relationships/hyperlink" Target="https://www.sec.gov/Archives/edgar/data/1598655/000110465923056630/tm2314213d1_ex99-c11.htm" TargetMode="External"/><Relationship Id="rId34" Type="http://schemas.openxmlformats.org/officeDocument/2006/relationships/hyperlink" Target="https://www.sec.gov/Archives/edgar/data/1598655/000110465923064246/tm2316904d1_ex99-c12.htm" TargetMode="External"/><Relationship Id="rId35" Type="http://schemas.openxmlformats.org/officeDocument/2006/relationships/hyperlink" Target="https://www.sec.gov/Archives/edgar/data/1598655/000110465923064246/tm2316904d1_ex99-c13.htm" TargetMode="External"/><Relationship Id="rId36" Type="http://schemas.openxmlformats.org/officeDocument/2006/relationships/hyperlink" Target="https://www.sec.gov/Archives/edgar/data/1598655/000110465923064246/tm2316904d1_ex99-c14.htm" TargetMode="External"/><Relationship Id="rId37" Type="http://schemas.openxmlformats.org/officeDocument/2006/relationships/hyperlink" Target="https://www.sec.gov/Archives/edgar/data/1598655/000110465923064246/tm2316904d1_ex99-c15.htm" TargetMode="External"/><Relationship Id="rId38" Type="http://schemas.openxmlformats.org/officeDocument/2006/relationships/hyperlink" Target="https://www.sec.gov/Archives/edgar/data/1598655/000110465923068119/tm2316904d3_ex99-a1.htm#sss_001" TargetMode="External"/><Relationship Id="rId39" Type="http://schemas.openxmlformats.org/officeDocument/2006/relationships/hyperlink" Target="https://www.sec.gov/Archives/edgar/data/1598655/000110465920090547/a20-22824_4ex3d2.htm" TargetMode="External"/><Relationship Id="rId40" Type="http://schemas.openxmlformats.org/officeDocument/2006/relationships/hyperlink" Target="https://www.sec.gov/Archives/edgar/data/1598655/000110465923068119/tm2316904d3_ex99-a1.htm#sss_002" TargetMode="External"/><Relationship Id="rId43" Type="http://schemas.openxmlformats.org/officeDocument/2006/relationships/hyperlink" Target="https://www.sec.gov/Archives/edgar/data/1598655/000110465923056630/tm2314213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2023-06-28T16:41:44Z</dcterms:created>
  <dcterms:modified xsi:type="dcterms:W3CDTF">2023-06-28T16:41:44Z</dcterms:modified>
</cp:coreProperties>
</file>