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640" w:type="dxa"/>
            <w:vAlign w:val="bottom"/>
          </w:tcPr>
          <w:p>
            <w:pPr>
              <w:jc w:val="center"/>
              <w:ind w:left="510"/>
              <w:spacing w:after="0"/>
              <w:rPr>
                <w:sz w:val="20"/>
                <w:szCs w:val="20"/>
                <w:color w:val="auto"/>
              </w:rPr>
            </w:pPr>
            <w:r>
              <w:rPr>
                <w:rFonts w:ascii="Arial" w:cs="Arial" w:eastAsia="Arial" w:hAnsi="Arial"/>
                <w:sz w:val="18"/>
                <w:szCs w:val="18"/>
                <w:b w:val="1"/>
                <w:bCs w:val="1"/>
                <w:color w:val="auto"/>
                <w:w w:val="96"/>
              </w:rPr>
              <w:t>Form 6-K</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10640" w:type="dxa"/>
            <w:vAlign w:val="bottom"/>
          </w:tcPr>
          <w:p>
            <w:pPr>
              <w:jc w:val="center"/>
              <w:ind w:left="53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0640" w:type="dxa"/>
            <w:vAlign w:val="bottom"/>
          </w:tcPr>
          <w:p>
            <w:pPr>
              <w:jc w:val="center"/>
              <w:ind w:left="510"/>
              <w:spacing w:after="0"/>
              <w:rPr>
                <w:sz w:val="20"/>
                <w:szCs w:val="20"/>
                <w:color w:val="auto"/>
              </w:rPr>
            </w:pPr>
            <w:r>
              <w:rPr>
                <w:rFonts w:ascii="Arial" w:cs="Arial" w:eastAsia="Arial" w:hAnsi="Arial"/>
                <w:sz w:val="18"/>
                <w:szCs w:val="18"/>
                <w:b w:val="1"/>
                <w:bCs w:val="1"/>
                <w:color w:val="auto"/>
                <w:w w:val="98"/>
              </w:rPr>
              <w:t>EXCHANGE ACT OF 1934</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For the month of July 2020</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0640" w:type="dxa"/>
            <w:vAlign w:val="bottom"/>
          </w:tcPr>
          <w:p>
            <w:pPr>
              <w:jc w:val="center"/>
              <w:ind w:left="510"/>
              <w:spacing w:after="0"/>
              <w:rPr>
                <w:sz w:val="20"/>
                <w:szCs w:val="20"/>
                <w:color w:val="auto"/>
              </w:rPr>
            </w:pPr>
            <w:r>
              <w:rPr>
                <w:rFonts w:ascii="Arial" w:cs="Arial" w:eastAsia="Arial" w:hAnsi="Arial"/>
                <w:sz w:val="18"/>
                <w:szCs w:val="18"/>
                <w:b w:val="1"/>
                <w:bCs w:val="1"/>
                <w:color w:val="auto"/>
                <w:w w:val="92"/>
              </w:rPr>
              <w:t>GasLog Partners LP</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0640" w:type="dxa"/>
            <w:vAlign w:val="bottom"/>
          </w:tcPr>
          <w:p>
            <w:pPr>
              <w:jc w:val="center"/>
              <w:ind w:left="510"/>
              <w:spacing w:after="0"/>
              <w:rPr>
                <w:sz w:val="20"/>
                <w:szCs w:val="20"/>
                <w:color w:val="auto"/>
              </w:rPr>
            </w:pPr>
            <w:r>
              <w:rPr>
                <w:rFonts w:ascii="Arial" w:cs="Arial" w:eastAsia="Arial" w:hAnsi="Arial"/>
                <w:sz w:val="18"/>
                <w:szCs w:val="18"/>
                <w:color w:val="auto"/>
                <w:w w:val="91"/>
              </w:rPr>
              <w:t>(Translation of registrant’s name into English)</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0640" w:type="dxa"/>
            <w:vAlign w:val="bottom"/>
          </w:tcPr>
          <w:p>
            <w:pPr>
              <w:jc w:val="center"/>
              <w:ind w:left="510"/>
              <w:spacing w:after="0"/>
              <w:rPr>
                <w:sz w:val="20"/>
                <w:szCs w:val="20"/>
                <w:color w:val="auto"/>
              </w:rPr>
            </w:pPr>
            <w:r>
              <w:rPr>
                <w:rFonts w:ascii="Arial" w:cs="Arial" w:eastAsia="Arial" w:hAnsi="Arial"/>
                <w:sz w:val="18"/>
                <w:szCs w:val="18"/>
                <w:color w:val="auto"/>
                <w:w w:val="92"/>
              </w:rPr>
              <w:t>c/o GasLog LNG Services Ltd.</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0640" w:type="dxa"/>
            <w:vAlign w:val="bottom"/>
          </w:tcPr>
          <w:p>
            <w:pPr>
              <w:jc w:val="center"/>
              <w:ind w:left="530"/>
              <w:spacing w:after="0"/>
              <w:rPr>
                <w:sz w:val="20"/>
                <w:szCs w:val="20"/>
                <w:color w:val="auto"/>
              </w:rPr>
            </w:pPr>
            <w:r>
              <w:rPr>
                <w:rFonts w:ascii="Arial" w:cs="Arial" w:eastAsia="Arial" w:hAnsi="Arial"/>
                <w:sz w:val="18"/>
                <w:szCs w:val="18"/>
                <w:color w:val="auto"/>
                <w:w w:val="96"/>
              </w:rPr>
              <w:t>69 Akti Miaouli 18537</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640" w:type="dxa"/>
            <w:vAlign w:val="bottom"/>
          </w:tcPr>
          <w:p>
            <w:pPr>
              <w:jc w:val="center"/>
              <w:ind w:left="510"/>
              <w:spacing w:after="0"/>
              <w:rPr>
                <w:sz w:val="20"/>
                <w:szCs w:val="20"/>
                <w:color w:val="auto"/>
              </w:rPr>
            </w:pPr>
            <w:r>
              <w:rPr>
                <w:rFonts w:ascii="Arial" w:cs="Arial" w:eastAsia="Arial" w:hAnsi="Arial"/>
                <w:sz w:val="18"/>
                <w:szCs w:val="18"/>
                <w:color w:val="auto"/>
                <w:w w:val="86"/>
              </w:rPr>
              <w:t>Piraeus Greece</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0640" w:type="dxa"/>
            <w:vAlign w:val="bottom"/>
          </w:tcPr>
          <w:p>
            <w:pPr>
              <w:jc w:val="center"/>
              <w:ind w:left="530"/>
              <w:spacing w:after="0"/>
              <w:rPr>
                <w:sz w:val="20"/>
                <w:szCs w:val="20"/>
                <w:color w:val="auto"/>
              </w:rPr>
            </w:pPr>
            <w:r>
              <w:rPr>
                <w:rFonts w:ascii="Arial" w:cs="Arial" w:eastAsia="Arial" w:hAnsi="Arial"/>
                <w:sz w:val="18"/>
                <w:szCs w:val="18"/>
                <w:color w:val="auto"/>
                <w:w w:val="92"/>
              </w:rPr>
              <w:t>(Address of principal executive office)</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2"/>
        </w:trPr>
        <w:tc>
          <w:tcPr>
            <w:tcW w:w="106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06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600" w:type="dxa"/>
            <w:vAlign w:val="bottom"/>
          </w:tcPr>
          <w:p>
            <w:pPr>
              <w:ind w:left="520"/>
              <w:spacing w:after="0"/>
              <w:rPr>
                <w:sz w:val="20"/>
                <w:szCs w:val="20"/>
                <w:color w:val="auto"/>
              </w:rPr>
            </w:pPr>
            <w:r>
              <w:rPr>
                <w:rFonts w:ascii="Arial" w:cs="Arial" w:eastAsia="Arial" w:hAnsi="Arial"/>
                <w:sz w:val="15"/>
                <w:szCs w:val="15"/>
                <w:color w:val="auto"/>
                <w:w w:val="71"/>
              </w:rPr>
              <w:t>o</w:t>
            </w:r>
          </w:p>
        </w:tc>
        <w:tc>
          <w:tcPr>
            <w:tcW w:w="40" w:type="dxa"/>
            <w:vAlign w:val="bottom"/>
          </w:tcPr>
          <w:p>
            <w:pPr>
              <w:spacing w:after="0"/>
              <w:rPr>
                <w:sz w:val="24"/>
                <w:szCs w:val="24"/>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600" w:type="dxa"/>
            <w:vAlign w:val="bottom"/>
          </w:tcPr>
          <w:p>
            <w:pPr>
              <w:ind w:left="520"/>
              <w:spacing w:after="0"/>
              <w:rPr>
                <w:sz w:val="20"/>
                <w:szCs w:val="20"/>
                <w:color w:val="auto"/>
              </w:rPr>
            </w:pPr>
            <w:r>
              <w:rPr>
                <w:rFonts w:ascii="Arial" w:cs="Arial" w:eastAsia="Arial" w:hAnsi="Arial"/>
                <w:sz w:val="15"/>
                <w:szCs w:val="15"/>
                <w:color w:val="auto"/>
                <w:w w:val="71"/>
              </w:rPr>
              <w:t>o</w:t>
            </w:r>
          </w:p>
        </w:tc>
        <w:tc>
          <w:tcPr>
            <w:tcW w:w="40" w:type="dxa"/>
            <w:vAlign w:val="bottom"/>
          </w:tcPr>
          <w:p>
            <w:pPr>
              <w:spacing w:after="0"/>
              <w:rPr>
                <w:sz w:val="24"/>
                <w:szCs w:val="24"/>
                <w:color w:val="auto"/>
              </w:rPr>
            </w:pPr>
          </w:p>
        </w:tc>
      </w:tr>
      <w:tr>
        <w:trPr>
          <w:trHeight w:val="216"/>
        </w:trPr>
        <w:tc>
          <w:tcPr>
            <w:tcW w:w="106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1"/>
        </w:trPr>
        <w:tc>
          <w:tcPr>
            <w:tcW w:w="106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106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567" w:right="29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GasLog Ltd. Exercises Option to Convert Class B-1 Units into Common Units of GasLog Partners LP</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1, 2020, GasLog Ltd. (“GasLog”) exercised its option to convert all 415,000 outstanding Class B-1 units of GasLog Partners LP (the “Partnership”) into 415,000 common units of the Partnership. As previously announced, GasLog and the Partnership agreed on June 24, 2019 to eliminate GasLog’s incentive distribution rights in the Partnership in exchange for newly issued limited partner units, including, among other consideration, 415,000 Class B-1 units. The Class B-1 Units were convertible at GasLog’s option, exercisable in its sole discretion, on July 1, 2020 on a one-for-one basis into common units. As a result of the conversion, the Partnership has issued 415,000 new common units to GasLog and the 415,000 outstanding Class B-1 Units have been cancelled. After giving effect to the issuance of the common units, GasLog holds a 35.6% interest in the Partnership (including 2.0% through general partner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Report on Form 6-K shall be incorporated by reference into our registration statement on Form F-3 (File No. 333-220736), filed with the Securities and Exchange Commission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 2020</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940"/>
        <w:spacing w:after="0"/>
        <w:tabs>
          <w:tab w:leader="none" w:pos="6320" w:val="left"/>
        </w:tabs>
        <w:rPr>
          <w:sz w:val="20"/>
          <w:szCs w:val="20"/>
          <w:color w:val="auto"/>
        </w:rPr>
      </w:pPr>
      <w:r>
        <w:rPr>
          <w:rFonts w:ascii="Arial" w:cs="Arial" w:eastAsia="Arial" w:hAnsi="Arial"/>
          <w:sz w:val="18"/>
          <w:szCs w:val="18"/>
          <w:color w:val="auto"/>
        </w:rPr>
        <w:t>by</w:t>
        <w:tab/>
        <w:t>/s/ Andrew Orekar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6"/>
                <w:szCs w:val="16"/>
                <w:color w:val="auto"/>
              </w:rPr>
            </w:pPr>
          </w:p>
        </w:tc>
      </w:tr>
      <w:tr>
        <w:trPr>
          <w:trHeight w:val="230"/>
        </w:trPr>
        <w:tc>
          <w:tcPr>
            <w:tcW w:w="63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3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280"/>
      </w:cols>
      <w:pgMar w:left="320" w:top="33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2020-07-02T15:31:35Z</dcterms:created>
  <dcterms:modified xsi:type="dcterms:W3CDTF">2020-07-02T15:31:35Z</dcterms:modified>
</cp:coreProperties>
</file>