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6"/>
          <w:szCs w:val="16"/>
          <w:color w:val="auto"/>
        </w:rPr>
        <w:t xml:space="preserve">þ 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right="240"/>
        <w:spacing w:after="0" w:line="277" w:lineRule="auto"/>
        <w:rPr>
          <w:sz w:val="20"/>
          <w:szCs w:val="20"/>
          <w:color w:val="auto"/>
        </w:rPr>
      </w:pPr>
      <w:r>
        <w:rPr>
          <w:rFonts w:ascii="Arial" w:cs="Arial" w:eastAsia="Arial" w:hAnsi="Arial"/>
          <w:sz w:val="18"/>
          <w:szCs w:val="18"/>
          <w:color w:val="auto"/>
        </w:rPr>
        <w:t>The press release issued by GasLog Partners LP. on February 28, 2022, confirming the Series A, B and C Preference Units payable on March 15, 2022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Description</w:t>
            </w:r>
          </w:p>
        </w:tc>
      </w:tr>
      <w:tr>
        <w:trPr>
          <w:trHeight w:val="190"/>
        </w:trPr>
        <w:tc>
          <w:tcPr>
            <w:tcW w:w="78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460" w:type="dxa"/>
            <w:vAlign w:val="bottom"/>
            <w:gridSpan w:val="3"/>
          </w:tcPr>
          <w:p>
            <w:pPr>
              <w:ind w:left="240"/>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28, 2022</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top w:val="single" w:sz="8" w:color="0000EE"/>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4"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PARTNERS LP,</w:t>
      </w:r>
    </w:p>
    <w:p>
      <w:pPr>
        <w:spacing w:after="0" w:line="238" w:lineRule="exact"/>
        <w:rPr>
          <w:sz w:val="20"/>
          <w:szCs w:val="20"/>
          <w:color w:val="auto"/>
        </w:rPr>
      </w:pPr>
    </w:p>
    <w:p>
      <w:pPr>
        <w:ind w:left="5640"/>
        <w:spacing w:after="0"/>
        <w:tabs>
          <w:tab w:leader="none" w:pos="6000" w:val="left"/>
        </w:tabs>
        <w:rPr>
          <w:sz w:val="20"/>
          <w:szCs w:val="20"/>
          <w:color w:val="auto"/>
        </w:rPr>
      </w:pPr>
      <w:r>
        <w:rPr>
          <w:rFonts w:ascii="Arial" w:cs="Arial" w:eastAsia="Arial" w:hAnsi="Arial"/>
          <w:sz w:val="18"/>
          <w:szCs w:val="18"/>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GasLog Partners LP Declares Distributions on Series A, B and C Preference Units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Majuro, Marshall Islands, February 28, 2022 — </w:t>
      </w:r>
      <w:r>
        <w:rPr>
          <w:rFonts w:ascii="Arial" w:cs="Arial" w:eastAsia="Arial" w:hAnsi="Arial"/>
          <w:sz w:val="19"/>
          <w:szCs w:val="19"/>
          <w:color w:val="auto"/>
        </w:rPr>
        <w:t>GasLog Partners LP (“GasLog Partners” or the “Partnership”) (NYSE: GLOP)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today announced the quarterly distributions on its preference units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0" w:type="dxa"/>
            <w:vAlign w:val="bottom"/>
            <w:tcBorders>
              <w:right w:val="single" w:sz="8" w:color="auto"/>
            </w:tcBorders>
          </w:tcPr>
          <w:p>
            <w:pPr>
              <w:spacing w:after="0"/>
              <w:rPr>
                <w:sz w:val="24"/>
                <w:szCs w:val="24"/>
                <w:color w:val="auto"/>
              </w:rPr>
            </w:pPr>
          </w:p>
        </w:tc>
        <w:tc>
          <w:tcPr>
            <w:tcW w:w="5340" w:type="dxa"/>
            <w:vAlign w:val="bottom"/>
            <w:tcBorders>
              <w:top w:val="single" w:sz="8" w:color="auto"/>
              <w:bottom w:val="single" w:sz="8" w:color="auto"/>
              <w:right w:val="single" w:sz="8" w:color="auto"/>
            </w:tcBorders>
          </w:tcPr>
          <w:p>
            <w:pPr>
              <w:spacing w:after="0"/>
              <w:rPr>
                <w:sz w:val="24"/>
                <w:szCs w:val="24"/>
                <w:color w:val="auto"/>
              </w:rPr>
            </w:pPr>
          </w:p>
        </w:tc>
        <w:tc>
          <w:tcPr>
            <w:tcW w:w="16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0"/>
                <w:szCs w:val="20"/>
                <w:b w:val="1"/>
                <w:bCs w:val="1"/>
                <w:color w:val="auto"/>
              </w:rPr>
              <w:t>Distribution</w:t>
            </w:r>
          </w:p>
        </w:tc>
        <w:tc>
          <w:tcPr>
            <w:tcW w:w="19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0"/>
                <w:szCs w:val="20"/>
                <w:b w:val="1"/>
                <w:bCs w:val="1"/>
                <w:color w:val="auto"/>
              </w:rPr>
              <w:t>Record Date</w:t>
            </w:r>
          </w:p>
        </w:tc>
        <w:tc>
          <w:tcPr>
            <w:tcW w:w="196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20"/>
                <w:szCs w:val="20"/>
                <w:b w:val="1"/>
                <w:bCs w:val="1"/>
                <w:color w:val="auto"/>
              </w:rPr>
              <w:t>Payment Date</w:t>
            </w:r>
          </w:p>
        </w:tc>
      </w:tr>
      <w:tr>
        <w:trPr>
          <w:trHeight w:val="264"/>
        </w:trPr>
        <w:tc>
          <w:tcPr>
            <w:tcW w:w="200" w:type="dxa"/>
            <w:vAlign w:val="bottom"/>
            <w:tcBorders>
              <w:right w:val="single" w:sz="8" w:color="auto"/>
            </w:tcBorders>
          </w:tcPr>
          <w:p>
            <w:pPr>
              <w:spacing w:after="0"/>
              <w:rPr>
                <w:sz w:val="22"/>
                <w:szCs w:val="22"/>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8.625% Series A Cumulative Redeemable Perpetual</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$0.5390625 per</w:t>
            </w: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8, 2022</w:t>
            </w: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15, 2022</w:t>
            </w:r>
          </w:p>
        </w:tc>
      </w:tr>
      <w:tr>
        <w:trPr>
          <w:trHeight w:val="237"/>
        </w:trPr>
        <w:tc>
          <w:tcPr>
            <w:tcW w:w="200" w:type="dxa"/>
            <w:vAlign w:val="bottom"/>
            <w:tcBorders>
              <w:right w:val="single" w:sz="8" w:color="auto"/>
            </w:tcBorders>
          </w:tcPr>
          <w:p>
            <w:pPr>
              <w:spacing w:after="0"/>
              <w:rPr>
                <w:sz w:val="20"/>
                <w:szCs w:val="20"/>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Fixed to Floating Rate Preference Units</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preference unit</w:t>
            </w: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117"/>
        </w:trPr>
        <w:tc>
          <w:tcPr>
            <w:tcW w:w="200" w:type="dxa"/>
            <w:vAlign w:val="bottom"/>
            <w:tcBorders>
              <w:right w:val="single" w:sz="8" w:color="auto"/>
            </w:tcBorders>
          </w:tcPr>
          <w:p>
            <w:pPr>
              <w:spacing w:after="0"/>
              <w:rPr>
                <w:sz w:val="10"/>
                <w:szCs w:val="10"/>
                <w:color w:val="auto"/>
              </w:rPr>
            </w:pPr>
          </w:p>
        </w:tc>
        <w:tc>
          <w:tcPr>
            <w:tcW w:w="53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r>
      <w:tr>
        <w:trPr>
          <w:trHeight w:val="260"/>
        </w:trPr>
        <w:tc>
          <w:tcPr>
            <w:tcW w:w="200" w:type="dxa"/>
            <w:vAlign w:val="bottom"/>
            <w:tcBorders>
              <w:right w:val="single" w:sz="8" w:color="auto"/>
            </w:tcBorders>
          </w:tcPr>
          <w:p>
            <w:pPr>
              <w:spacing w:after="0"/>
              <w:rPr>
                <w:sz w:val="22"/>
                <w:szCs w:val="22"/>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8.200% Series B Cumulative Redeemable Perpetual</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$0.5125 per</w:t>
            </w: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8, 2022</w:t>
            </w: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15, 2022</w:t>
            </w:r>
          </w:p>
        </w:tc>
      </w:tr>
      <w:tr>
        <w:trPr>
          <w:trHeight w:val="237"/>
        </w:trPr>
        <w:tc>
          <w:tcPr>
            <w:tcW w:w="200" w:type="dxa"/>
            <w:vAlign w:val="bottom"/>
            <w:tcBorders>
              <w:right w:val="single" w:sz="8" w:color="auto"/>
            </w:tcBorders>
          </w:tcPr>
          <w:p>
            <w:pPr>
              <w:spacing w:after="0"/>
              <w:rPr>
                <w:sz w:val="20"/>
                <w:szCs w:val="20"/>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Fixed to Floating Rate Preference Units</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preference unit</w:t>
            </w: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118"/>
        </w:trPr>
        <w:tc>
          <w:tcPr>
            <w:tcW w:w="200" w:type="dxa"/>
            <w:vAlign w:val="bottom"/>
            <w:tcBorders>
              <w:right w:val="single" w:sz="8" w:color="auto"/>
            </w:tcBorders>
          </w:tcPr>
          <w:p>
            <w:pPr>
              <w:spacing w:after="0"/>
              <w:rPr>
                <w:sz w:val="10"/>
                <w:szCs w:val="10"/>
                <w:color w:val="auto"/>
              </w:rPr>
            </w:pPr>
          </w:p>
        </w:tc>
        <w:tc>
          <w:tcPr>
            <w:tcW w:w="53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r>
      <w:tr>
        <w:trPr>
          <w:trHeight w:val="260"/>
        </w:trPr>
        <w:tc>
          <w:tcPr>
            <w:tcW w:w="200" w:type="dxa"/>
            <w:vAlign w:val="bottom"/>
            <w:tcBorders>
              <w:right w:val="single" w:sz="8" w:color="auto"/>
            </w:tcBorders>
          </w:tcPr>
          <w:p>
            <w:pPr>
              <w:spacing w:after="0"/>
              <w:rPr>
                <w:sz w:val="22"/>
                <w:szCs w:val="22"/>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8.500% Series C Cumulative Redeemable Perpetual</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$0.53125 per</w:t>
            </w: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8, 2022</w:t>
            </w: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15, 2022</w:t>
            </w:r>
          </w:p>
        </w:tc>
      </w:tr>
      <w:tr>
        <w:trPr>
          <w:trHeight w:val="237"/>
        </w:trPr>
        <w:tc>
          <w:tcPr>
            <w:tcW w:w="200" w:type="dxa"/>
            <w:vAlign w:val="bottom"/>
            <w:tcBorders>
              <w:right w:val="single" w:sz="8" w:color="auto"/>
            </w:tcBorders>
          </w:tcPr>
          <w:p>
            <w:pPr>
              <w:spacing w:after="0"/>
              <w:rPr>
                <w:sz w:val="20"/>
                <w:szCs w:val="20"/>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Fixed to Floating Rate Preference Units</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preference unit</w:t>
            </w: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118"/>
        </w:trPr>
        <w:tc>
          <w:tcPr>
            <w:tcW w:w="200" w:type="dxa"/>
            <w:vAlign w:val="bottom"/>
            <w:tcBorders>
              <w:right w:val="single" w:sz="8" w:color="auto"/>
            </w:tcBorders>
          </w:tcPr>
          <w:p>
            <w:pPr>
              <w:spacing w:after="0"/>
              <w:rPr>
                <w:sz w:val="10"/>
                <w:szCs w:val="10"/>
                <w:color w:val="auto"/>
              </w:rPr>
            </w:pPr>
          </w:p>
        </w:tc>
        <w:tc>
          <w:tcPr>
            <w:tcW w:w="534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r>
      <w:tr>
        <w:trPr>
          <w:trHeight w:val="443"/>
        </w:trPr>
        <w:tc>
          <w:tcPr>
            <w:tcW w:w="5540" w:type="dxa"/>
            <w:vAlign w:val="bottom"/>
            <w:gridSpan w:val="2"/>
          </w:tcPr>
          <w:p>
            <w:pPr>
              <w:spacing w:after="0"/>
              <w:rPr>
                <w:sz w:val="20"/>
                <w:szCs w:val="20"/>
                <w:color w:val="auto"/>
              </w:rPr>
            </w:pPr>
            <w:r>
              <w:rPr>
                <w:rFonts w:ascii="Arial" w:cs="Arial" w:eastAsia="Arial" w:hAnsi="Arial"/>
                <w:sz w:val="20"/>
                <w:szCs w:val="20"/>
                <w:b w:val="1"/>
                <w:bCs w:val="1"/>
                <w:color w:val="auto"/>
              </w:rPr>
              <w:t>Contacts:</w:t>
            </w: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1"/>
        </w:trPr>
        <w:tc>
          <w:tcPr>
            <w:tcW w:w="5540" w:type="dxa"/>
            <w:vAlign w:val="bottom"/>
            <w:gridSpan w:val="2"/>
          </w:tcPr>
          <w:p>
            <w:pPr>
              <w:spacing w:after="0"/>
              <w:rPr>
                <w:sz w:val="20"/>
                <w:szCs w:val="20"/>
                <w:color w:val="auto"/>
              </w:rPr>
            </w:pPr>
            <w:r>
              <w:rPr>
                <w:rFonts w:ascii="Arial" w:cs="Arial" w:eastAsia="Arial" w:hAnsi="Arial"/>
                <w:sz w:val="20"/>
                <w:szCs w:val="20"/>
                <w:color w:val="auto"/>
              </w:rPr>
              <w:t>Joseph Nelson</w:t>
            </w: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5540" w:type="dxa"/>
            <w:vAlign w:val="bottom"/>
            <w:gridSpan w:val="2"/>
          </w:tcPr>
          <w:p>
            <w:pPr>
              <w:spacing w:after="0" w:line="216" w:lineRule="exact"/>
              <w:rPr>
                <w:sz w:val="20"/>
                <w:szCs w:val="20"/>
                <w:color w:val="auto"/>
              </w:rPr>
            </w:pPr>
            <w:r>
              <w:rPr>
                <w:rFonts w:ascii="Arial" w:cs="Arial" w:eastAsia="Arial" w:hAnsi="Arial"/>
                <w:sz w:val="20"/>
                <w:szCs w:val="20"/>
                <w:color w:val="auto"/>
              </w:rPr>
              <w:t>Head of Investor Relations</w:t>
            </w:r>
          </w:p>
        </w:tc>
        <w:tc>
          <w:tcPr>
            <w:tcW w:w="1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7"/>
        </w:trPr>
        <w:tc>
          <w:tcPr>
            <w:tcW w:w="5540" w:type="dxa"/>
            <w:vAlign w:val="bottom"/>
            <w:gridSpan w:val="2"/>
          </w:tcPr>
          <w:p>
            <w:pPr>
              <w:spacing w:after="0"/>
              <w:rPr>
                <w:sz w:val="20"/>
                <w:szCs w:val="20"/>
                <w:color w:val="auto"/>
              </w:rPr>
            </w:pPr>
            <w:r>
              <w:rPr>
                <w:rFonts w:ascii="Arial" w:cs="Arial" w:eastAsia="Arial" w:hAnsi="Arial"/>
                <w:sz w:val="20"/>
                <w:szCs w:val="20"/>
                <w:color w:val="auto"/>
              </w:rPr>
              <w:t>Phone: +1 212-223-0643</w:t>
            </w:r>
          </w:p>
        </w:tc>
        <w:tc>
          <w:tcPr>
            <w:tcW w:w="1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20"/>
                <w:szCs w:val="20"/>
                <w:color w:val="auto"/>
              </w:rPr>
              <w:t>Email: ir@gaslogmlp.com</w:t>
            </w: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1"/>
        </w:trPr>
        <w:tc>
          <w:tcPr>
            <w:tcW w:w="5540" w:type="dxa"/>
            <w:vAlign w:val="bottom"/>
            <w:gridSpan w:val="2"/>
          </w:tcPr>
          <w:p>
            <w:pPr>
              <w:spacing w:after="0"/>
              <w:rPr>
                <w:sz w:val="20"/>
                <w:szCs w:val="20"/>
                <w:color w:val="auto"/>
              </w:rPr>
            </w:pPr>
            <w:r>
              <w:rPr>
                <w:rFonts w:ascii="Arial" w:cs="Arial" w:eastAsia="Arial" w:hAnsi="Arial"/>
                <w:sz w:val="20"/>
                <w:szCs w:val="20"/>
                <w:color w:val="auto"/>
              </w:rPr>
              <w:t>Robert Brinberg</w:t>
            </w: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5540" w:type="dxa"/>
            <w:vAlign w:val="bottom"/>
            <w:gridSpan w:val="2"/>
          </w:tcPr>
          <w:p>
            <w:pPr>
              <w:spacing w:after="0" w:line="216" w:lineRule="exact"/>
              <w:rPr>
                <w:sz w:val="20"/>
                <w:szCs w:val="20"/>
                <w:color w:val="auto"/>
              </w:rPr>
            </w:pPr>
            <w:r>
              <w:rPr>
                <w:rFonts w:ascii="Arial" w:cs="Arial" w:eastAsia="Arial" w:hAnsi="Arial"/>
                <w:sz w:val="20"/>
                <w:szCs w:val="20"/>
                <w:color w:val="auto"/>
              </w:rPr>
              <w:t>Rose &amp; Company</w:t>
            </w:r>
          </w:p>
        </w:tc>
        <w:tc>
          <w:tcPr>
            <w:tcW w:w="1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7"/>
        </w:trPr>
        <w:tc>
          <w:tcPr>
            <w:tcW w:w="5540" w:type="dxa"/>
            <w:vAlign w:val="bottom"/>
            <w:gridSpan w:val="2"/>
          </w:tcPr>
          <w:p>
            <w:pPr>
              <w:spacing w:after="0"/>
              <w:rPr>
                <w:sz w:val="20"/>
                <w:szCs w:val="20"/>
                <w:color w:val="auto"/>
              </w:rPr>
            </w:pPr>
            <w:r>
              <w:rPr>
                <w:rFonts w:ascii="Arial" w:cs="Arial" w:eastAsia="Arial" w:hAnsi="Arial"/>
                <w:sz w:val="20"/>
                <w:szCs w:val="20"/>
                <w:color w:val="auto"/>
              </w:rPr>
              <w:t>Phone: +1 212-517-0810</w:t>
            </w:r>
          </w:p>
        </w:tc>
        <w:tc>
          <w:tcPr>
            <w:tcW w:w="1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20"/>
                <w:szCs w:val="20"/>
                <w:color w:val="auto"/>
              </w:rPr>
              <w:t>Email: gaslog@roseandco.com</w:t>
            </w: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 Partners</w:t>
      </w:r>
    </w:p>
    <w:p>
      <w:pPr>
        <w:spacing w:after="0" w:line="226"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GasLog Partners is a growth-oriented owner, operator and acquirer of LNG carriers. The Partnership’s fleet consists of 14 LNG wholly owned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2022-02-28T05:52:00Z</dcterms:created>
  <dcterms:modified xsi:type="dcterms:W3CDTF">2022-02-28T05:52:00Z</dcterms:modified>
</cp:coreProperties>
</file>