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38" w:lineRule="auto"/>
        <w:rPr>
          <w:sz w:val="20"/>
          <w:szCs w:val="20"/>
          <w:color w:val="auto"/>
        </w:rPr>
      </w:pPr>
      <w:r>
        <w:rPr>
          <w:rFonts w:ascii="Courier New" w:cs="Courier New" w:eastAsia="Courier New" w:hAnsi="Courier New"/>
          <w:sz w:val="18"/>
          <w:szCs w:val="18"/>
          <w:color w:val="auto"/>
        </w:rPr>
        <w:t>GASLOG PARTNERS LP</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#Y2687W108</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ind w:left="1060"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13d-1(b)</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13d-1(c)</w:t>
      </w:r>
    </w:p>
    <w:p>
      <w:pPr>
        <w:spacing w:after="0" w:line="4" w:lineRule="exact"/>
        <w:rPr>
          <w:rFonts w:ascii="Courier New" w:cs="Courier New" w:eastAsia="Courier New" w:hAnsi="Courier New"/>
          <w:sz w:val="18"/>
          <w:szCs w:val="18"/>
          <w:color w:val="auto"/>
        </w:rPr>
      </w:pPr>
    </w:p>
    <w:p>
      <w:pPr>
        <w:ind w:right="7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Rule 13d-1(d) Cusip #Y2687W108</w:t>
      </w:r>
    </w:p>
    <w:p>
      <w:pPr>
        <w:spacing w:after="0" w:line="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1:</w:t>
      </w:r>
      <w:r>
        <w:rPr>
          <w:rFonts w:ascii="Courier New" w:cs="Courier New" w:eastAsia="Courier New" w:hAnsi="Courier New"/>
          <w:sz w:val="16"/>
          <w:szCs w:val="16"/>
          <w:color w:val="auto"/>
        </w:rPr>
        <w:t>Reporting Person - FMR LLC</w:t>
      </w:r>
    </w:p>
    <w:tbl>
      <w:tblPr>
        <w:tblLayout w:type="fixed"/>
        <w:tblInd w:w="0" w:type="dxa"/>
        <w:tblCellMar>
          <w:top w:w="0" w:type="dxa"/>
          <w:left w:w="0" w:type="dxa"/>
          <w:bottom w:w="0" w:type="dxa"/>
          <w:right w:w="0" w:type="dxa"/>
        </w:tblCellMar>
      </w:tblPr>
      <w:tr>
        <w:trPr>
          <w:trHeight w:val="203"/>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rPr>
                <w:sz w:val="20"/>
                <w:szCs w:val="20"/>
                <w:color w:val="auto"/>
              </w:rPr>
            </w:pPr>
            <w:r>
              <w:rPr>
                <w:rFonts w:ascii="Courier New" w:cs="Courier New" w:eastAsia="Courier New" w:hAnsi="Courier New"/>
                <w:sz w:val="18"/>
                <w:szCs w:val="18"/>
                <w:color w:val="auto"/>
              </w:rPr>
              <w:t>(a)</w:t>
            </w:r>
          </w:p>
        </w:tc>
        <w:tc>
          <w:tcPr>
            <w:tcW w:w="4960" w:type="dxa"/>
            <w:vAlign w:val="bottom"/>
          </w:tcPr>
          <w:p>
            <w:pPr>
              <w:spacing w:after="0"/>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Delaware</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17,919</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4,070,397</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4,070,397</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14.311%</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HC</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#Y2687W108</w:t>
            </w:r>
          </w:p>
        </w:tc>
        <w:tc>
          <w:tcPr>
            <w:tcW w:w="11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Reporting Person - Abigail P. Johnson</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United States of America</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4,070,397</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4,070,397</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14.311%</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#Y2687W108</w:t>
            </w:r>
          </w:p>
        </w:tc>
        <w:tc>
          <w:tcPr>
            <w:tcW w:w="11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7"/>
              </w:rPr>
              <w:t>Reporting Person - Fidelity Series Value Discovery Fund</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w:t>
            </w:r>
          </w:p>
        </w:tc>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2280" w:type="dxa"/>
            <w:vAlign w:val="bottom"/>
          </w:tcPr>
          <w:p>
            <w:pPr>
              <w:ind w:left="1700"/>
              <w:spacing w:after="0" w:line="203" w:lineRule="exact"/>
              <w:rPr>
                <w:sz w:val="20"/>
                <w:szCs w:val="20"/>
                <w:color w:val="auto"/>
              </w:rPr>
            </w:pPr>
            <w:r>
              <w:rPr>
                <w:rFonts w:ascii="Courier New" w:cs="Courier New" w:eastAsia="Courier New" w:hAnsi="Courier New"/>
                <w:sz w:val="18"/>
                <w:szCs w:val="18"/>
                <w:color w:val="auto"/>
              </w:rPr>
              <w:t>(b)</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 ]</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4:</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Massachusetts</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5:</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1,532,500</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6:</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7:</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8:</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9:</w:t>
            </w:r>
          </w:p>
        </w:tc>
        <w:tc>
          <w:tcPr>
            <w:tcW w:w="60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1,532,500</w:t>
            </w: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11:</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5.388%</w:t>
            </w:r>
          </w:p>
        </w:tc>
        <w:tc>
          <w:tcPr>
            <w:tcW w:w="4960" w:type="dxa"/>
            <w:vAlign w:val="bottom"/>
          </w:tcPr>
          <w:p>
            <w:pPr>
              <w:spacing w:after="0"/>
              <w:rPr>
                <w:sz w:val="17"/>
                <w:szCs w:val="17"/>
                <w:color w:val="auto"/>
              </w:rPr>
            </w:pPr>
          </w:p>
        </w:tc>
      </w:tr>
      <w:tr>
        <w:trPr>
          <w:trHeight w:val="203"/>
        </w:trPr>
        <w:tc>
          <w:tcPr>
            <w:tcW w:w="22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12:</w:t>
            </w:r>
          </w:p>
        </w:tc>
        <w:tc>
          <w:tcPr>
            <w:tcW w:w="1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IV</w:t>
            </w:r>
          </w:p>
        </w:tc>
        <w:tc>
          <w:tcPr>
            <w:tcW w:w="4960" w:type="dxa"/>
            <w:vAlign w:val="bottom"/>
          </w:tcPr>
          <w:p>
            <w:pPr>
              <w:spacing w:after="0"/>
              <w:rPr>
                <w:sz w:val="17"/>
                <w:szCs w:val="17"/>
                <w:color w:val="auto"/>
              </w:rPr>
            </w:pP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60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Name of Issuer:</w:t>
            </w:r>
          </w:p>
        </w:tc>
      </w:tr>
      <w:tr>
        <w:trPr>
          <w:trHeight w:val="405"/>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960" w:type="dxa"/>
            <w:vAlign w:val="bottom"/>
          </w:tcPr>
          <w:p>
            <w:pPr>
              <w:spacing w:after="0"/>
              <w:rPr>
                <w:sz w:val="20"/>
                <w:szCs w:val="20"/>
                <w:color w:val="auto"/>
              </w:rPr>
            </w:pPr>
            <w:r>
              <w:rPr>
                <w:rFonts w:ascii="Courier New" w:cs="Courier New" w:eastAsia="Courier New" w:hAnsi="Courier New"/>
                <w:sz w:val="18"/>
                <w:szCs w:val="18"/>
                <w:color w:val="auto"/>
              </w:rPr>
              <w:t>GASLOG PARTNERS LP</w:t>
            </w:r>
          </w:p>
        </w:tc>
      </w:tr>
      <w:tr>
        <w:trPr>
          <w:trHeight w:val="405"/>
        </w:trPr>
        <w:tc>
          <w:tcPr>
            <w:tcW w:w="22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60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Address of Issuer's Principal Executive Offices:</w:t>
            </w:r>
          </w:p>
        </w:tc>
      </w:tr>
    </w:tbl>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81 KINGS ROAD</w:t>
      </w:r>
    </w:p>
    <w:p>
      <w:pPr>
        <w:spacing w:after="0" w:line="238" w:lineRule="auto"/>
        <w:rPr>
          <w:sz w:val="20"/>
          <w:szCs w:val="20"/>
          <w:color w:val="auto"/>
        </w:rPr>
      </w:pPr>
      <w:r>
        <w:rPr>
          <w:rFonts w:ascii="Courier New" w:cs="Courier New" w:eastAsia="Courier New" w:hAnsi="Courier New"/>
          <w:sz w:val="18"/>
          <w:szCs w:val="18"/>
          <w:color w:val="auto"/>
        </w:rPr>
        <w:t>C/O GASLOG SERVICES UK LTD</w:t>
      </w:r>
    </w:p>
    <w:p>
      <w:pPr>
        <w:ind w:left="3380"/>
        <w:spacing w:after="0"/>
        <w:rPr>
          <w:sz w:val="20"/>
          <w:szCs w:val="20"/>
          <w:color w:val="auto"/>
        </w:rPr>
      </w:pPr>
      <w:r>
        <w:rPr>
          <w:rFonts w:ascii="Courier New" w:cs="Courier New" w:eastAsia="Courier New" w:hAnsi="Courier New"/>
          <w:sz w:val="18"/>
          <w:szCs w:val="18"/>
          <w:color w:val="auto"/>
        </w:rPr>
        <w:t>LONDON, X0 SW3 4NX</w:t>
      </w:r>
    </w:p>
    <w:p>
      <w:pPr>
        <w:ind w:left="3380"/>
        <w:spacing w:after="0" w:line="237" w:lineRule="auto"/>
        <w:rPr>
          <w:sz w:val="20"/>
          <w:szCs w:val="20"/>
          <w:color w:val="auto"/>
        </w:rPr>
      </w:pPr>
      <w:r>
        <w:rPr>
          <w:rFonts w:ascii="Courier New" w:cs="Courier New" w:eastAsia="Courier New" w:hAnsi="Courier New"/>
          <w:sz w:val="18"/>
          <w:szCs w:val="18"/>
          <w:color w:val="auto"/>
        </w:rPr>
        <w:t>GB</w:t>
      </w:r>
    </w:p>
    <w:p>
      <w:pPr>
        <w:spacing w:after="0" w:line="202" w:lineRule="exact"/>
        <w:rPr>
          <w:sz w:val="24"/>
          <w:szCs w:val="24"/>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2419"/>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398"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262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Y2687W108</w:t>
      </w:r>
    </w:p>
    <w:p>
      <w:pPr>
        <w:spacing w:after="0" w:line="201" w:lineRule="exact"/>
        <w:rPr>
          <w:sz w:val="24"/>
          <w:szCs w:val="24"/>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This statement is filed pursuant to Rule 13d-1(b) or 13d-2(b)</w:t>
      </w:r>
    </w:p>
    <w:p>
      <w:pPr>
        <w:sectPr>
          <w:pgSz w:w="11900" w:h="16855"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or (c) and the</w:t>
      </w:r>
    </w:p>
    <w:p>
      <w:pPr>
        <w:spacing w:after="0" w:line="4"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person filing, FMR LLC, is a parent holding company in accordance with Section 240.13d-1(b)(1)(ii)(G). (Note: See Exhibit 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384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Ownership</w:t>
            </w: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1640" w:type="dxa"/>
            <w:vAlign w:val="bottom"/>
          </w:tcPr>
          <w:p>
            <w:pPr>
              <w:spacing w:after="0"/>
              <w:rPr>
                <w:sz w:val="24"/>
                <w:szCs w:val="24"/>
                <w:color w:val="auto"/>
              </w:rPr>
            </w:pPr>
          </w:p>
        </w:tc>
        <w:tc>
          <w:tcPr>
            <w:tcW w:w="1420" w:type="dxa"/>
            <w:vAlign w:val="bottom"/>
          </w:tcPr>
          <w:p>
            <w:pPr>
              <w:ind w:left="900"/>
              <w:spacing w:after="0"/>
              <w:rPr>
                <w:sz w:val="20"/>
                <w:szCs w:val="20"/>
                <w:color w:val="auto"/>
              </w:rPr>
            </w:pPr>
            <w:r>
              <w:rPr>
                <w:rFonts w:ascii="Courier New" w:cs="Courier New" w:eastAsia="Courier New" w:hAnsi="Courier New"/>
                <w:sz w:val="18"/>
                <w:szCs w:val="18"/>
                <w:color w:val="auto"/>
              </w:rPr>
              <w:t>(a)</w:t>
            </w:r>
          </w:p>
        </w:tc>
        <w:tc>
          <w:tcPr>
            <w:tcW w:w="36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Amount Beneficially Owned: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4,070,397</w:t>
            </w:r>
          </w:p>
        </w:tc>
      </w:tr>
      <w:tr>
        <w:trPr>
          <w:trHeight w:val="405"/>
        </w:trPr>
        <w:tc>
          <w:tcPr>
            <w:tcW w:w="1640" w:type="dxa"/>
            <w:vAlign w:val="bottom"/>
          </w:tcPr>
          <w:p>
            <w:pPr>
              <w:spacing w:after="0"/>
              <w:rPr>
                <w:sz w:val="24"/>
                <w:szCs w:val="24"/>
                <w:color w:val="auto"/>
              </w:rPr>
            </w:pPr>
          </w:p>
        </w:tc>
        <w:tc>
          <w:tcPr>
            <w:tcW w:w="1420" w:type="dxa"/>
            <w:vAlign w:val="bottom"/>
          </w:tcPr>
          <w:p>
            <w:pPr>
              <w:ind w:left="900"/>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20"/>
              <w:spacing w:after="0"/>
              <w:rPr>
                <w:sz w:val="20"/>
                <w:szCs w:val="20"/>
                <w:color w:val="auto"/>
              </w:rPr>
            </w:pPr>
            <w:r>
              <w:rPr>
                <w:rFonts w:ascii="Courier New" w:cs="Courier New" w:eastAsia="Courier New" w:hAnsi="Courier New"/>
                <w:sz w:val="18"/>
                <w:szCs w:val="18"/>
                <w:color w:val="auto"/>
              </w:rPr>
              <w:t>Percent of Class:</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14.311%</w:t>
            </w:r>
          </w:p>
        </w:tc>
        <w:tc>
          <w:tcPr>
            <w:tcW w:w="1000" w:type="dxa"/>
            <w:vAlign w:val="bottom"/>
          </w:tcPr>
          <w:p>
            <w:pPr>
              <w:spacing w:after="0"/>
              <w:rPr>
                <w:sz w:val="24"/>
                <w:szCs w:val="24"/>
                <w:color w:val="auto"/>
              </w:rPr>
            </w:pPr>
          </w:p>
        </w:tc>
      </w:tr>
    </w:tbl>
    <w:p>
      <w:pPr>
        <w:spacing w:after="0" w:line="201" w:lineRule="exact"/>
        <w:rPr>
          <w:sz w:val="20"/>
          <w:szCs w:val="20"/>
          <w:color w:val="auto"/>
        </w:rPr>
      </w:pPr>
    </w:p>
    <w:p>
      <w:pPr>
        <w:ind w:left="3280" w:hanging="743"/>
        <w:spacing w:after="0"/>
        <w:tabs>
          <w:tab w:leader="none" w:pos="3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4020" w:hanging="746"/>
        <w:spacing w:after="0"/>
        <w:tabs>
          <w:tab w:leader="none" w:pos="40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tbl>
      <w:tblPr>
        <w:tblLayout w:type="fixed"/>
        <w:tblInd w:w="0" w:type="dxa"/>
        <w:tblCellMar>
          <w:top w:w="0" w:type="dxa"/>
          <w:left w:w="0" w:type="dxa"/>
          <w:bottom w:w="0" w:type="dxa"/>
          <w:right w:w="0" w:type="dxa"/>
        </w:tblCellMar>
      </w:tblP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17,919</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vote or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to direct the vote:</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(iii)</w:t>
            </w:r>
          </w:p>
        </w:tc>
        <w:tc>
          <w:tcPr>
            <w:tcW w:w="48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sole power to dispose 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4,070,397</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1220"/>
              <w:spacing w:after="0"/>
              <w:rPr>
                <w:sz w:val="20"/>
                <w:szCs w:val="20"/>
                <w:color w:val="auto"/>
              </w:rPr>
            </w:pPr>
            <w:r>
              <w:rPr>
                <w:rFonts w:ascii="Courier New" w:cs="Courier New" w:eastAsia="Courier New" w:hAnsi="Courier New"/>
                <w:sz w:val="18"/>
                <w:szCs w:val="18"/>
                <w:color w:val="auto"/>
              </w:rPr>
              <w:t>(iv)</w:t>
            </w:r>
          </w:p>
        </w:tc>
        <w:tc>
          <w:tcPr>
            <w:tcW w:w="2480" w:type="dxa"/>
            <w:vAlign w:val="bottom"/>
          </w:tcPr>
          <w:p>
            <w:pPr>
              <w:jc w:val="right"/>
              <w:spacing w:after="0"/>
              <w:rPr>
                <w:sz w:val="20"/>
                <w:szCs w:val="20"/>
                <w:color w:val="auto"/>
              </w:rPr>
            </w:pPr>
            <w:r>
              <w:rPr>
                <w:rFonts w:ascii="Courier New" w:cs="Courier New" w:eastAsia="Courier New" w:hAnsi="Courier New"/>
                <w:sz w:val="18"/>
                <w:szCs w:val="18"/>
                <w:color w:val="auto"/>
                <w:w w:val="96"/>
              </w:rPr>
              <w:t>shared power to dispose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or to direct the</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 of:</w:t>
            </w:r>
          </w:p>
        </w:tc>
        <w:tc>
          <w:tcPr>
            <w:tcW w:w="206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w:t>
            </w: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Five Percent or Less of a</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Class.</w:t>
            </w: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4"/>
                <w:szCs w:val="24"/>
                <w:color w:val="auto"/>
              </w:rPr>
            </w:pPr>
          </w:p>
        </w:tc>
        <w:tc>
          <w:tcPr>
            <w:tcW w:w="2060" w:type="dxa"/>
            <w:vAlign w:val="bottom"/>
          </w:tcPr>
          <w:p>
            <w:pPr>
              <w:ind w:left="480"/>
              <w:spacing w:after="0"/>
              <w:rPr>
                <w:sz w:val="20"/>
                <w:szCs w:val="20"/>
                <w:color w:val="auto"/>
              </w:rPr>
            </w:pPr>
            <w:r>
              <w:rPr>
                <w:rFonts w:ascii="Courier New" w:cs="Courier New" w:eastAsia="Courier New" w:hAnsi="Courier New"/>
                <w:sz w:val="18"/>
                <w:szCs w:val="18"/>
                <w:color w:val="auto"/>
                <w:w w:val="96"/>
              </w:rPr>
              <w:t>Not applicable.</w:t>
            </w:r>
          </w:p>
        </w:tc>
        <w:tc>
          <w:tcPr>
            <w:tcW w:w="24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05"/>
        </w:trPr>
        <w:tc>
          <w:tcPr>
            <w:tcW w:w="20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4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Ownership of More than Five Percent on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Behalf of Another</w:t>
            </w:r>
          </w:p>
        </w:tc>
        <w:tc>
          <w:tcPr>
            <w:tcW w:w="420" w:type="dxa"/>
            <w:vAlign w:val="bottom"/>
          </w:tcPr>
          <w:p>
            <w:pPr>
              <w:spacing w:after="0"/>
              <w:rPr>
                <w:sz w:val="24"/>
                <w:szCs w:val="24"/>
                <w:color w:val="auto"/>
              </w:rPr>
            </w:pP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06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w:t>
      </w:r>
    </w:p>
    <w:p>
      <w:pPr>
        <w:spacing w:after="0" w:line="6"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sale of, the COMMON STOCK of GASLOG PARTNERS LP. No one other person's interest in the COMMON STOCK of GASLOG PARTNERS LP is more than five percent of the total outstanding COMMON STOCK.</w:t>
      </w:r>
    </w:p>
    <w:p>
      <w:pPr>
        <w:spacing w:after="0" w:line="209" w:lineRule="exact"/>
        <w:rPr>
          <w:sz w:val="20"/>
          <w:szCs w:val="20"/>
          <w:color w:val="auto"/>
        </w:rPr>
      </w:pPr>
    </w:p>
    <w:p>
      <w:pPr>
        <w:ind w:right="167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4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April 9, 2018</w:t>
      </w:r>
    </w:p>
    <w:p>
      <w:pPr>
        <w:ind w:left="860"/>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 Marc R. Bryant</w:t>
      </w:r>
    </w:p>
    <w:p>
      <w:pPr>
        <w:ind w:left="8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Marc R. Bryant</w:t>
      </w:r>
    </w:p>
    <w:p>
      <w:pPr>
        <w:spacing w:after="0" w:line="4"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September 23, 2015, by and on behalf of FMR LLC and its direct and indirect subsidiaries*</w:t>
      </w:r>
    </w:p>
    <w:p>
      <w:pPr>
        <w:sectPr>
          <w:pgSz w:w="11900" w:h="16838" w:orient="portrait"/>
          <w:cols w:equalWidth="0" w:num="1">
            <w:col w:w="10219"/>
          </w:cols>
          <w:pgMar w:left="240" w:top="136" w:right="1440" w:bottom="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This power of attorney is incorporated herein by reference to Exhibit 24</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to the Schedule 13G filed by FMR LLC on June 10, 2016, accession number:</w:t>
      </w:r>
    </w:p>
    <w:p>
      <w:pPr>
        <w:spacing w:after="0" w:line="238" w:lineRule="auto"/>
        <w:rPr>
          <w:sz w:val="20"/>
          <w:szCs w:val="20"/>
          <w:color w:val="auto"/>
        </w:rPr>
      </w:pPr>
      <w:r>
        <w:rPr>
          <w:rFonts w:ascii="Courier New" w:cs="Courier New" w:eastAsia="Courier New" w:hAnsi="Courier New"/>
          <w:sz w:val="18"/>
          <w:szCs w:val="18"/>
          <w:color w:val="auto"/>
        </w:rPr>
        <w:t>0000315066-16-005935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619" w:firstLine="179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pacing w:after="0" w:line="200" w:lineRule="exact"/>
        <w:rPr>
          <w:sz w:val="20"/>
          <w:szCs w:val="20"/>
          <w:color w:val="auto"/>
        </w:rPr>
      </w:pPr>
    </w:p>
    <w:p>
      <w:pPr>
        <w:spacing w:after="0" w:line="20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Entity</w:t>
        <w:tab/>
        <w:t>ITEM 3 Classification</w:t>
      </w:r>
    </w:p>
    <w:p>
      <w:pPr>
        <w:spacing w:after="0"/>
        <w:tabs>
          <w:tab w:leader="none" w:pos="1680" w:val="left"/>
        </w:tabs>
        <w:rPr>
          <w:sz w:val="20"/>
          <w:szCs w:val="20"/>
          <w:color w:val="auto"/>
        </w:rPr>
      </w:pPr>
      <w:r>
        <w:rPr>
          <w:rFonts w:ascii="Courier New" w:cs="Courier New" w:eastAsia="Courier New" w:hAnsi="Courier New"/>
          <w:sz w:val="18"/>
          <w:szCs w:val="18"/>
          <w:color w:val="auto"/>
        </w:rPr>
        <w:t>FIAM LLC</w:t>
      </w:r>
      <w:r>
        <w:rPr>
          <w:sz w:val="20"/>
          <w:szCs w:val="20"/>
          <w:color w:val="auto"/>
        </w:rPr>
        <w:tab/>
      </w:r>
      <w:r>
        <w:rPr>
          <w:rFonts w:ascii="Courier New" w:cs="Courier New" w:eastAsia="Courier New" w:hAnsi="Courier New"/>
          <w:sz w:val="16"/>
          <w:szCs w:val="16"/>
          <w:color w:val="auto"/>
        </w:rPr>
        <w:t>IA</w:t>
      </w:r>
    </w:p>
    <w:p>
      <w:pPr>
        <w:spacing w:after="0"/>
        <w:tabs>
          <w:tab w:leader="none" w:pos="1680" w:val="left"/>
        </w:tabs>
        <w:rPr>
          <w:sz w:val="20"/>
          <w:szCs w:val="20"/>
          <w:color w:val="auto"/>
        </w:rPr>
      </w:pPr>
      <w:r>
        <w:rPr>
          <w:rFonts w:ascii="Courier New" w:cs="Courier New" w:eastAsia="Courier New" w:hAnsi="Courier New"/>
          <w:sz w:val="18"/>
          <w:szCs w:val="18"/>
          <w:color w:val="auto"/>
        </w:rPr>
        <w:t>FMR CO., INC *</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209" w:lineRule="exact"/>
        <w:rPr>
          <w:sz w:val="20"/>
          <w:szCs w:val="20"/>
          <w:color w:val="auto"/>
        </w:rPr>
      </w:pPr>
    </w:p>
    <w:p>
      <w:pPr>
        <w:ind w:right="2519" w:firstLine="8"/>
        <w:spacing w:after="0" w:line="235"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2839" w:firstLine="1685"/>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1685"/>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319" w:firstLine="1685"/>
        <w:spacing w:after="0" w:line="271" w:lineRule="auto"/>
        <w:rPr>
          <w:sz w:val="20"/>
          <w:szCs w:val="20"/>
          <w:color w:val="auto"/>
        </w:rPr>
      </w:pPr>
      <w:r>
        <w:rPr>
          <w:rFonts w:ascii="Courier New" w:cs="Courier New" w:eastAsia="Courier New" w:hAnsi="Courier New"/>
          <w:sz w:val="16"/>
          <w:szCs w:val="16"/>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0" w:lineRule="exact"/>
        <w:rPr>
          <w:sz w:val="20"/>
          <w:szCs w:val="20"/>
          <w:color w:val="auto"/>
        </w:rPr>
      </w:pPr>
    </w:p>
    <w:p>
      <w:pPr>
        <w:spacing w:after="0" w:line="209" w:lineRule="exact"/>
        <w:rPr>
          <w:sz w:val="20"/>
          <w:szCs w:val="20"/>
          <w:color w:val="auto"/>
        </w:rPr>
      </w:pPr>
    </w:p>
    <w:p>
      <w:pPr>
        <w:ind w:right="2619" w:firstLine="1685"/>
        <w:spacing w:after="0" w:line="237" w:lineRule="auto"/>
        <w:rPr>
          <w:sz w:val="20"/>
          <w:szCs w:val="20"/>
          <w:color w:val="auto"/>
        </w:rPr>
      </w:pPr>
      <w:r>
        <w:rPr>
          <w:rFonts w:ascii="Courier New" w:cs="Courier New" w:eastAsia="Courier New" w:hAnsi="Courier New"/>
          <w:sz w:val="18"/>
          <w:szCs w:val="18"/>
          <w:color w:val="auto"/>
        </w:rPr>
        <w:t>The undersigned persons, on April 9, 2018, agree and consent to the joint filing on their behalf of this Schedule 13G in connection with their beneficial ownership of the COMMON STOCK of GASLOG PARTNERS LP at March 29, 2018.</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jc w:val="right"/>
        <w:ind w:right="2099"/>
        <w:spacing w:after="0"/>
        <w:rPr>
          <w:sz w:val="20"/>
          <w:szCs w:val="20"/>
          <w:color w:val="auto"/>
        </w:rPr>
      </w:pPr>
      <w:r>
        <w:rPr>
          <w:rFonts w:ascii="Courier New" w:cs="Courier New" w:eastAsia="Courier New" w:hAnsi="Courier New"/>
          <w:sz w:val="18"/>
          <w:szCs w:val="18"/>
          <w:color w:val="auto"/>
        </w:rPr>
        <w:t>Duly authorized under Power of Attorney effective as of September 23,</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2015, by and on behalf of FMR LLC and its direct and indirect subsidiaries*</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spacing w:after="0" w:line="5" w:lineRule="exact"/>
        <w:rPr>
          <w:sz w:val="20"/>
          <w:szCs w:val="20"/>
          <w:color w:val="auto"/>
        </w:rPr>
      </w:pPr>
    </w:p>
    <w:p>
      <w:pPr>
        <w:ind w:right="2199" w:firstLine="843"/>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December 16, 2015, by and on behalf of Abigail P. Johnson*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Series Value Discovery Fund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Marc R. Bryant</w:t>
      </w:r>
    </w:p>
    <w:p>
      <w:pPr>
        <w:ind w:left="860"/>
        <w:spacing w:after="0" w:line="238" w:lineRule="auto"/>
        <w:rPr>
          <w:sz w:val="20"/>
          <w:szCs w:val="20"/>
          <w:color w:val="auto"/>
        </w:rPr>
      </w:pPr>
      <w:r>
        <w:rPr>
          <w:rFonts w:ascii="Courier New" w:cs="Courier New" w:eastAsia="Courier New" w:hAnsi="Courier New"/>
          <w:sz w:val="18"/>
          <w:szCs w:val="18"/>
          <w:color w:val="auto"/>
        </w:rPr>
        <w:t>Marc R. Bryant</w:t>
      </w:r>
    </w:p>
    <w:p>
      <w:pPr>
        <w:ind w:left="86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9" w:lineRule="exact"/>
        <w:rPr>
          <w:sz w:val="20"/>
          <w:szCs w:val="20"/>
          <w:color w:val="auto"/>
        </w:rPr>
      </w:pPr>
    </w:p>
    <w:p>
      <w:pPr>
        <w:ind w:right="2419" w:firstLine="8"/>
        <w:spacing w:after="0" w:line="236" w:lineRule="auto"/>
        <w:tabs>
          <w:tab w:leader="none" w:pos="21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June 10, 2016, accession number: 0000315066-16-005935</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Roman"/>
      <w:start w:val="10"/>
    </w:lvl>
  </w:abstractNum>
  <w:abstractNum w:abstractNumId="1">
    <w:nsid w:val="19495CFF"/>
    <w:multiLevelType w:val="hybridMultilevel"/>
    <w:lvl w:ilvl="0">
      <w:lvlJc w:val="left"/>
      <w:lvlText w:val="(%1)"/>
      <w:numFmt w:val="lowerLetter"/>
      <w:start w:val="3"/>
    </w:lvl>
    <w:lvl w:ilvl="1">
      <w:lvlJc w:val="left"/>
      <w:lvlText w:val="(%2)"/>
      <w:numFmt w:val="lowerLetter"/>
      <w:start w:val="9"/>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2019-12-08T09:50:36Z</dcterms:created>
  <dcterms:modified xsi:type="dcterms:W3CDTF">2019-12-08T09:50:36Z</dcterms:modified>
</cp:coreProperties>
</file>