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80" w:val="left"/>
          <w:tab w:leader="none" w:pos="22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40-F</w:t>
      </w:r>
      <w:r>
        <w:rPr>
          <w:sz w:val="20"/>
          <w:szCs w:val="20"/>
          <w:color w:val="auto"/>
        </w:rPr>
        <w:tab/>
      </w:r>
      <w:r>
        <w:rPr>
          <w:rFonts w:ascii="Arial" w:cs="Arial" w:eastAsia="Arial" w:hAnsi="Arial"/>
          <w:sz w:val="13"/>
          <w:szCs w:val="13"/>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620" w:firstLine="495"/>
        <w:spacing w:after="0" w:line="277" w:lineRule="auto"/>
        <w:rPr>
          <w:sz w:val="20"/>
          <w:szCs w:val="20"/>
          <w:color w:val="auto"/>
        </w:rPr>
      </w:pPr>
      <w:r>
        <w:rPr>
          <w:rFonts w:ascii="Arial" w:cs="Arial" w:eastAsia="Arial" w:hAnsi="Arial"/>
          <w:sz w:val="18"/>
          <w:szCs w:val="18"/>
          <w:color w:val="auto"/>
        </w:rPr>
        <w:t>The proxy statement and the proxy for the 2020 Annual Meeting of Limited Partners of GasLog Partners LP are included as Exhibit 99.1 and Exhibit 99.2, respectively, and are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0280" w:type="dxa"/>
            <w:vAlign w:val="bottom"/>
          </w:tcPr>
          <w:p>
            <w:pPr>
              <w:ind w:left="4060"/>
              <w:spacing w:after="0"/>
              <w:rPr>
                <w:sz w:val="20"/>
                <w:szCs w:val="20"/>
                <w:color w:val="auto"/>
              </w:rPr>
            </w:pPr>
            <w:r>
              <w:rPr>
                <w:rFonts w:ascii="Arial" w:cs="Arial" w:eastAsia="Arial" w:hAnsi="Arial"/>
                <w:sz w:val="18"/>
                <w:szCs w:val="18"/>
                <w:color w:val="auto"/>
              </w:rPr>
              <w:t>EXHIBIT LIST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w:t>
            </w:r>
          </w:p>
        </w:tc>
        <w:tc>
          <w:tcPr>
            <w:tcW w:w="10280" w:type="dxa"/>
            <w:vAlign w:val="bottom"/>
          </w:tcPr>
          <w:p>
            <w:pPr>
              <w:ind w:left="480"/>
              <w:spacing w:after="0"/>
              <w:rPr>
                <w:sz w:val="20"/>
                <w:szCs w:val="20"/>
                <w:color w:val="auto"/>
              </w:rPr>
            </w:pPr>
            <w:r>
              <w:rPr>
                <w:rFonts w:ascii="Arial" w:cs="Arial" w:eastAsia="Arial" w:hAnsi="Arial"/>
                <w:sz w:val="18"/>
                <w:szCs w:val="18"/>
                <w:color w:val="auto"/>
              </w:rPr>
              <w:t>Description</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480"/>
              <w:spacing w:after="0"/>
              <w:rPr>
                <w:sz w:val="20"/>
                <w:szCs w:val="20"/>
                <w:color w:val="auto"/>
              </w:rPr>
            </w:pPr>
            <w:r>
              <w:rPr>
                <w:rFonts w:ascii="Arial" w:cs="Arial" w:eastAsia="Arial" w:hAnsi="Arial"/>
                <w:sz w:val="18"/>
                <w:szCs w:val="18"/>
                <w:color w:val="auto"/>
              </w:rPr>
              <w:t>Proxy Statement for the 2020 Annual Meeting of Limited Partners of GasLog Partners LP</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10280" w:type="dxa"/>
            <w:vAlign w:val="bottom"/>
          </w:tcPr>
          <w:p>
            <w:pPr>
              <w:ind w:left="480"/>
              <w:spacing w:after="0"/>
              <w:rPr>
                <w:sz w:val="20"/>
                <w:szCs w:val="20"/>
                <w:color w:val="auto"/>
              </w:rPr>
            </w:pPr>
            <w:r>
              <w:rPr>
                <w:rFonts w:ascii="Arial" w:cs="Arial" w:eastAsia="Arial" w:hAnsi="Arial"/>
                <w:sz w:val="18"/>
                <w:szCs w:val="18"/>
                <w:color w:val="auto"/>
              </w:rPr>
              <w:t>Proxy for the 2020 Annual Meeting of Limited Partners of GasLog Partners LP</w:t>
            </w:r>
          </w:p>
        </w:tc>
      </w:tr>
      <w:tr>
        <w:trPr>
          <w:trHeight w:val="348"/>
        </w:trPr>
        <w:tc>
          <w:tcPr>
            <w:tcW w:w="100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50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69 Akti Miaouli</w:t>
      </w:r>
    </w:p>
    <w:p>
      <w:pPr>
        <w:jc w:val="center"/>
        <w:spacing w:after="0" w:line="234" w:lineRule="auto"/>
        <w:rPr>
          <w:sz w:val="20"/>
          <w:szCs w:val="20"/>
          <w:color w:val="auto"/>
        </w:rPr>
      </w:pPr>
      <w:r>
        <w:rPr>
          <w:rFonts w:ascii="Arial" w:cs="Arial" w:eastAsia="Arial" w:hAnsi="Arial"/>
          <w:sz w:val="18"/>
          <w:szCs w:val="18"/>
          <w:b w:val="1"/>
          <w:bCs w:val="1"/>
          <w:color w:val="auto"/>
        </w:rPr>
        <w:t>18537 Piraeus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Greece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Limited Partner:</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you are cordially invited to attend the 2020 Annual Meeting of the limited partners (the “Limited</w:t>
      </w:r>
    </w:p>
    <w:p>
      <w:pPr>
        <w:spacing w:after="0"/>
        <w:rPr>
          <w:sz w:val="20"/>
          <w:szCs w:val="20"/>
          <w:color w:val="auto"/>
        </w:rPr>
      </w:pPr>
      <w:r>
        <w:rPr>
          <w:rFonts w:ascii="Arial" w:cs="Arial" w:eastAsia="Arial" w:hAnsi="Arial"/>
          <w:sz w:val="18"/>
          <w:szCs w:val="18"/>
          <w:color w:val="auto"/>
        </w:rPr>
        <w:t>Partners”) holding common units representing limited partner interests in GasLog Partners LP. The meeting will be held at:</w:t>
      </w:r>
    </w:p>
    <w:p>
      <w:pPr>
        <w:spacing w:after="0" w:line="190"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7"/>
          <w:szCs w:val="17"/>
          <w:color w:val="auto"/>
        </w:rPr>
        <w:t>Rosewood Bermuda, 60 Tucker’s Point Dr., Hamilton Parish, HS 02, Bermuda</w:t>
      </w:r>
    </w:p>
    <w:p>
      <w:pPr>
        <w:spacing w:after="0" w:line="212"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Thursday, May 14, 2020</w:t>
      </w:r>
    </w:p>
    <w:p>
      <w:pPr>
        <w:spacing w:after="0" w:line="212" w:lineRule="exact"/>
        <w:rPr>
          <w:sz w:val="20"/>
          <w:szCs w:val="20"/>
          <w:color w:val="auto"/>
        </w:rPr>
      </w:pPr>
    </w:p>
    <w:p>
      <w:pPr>
        <w:ind w:left="340"/>
        <w:spacing w:after="0"/>
        <w:tabs>
          <w:tab w:leader="none" w:pos="10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3:00 p.m. (Atlantic Daylight time)</w:t>
      </w:r>
    </w:p>
    <w:p>
      <w:pPr>
        <w:spacing w:after="0" w:line="234" w:lineRule="exact"/>
        <w:rPr>
          <w:sz w:val="20"/>
          <w:szCs w:val="20"/>
          <w:color w:val="auto"/>
        </w:rPr>
      </w:pPr>
    </w:p>
    <w:p>
      <w:pPr>
        <w:ind w:right="420" w:firstLine="324"/>
        <w:spacing w:after="0"/>
        <w:rPr>
          <w:sz w:val="20"/>
          <w:szCs w:val="20"/>
          <w:color w:val="auto"/>
        </w:rPr>
      </w:pPr>
      <w:r>
        <w:rPr>
          <w:rFonts w:ascii="Arial" w:cs="Arial" w:eastAsia="Arial" w:hAnsi="Arial"/>
          <w:sz w:val="18"/>
          <w:szCs w:val="18"/>
          <w:color w:val="auto"/>
        </w:rPr>
        <w:t>The Notice of the 2020 Annual Meeting and Proxy Statement describe the items to be considered by the Limited Partners at such meeting and contain certain information about us and our executive officers and directors. The principal business to be transacted at the 2020 Annual Meeting will be:</w:t>
      </w:r>
    </w:p>
    <w:p>
      <w:pPr>
        <w:spacing w:after="0" w:line="189" w:lineRule="exact"/>
        <w:rPr>
          <w:sz w:val="20"/>
          <w:szCs w:val="20"/>
          <w:color w:val="auto"/>
        </w:rPr>
      </w:pPr>
    </w:p>
    <w:p>
      <w:pPr>
        <w:ind w:left="660" w:right="160" w:hanging="323"/>
        <w:spacing w:after="0" w:line="261" w:lineRule="auto"/>
        <w:tabs>
          <w:tab w:leader="none" w:pos="640" w:val="left"/>
        </w:tabs>
        <w:rPr>
          <w:sz w:val="20"/>
          <w:szCs w:val="20"/>
          <w:color w:val="auto"/>
        </w:rPr>
      </w:pPr>
      <w:r>
        <w:rPr>
          <w:rFonts w:ascii="Arial" w:cs="Arial" w:eastAsia="Arial" w:hAnsi="Arial"/>
          <w:sz w:val="18"/>
          <w:szCs w:val="18"/>
          <w:color w:val="auto"/>
        </w:rPr>
        <w:t>1.</w:t>
        <w:tab/>
        <w:t>To elect Pamela M. Gibson as a Class II Director to serve for a three-year term until the 2023 annual meeting or until her successor has been elected or appointed;</w:t>
      </w:r>
    </w:p>
    <w:p>
      <w:pPr>
        <w:spacing w:after="0" w:line="19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Deloitte LLP as our independent auditors for the fiscal year ending December 31, 2020; and</w:t>
      </w:r>
    </w:p>
    <w:p>
      <w:pPr>
        <w:spacing w:after="0" w:line="211" w:lineRule="exact"/>
        <w:rPr>
          <w:rFonts w:ascii="Arial" w:cs="Arial" w:eastAsia="Arial" w:hAnsi="Arial"/>
          <w:sz w:val="18"/>
          <w:szCs w:val="18"/>
          <w:color w:val="auto"/>
        </w:rPr>
      </w:pPr>
    </w:p>
    <w:p>
      <w:pPr>
        <w:ind w:left="660" w:right="300" w:hanging="328"/>
        <w:spacing w:after="0" w:line="246" w:lineRule="auto"/>
        <w:tabs>
          <w:tab w:leader="none" w:pos="661"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2020 Annual Meeting and any adjournments or postponements thereof.</w:t>
      </w:r>
    </w:p>
    <w:p>
      <w:pPr>
        <w:spacing w:after="0" w:line="197"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The Board of Directors unanimously recommends that Limited Partners vote for the election of the nominated director and the ratification of the appointment of Deloitte LLP as our independent auditors.</w:t>
      </w:r>
    </w:p>
    <w:p>
      <w:pPr>
        <w:spacing w:after="0" w:line="197"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We understand that many of our Limited Partners may be unable to attend the meeting in person. Proxies are solicited so that each Limited Partner has an opportunity to vote on all matters that are scheduled to come before the meeting. Please sign and return the enclosed proxy card as soon as possible in the envelope provided so that your common units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common units personally if you attend the meeting.</w:t>
      </w:r>
    </w:p>
    <w:p>
      <w:pPr>
        <w:spacing w:after="0" w:line="205" w:lineRule="exact"/>
        <w:rPr>
          <w:sz w:val="20"/>
          <w:szCs w:val="20"/>
          <w:color w:val="auto"/>
        </w:rPr>
      </w:pPr>
    </w:p>
    <w:p>
      <w:pPr>
        <w:ind w:right="60" w:firstLine="324"/>
        <w:spacing w:after="0" w:line="237" w:lineRule="auto"/>
        <w:rPr>
          <w:sz w:val="20"/>
          <w:szCs w:val="20"/>
          <w:color w:val="auto"/>
        </w:rPr>
      </w:pPr>
      <w:r>
        <w:rPr>
          <w:rFonts w:ascii="Arial" w:cs="Arial" w:eastAsia="Arial" w:hAnsi="Arial"/>
          <w:sz w:val="18"/>
          <w:szCs w:val="18"/>
          <w:color w:val="auto"/>
        </w:rPr>
        <w:t xml:space="preserve">We intend to hold our annual meeting in person. However, we are actively monitoring the spread of the coronavirus (COVID-19) and the related official recommendations; we are sensitive to the public health and travel concerns our shareholders may have and the protocols that national,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t>
      </w:r>
      <w:r>
        <w:rPr>
          <w:rFonts w:ascii="Arial" w:cs="Arial" w:eastAsia="Arial" w:hAnsi="Arial"/>
          <w:sz w:val="18"/>
          <w:szCs w:val="18"/>
          <w:u w:val="single" w:color="auto"/>
          <w:color w:val="0000FF"/>
        </w:rPr>
        <w:t>www.gaslogmlp.com</w:t>
      </w:r>
      <w:r>
        <w:rPr>
          <w:rFonts w:ascii="Arial" w:cs="Arial" w:eastAsia="Arial" w:hAnsi="Arial"/>
          <w:sz w:val="18"/>
          <w:szCs w:val="18"/>
          <w:color w:val="auto"/>
        </w:rPr>
        <w:t xml:space="preserve"> for updated information. If you are planning to attend our meeting, please check the website one week prior to the meeting date. As always, we encourage you to vote your common units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We look forward to seeing you.</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126365</wp:posOffset>
            </wp:positionV>
            <wp:extent cx="200596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59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Curtis V. Anastasio</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201295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799"/>
          </w:cols>
          <w:pgMar w:left="660" w:top="355"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GASLOG PARTNERS LP</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69 Akti Miaouli</w:t>
      </w:r>
    </w:p>
    <w:p>
      <w:pPr>
        <w:jc w:val="center"/>
        <w:ind w:right="-19"/>
        <w:spacing w:after="0" w:line="234" w:lineRule="auto"/>
        <w:rPr>
          <w:sz w:val="20"/>
          <w:szCs w:val="20"/>
          <w:color w:val="auto"/>
        </w:rPr>
      </w:pPr>
      <w:r>
        <w:rPr>
          <w:rFonts w:ascii="Arial" w:cs="Arial" w:eastAsia="Arial" w:hAnsi="Arial"/>
          <w:sz w:val="18"/>
          <w:szCs w:val="18"/>
          <w:b w:val="1"/>
          <w:bCs w:val="1"/>
          <w:color w:val="auto"/>
        </w:rPr>
        <w:t>18537 Piraeus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203200</wp:posOffset>
            </wp:positionV>
            <wp:extent cx="1080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2020 ANNUAL MEETING OF LIMITED PARTNERS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203200</wp:posOffset>
            </wp:positionV>
            <wp:extent cx="1080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NOTICE IS HEREBY GIVEN that the 2020 Annual Meeting of the limited partners holding common units representing limited partner interests in GasLog Partners LP, a Marshall Islands limited partnership (the “Partnership”), will be held at 3:00 p.m. Atlantic Daylight local time, on Thursday, May 14, 2020, at Rosewood Bermuda, 60 Tucker’s Point Dr., Hamilton Parish, HS02 Bermuda, for the following purposes:</w:t>
      </w:r>
    </w:p>
    <w:p>
      <w:pPr>
        <w:spacing w:after="0" w:line="186" w:lineRule="exact"/>
        <w:rPr>
          <w:sz w:val="20"/>
          <w:szCs w:val="20"/>
          <w:color w:val="auto"/>
        </w:rPr>
      </w:pPr>
    </w:p>
    <w:p>
      <w:pPr>
        <w:ind w:left="660" w:right="140" w:hanging="328"/>
        <w:spacing w:after="0" w:line="246" w:lineRule="auto"/>
        <w:tabs>
          <w:tab w:leader="none" w:pos="6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Pamela M. Gibson as a Class II Director to serve for a three-year term until the 2023 annual meeting or until her successor has been elected or appointed;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Deloitte LLP as our independent auditors for the fiscal year ending December 31, 2020; and</w:t>
      </w:r>
    </w:p>
    <w:p>
      <w:pPr>
        <w:spacing w:after="0" w:line="211" w:lineRule="exact"/>
        <w:rPr>
          <w:rFonts w:ascii="Arial" w:cs="Arial" w:eastAsia="Arial" w:hAnsi="Arial"/>
          <w:sz w:val="18"/>
          <w:szCs w:val="18"/>
          <w:color w:val="auto"/>
        </w:rPr>
      </w:pPr>
    </w:p>
    <w:p>
      <w:pPr>
        <w:ind w:left="660" w:right="280" w:hanging="328"/>
        <w:spacing w:after="0" w:line="246" w:lineRule="auto"/>
        <w:tabs>
          <w:tab w:leader="none" w:pos="6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2020 Annual Meeting and any adjournments or postponements thereof.</w:t>
      </w:r>
    </w:p>
    <w:p>
      <w:pPr>
        <w:spacing w:after="0" w:line="197"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Only holders of record of our common units at the close of business on Monday, March 16, 2020, will be entitled to receive notice of, and to vote at, the 2020 Annual Meeting and at any adjournments or postponements thereof.</w:t>
      </w:r>
    </w:p>
    <w:p>
      <w:pPr>
        <w:spacing w:after="0" w:line="197"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You are cordially invited to attend the 2020 Annual Meeting. Whether or not you expect to attend the 2020 Annual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units are registered. Your signature must be in the same form. The return of the proxy card does not affect your right to vote in person, should you decide to attend the 2020 Annual Meeting.</w:t>
      </w:r>
    </w:p>
    <w:p>
      <w:pPr>
        <w:spacing w:after="0" w:line="202"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 xml:space="preserve">We intend to hold our annual meeting in person. However, we are actively monitoring the spread of the coronavirus (COVID-19) and the related official recommendations; we are sensitive to the public health and travel concerns our shareholders may have and the protocols that national,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t>
      </w:r>
      <w:r>
        <w:rPr>
          <w:rFonts w:ascii="Arial" w:cs="Arial" w:eastAsia="Arial" w:hAnsi="Arial"/>
          <w:sz w:val="18"/>
          <w:szCs w:val="18"/>
          <w:u w:val="single" w:color="auto"/>
          <w:color w:val="0000FF"/>
        </w:rPr>
        <w:t>www.gaslogmlp.com</w:t>
      </w:r>
      <w:r>
        <w:rPr>
          <w:rFonts w:ascii="Arial" w:cs="Arial" w:eastAsia="Arial" w:hAnsi="Arial"/>
          <w:sz w:val="18"/>
          <w:szCs w:val="18"/>
          <w:color w:val="auto"/>
        </w:rPr>
        <w:t xml:space="preserve"> for updated information. If you are planning to attend our meeting, please check the website one week prior to the meeting date. As always, we encourage you to vote your common units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6" w:name="page7"/>
    <w:bookmarkEnd w:id="6"/>
    <w:p>
      <w:pPr>
        <w:ind w:firstLine="324"/>
        <w:spacing w:after="0"/>
        <w:rPr>
          <w:sz w:val="20"/>
          <w:szCs w:val="20"/>
          <w:color w:val="auto"/>
        </w:rPr>
      </w:pPr>
      <w:r>
        <w:rPr>
          <w:rFonts w:ascii="Arial" w:cs="Arial" w:eastAsia="Arial" w:hAnsi="Arial"/>
          <w:sz w:val="18"/>
          <w:szCs w:val="18"/>
          <w:color w:val="auto"/>
        </w:rPr>
        <w:t xml:space="preserve">For further information regarding the Partnership, please see our Annual Report on Form 20-F filed with the Securities and Exchange Commission on March 3, 2020. The Annual Report can be accessed on the Partnership’s website, </w:t>
      </w:r>
      <w:r>
        <w:rPr>
          <w:rFonts w:ascii="Arial" w:cs="Arial" w:eastAsia="Arial" w:hAnsi="Arial"/>
          <w:sz w:val="18"/>
          <w:szCs w:val="18"/>
          <w:u w:val="single" w:color="auto"/>
          <w:color w:val="auto"/>
        </w:rPr>
        <w:t>http://www.gaslogmlp.com</w:t>
      </w:r>
      <w:r>
        <w:rPr>
          <w:rFonts w:ascii="Arial" w:cs="Arial" w:eastAsia="Arial" w:hAnsi="Arial"/>
          <w:sz w:val="18"/>
          <w:szCs w:val="18"/>
          <w:color w:val="auto"/>
        </w:rPr>
        <w:t>, in the “Investors” section under “SEC Filings”.</w:t>
      </w:r>
    </w:p>
    <w:p>
      <w:pPr>
        <w:spacing w:after="0" w:line="20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March 23, 2020</w:t>
      </w:r>
      <w:r>
        <w:rPr>
          <w:sz w:val="20"/>
          <w:szCs w:val="20"/>
          <w:color w:val="auto"/>
        </w:rPr>
        <w:tab/>
      </w: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100330</wp:posOffset>
            </wp:positionV>
            <wp:extent cx="1371600" cy="951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Sarah Larkins</w:t>
      </w:r>
    </w:p>
    <w:p>
      <w:pPr>
        <w:ind w:left="5620"/>
        <w:spacing w:after="0"/>
        <w:rPr>
          <w:sz w:val="20"/>
          <w:szCs w:val="20"/>
          <w:color w:val="auto"/>
        </w:rPr>
      </w:pPr>
      <w:r>
        <w:rPr>
          <w:rFonts w:ascii="Arial" w:cs="Arial" w:eastAsia="Arial" w:hAnsi="Arial"/>
          <w:sz w:val="18"/>
          <w:szCs w:val="18"/>
          <w:color w:val="auto"/>
        </w:rPr>
        <w:t>Partnership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notice of the 2020 Annual Meeting and proxy statement and form of proxy are being distributed on or about 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00"/>
          </w:cols>
          <w:pgMar w:left="320" w:top="355" w:right="6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color w:val="auto"/>
        </w:rPr>
        <w:t>GASLOG PARTNERS LP</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69 Akti Miaouli</w:t>
      </w:r>
    </w:p>
    <w:p>
      <w:pPr>
        <w:jc w:val="center"/>
        <w:ind w:right="-39"/>
        <w:spacing w:after="0" w:line="234" w:lineRule="auto"/>
        <w:rPr>
          <w:sz w:val="20"/>
          <w:szCs w:val="20"/>
          <w:color w:val="auto"/>
        </w:rPr>
      </w:pPr>
      <w:r>
        <w:rPr>
          <w:rFonts w:ascii="Arial" w:cs="Arial" w:eastAsia="Arial" w:hAnsi="Arial"/>
          <w:sz w:val="18"/>
          <w:szCs w:val="18"/>
          <w:b w:val="1"/>
          <w:bCs w:val="1"/>
          <w:color w:val="auto"/>
        </w:rPr>
        <w:t>18537 Piraeus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203200</wp:posOffset>
            </wp:positionV>
            <wp:extent cx="1080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ANNUAL MEETING</w:t>
      </w:r>
    </w:p>
    <w:p>
      <w:pPr>
        <w:jc w:val="center"/>
        <w:ind w:right="-39"/>
        <w:spacing w:after="0"/>
        <w:rPr>
          <w:sz w:val="20"/>
          <w:szCs w:val="20"/>
          <w:color w:val="auto"/>
        </w:rPr>
      </w:pPr>
      <w:r>
        <w:rPr>
          <w:rFonts w:ascii="Arial" w:cs="Arial" w:eastAsia="Arial" w:hAnsi="Arial"/>
          <w:sz w:val="18"/>
          <w:szCs w:val="18"/>
          <w:b w:val="1"/>
          <w:bCs w:val="1"/>
          <w:color w:val="auto"/>
        </w:rPr>
        <w:t>TO BE HELD ON THURSDAY, MAY 14, 2020</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217170</wp:posOffset>
            </wp:positionV>
            <wp:extent cx="1080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The enclosed proxy is solicited on behalf of the Board of Directors (the “Board”) of GasLog Partners LP, a Marshall Islands limited partnership (the “Partnership”), for use at the 2020 Annual Meeting of Limited Partners to be held at 3:00 p.m. Atlantic Daylight local time, on Thursday, May 14, 2020, at Rosewood Bermuda, 60 Tucker’s Point Dr., Hamilton Parish, HS 02 Bermuda, or at any adjournment or postponement thereof (the “Meeting”), for the purposes set forth herein and in the accompanying Notice of the Meeting. This Proxy Statement and the accompanying proxy card are expected to be mailed on or about March 23, 2020 to the limited partners (the “Limited Partners”) who are entitled to vote at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OUTSTANDING UNITS</w:t>
      </w:r>
    </w:p>
    <w:p>
      <w:pPr>
        <w:spacing w:after="0" w:line="234" w:lineRule="exact"/>
        <w:rPr>
          <w:sz w:val="20"/>
          <w:szCs w:val="20"/>
          <w:color w:val="auto"/>
        </w:rPr>
      </w:pPr>
    </w:p>
    <w:p>
      <w:pPr>
        <w:ind w:firstLine="259"/>
        <w:spacing w:after="0" w:line="236" w:lineRule="auto"/>
        <w:rPr>
          <w:sz w:val="20"/>
          <w:szCs w:val="20"/>
          <w:color w:val="auto"/>
        </w:rPr>
      </w:pPr>
      <w:r>
        <w:rPr>
          <w:rFonts w:ascii="Arial" w:cs="Arial" w:eastAsia="Arial" w:hAnsi="Arial"/>
          <w:sz w:val="18"/>
          <w:szCs w:val="18"/>
          <w:color w:val="auto"/>
        </w:rPr>
        <w:t>On March 16, 2020, (the “Record Date”), the Partnership had issued and outstanding 46,668,692 common units representing limited partner interests (the “Common Units”). Each Limited Partner of record at the close of business on the Record Date is entitled to one vote for each Common Unit then held, subject to the restrictions described below. Holders of at least 33</w:t>
      </w:r>
      <w:r>
        <w:rPr>
          <w:rFonts w:ascii="Arial" w:cs="Arial" w:eastAsia="Arial" w:hAnsi="Arial"/>
          <w:sz w:val="18"/>
          <w:szCs w:val="18"/>
          <w:color w:val="auto"/>
          <w:vertAlign w:val="superscript"/>
        </w:rPr>
        <w:t>1</w:t>
      </w:r>
      <w:r>
        <w:rPr>
          <w:rFonts w:ascii="Arial" w:cs="Arial" w:eastAsia="Arial" w:hAnsi="Arial"/>
          <w:sz w:val="18"/>
          <w:szCs w:val="18"/>
          <w:color w:val="auto"/>
        </w:rPr>
        <w:t>/</w:t>
      </w:r>
      <w:r>
        <w:rPr>
          <w:rFonts w:ascii="Arial" w:cs="Arial" w:eastAsia="Arial" w:hAnsi="Arial"/>
          <w:sz w:val="8"/>
          <w:szCs w:val="8"/>
          <w:color w:val="auto"/>
        </w:rPr>
        <w:t>3</w:t>
      </w:r>
      <w:r>
        <w:rPr>
          <w:rFonts w:ascii="Arial" w:cs="Arial" w:eastAsia="Arial" w:hAnsi="Arial"/>
          <w:sz w:val="18"/>
          <w:szCs w:val="18"/>
          <w:color w:val="auto"/>
        </w:rPr>
        <w:t>% of the outstanding Common Units represented in person or by proxy shall constitute a quorum for purposes of the Meeting. The Common Units represented by any proxy in the enclosed form will be voted in accordance with the instructions given on the proxy if the proxy is properly executed and is received by the Partnership prior to the close of voting at the Meeting or any adjournment or postponement thereof. Any signed proxies returned without instructions will be voted FOR the proposals set forth on the Notice of 2020 Annual Meeting. As of the Record Date, GasLog Ltd. (“GasLog”) owns 30.8% of our outstanding Common Units and all of our general partner units, representing a 35.6% partnership interest in us. As a result of GasLog’s ownership of our general partner, GasLog Partners GP LLC (our “General Partner”) and the fact that our General Partner elects the majority of the Partnership’s directors in accordance with our Sixth Amended and Restated Agreement of Limited Partnership, dated as of June 24, 2019 (the “Partnership Agreement”), GasLog has the ability to control the Partnership’s affairs and policies.</w:t>
      </w:r>
    </w:p>
    <w:p>
      <w:pPr>
        <w:spacing w:after="0" w:line="205" w:lineRule="exact"/>
        <w:rPr>
          <w:sz w:val="20"/>
          <w:szCs w:val="20"/>
          <w:color w:val="auto"/>
        </w:rPr>
      </w:pPr>
    </w:p>
    <w:p>
      <w:pPr>
        <w:ind w:right="40" w:firstLine="259"/>
        <w:spacing w:after="0" w:line="246" w:lineRule="auto"/>
        <w:rPr>
          <w:sz w:val="20"/>
          <w:szCs w:val="20"/>
          <w:color w:val="auto"/>
        </w:rPr>
      </w:pPr>
      <w:r>
        <w:rPr>
          <w:rFonts w:ascii="Arial" w:cs="Arial" w:eastAsia="Arial" w:hAnsi="Arial"/>
          <w:sz w:val="18"/>
          <w:szCs w:val="18"/>
          <w:color w:val="auto"/>
        </w:rPr>
        <w:t>Pursuant to the Partnership Agreement, holders of preference units, general partner units and class B units are not entitled to vote on the proposals to elect the Partnership’s Elected Directors (as defined below).</w:t>
      </w:r>
    </w:p>
    <w:p>
      <w:pPr>
        <w:spacing w:after="0" w:line="197" w:lineRule="exact"/>
        <w:rPr>
          <w:sz w:val="20"/>
          <w:szCs w:val="20"/>
          <w:color w:val="auto"/>
        </w:rPr>
      </w:pPr>
    </w:p>
    <w:p>
      <w:pPr>
        <w:ind w:right="60" w:firstLine="259"/>
        <w:spacing w:after="0" w:line="237" w:lineRule="auto"/>
        <w:rPr>
          <w:sz w:val="20"/>
          <w:szCs w:val="20"/>
          <w:color w:val="auto"/>
        </w:rPr>
      </w:pPr>
      <w:r>
        <w:rPr>
          <w:rFonts w:ascii="Arial" w:cs="Arial" w:eastAsia="Arial" w:hAnsi="Arial"/>
          <w:sz w:val="18"/>
          <w:szCs w:val="18"/>
          <w:color w:val="auto"/>
        </w:rPr>
        <w:t>Our Partnership Agreement, restricts Limited Partners’ voting rights by providing that if at any time any person or group beneficially owns more than 4.9% of the outstanding Partnership interests of any class or series of units (other than preference units) then outstanding (or would own such percentage in the event this limitation were applied to other persons or groups), any such interests owned by that person or group in excess of 4.9% may not be voted on any matter and will not be considered to be outstanding when sending notices of a meeting of Limited Partners to vote on any matter (unless otherwise required by law), calculating required votes (except for purposes of nominating a person for election to our Board), or determining the presence of a quorum or for other similar purposes. Effectively, this means that the voting rights of any Limited Partners in excess of 4.9% will be redistributed pro rata among the other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8" w:name="page9"/>
    <w:bookmarkEnd w:id="8"/>
    <w:p>
      <w:pPr>
        <w:spacing w:after="0" w:line="238" w:lineRule="auto"/>
        <w:rPr>
          <w:sz w:val="20"/>
          <w:szCs w:val="20"/>
          <w:color w:val="auto"/>
        </w:rPr>
      </w:pPr>
      <w:r>
        <w:rPr>
          <w:rFonts w:ascii="Arial" w:cs="Arial" w:eastAsia="Arial" w:hAnsi="Arial"/>
          <w:sz w:val="18"/>
          <w:szCs w:val="18"/>
          <w:color w:val="auto"/>
        </w:rPr>
        <w:t>Partners holding less than 4.9% of the voting power of all classes of units entitled to vote. Our General Partner, its affiliates and persons who acquired more than 4.9% of any Partnership interests with the prior approval of our Board will not be subject to this 4.9% limitation, except with respect to voting their Common Units in the election of directors at the Meeting. As GasLog owns 30.8% of our Common Units, it will be subject to the 4.9% limitation when voting in favour of the election of Ms. Pamela M. Gibson, but it will be able to vote all of its Common Units with respect to all other items proposed for a vote at the Meeting.</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Units are listed on the New York Stock Exchange (the “NYSE”) under the symbol “GLOP”.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34"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A Limited Partner giving a proxy may revoke it at any time before it is exercised. A proxy may be revoked by filing with Sarah Larkins, Partnership Secretary of the Partnership, at the Partnership’s principal executive offices at 69 Akti Miaouli, 18537 Piraeus, Greece, or submitting by Internet or telephone, a duly executed proxy bearing a later date, by filing with the Partnership,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ONE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w:t>
      </w:r>
    </w:p>
    <w:p>
      <w:pPr>
        <w:spacing w:after="0" w:line="212"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The Partnership’s Board currently consists of seven individuals, four of whom were appointed by our General Partner in its sole discretion (the “Appointed Directors”) and three of whom were elected by the Limited Partners (the “Elected Directors”). The Elected Directors are divided into classes serving staggered three year terms. At the 2017 annual meeting, the Class II elected director, Pamela M. Gibson, was re-elected to hold office until the 2020 annual meeting. At the 2018 annual meeting the Class III elected director, Daniel R. Bradshaw, was re-elected to hold office until the 2021 annual meeting. At the 2019 annual meeting, the Class I elected director, Robert B. Allardice III, was re-elected to hold office until the 2022 annual meeting. At each subsequent annual meeting of unitholders, directors will be elected to succeed the class of director whose term has expired by a plurality of the votes of the Common Unitholders present in person or represented by proxy at such meeting.</w:t>
      </w:r>
    </w:p>
    <w:p>
      <w:pPr>
        <w:spacing w:after="0" w:line="208" w:lineRule="exact"/>
        <w:rPr>
          <w:sz w:val="20"/>
          <w:szCs w:val="20"/>
          <w:color w:val="auto"/>
        </w:rPr>
      </w:pPr>
    </w:p>
    <w:p>
      <w:pPr>
        <w:ind w:right="80" w:firstLine="648"/>
        <w:spacing w:after="0" w:line="248" w:lineRule="auto"/>
        <w:rPr>
          <w:sz w:val="20"/>
          <w:szCs w:val="20"/>
          <w:color w:val="auto"/>
        </w:rPr>
      </w:pPr>
      <w:r>
        <w:rPr>
          <w:rFonts w:ascii="Arial" w:cs="Arial" w:eastAsia="Arial" w:hAnsi="Arial"/>
          <w:sz w:val="17"/>
          <w:szCs w:val="17"/>
          <w:color w:val="auto"/>
        </w:rPr>
        <w:t>In the future, if our General Partner exercises its right to transfer the power to elect a majority of our directors to the Common Unitholders, an additional Class III Director will thereafter be elected by our Common Unitholders. For more information on this right, see “Item 4. Information on the Partnership—B. Business Overview—Taxation of the Partnership” in our Annual Report on Form 20-F filed with the U.S. Securities and Exchange Commission (the “SEC”) on March 3, 2020. In addition, if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and the size of our Board will be increased as needed to accommodate such change (unless the size of our Board already has been increased by reason of the election of a director by holders of parity securities upon which like voting rights have been conferred and with which the preference units voted as a class for the election of such director). See “Item</w:t>
      </w:r>
    </w:p>
    <w:p>
      <w:pPr>
        <w:spacing w:after="0" w:line="5" w:lineRule="exact"/>
        <w:rPr>
          <w:sz w:val="20"/>
          <w:szCs w:val="20"/>
          <w:color w:val="auto"/>
        </w:rPr>
      </w:pPr>
    </w:p>
    <w:p>
      <w:pPr>
        <w:ind w:right="20" w:firstLine="8"/>
        <w:spacing w:after="0" w:line="246"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Information—D. Risk Factors—Holders of our Preference Units have extremely limited voting rights” in our Annual Report on Form 20-F filed with the SEC on March 3, 2020.</w:t>
      </w:r>
    </w:p>
    <w:p>
      <w:pPr>
        <w:spacing w:after="0" w:line="197"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8"/>
          <w:szCs w:val="18"/>
          <w:color w:val="auto"/>
        </w:rPr>
        <w:t>Unless the proxy is marked to indicate that such authorization is expressly withheld, the persons named in the enclosed proxy card intend to vote the shares authorized thereby FOR the election of the following nominee. It is expected that the nominee will be able to serve, but if before the election it develops that the nominee is unavailable, the persons named in the enclosed proxy card will vote for the election of such substitute nominee as the current Board may recommend.</w:t>
      </w:r>
    </w:p>
    <w:p>
      <w:pPr>
        <w:spacing w:after="0" w:line="205"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nominee for the Elected Director position shall be elected by a plurality of the votes of the outstanding Common Units present in person or represented by proxy at the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w:t>
      </w:r>
    </w:p>
    <w:p>
      <w:pPr>
        <w:spacing w:after="0" w:line="234"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Board has nominated the following individual to serve as a Class II Director until the annual meeting of Limited Partners in 2023 or until her successor has been elected or appointed, as the case may be.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5"/>
                <w:szCs w:val="15"/>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Expires</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Since</w:t>
            </w:r>
          </w:p>
        </w:tc>
      </w:tr>
      <w:tr>
        <w:trPr>
          <w:trHeight w:val="176"/>
        </w:trPr>
        <w:tc>
          <w:tcPr>
            <w:tcW w:w="2740" w:type="dxa"/>
            <w:vAlign w:val="bottom"/>
            <w:tcBorders>
              <w:bottom w:val="single" w:sz="8" w:color="auto"/>
            </w:tcBorders>
            <w:gridSpan w:val="2"/>
          </w:tcPr>
          <w:p>
            <w:pPr>
              <w:spacing w:after="0" w:line="175" w:lineRule="exact"/>
              <w:rPr>
                <w:sz w:val="20"/>
                <w:szCs w:val="20"/>
                <w:color w:val="auto"/>
              </w:rPr>
            </w:pPr>
            <w:r>
              <w:rPr>
                <w:rFonts w:ascii="Arial" w:cs="Arial" w:eastAsia="Arial" w:hAnsi="Arial"/>
                <w:sz w:val="16"/>
                <w:szCs w:val="16"/>
                <w:color w:val="auto"/>
              </w:rPr>
              <w:t>Pamela M. Gibson</w:t>
            </w:r>
          </w:p>
        </w:tc>
        <w:tc>
          <w:tcPr>
            <w:tcW w:w="920" w:type="dxa"/>
            <w:vAlign w:val="bottom"/>
            <w:gridSpan w:val="2"/>
          </w:tcPr>
          <w:p>
            <w:pPr>
              <w:jc w:val="right"/>
              <w:ind w:right="208"/>
              <w:spacing w:after="0" w:line="176" w:lineRule="exact"/>
              <w:rPr>
                <w:sz w:val="20"/>
                <w:szCs w:val="20"/>
                <w:color w:val="auto"/>
              </w:rPr>
            </w:pPr>
            <w:r>
              <w:rPr>
                <w:rFonts w:ascii="Arial" w:cs="Arial" w:eastAsia="Arial" w:hAnsi="Arial"/>
                <w:sz w:val="16"/>
                <w:szCs w:val="16"/>
                <w:color w:val="auto"/>
              </w:rPr>
              <w:t>66</w:t>
            </w:r>
          </w:p>
        </w:tc>
        <w:tc>
          <w:tcPr>
            <w:tcW w:w="180" w:type="dxa"/>
            <w:vAlign w:val="bottom"/>
          </w:tcPr>
          <w:p>
            <w:pPr>
              <w:spacing w:after="0"/>
              <w:rPr>
                <w:sz w:val="15"/>
                <w:szCs w:val="15"/>
                <w:color w:val="auto"/>
              </w:rPr>
            </w:pPr>
          </w:p>
        </w:tc>
        <w:tc>
          <w:tcPr>
            <w:tcW w:w="4040" w:type="dxa"/>
            <w:vAlign w:val="bottom"/>
            <w:gridSpan w:val="2"/>
          </w:tcPr>
          <w:p>
            <w:pPr>
              <w:jc w:val="center"/>
              <w:ind w:right="180"/>
              <w:spacing w:after="0" w:line="176" w:lineRule="exact"/>
              <w:rPr>
                <w:sz w:val="20"/>
                <w:szCs w:val="20"/>
                <w:color w:val="auto"/>
              </w:rPr>
            </w:pPr>
            <w:r>
              <w:rPr>
                <w:rFonts w:ascii="Arial" w:cs="Arial" w:eastAsia="Arial" w:hAnsi="Arial"/>
                <w:sz w:val="16"/>
                <w:szCs w:val="16"/>
                <w:color w:val="auto"/>
              </w:rPr>
              <w:t>Director</w:t>
            </w:r>
          </w:p>
        </w:tc>
        <w:tc>
          <w:tcPr>
            <w:tcW w:w="1100" w:type="dxa"/>
            <w:vAlign w:val="bottom"/>
            <w:gridSpan w:val="2"/>
          </w:tcPr>
          <w:p>
            <w:pPr>
              <w:jc w:val="center"/>
              <w:ind w:right="180"/>
              <w:spacing w:after="0" w:line="176" w:lineRule="exact"/>
              <w:rPr>
                <w:sz w:val="20"/>
                <w:szCs w:val="20"/>
                <w:color w:val="auto"/>
              </w:rPr>
            </w:pPr>
            <w:r>
              <w:rPr>
                <w:rFonts w:ascii="Arial" w:cs="Arial" w:eastAsia="Arial" w:hAnsi="Arial"/>
                <w:sz w:val="16"/>
                <w:szCs w:val="16"/>
                <w:color w:val="auto"/>
                <w:w w:val="89"/>
              </w:rPr>
              <w:t>II</w:t>
            </w:r>
          </w:p>
        </w:tc>
        <w:tc>
          <w:tcPr>
            <w:tcW w:w="1040" w:type="dxa"/>
            <w:vAlign w:val="bottom"/>
          </w:tcPr>
          <w:p>
            <w:pPr>
              <w:jc w:val="center"/>
              <w:spacing w:after="0" w:line="176" w:lineRule="exact"/>
              <w:rPr>
                <w:sz w:val="20"/>
                <w:szCs w:val="20"/>
                <w:color w:val="auto"/>
              </w:rPr>
            </w:pPr>
            <w:r>
              <w:rPr>
                <w:rFonts w:ascii="Arial" w:cs="Arial" w:eastAsia="Arial" w:hAnsi="Arial"/>
                <w:sz w:val="16"/>
                <w:szCs w:val="16"/>
                <w:color w:val="auto"/>
              </w:rPr>
              <w:t>2023</w:t>
            </w:r>
          </w:p>
        </w:tc>
        <w:tc>
          <w:tcPr>
            <w:tcW w:w="18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6"/>
                <w:szCs w:val="16"/>
                <w:color w:val="auto"/>
              </w:rPr>
              <w:t>2014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Concerning the Nominee for Election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M. Gibson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w:t>
      </w:r>
    </w:p>
    <w:p>
      <w:pPr>
        <w:ind w:right="100" w:firstLine="648"/>
        <w:spacing w:after="0" w:line="238" w:lineRule="auto"/>
        <w:rPr>
          <w:sz w:val="20"/>
          <w:szCs w:val="20"/>
          <w:color w:val="auto"/>
        </w:rPr>
      </w:pPr>
      <w:r>
        <w:rPr>
          <w:rFonts w:ascii="Arial" w:cs="Arial" w:eastAsia="Arial" w:hAnsi="Arial"/>
          <w:sz w:val="18"/>
          <w:szCs w:val="18"/>
          <w:color w:val="auto"/>
        </w:rPr>
        <w:t>Ms. Gibson has been a director since the closing of our IPO in 2014. Since 1984, Ms. Gibson has worked at the law firm of Shearman &amp; Sterling LLP, from 1990 as a partner and since 2005 as of counsel, advising non-U.S. global companies on capital markets transactions, governance, compliance and other corporate strategic matters with a focus on the oil and gas; metals and mining; and telecom and technology sectors. Ms. Gibson was the managing partner of both the Toronto (1990 to 1995)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right="140"/>
        <w:spacing w:after="0" w:line="238" w:lineRule="auto"/>
        <w:rPr>
          <w:sz w:val="20"/>
          <w:szCs w:val="20"/>
          <w:color w:val="auto"/>
        </w:rPr>
      </w:pPr>
      <w:r>
        <w:rPr>
          <w:rFonts w:ascii="Arial" w:cs="Arial" w:eastAsia="Arial" w:hAnsi="Arial"/>
          <w:sz w:val="18"/>
          <w:szCs w:val="18"/>
          <w:color w:val="auto"/>
        </w:rPr>
        <w:t>London (1995 to 2002) offices and the head of the European and Asian Capital Markets Group (2002 to 2004) at Shearman &amp; Sterling LLP. In addition, Ms. Gibson is an independent non-executive director of Eldorado Gold Corporation. Ms. Gibson received a Bachelor of Arts degree, with distinction, from York University in 1974, a Bachelor of Laws degree from Osgoode Hall Law School in 1977 and a Master of Laws degree from New York University in 1984.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Elected Directors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biographical information about the Elected Directors not currently standing for re-election is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B. Allardice III</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w:t>
      </w:r>
    </w:p>
    <w:p>
      <w:pPr>
        <w:ind w:firstLine="648"/>
        <w:spacing w:after="0" w:line="238" w:lineRule="auto"/>
        <w:rPr>
          <w:sz w:val="20"/>
          <w:szCs w:val="20"/>
          <w:color w:val="auto"/>
        </w:rPr>
      </w:pPr>
      <w:r>
        <w:rPr>
          <w:rFonts w:ascii="Arial" w:cs="Arial" w:eastAsia="Arial" w:hAnsi="Arial"/>
          <w:sz w:val="18"/>
          <w:szCs w:val="18"/>
          <w:color w:val="auto"/>
        </w:rPr>
        <w:t>Mr. Allardice has been a member of our Board since October 2014. Mr. Allardice has had a long career in the financial services industry, having worked for Morgan Stanley in a number of roles for 19 years as well as with Smith Barney and Deutsche Bank Americas Holding Corp. Mr. Allardice currently serves as a director, member of or chairman of the audit committee of a number of companies, including Hartford Financial Group, and Ellington Residential Mortgage REIT. Mr. Allardice received a Bachelor of Arts with Honors from Yale University in 1968 and an M.B.A. from Harvard Business School in 1974.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R. Bradshaw</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w:t>
      </w:r>
    </w:p>
    <w:p>
      <w:pPr>
        <w:ind w:right="120" w:firstLine="648"/>
        <w:spacing w:after="0" w:line="238" w:lineRule="auto"/>
        <w:rPr>
          <w:sz w:val="20"/>
          <w:szCs w:val="20"/>
          <w:color w:val="auto"/>
        </w:rPr>
      </w:pPr>
      <w:r>
        <w:rPr>
          <w:rFonts w:ascii="Arial" w:cs="Arial" w:eastAsia="Arial" w:hAnsi="Arial"/>
          <w:sz w:val="18"/>
          <w:szCs w:val="18"/>
          <w:color w:val="auto"/>
        </w:rPr>
        <w:t>Mr. Bradshaw has been a director since the closing of our IPO in 2014. From 1978 to 2019, Mr. Bradshaw worked at the law firm of Johnson Stokes &amp; Master, now Mayer Brown, in Hong Kong; from 1983 to 2003 as a partner and between 2003 and 2019 as a senior consultant. In addition, Mr. Bradshaw is an independent non-executive director of Pacific Basin Shipping Company Limited, an independent non-executive director of WorldWildLife Fund Hong Kong and an independent non-executive director of IRC Limited, an affiliate of Petropavlovsk PLC. Mr. Bradshaw received a Master of Laws degree from the Victoria University of Wellington in 1971.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Appointed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Meeting, our Appointed Directors are expected to be Curtis V. Anastasio, our Chairman, Peter G. Livanos, Andrew J.</w:t>
      </w:r>
    </w:p>
    <w:p>
      <w:pPr>
        <w:spacing w:after="0"/>
        <w:rPr>
          <w:sz w:val="20"/>
          <w:szCs w:val="20"/>
          <w:color w:val="auto"/>
        </w:rPr>
      </w:pPr>
      <w:r>
        <w:rPr>
          <w:rFonts w:ascii="Arial" w:cs="Arial" w:eastAsia="Arial" w:hAnsi="Arial"/>
          <w:sz w:val="18"/>
          <w:szCs w:val="18"/>
          <w:color w:val="auto"/>
        </w:rPr>
        <w:t>Orekar, our Chief Executive Officer (“CEO”), and Michael G. Gialouris, all of whom currently serve on our Board.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biographical information about the individuals expected to serve as Appointed Directors following the Meeting are set forth</w:t>
      </w:r>
    </w:p>
    <w:p>
      <w:pPr>
        <w:spacing w:after="0"/>
        <w:rPr>
          <w:sz w:val="20"/>
          <w:szCs w:val="20"/>
          <w:color w:val="auto"/>
        </w:rPr>
      </w:pPr>
      <w:r>
        <w:rPr>
          <w:rFonts w:ascii="Arial" w:cs="Arial" w:eastAsia="Arial" w:hAnsi="Arial"/>
          <w:sz w:val="18"/>
          <w:szCs w:val="18"/>
          <w:color w:val="auto"/>
        </w:rPr>
        <w:t>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Curtis V. Anastasio</w:t>
      </w:r>
    </w:p>
    <w:p>
      <w:pPr>
        <w:spacing w:after="0" w:line="1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Mr. Anastasio has been the Executive Chairman of our Board since our inception to May 2016 and Non-Executive Chairman from May 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initial public offering in 2006. In addition, Mr. Anastasio serves as a director and chairman of the Audit Committee of Par Pacific Holdings (previously Par Petroleum Corporation) a growth-orientated company that manages and maintains interests in energy related assets, and in June 2015 was appointed to the board of the Chemours Company. Between 2013 and 2019, Mr. Anastasio served on the board of the Federal Reserve Bank of Dallas. Mr. Anastasio received a Juris Doctorate degree from Harvard Law School in 1981 and a Bachelor of Arts degree, Magna cum Laude, from Cornell University in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Michael G. Gialouris</w:t>
      </w:r>
    </w:p>
    <w:p>
      <w:pPr>
        <w:spacing w:after="0" w:line="1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Mr. Gialouris was appointed to our Board on February 1, 2019. Mr. Gialouris is the President and Managing Director of ASOFIN Management S.A., an Onassis Foundation company. He acts as Group CFO for the Onassis Foundation Group of Companies. His experience dates back to 1987 and combines shipping finance, corporate banking, advisory, investment assessment and asset management. He has been involved in a number of complex transactions including IPOs, M&amp;A transactions, bank debt raising, private equity investments, etc. Mr. Gialouris has served in senior executive positions for Citibank Shipping Bank S.A. in Greece, Attica Enterprises (the holding company of Superfast Ferries S.A. and Blue Star Ferries S.A.) and Magna Marine Inc. (the owner/operator of a dry bulk carrier fleet). He joined ASOFIN Management S.A. and the Onassis Foundation in 2009 and sits on the Board of Directors of a number of Onassis Foundation companies. Since September 2019 he has served on the Board of the Onassis Cardiac Surgery Center in Athens. Mr. Gialouris studied Mechanical Engineering and earned a M.Sc. degree in Shipping, Trade and Finance from City University Business School (now Cass Business School) in 1987.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G. Livanos</w:t>
      </w:r>
    </w:p>
    <w:p>
      <w:pPr>
        <w:spacing w:after="0" w:line="1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Mr. Livanos has been a director since the closing of our IPO in 2014. Mr. Livanos is the Chairman of GasLog and a member of GasLog’s board of directors. 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J. Orekar</w:t>
      </w:r>
    </w:p>
    <w:p>
      <w:pPr>
        <w:spacing w:after="0" w:line="1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Mr. Orekar has served as our CEO since the closing of our IPO in 2014 and was appointed a director in 2016. Prior to joining the Partnership, Mr. Orekar served as Managing Director at Goldman Sachs &amp; Co. LLC, where he advised global natural resources and energy companies on mergers and acquisitions, corporate finance and capital markets transactions. Mr. Orekar joined Goldman Sachs in 1998, was appointed Managing Director in 2009 and held positions of increasing responsibility within the Investment Banking Division during his 15-year career. In addition, Mr. Orekar is an independent director of Tortoise Acquisition Corp., a company formed for the purpose of effecting a merger or acquisition with one or more energy businesses. Mr. Orekar received B.S. (Wharton School) and B.A. degrees from the University of Pennsylvania in 1998.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1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Ms. Gibson, the nominee for the Class II Elected Director position, as well the other Elected Directors and Mr. Gialouris have been determined by our Board to be independent under the standards of the NYSE and the rules and regulations of the SEC.</w:t>
      </w:r>
    </w:p>
    <w:p>
      <w:pPr>
        <w:spacing w:after="0" w:line="19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Ms. Gibson and the other Elected Directors qualify for membership on our conflicts committee. Under our Partnership Agreement,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accordance with our Partnership Agreement, our General Partner has delegated to our Board the authority to oversee and direct our operations, management and policies on an exclusive basis, and such delegation will be binding on any successor General Partner of the Partnership. Our board leadership structure consists of our Chairman and the chairmen of our Board committees. Our operational management is headed by our CEO. Mr. Orekar, as CEO, is responsible for the day-to-day operations of the Partnership, which includes decisions relating to the Partnership’s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unitholders.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 subsidiary of GasLog has entered into an employment agreement with Andrew J. Orekar, our CEO. The agreement provides for an annual cash incentive bonus based in part on performance relative to pre-established targets. The services of our executive officers and other employees are provided pursuant to the administrative services agreement, under which we pay an annual fee. For the year ended December 31, 2019, the amount of compensation we paid to our executive officers, including annual and long-term cash incentive compensation, as well as aggregate fees for administrative services provided under the administrative services agreement, totaled $1,838,459. See “Item 7. Major Unitholders and Related Party Transactions—B. Related Party Transactions—Administrative Services Agreement” in our Annual Report on Form 20-F filed with the SEC on March 3, 2020.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2019 to provide pension, retirement or similar benefits to our senior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34"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Each non-management director receives cash compensation for being a member of our board of directors, as well as for being a member or chairperson of a committee. During 2019, non-management directors each received a director fee of $110,000 per year. In addition, members of the audit and conflicts committees each received a committee fee of $25,000 per year whereas the chairpersons of such committees received a fee of $50,000 per year. Our chairman receives an additional chair fee and received director fees totaling $260,000 in 2019. In addition, each director is reimbursed for out-of-pocket expenses in connection with attending meetings of the board of directors or committees.</w:t>
      </w:r>
    </w:p>
    <w:p>
      <w:pPr>
        <w:spacing w:after="0" w:line="205"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We did not set aside or accrue any amounts in the year ended December 31, 2019 to provide pension, retirement or similar benefits to our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w:t>
      </w:r>
    </w:p>
    <w:p>
      <w:pPr>
        <w:spacing w:after="0" w:line="234"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January 2015, our Board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20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1.68% of the 14,322,358 common units outstanding as of December 31, 2014), subject to adjustment for changes in capitalization as provided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Plan. The Plan is administered by our Board, or such committee of our Board as may be designated by our Board to administer the Plan.</w:t>
      </w:r>
    </w:p>
    <w:p>
      <w:pPr>
        <w:spacing w:after="0" w:line="21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On April 1, 2019, we granted our executive officers and employees an aggregate of 26,308 restricted common units and 26,308 phantom performance common units, with an aggregate fair value as of the grant date of $1.2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 As of December 31, 2019, we have 241,447 common units reserved for issuance under the Plan (equal to approximately 0.52% of the 46,860,182 common units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Robert B. Allardice III, Daniel R. Bradshaw and Pamela M. Gibson, with Robert B. Allardice III serving as the chair of the audit committee. Our Board has determined that each of Robert B. Allardice III, Daniel R. Bradshaw and Pamela M. Gibson satisfies the independence standards established by the NYSE, and that Robert B. Allardice III qualifies as an “audit committee financial expert” for purposes of SEC rules and regulations. Following the Meeting, the audit committee will continue to consist of Mr. Allardice, Ms. Gibson and Mr. Bradshaw, assuming that Ms. Gibson is re-elected as an Elected Director at the Meeting. Mr. Allardice will also continue to serve as chair of the audit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34" w:lineRule="exact"/>
        <w:rPr>
          <w:sz w:val="20"/>
          <w:szCs w:val="20"/>
          <w:color w:val="auto"/>
        </w:rPr>
      </w:pPr>
    </w:p>
    <w:p>
      <w:pPr>
        <w:ind w:firstLine="648"/>
        <w:spacing w:after="0" w:line="234" w:lineRule="auto"/>
        <w:rPr>
          <w:sz w:val="20"/>
          <w:szCs w:val="20"/>
          <w:color w:val="auto"/>
        </w:rPr>
      </w:pPr>
      <w:r>
        <w:rPr>
          <w:rFonts w:ascii="Arial" w:cs="Arial" w:eastAsia="Arial" w:hAnsi="Arial"/>
          <w:sz w:val="18"/>
          <w:szCs w:val="18"/>
          <w:color w:val="auto"/>
        </w:rPr>
        <w:t>We also have a conflicts committee that is available at the Board’s discretion to review specific matters that the Board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Robert B. Allardice III, Daniel R. Bradshaw and Pamela M. Gibson, with Daniel R. Bradshaw serving as chair of the conflicts committee. Following the Meeting, the conflicts committee will continue to consist of Mr. Allardice, Ms. Gibson and Mr. Bradshaw, assuming that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Ms. Gibson is re-elected as an Elected Director at the Meeting. Mr. Bradshaw will also continue to serve as chair of the conflicts committee.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4"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The Board and our Partnership’s management engage in an ongoing review of our corporate governance practices in order to oversee our compliance with the applicable corporate governance rules of the NYSE and the SEC.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ind w:firstLine="648"/>
        <w:spacing w:after="0" w:line="238"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 xml:space="preserve">http://www.gaslogmlp.com. </w:t>
      </w:r>
      <w:r>
        <w:rPr>
          <w:rFonts w:ascii="Arial" w:cs="Arial" w:eastAsia="Arial" w:hAnsi="Arial"/>
          <w:sz w:val="18"/>
          <w:szCs w:val="18"/>
          <w:color w:val="auto"/>
        </w:rPr>
        <w:t>Reference to our website is for informational purposes only; our website is not incorporated by reference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We will also 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is not required to be comprised of a majority of independent directors.</w:t>
      </w:r>
    </w:p>
    <w:p>
      <w:pPr>
        <w:spacing w:after="0" w:line="20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Nominations for Annual Meeting</w:t>
      </w:r>
    </w:p>
    <w:p>
      <w:pPr>
        <w:spacing w:after="0" w:line="234"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Directors elected by our Limited Partners are nominated by the Board or by any Limited Partner or group of Limited Partners that holds at least 10% of the outstanding Common Units.</w:t>
      </w:r>
    </w:p>
    <w:p>
      <w:pPr>
        <w:spacing w:after="0" w:line="19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Partnership Agreement provides that Limited Partners seeking to nominate candidates for election as directors must provide timely notice of their proposal in writing to the Board. Generally, to be timely, a Limited Partner’s notice must be received at our principal executive offices not less than 90 days or more than 120 days prior to that annual meeting. In the event that the date of the annual meeting was not publicly announced by the Partnership by mail, press release or otherwise more than 100 days prior to the date of such meeting, such notice, to be timely, must be delivered to the Board not later than the close of business on the 10th day following the date on which the date of the annual meeting was announced. Our Partnership Agreement also specifies requirements as to the form and content of a Limited Partner’s notice. These provisions may impede Limited Partners’ ability to make nominations for directors at an annual meeting of Limited Partners. Individuals proposed as candidates for election as director by Limited Partners in accordance with these procedures will receive the same consideration which was given to individuals identified through other means to the Board.</w:t>
      </w:r>
    </w:p>
    <w:p>
      <w:pPr>
        <w:spacing w:after="0" w:line="207"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Limited Partners who wish to send communications on any topic to the Board, may do so by writing to Sarah Larkins, Partnership Secretary, at 69 Akti Miaouli, 18537 Piraeus, Greece.</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BOARD UNANIMOUSLY RECOMMENDS A VOTE IN FAVOR OF THE PROPOSED DIRECTOR. UNLESS REVOKED AS PROVIDED ABOVE, PROXIES RECEIVED BY MANAGEMENT WILL BE VOTED IN FAVOR OF THE PROPOSED DIRECTOR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PROPOSAL TWO</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INDEPENDENT AUDITORS</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Board is submitting for ratification at the Meeting the appointment of Deloitte LLP as the Partnership’s independent auditors for the fiscal year ending December 31, 2020. The charter of the audit committee requires the Partnership’s independent auditor to be engaged, retained and supervised by the audit committee. However, the Board considers the appointment of the independent auditor to be an important matter of Limited Partner concern and is submitting the appointment of Deloitte LLP for ratification by Limited Partners as a matter of good corporate practice. If the Limited Partners fail to ratify the selection, the audit committee may consider whether or not to retain Deloitte LLP.</w:t>
      </w:r>
    </w:p>
    <w:p>
      <w:pPr>
        <w:spacing w:after="0" w:line="205"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Deloitte LLP has advised the Partnership that the firm does not have any direct or indirect financial interest in the Partnership, nor has such firm had any such interest in connection with the Partnership during the past three fiscal years other than in its capacity as the Partnership’s independent auditors.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services rendered by the independent auditors are subject to approval by the Partnership’s audit committee.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 Two requires the majority of the votes cast at the Meeting.</w:t>
      </w:r>
    </w:p>
    <w:p>
      <w:pPr>
        <w:spacing w:after="0" w:line="19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THE BOARD UNANIMOUSLY RECOMMENDS A VOTE FOR RATIFICATION OF THE APPOINTMENT OF DELOITTE LLP AS INDEPENDENT AUDITORS OF THE PARTNERSHIP FOR THE FISCAL YEAR ENDING DECEMBER 31, 2020. UNLESS REVOKED AS PROVIDED ABOVE, PROXIES RECEIVED BY MANAGEMENT WILL BE VOTED IN FAVOR OF SUCH APPROVAL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SOLICITATION</w:t>
      </w:r>
    </w:p>
    <w:p>
      <w:pPr>
        <w:spacing w:after="0" w:line="23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cost of preparing and soliciting proxies will be borne by the Partnership. Solicitation will be made primarily by mail, but Limited Partners may be solicited by telephone, e-mail, or personal contact.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126365</wp:posOffset>
            </wp:positionV>
            <wp:extent cx="1320165" cy="908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1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Sarah Larkins</w:t>
      </w:r>
    </w:p>
    <w:p>
      <w:pPr>
        <w:ind w:left="5620"/>
        <w:spacing w:after="0"/>
        <w:rPr>
          <w:sz w:val="20"/>
          <w:szCs w:val="20"/>
          <w:color w:val="auto"/>
        </w:rPr>
      </w:pPr>
      <w:r>
        <w:rPr>
          <w:rFonts w:ascii="Arial" w:cs="Arial" w:eastAsia="Arial" w:hAnsi="Arial"/>
          <w:sz w:val="18"/>
          <w:szCs w:val="18"/>
          <w:color w:val="auto"/>
        </w:rPr>
        <w:t>Partnership 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7" w:name="page18"/>
    <w:bookmarkEnd w:id="17"/>
    <w:p>
      <w:pPr>
        <w:ind w:left="9180"/>
        <w:spacing w:after="0"/>
        <w:rPr>
          <w:sz w:val="20"/>
          <w:szCs w:val="20"/>
          <w:color w:val="auto"/>
        </w:rPr>
      </w:pPr>
      <w:r>
        <w:rPr>
          <w:rFonts w:ascii="Arial" w:cs="Arial" w:eastAsia="Arial" w:hAnsi="Arial"/>
          <w:sz w:val="17"/>
          <w:szCs w:val="17"/>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13335</wp:posOffset>
            </wp:positionV>
            <wp:extent cx="5829300" cy="7303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0" cy="7303770"/>
                    </a:xfrm>
                    <a:prstGeom prst="rect">
                      <a:avLst/>
                    </a:prstGeom>
                    <a:noFill/>
                  </pic:spPr>
                </pic:pic>
              </a:graphicData>
            </a:graphic>
          </wp:anchor>
        </w:drawing>
      </w:r>
    </w:p>
    <w:p>
      <w:pPr>
        <w:sectPr>
          <w:pgSz w:w="11900" w:h="16838" w:orient="portrait"/>
          <w:cols w:equalWidth="0" w:num="1">
            <w:col w:w="10120"/>
          </w:cols>
          <w:pgMar w:left="1440" w:top="140" w:right="3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7543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2020-03-23T15:32:44Z</dcterms:created>
  <dcterms:modified xsi:type="dcterms:W3CDTF">2020-03-23T15:32:44Z</dcterms:modified>
</cp:coreProperties>
</file>