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For the month of July 2017</w:t>
            </w:r>
          </w:p>
        </w:tc>
        <w:tc>
          <w:tcPr>
            <w:tcW w:w="1660" w:type="dxa"/>
            <w:vAlign w:val="bottom"/>
          </w:tcPr>
          <w:p>
            <w:pPr>
              <w:spacing w:after="0"/>
              <w:rPr>
                <w:sz w:val="20"/>
                <w:szCs w:val="20"/>
                <w:color w:val="auto"/>
              </w:rPr>
            </w:pP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660" w:type="dxa"/>
            <w:vAlign w:val="bottom"/>
          </w:tcPr>
          <w:p>
            <w:pPr>
              <w:spacing w:after="0"/>
              <w:rPr>
                <w:sz w:val="24"/>
                <w:szCs w:val="24"/>
                <w:color w:val="auto"/>
              </w:rPr>
            </w:pPr>
          </w:p>
        </w:tc>
      </w:tr>
      <w:tr>
        <w:trPr>
          <w:trHeight w:val="418"/>
        </w:trPr>
        <w:tc>
          <w:tcPr>
            <w:tcW w:w="976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GasLog Partners LP</w:t>
            </w:r>
          </w:p>
        </w:tc>
        <w:tc>
          <w:tcPr>
            <w:tcW w:w="1660" w:type="dxa"/>
            <w:vAlign w:val="bottom"/>
          </w:tcPr>
          <w:p>
            <w:pPr>
              <w:spacing w:after="0"/>
              <w:rPr>
                <w:sz w:val="24"/>
                <w:szCs w:val="24"/>
                <w:color w:val="auto"/>
              </w:rPr>
            </w:pPr>
          </w:p>
        </w:tc>
      </w:tr>
      <w:tr>
        <w:trPr>
          <w:trHeight w:val="230"/>
        </w:trPr>
        <w:tc>
          <w:tcPr>
            <w:tcW w:w="9760" w:type="dxa"/>
            <w:vAlign w:val="bottom"/>
          </w:tcPr>
          <w:p>
            <w:pPr>
              <w:jc w:val="center"/>
              <w:ind w:left="1590"/>
              <w:spacing w:after="0"/>
              <w:rPr>
                <w:sz w:val="20"/>
                <w:szCs w:val="20"/>
                <w:color w:val="auto"/>
              </w:rPr>
            </w:pPr>
            <w:r>
              <w:rPr>
                <w:rFonts w:ascii="Arial" w:cs="Arial" w:eastAsia="Arial" w:hAnsi="Arial"/>
                <w:sz w:val="18"/>
                <w:szCs w:val="18"/>
                <w:color w:val="auto"/>
                <w:w w:val="91"/>
              </w:rPr>
              <w:t>(Translation of registrant’s name into English)</w:t>
            </w:r>
          </w:p>
        </w:tc>
        <w:tc>
          <w:tcPr>
            <w:tcW w:w="1660" w:type="dxa"/>
            <w:vAlign w:val="bottom"/>
          </w:tcPr>
          <w:p>
            <w:pPr>
              <w:spacing w:after="0"/>
              <w:rPr>
                <w:sz w:val="20"/>
                <w:szCs w:val="20"/>
                <w:color w:val="auto"/>
              </w:rPr>
            </w:pPr>
          </w:p>
        </w:tc>
      </w:tr>
      <w:tr>
        <w:trPr>
          <w:trHeight w:val="418"/>
        </w:trPr>
        <w:tc>
          <w:tcPr>
            <w:tcW w:w="9760" w:type="dxa"/>
            <w:vAlign w:val="bottom"/>
          </w:tcPr>
          <w:p>
            <w:pPr>
              <w:jc w:val="center"/>
              <w:ind w:left="1550"/>
              <w:spacing w:after="0"/>
              <w:rPr>
                <w:sz w:val="20"/>
                <w:szCs w:val="20"/>
                <w:color w:val="auto"/>
              </w:rPr>
            </w:pPr>
            <w:r>
              <w:rPr>
                <w:rFonts w:ascii="Arial" w:cs="Arial" w:eastAsia="Arial" w:hAnsi="Arial"/>
                <w:sz w:val="18"/>
                <w:szCs w:val="18"/>
                <w:color w:val="auto"/>
                <w:w w:val="92"/>
              </w:rPr>
              <w:t>c/o GasLog Monaco S.A.M.</w:t>
            </w:r>
          </w:p>
        </w:tc>
        <w:tc>
          <w:tcPr>
            <w:tcW w:w="1660" w:type="dxa"/>
            <w:vAlign w:val="bottom"/>
          </w:tcPr>
          <w:p>
            <w:pPr>
              <w:spacing w:after="0"/>
              <w:rPr>
                <w:sz w:val="24"/>
                <w:szCs w:val="24"/>
                <w:color w:val="auto"/>
              </w:rPr>
            </w:pPr>
          </w:p>
        </w:tc>
      </w:tr>
      <w:tr>
        <w:trPr>
          <w:trHeight w:val="216"/>
        </w:trPr>
        <w:tc>
          <w:tcPr>
            <w:tcW w:w="9760" w:type="dxa"/>
            <w:vAlign w:val="bottom"/>
          </w:tcPr>
          <w:p>
            <w:pPr>
              <w:jc w:val="center"/>
              <w:ind w:left="1570"/>
              <w:spacing w:after="0"/>
              <w:rPr>
                <w:sz w:val="20"/>
                <w:szCs w:val="20"/>
                <w:color w:val="auto"/>
              </w:rPr>
            </w:pPr>
            <w:r>
              <w:rPr>
                <w:rFonts w:ascii="Arial" w:cs="Arial" w:eastAsia="Arial" w:hAnsi="Arial"/>
                <w:sz w:val="18"/>
                <w:szCs w:val="18"/>
                <w:color w:val="auto"/>
                <w:w w:val="89"/>
              </w:rPr>
              <w:t>Gildo Pastor Center</w:t>
            </w:r>
          </w:p>
        </w:tc>
        <w:tc>
          <w:tcPr>
            <w:tcW w:w="1660" w:type="dxa"/>
            <w:vAlign w:val="bottom"/>
          </w:tcPr>
          <w:p>
            <w:pPr>
              <w:spacing w:after="0"/>
              <w:rPr>
                <w:sz w:val="18"/>
                <w:szCs w:val="18"/>
                <w:color w:val="auto"/>
              </w:rPr>
            </w:pPr>
          </w:p>
        </w:tc>
      </w:tr>
      <w:tr>
        <w:trPr>
          <w:trHeight w:val="216"/>
        </w:trPr>
        <w:tc>
          <w:tcPr>
            <w:tcW w:w="9760" w:type="dxa"/>
            <w:vAlign w:val="bottom"/>
          </w:tcPr>
          <w:p>
            <w:pPr>
              <w:jc w:val="center"/>
              <w:ind w:left="1570"/>
              <w:spacing w:after="0"/>
              <w:rPr>
                <w:sz w:val="20"/>
                <w:szCs w:val="20"/>
                <w:color w:val="auto"/>
              </w:rPr>
            </w:pPr>
            <w:r>
              <w:rPr>
                <w:rFonts w:ascii="Arial" w:cs="Arial" w:eastAsia="Arial" w:hAnsi="Arial"/>
                <w:sz w:val="18"/>
                <w:szCs w:val="18"/>
                <w:color w:val="auto"/>
                <w:w w:val="89"/>
              </w:rPr>
              <w:t>7 Rue du Gabian</w:t>
            </w:r>
          </w:p>
        </w:tc>
        <w:tc>
          <w:tcPr>
            <w:tcW w:w="1660" w:type="dxa"/>
            <w:vAlign w:val="bottom"/>
          </w:tcPr>
          <w:p>
            <w:pPr>
              <w:spacing w:after="0"/>
              <w:rPr>
                <w:sz w:val="18"/>
                <w:szCs w:val="18"/>
                <w:color w:val="auto"/>
              </w:rPr>
            </w:pPr>
          </w:p>
        </w:tc>
      </w:tr>
      <w:tr>
        <w:trPr>
          <w:trHeight w:val="216"/>
        </w:trPr>
        <w:tc>
          <w:tcPr>
            <w:tcW w:w="9760" w:type="dxa"/>
            <w:vAlign w:val="bottom"/>
          </w:tcPr>
          <w:p>
            <w:pPr>
              <w:jc w:val="center"/>
              <w:ind w:left="1570"/>
              <w:spacing w:after="0"/>
              <w:rPr>
                <w:sz w:val="20"/>
                <w:szCs w:val="20"/>
                <w:color w:val="auto"/>
              </w:rPr>
            </w:pPr>
            <w:r>
              <w:rPr>
                <w:rFonts w:ascii="Arial" w:cs="Arial" w:eastAsia="Arial" w:hAnsi="Arial"/>
                <w:sz w:val="18"/>
                <w:szCs w:val="18"/>
                <w:color w:val="auto"/>
                <w:w w:val="92"/>
              </w:rPr>
              <w:t>MC 98000, Monaco</w:t>
            </w:r>
          </w:p>
        </w:tc>
        <w:tc>
          <w:tcPr>
            <w:tcW w:w="1660" w:type="dxa"/>
            <w:vAlign w:val="bottom"/>
          </w:tcPr>
          <w:p>
            <w:pPr>
              <w:spacing w:after="0"/>
              <w:rPr>
                <w:sz w:val="18"/>
                <w:szCs w:val="18"/>
                <w:color w:val="auto"/>
              </w:rPr>
            </w:pPr>
          </w:p>
        </w:tc>
      </w:tr>
      <w:tr>
        <w:trPr>
          <w:trHeight w:val="230"/>
        </w:trPr>
        <w:tc>
          <w:tcPr>
            <w:tcW w:w="9760" w:type="dxa"/>
            <w:vAlign w:val="bottom"/>
          </w:tcPr>
          <w:p>
            <w:pPr>
              <w:jc w:val="center"/>
              <w:ind w:left="1570"/>
              <w:spacing w:after="0"/>
              <w:rPr>
                <w:sz w:val="20"/>
                <w:szCs w:val="20"/>
                <w:color w:val="auto"/>
              </w:rPr>
            </w:pPr>
            <w:r>
              <w:rPr>
                <w:rFonts w:ascii="Arial" w:cs="Arial" w:eastAsia="Arial" w:hAnsi="Arial"/>
                <w:sz w:val="18"/>
                <w:szCs w:val="18"/>
                <w:color w:val="auto"/>
                <w:w w:val="92"/>
              </w:rPr>
              <w:t>(Address of principal executive office)</w:t>
            </w:r>
          </w:p>
        </w:tc>
        <w:tc>
          <w:tcPr>
            <w:tcW w:w="1660" w:type="dxa"/>
            <w:vAlign w:val="bottom"/>
          </w:tcPr>
          <w:p>
            <w:pPr>
              <w:spacing w:after="0"/>
              <w:rPr>
                <w:sz w:val="20"/>
                <w:szCs w:val="20"/>
                <w:color w:val="auto"/>
              </w:rPr>
            </w:pP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660" w:type="dxa"/>
            <w:vAlign w:val="bottom"/>
          </w:tcPr>
          <w:p>
            <w:pPr>
              <w:spacing w:after="0"/>
              <w:rPr>
                <w:sz w:val="24"/>
                <w:szCs w:val="24"/>
                <w:color w:val="auto"/>
              </w:rPr>
            </w:pPr>
          </w:p>
        </w:tc>
      </w:tr>
      <w:tr>
        <w:trPr>
          <w:trHeight w:val="452"/>
        </w:trPr>
        <w:tc>
          <w:tcPr>
            <w:tcW w:w="9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660" w:type="dxa"/>
            <w:vAlign w:val="bottom"/>
          </w:tcPr>
          <w:p>
            <w:pPr>
              <w:spacing w:after="0"/>
              <w:rPr>
                <w:sz w:val="24"/>
                <w:szCs w:val="24"/>
                <w:color w:val="auto"/>
              </w:rPr>
            </w:pPr>
          </w:p>
        </w:tc>
      </w:tr>
      <w:tr>
        <w:trPr>
          <w:trHeight w:val="412"/>
        </w:trPr>
        <w:tc>
          <w:tcPr>
            <w:tcW w:w="9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660" w:type="dxa"/>
            <w:vAlign w:val="bottom"/>
          </w:tcPr>
          <w:p>
            <w:pPr>
              <w:ind w:left="800"/>
              <w:spacing w:after="0"/>
              <w:rPr>
                <w:sz w:val="20"/>
                <w:szCs w:val="20"/>
                <w:color w:val="auto"/>
              </w:rPr>
            </w:pPr>
            <w:r>
              <w:rPr>
                <w:rFonts w:ascii="Arial" w:cs="Arial" w:eastAsia="Arial" w:hAnsi="Arial"/>
                <w:sz w:val="18"/>
                <w:szCs w:val="18"/>
                <w:color w:val="auto"/>
              </w:rPr>
              <w:t>o</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660" w:type="dxa"/>
            <w:vAlign w:val="bottom"/>
          </w:tcPr>
          <w:p>
            <w:pPr>
              <w:ind w:left="800"/>
              <w:spacing w:after="0"/>
              <w:rPr>
                <w:sz w:val="20"/>
                <w:szCs w:val="20"/>
                <w:color w:val="auto"/>
              </w:rPr>
            </w:pPr>
            <w:r>
              <w:rPr>
                <w:rFonts w:ascii="Arial" w:cs="Arial" w:eastAsia="Arial" w:hAnsi="Arial"/>
                <w:sz w:val="18"/>
                <w:szCs w:val="18"/>
                <w:color w:val="auto"/>
              </w:rPr>
              <w:t>o</w:t>
            </w:r>
          </w:p>
        </w:tc>
      </w:tr>
      <w:tr>
        <w:trPr>
          <w:trHeight w:val="277"/>
        </w:trPr>
        <w:tc>
          <w:tcPr>
            <w:tcW w:w="9760" w:type="dxa"/>
            <w:vAlign w:val="bottom"/>
            <w:tcBorders>
              <w:bottom w:val="single" w:sz="8" w:color="C0C0C0"/>
            </w:tcBorders>
          </w:tcPr>
          <w:p>
            <w:pPr>
              <w:spacing w:after="0"/>
              <w:rPr>
                <w:sz w:val="24"/>
                <w:szCs w:val="24"/>
                <w:color w:val="auto"/>
              </w:rPr>
            </w:pPr>
          </w:p>
        </w:tc>
        <w:tc>
          <w:tcPr>
            <w:tcW w:w="16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left="380"/>
        <w:spacing w:after="0"/>
        <w:rPr>
          <w:sz w:val="20"/>
          <w:szCs w:val="20"/>
          <w:color w:val="auto"/>
        </w:rPr>
      </w:pPr>
      <w:r>
        <w:rPr>
          <w:rFonts w:ascii="Arial" w:cs="Arial" w:eastAsia="Arial" w:hAnsi="Arial"/>
          <w:sz w:val="16"/>
          <w:szCs w:val="16"/>
          <w:color w:val="auto"/>
        </w:rPr>
        <w:t>The press release issued by GasLog Partners LP on July 27, 2017 relating to its results for the three-month period ended June 30, 2017 and the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 are attached hereto as Exhibits 99.1 and 99.2, respectively. In addition, filed as Exhibit 99.3 hereto is a Facilities Agreement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$1,311,356,340 Loan Facilities dated October 16, 2015 between GAS-eleven Ltd., GAS-twelve Ltd., GAS-thirteen Ltd., Gas-fourteen Ltd., GAS-twenty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GAS-twenty three Ltd., GAS-twenty four Ltd., GAS-twenty five Ltd., as borrowers, Citibank, N.A., London Branch, Nordea Bank AB, London Branch,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Export-Import Bank of Korea, Bank of America, National Association, BNP Paribas, Credit Agricole Corporate and Investment Bank,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HSBC Bank plc, ING Bank N.V., London Branch, KEB Hana Bank, London Branch, KfW IPEX-Bank GmbH, National Australia Bank Limited, Oversea-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Chinese Banking Corporation Limited, Societe Generale and The Korea Development Bank as mandated lead arrangers with Nordea Bank AB, London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Branch as agent, security agent, global co-ordinator and bookrunner and Citibank N.A., London Branch as export credit agent, global co-oordinator,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bookrunner and export credit agent co-ordinator, guaranteed by GasLog Ltd. and GasLog Carriers Ltd.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376"/>
        <w:spacing w:after="0" w:line="257" w:lineRule="auto"/>
        <w:rPr>
          <w:sz w:val="20"/>
          <w:szCs w:val="20"/>
          <w:color w:val="auto"/>
        </w:rPr>
      </w:pPr>
      <w:r>
        <w:rPr>
          <w:rFonts w:ascii="Arial" w:cs="Arial" w:eastAsia="Arial" w:hAnsi="Arial"/>
          <w:sz w:val="18"/>
          <w:szCs w:val="18"/>
          <w:color w:val="auto"/>
        </w:rPr>
        <w:t>Exhibit 99.2, including Appendix A thereto, to this Report on Form 6-K shall be incorporated by reference into our registration statement on Form F-3 (File No. 333-204616), filed with the 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2017</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Financial Report for the Three and Six Months Ended June 30, 2017</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Management’s Discussion and Analysis of Financial Condition and Results of Operation</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Unaudited Condensed Consolidated Financial Statements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Appendix A: Supplemental Non-GAAP Partnership Performance Information and Reconciliation Tables</w:t>
      </w:r>
    </w:p>
    <w:p>
      <w:pPr>
        <w:spacing w:after="0" w:line="225" w:lineRule="exact"/>
        <w:rPr>
          <w:sz w:val="20"/>
          <w:szCs w:val="20"/>
          <w:color w:val="auto"/>
        </w:rPr>
      </w:pPr>
    </w:p>
    <w:p>
      <w:pPr>
        <w:ind w:left="820" w:right="80" w:hanging="809"/>
        <w:spacing w:after="0" w:line="270" w:lineRule="auto"/>
        <w:tabs>
          <w:tab w:leader="none" w:pos="8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7"/>
          <w:szCs w:val="17"/>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co-oordinator, bookrunner and export credit agent co-ordinator, guaranteed by GasLog Ltd. and GasLog Carriers Ltd., previously filed as an exhibit to GasLog Ltd.’s Annual Report on Form 20-F (file No. 001-35466), filed with the SEC on March 14, 2016, and hereby incorporated by reference to such Report. *</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 has been redacted and complete exhibits have been separately filed with the Securities and Exchange Commission.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Title:</w:t>
        <w:tab/>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Reports Financial Results for the Three-Month Period Ended June 30, 2017 and Increases Cash Distribution</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Monaco, July 27, 2017, GasLog Partners LP (“GasLog Partners” or the “Partnership”) (NYSE: GLOP), </w:t>
      </w:r>
      <w:r>
        <w:rPr>
          <w:rFonts w:ascii="Arial" w:cs="Arial" w:eastAsia="Arial" w:hAnsi="Arial"/>
          <w:sz w:val="18"/>
          <w:szCs w:val="18"/>
          <w:color w:val="auto"/>
        </w:rPr>
        <w:t>an international owner and operator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today reported its financial results for the three-month period ended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340" w:right="126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acquisition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from GasLog Ltd. (“GasLog”) for $219.0 million, with attached multi-year charter to a subsidiary of Royal Dutch Shell plc (“Shell”).</w:t>
      </w:r>
    </w:p>
    <w:p>
      <w:pPr>
        <w:spacing w:after="0" w:line="1" w:lineRule="exact"/>
        <w:rPr>
          <w:rFonts w:ascii="Arial" w:cs="Arial" w:eastAsia="Arial" w:hAnsi="Arial"/>
          <w:sz w:val="18"/>
          <w:szCs w:val="18"/>
          <w:color w:val="auto"/>
        </w:rPr>
      </w:pPr>
    </w:p>
    <w:p>
      <w:pPr>
        <w:ind w:left="340" w:right="8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and, post quarter-end, completed the acquisition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from GasLog for $211.0 million, with attached multi-year charter to a subsidiary of Shell.</w:t>
      </w:r>
    </w:p>
    <w:p>
      <w:pPr>
        <w:ind w:left="340" w:right="12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public offering of 8.625% Series A Cumulative Redeemable Perpetual Fixed to Floating Rate Preference Units (the “Series A Preference Units”), raising gross proceeds of $143.8 million and net proceeds of $138.8 million.</w:t>
      </w:r>
    </w:p>
    <w:p>
      <w:pPr>
        <w:ind w:left="340" w:right="11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an “at-the-market” common equity offering programme (“ATM Programme”) of up to $100.0 million, raising cumulative net proceeds of $11.0 million since inception.</w:t>
      </w:r>
    </w:p>
    <w:p>
      <w:pPr>
        <w:ind w:left="340" w:hanging="332"/>
        <w:spacing w:after="0" w:line="183" w:lineRule="auto"/>
        <w:tabs>
          <w:tab w:leader="none" w:pos="34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Quarterly Revenues, Profit, Adjusted Profit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EBITDA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$65.3 million, $20.6 million, $22.4 million and $47.4 million, respectively.</w:t>
      </w:r>
    </w:p>
    <w:p>
      <w:pPr>
        <w:ind w:left="340" w:hanging="332"/>
        <w:spacing w:after="0" w:line="180"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Highest-ever quarterly Partnership Performance</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Results for Revenues and EBITDA</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of $62.6 million and $45.2 million, respectively.</w:t>
      </w:r>
    </w:p>
    <w:p>
      <w:pPr>
        <w:ind w:left="340" w:right="620" w:hanging="332"/>
        <w:spacing w:after="0" w:line="24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cash distribution of $0.51 per common unit for the second quarter of 2017, 2% higher than the first quarter of 2017 and 7% higher than the second quarter of 2016.</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$60.1 million of debt and repaid the $15.0 million drawn under our revolving credit facility with GasLog.</w:t>
      </w:r>
    </w:p>
    <w:p>
      <w:pPr>
        <w:spacing w:after="0" w:line="9" w:lineRule="exact"/>
        <w:rPr>
          <w:rFonts w:ascii="Arial" w:cs="Arial" w:eastAsia="Arial" w:hAnsi="Arial"/>
          <w:sz w:val="18"/>
          <w:szCs w:val="18"/>
          <w:color w:val="auto"/>
        </w:rPr>
      </w:pPr>
    </w:p>
    <w:p>
      <w:pPr>
        <w:ind w:left="340" w:hanging="332"/>
        <w:spacing w:after="0" w:line="220"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Distribution coverage ratio</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1.12x.</w:t>
      </w:r>
    </w:p>
    <w:p>
      <w:pPr>
        <w:spacing w:after="0" w:line="73" w:lineRule="exact"/>
        <w:rPr>
          <w:sz w:val="20"/>
          <w:szCs w:val="20"/>
          <w:color w:val="auto"/>
        </w:rPr>
      </w:pPr>
    </w:p>
    <w:p>
      <w:pPr>
        <w:jc w:val="both"/>
        <w:ind w:left="340" w:right="400" w:hanging="332"/>
        <w:spacing w:after="0" w:line="221"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Adjusted Profit and EBITDA are non-GAAP financial measures, and should not be used in isolation or as a substitute for GasLog Partners’ financial results presented in accordance with International Financial Reporting Standards (“IFRS”). For definition and reconciliation of these measures to the most directly comparable financial measures calculated and presented in accordance with IFRS, please refer to Exhibit III at the end of this press release.</w:t>
      </w:r>
    </w:p>
    <w:p>
      <w:pPr>
        <w:ind w:left="340" w:right="20" w:hanging="332"/>
        <w:spacing w:after="0" w:line="221"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Partnership Performance represents the results attributable to GasLog Partners which are non-GAAP financial measures. For definition and reconciliation of these measures to the most directly comparable financial measures calculated and presented in accordance with IFRS, please refer to Exhibit II at the end of this press release.</w:t>
      </w:r>
    </w:p>
    <w:p>
      <w:pPr>
        <w:ind w:left="340" w:right="380" w:hanging="332"/>
        <w:spacing w:after="0" w:line="237"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Distribution coverage ratio represents the ratio of Distributable cash flow to the cash distribution declared. For definition and reconciliation of Distributable cash flow to the most directly comparable financial measure calculated and presented in accordance with IFRS, please refer to Exhibit III at the end of this 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Mr. Andrew Orekar, Chief Executive Officer, commented: “Following the successful acquisition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GasLog Partners delivered our highest-ever quarterly Partnership Performance Results for Revenues and EBITDA, among other metrics. As a result of our performance, we are increasing our cash distribution by 2% from the first quarter of 2017 to $0.51 per unit. With this increase, the Partnership has grown distributions per unit by 7% year-on-year and by 36% since our initial public offering (“IPO”), representing an 11% compound annual growth rate. Our track record of growth despite continued energy market volatility highlights the strength of GasLog Partners’ business model, which provides cash flow stability with growth through acquisitions.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the second quarter, our Series A Preference Units and initial ATM Programme offerings generated significant proceeds for growth and increased liquidity. Following these capital raisings, we announced the $211.0 million acquisition of the </w:t>
      </w:r>
      <w:r>
        <w:rPr>
          <w:rFonts w:ascii="Arial" w:cs="Arial" w:eastAsia="Arial" w:hAnsi="Arial"/>
          <w:sz w:val="16"/>
          <w:szCs w:val="16"/>
          <w:i w:val="1"/>
          <w:iCs w:val="1"/>
          <w:color w:val="auto"/>
        </w:rPr>
        <w:t>GasLog Geneva</w:t>
      </w:r>
      <w:r>
        <w:rPr>
          <w:rFonts w:ascii="Arial" w:cs="Arial" w:eastAsia="Arial" w:hAnsi="Arial"/>
          <w:sz w:val="16"/>
          <w:szCs w:val="16"/>
          <w:color w:val="auto"/>
        </w:rPr>
        <w:t>, which closed on July 3, 2017. The acquisition expands the Partnership’s fleet to 11 wholly owned LNG carriers, extends our average remaining charter duration and is supportive of our guidance to grow unitholder distributions at a 10% to 15% compound annual rate from IPO through 2017. The Partnership expects to provide distribution guidance for 2018 later this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with this quarter’s operating performance and the continued growth of the Partnership’s cash flows and distributions.”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GasLog Greece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On May 3, 2017, GasLog Partners acquired from GasLog 100% of the shares in the entity that owns and charters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is a 174,000 cubic meter (“cbm”) tri-fuel diesel electric (“TFDE”) LNG carrier built in 2016 and operated by GasLog since delivery. The vessel is currently on a multi-year time charter with Shell through March 2026 and Shell has an option to extend the charter for a period of five years.</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The aggregate purchase price for the acquisition was $219.0 million, which included $1.0 million for positive net working capital balances transferred with the vessel. GasLog Partners financed the acquisition with cash on hand, including proceeds from our equity offering in January 2017, and the assumption of the </w:t>
      </w:r>
      <w:r>
        <w:rPr>
          <w:rFonts w:ascii="Arial" w:cs="Arial" w:eastAsia="Arial" w:hAnsi="Arial"/>
          <w:sz w:val="18"/>
          <w:szCs w:val="18"/>
          <w:i w:val="1"/>
          <w:iCs w:val="1"/>
          <w:color w:val="auto"/>
        </w:rPr>
        <w:t>GasLog Greece</w:t>
      </w:r>
      <w:r>
        <w:rPr>
          <w:rFonts w:ascii="Arial" w:cs="Arial" w:eastAsia="Arial" w:hAnsi="Arial"/>
          <w:sz w:val="18"/>
          <w:szCs w:val="18"/>
          <w:color w:val="auto"/>
        </w:rPr>
        <w:t>’s outstanding indebtedness of $151.4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GasLog Geneva</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On July 3, 2017, GasLog Partners acquired from GasLog 100% of the shares in the entity that owns and charters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is a 174,000 cbm TFDE LNG carrier built in 2016 and operated by GasLog since delivery. The vessel is currently on a multi-year time charter with a subsidiary of Shell through September 2023 and Shell has two consecutive extension options which, if exercised, would extend the charter for a period of either five or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right="180"/>
        <w:spacing w:after="0" w:line="264" w:lineRule="auto"/>
        <w:rPr>
          <w:sz w:val="20"/>
          <w:szCs w:val="20"/>
          <w:color w:val="auto"/>
        </w:rPr>
      </w:pPr>
      <w:r>
        <w:rPr>
          <w:rFonts w:ascii="Arial" w:cs="Arial" w:eastAsia="Arial" w:hAnsi="Arial"/>
          <w:sz w:val="18"/>
          <w:szCs w:val="18"/>
          <w:color w:val="auto"/>
        </w:rPr>
        <w:t xml:space="preserve">The aggregate purchase price for the acquisition was $211.0 million, which included $1.0 million for positive net working capital balances transferred with the vessel. GasLog Partners financed the acquisition with cash on hand, including proceeds from the Series A Preference Units offering, and the assumption of the </w:t>
      </w:r>
      <w:r>
        <w:rPr>
          <w:rFonts w:ascii="Arial" w:cs="Arial" w:eastAsia="Arial" w:hAnsi="Arial"/>
          <w:sz w:val="18"/>
          <w:szCs w:val="18"/>
          <w:i w:val="1"/>
          <w:iCs w:val="1"/>
          <w:color w:val="auto"/>
        </w:rPr>
        <w:t>GasLog Geneva</w:t>
      </w:r>
      <w:r>
        <w:rPr>
          <w:rFonts w:ascii="Arial" w:cs="Arial" w:eastAsia="Arial" w:hAnsi="Arial"/>
          <w:sz w:val="18"/>
          <w:szCs w:val="18"/>
          <w:color w:val="auto"/>
        </w:rPr>
        <w:t>’s outstanding indebtedness of $155.0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Series A Preference Units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15, 2017, GasLog Partners completed a public offering of 5,750,000 8.625%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 million. The Series A Preference Units are listed on the New York Stock Exchange under the symbol “GLOP PR A”. The initial distribution on the Series A Preference Units will be payable on September 15,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Launch of ATM Common Equity Offering Programme</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had issued and received payment for 410,877 common units at a weighted average price of $22.68 per common unit for total net proceeds of $8.8 million, after broker commissions of $0.2 million and other expenses of $0.3 million. In connection with the issuance of common units under the ATM Programme during this period, the Partnership also issued 8,385 general partner units to its general partner in order for GasLog to retain its 2.0% general partner interest. The net proceeds from the issuance of the general partner units were $0.2 million. In the period from July 1, 2017 through July 6, 2017, GasLog Partners issued and received payment for an additional 94,367 common units at a weighted average price of $22.91 per unit for net proceeds of $2.1 million, after broker commissions of $0.03 million. The issuance of these units fulfilled contractual commitments entered into on or before June 30, 2017. In connection with the issuance of common units during this subsequent period, the Partnership also issued 1,926 general partner units to its general partner in order for GasLog to retain its 2.0% general partner interest, the net proceeds of which were $0.04 million.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3"/>
        </w:trPr>
        <w:tc>
          <w:tcPr>
            <w:tcW w:w="154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89"/>
              </w:rPr>
              <w:t>IFRS Common Control Reported Results</w:t>
            </w:r>
            <w:r>
              <w:rPr>
                <w:rFonts w:ascii="Arial" w:cs="Arial" w:eastAsia="Arial" w:hAnsi="Arial"/>
                <w:sz w:val="30"/>
                <w:szCs w:val="30"/>
                <w:b w:val="1"/>
                <w:bCs w:val="1"/>
                <w:color w:val="auto"/>
                <w:w w:val="89"/>
                <w:vertAlign w:val="superscript"/>
              </w:rPr>
              <w:t>(1)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2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 Change from</w:t>
            </w:r>
          </w:p>
        </w:tc>
        <w:tc>
          <w:tcPr>
            <w:tcW w:w="100" w:type="dxa"/>
            <w:vAlign w:val="bottom"/>
          </w:tcPr>
          <w:p>
            <w:pPr>
              <w:spacing w:after="0"/>
              <w:rPr>
                <w:sz w:val="18"/>
                <w:szCs w:val="18"/>
                <w:color w:val="auto"/>
              </w:rPr>
            </w:pPr>
          </w:p>
        </w:tc>
      </w:tr>
      <w:tr>
        <w:trPr>
          <w:trHeight w:val="191"/>
        </w:trPr>
        <w:tc>
          <w:tcPr>
            <w:tcW w:w="1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June 30,</w:t>
            </w:r>
          </w:p>
        </w:tc>
        <w:tc>
          <w:tcPr>
            <w:tcW w:w="13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June 30,</w:t>
            </w:r>
          </w:p>
        </w:tc>
        <w:tc>
          <w:tcPr>
            <w:tcW w:w="12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4"/>
        </w:trPr>
        <w:tc>
          <w:tcPr>
            <w:tcW w:w="458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5FFFF"/>
            </w:tcBorders>
          </w:tcPr>
          <w:p>
            <w:pPr>
              <w:spacing w:after="0"/>
              <w:rPr>
                <w:sz w:val="20"/>
                <w:szCs w:val="20"/>
                <w:color w:val="auto"/>
              </w:rPr>
            </w:pPr>
          </w:p>
        </w:tc>
      </w:tr>
      <w:tr>
        <w:trPr>
          <w:trHeight w:val="210"/>
        </w:trPr>
        <w:tc>
          <w:tcPr>
            <w:tcW w:w="4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64,049</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64,553</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65,270</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5FF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22,529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24,345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20,561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57"/>
        </w:trPr>
        <w:tc>
          <w:tcPr>
            <w:tcW w:w="458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(2)</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23,054</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23,697</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22,418</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w:t>
            </w:r>
          </w:p>
        </w:tc>
      </w:tr>
      <w:tr>
        <w:trPr>
          <w:trHeight w:val="390"/>
        </w:trPr>
        <w:tc>
          <w:tcPr>
            <w:tcW w:w="458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46,932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48,188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47,440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64" w:lineRule="exact"/>
        <w:rPr>
          <w:sz w:val="20"/>
          <w:szCs w:val="20"/>
          <w:color w:val="auto"/>
        </w:rPr>
      </w:pPr>
    </w:p>
    <w:p>
      <w:pPr>
        <w:ind w:left="660" w:right="160" w:hanging="328"/>
        <w:spacing w:after="0" w:line="234"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was accounted for as a reorganization of entities under common control for IFRS accounting purposes. The unaudited condensed consolidated financial statements of the Partnership accompanying this press release are prepared under IFRS on this basis.</w:t>
      </w:r>
    </w:p>
    <w:p>
      <w:pPr>
        <w:spacing w:after="0" w:line="114" w:lineRule="exact"/>
        <w:rPr>
          <w:rFonts w:ascii="Arial" w:cs="Arial" w:eastAsia="Arial" w:hAnsi="Arial"/>
          <w:sz w:val="12"/>
          <w:szCs w:val="12"/>
          <w:color w:val="auto"/>
        </w:rPr>
      </w:pPr>
    </w:p>
    <w:p>
      <w:pPr>
        <w:ind w:left="660" w:right="420" w:hanging="328"/>
        <w:spacing w:after="0" w:line="253"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and EBITDA are non-GAAP financial measures. For definition and reconciliation of these measures to the most directly comparable financial measure presented in accordance with IFRS, please refer to Exhibit III at the end of this press release.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decrease in profit in the second quarter of 2017 as compared to the first quarter of 2017 is mainly attributable to an increase of $2.4 million in loss on interest rate swaps, combined with an increase in operating expenses of $1.3 million.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decrease in profit in the second quarter of 2017 as compared to the same period in 2016 is attributable to an increase of $2.3 million in net financial costs, mainly due to increased interest expense and loss on interest rate swaps in the three months ended June 30, 2017, partially offset by an increase in profit from operations of $0.4 million.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5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88"/>
              </w:rPr>
              <w:t>Partnership Performance Results</w:t>
            </w:r>
            <w:r>
              <w:rPr>
                <w:rFonts w:ascii="Arial" w:cs="Arial" w:eastAsia="Arial" w:hAnsi="Arial"/>
                <w:sz w:val="30"/>
                <w:szCs w:val="30"/>
                <w:b w:val="1"/>
                <w:bCs w:val="1"/>
                <w:color w:val="auto"/>
                <w:w w:val="88"/>
                <w:vertAlign w:val="superscript"/>
              </w:rPr>
              <w:t>(1)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41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2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 Change from</w:t>
            </w: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June 30,</w:t>
            </w:r>
          </w:p>
        </w:tc>
        <w:tc>
          <w:tcPr>
            <w:tcW w:w="13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June 30,</w:t>
            </w:r>
          </w:p>
        </w:tc>
        <w:tc>
          <w:tcPr>
            <w:tcW w:w="12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4"/>
        </w:trPr>
        <w:tc>
          <w:tcPr>
            <w:tcW w:w="45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5FFFF"/>
            </w:tcBorders>
          </w:tcPr>
          <w:p>
            <w:pPr>
              <w:spacing w:after="0"/>
              <w:rPr>
                <w:sz w:val="20"/>
                <w:szCs w:val="20"/>
                <w:color w:val="auto"/>
              </w:rPr>
            </w:pPr>
          </w:p>
        </w:tc>
      </w:tr>
      <w:tr>
        <w:trPr>
          <w:trHeight w:val="210"/>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49,636</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56,993</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62,582</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5FF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Profit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17,383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21,022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19,358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57"/>
        </w:trPr>
        <w:tc>
          <w:tcPr>
            <w:tcW w:w="45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(2)</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17,383</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20,374</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21,215</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35,560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42,026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45,220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57"/>
        </w:trPr>
        <w:tc>
          <w:tcPr>
            <w:tcW w:w="45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(2)</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19,837</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23,496</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23,255</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17,077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20,121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20,853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160" w:lineRule="exact"/>
        <w:rPr>
          <w:sz w:val="20"/>
          <w:szCs w:val="20"/>
          <w:color w:val="auto"/>
        </w:rPr>
      </w:pPr>
    </w:p>
    <w:p>
      <w:pPr>
        <w:sectPr>
          <w:pgSz w:w="11900" w:h="16838" w:orient="portrait"/>
          <w:cols w:equalWidth="0" w:num="1">
            <w:col w:w="11420"/>
          </w:cols>
          <w:pgMar w:left="240" w:top="409" w:right="239" w:bottom="1440" w:gutter="0" w:footer="0" w:header="0"/>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5" w:name="page6"/>
    <w:bookmarkEnd w:id="5"/>
    <w:p>
      <w:pPr>
        <w:ind w:left="660" w:hanging="328"/>
        <w:spacing w:after="0" w:line="245"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 of the vessel owning entities by GasLog to the Partnership represents a reorganization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definitions and reconciliations of these measurements to the most directly comparable financial measures presented in accordance with IFRS, please refer to Exhibit II at the end of this press release.</w:t>
      </w:r>
    </w:p>
    <w:p>
      <w:pPr>
        <w:spacing w:after="0" w:line="112" w:lineRule="exact"/>
        <w:rPr>
          <w:rFonts w:ascii="Arial" w:cs="Arial" w:eastAsia="Arial" w:hAnsi="Arial"/>
          <w:sz w:val="11"/>
          <w:szCs w:val="11"/>
          <w:color w:val="auto"/>
        </w:rPr>
      </w:pPr>
    </w:p>
    <w:p>
      <w:pPr>
        <w:ind w:left="660" w:right="200" w:hanging="328"/>
        <w:spacing w:after="0" w:line="238" w:lineRule="auto"/>
        <w:tabs>
          <w:tab w:leader="none" w:pos="660" w:val="left"/>
        </w:tabs>
        <w:numPr>
          <w:ilvl w:val="0"/>
          <w:numId w:val="4"/>
        </w:numPr>
        <w:rPr>
          <w:rFonts w:ascii="Arial" w:cs="Arial" w:eastAsia="Arial" w:hAnsi="Arial"/>
          <w:sz w:val="12"/>
          <w:szCs w:val="12"/>
          <w:color w:val="auto"/>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definition and reconciliation of these measures to the most directly comparable financial measures calculated and presented in accordance with IFRS, please refer to Exhibit III at the end of this press release.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The decrease in profit in the second quarter of 2017 as compared to the first quarter of 2017 is mainly attributable to an increase of $3.8 million in net financial costs (comprising financial costs and loss on interest rate swaps, net of financial income) and an increase of $1.3 million in operating expenses of the existing fleet, partially offset by the $3.1 million profit from operations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which was acquired by the Partnership on May 3, 2017.</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The increase in profit for the second quarter of 2017 as compared to the same period in 2016 is attributable to the $6.7 million profit from operations of the </w:t>
      </w:r>
      <w:r>
        <w:rPr>
          <w:rFonts w:ascii="Arial" w:cs="Arial" w:eastAsia="Arial" w:hAnsi="Arial"/>
          <w:sz w:val="16"/>
          <w:szCs w:val="16"/>
          <w:i w:val="1"/>
          <w:iCs w:val="1"/>
          <w:color w:val="auto"/>
        </w:rPr>
        <w:t xml:space="preserve">GasLog Seattle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Greece</w:t>
      </w:r>
      <w:r>
        <w:rPr>
          <w:rFonts w:ascii="Arial" w:cs="Arial" w:eastAsia="Arial" w:hAnsi="Arial"/>
          <w:sz w:val="16"/>
          <w:szCs w:val="16"/>
          <w:color w:val="auto"/>
        </w:rPr>
        <w:t>, acquired by the Partnership on November 1, 2016 and May 3, 2017, respectively, and to the $0.5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profit from operations of the existing fleet, which were partially offset by the $5.2 million increase in net financial costs (comprising financial costs and loss on interest rate swaps, net of financial income) resulting from the valuation of the interest rate swaps and the increased weighted average outstanding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July 26, 2017, the board of directors of GasLog Partners approved and declared a quarterly cash distribution of $0.51 per common unit for the quarter ended June 30, 2017. The cash distribution is payable on August 11, 2017 to all unitholders of record as of August 7,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End of Subordination Period</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May 16, 2017, the subordination period of the subordinated units held by GasLog expired and consequently all 9,822,358 subordinated units converted into common units on a one-for-one basis and now participate pro rata with all other outstanding common units in distributions of available cash.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Financing</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2017, we had $209.1 million of cash and cash equivalents, of which $161.1 million is held in current accounts and $48.0 million was held in time deposits.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2017, we had an aggregate of $922.6 million of indebtedness outstanding under our credit facilities, of which $85.1 million is repayable within one year. In addition, we had unused availability under our revolving credit facilities of $42.9 million.</w:t>
      </w:r>
    </w:p>
    <w:p>
      <w:pPr>
        <w:spacing w:after="0" w:line="1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April 3, 2017, the Partnership signed a deed of termination with respect to its revolving credit facility with GasLog. On the same date, the Partnership entered into a new unsecured five-year term loan of $45.0 million and a new five-year revolving credit facility of $30.0 million with GasLog.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under the junior tranche of the credit agreement that subsidiaries of the Partnership and GasLog entered into on February 18, 2016 (the “Five Vessel Refinancing”), which would have been originally due in April 2018. The outstanding amount of $15.0 million under the revolving credit facility was repaid by the Partnership on May 22, 2017 following the issuance of the Series A Preference Units.</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On May 3, 2017, in connection with the acquisition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the Partnership paid GasLog $66.6 million representing the difference between the $219.0 million aggregate purchase price and the $151.4 million of outstanding indebtedness of the acquired entity assumed by GasLog Partners less an adjustment of $1.0 million in order to maintain the agreed working capital position in the acquired entity of $1.0 million.</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On July 3, 2017, in connection with the acquisition of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the Partnership paid GasLog $55.0 million representing the difference between the $211.0 million aggregate purchase price and the $155.0 million of outstanding indebtedness of the acquired entity assumed by GasLog Partners less an adjustment of $1.0 million in order to maintain the agreed working capital position in the acquired entity of $1.0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6" w:name="page7"/>
    <w:bookmarkEnd w:id="6"/>
    <w:p>
      <w:pPr>
        <w:jc w:val="both"/>
        <w:ind w:right="140"/>
        <w:spacing w:after="0" w:line="264" w:lineRule="auto"/>
        <w:rPr>
          <w:sz w:val="20"/>
          <w:szCs w:val="20"/>
          <w:color w:val="auto"/>
        </w:rPr>
      </w:pPr>
      <w:r>
        <w:rPr>
          <w:rFonts w:ascii="Arial" w:cs="Arial" w:eastAsia="Arial" w:hAnsi="Arial"/>
          <w:sz w:val="18"/>
          <w:szCs w:val="18"/>
          <w:color w:val="auto"/>
        </w:rPr>
        <w:t>The Partnership has entered into three interest rate swap agreements with GasLog at a notional value of $390.0 million in aggregate, maturing between 2020 and 2022. As of June 30, 2017, the Partnership has hedged 41.6% of its floating interest rate exposure on its outstanding debt at a weighted average interest rate of approximately 1.6% (excluding margin).</w:t>
      </w:r>
    </w:p>
    <w:p>
      <w:pPr>
        <w:spacing w:after="0" w:line="18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June 30, 2017, our current assets totaled $218.0 million and current liabilities totaled $123.6 million, resulting in a positive working capital position of $94.4 million.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are expected to carry out scheduled dry-dockings during the first, second and fourth quarters of 2018, respectively. In addition to the normal cost of the dry-dockings for which provisions are made through our dry-docking reserves in our Distributable cash flow calculations, we plan to make certain investments in the vessels with the aim of enhancing their operational performance at a total cost of approximately $25 million, which is expected to be capitalized as part of the respective vessel’s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quarter, there has been continued momentum in the start-up of new LNG liquefaction capacity with the fourth train at Sabine Pass commencing commercial production. Later this year, Wheatstone in Australia and Cove Point on the east coast of the U.S. are expected to start production. In total, Wood Mackenzie estimates that there will be projects with approximately 28 million tonnes per annum (“mtpa”) of nameplate capacity coming online in 2017. In addition, Shell’s 3.2 mtpa floating liquefaction facility “Prelude” departed Samsung Heavy Industries en route to the Browse Basin, offshore Australia.</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Sabine Pass shipped 48 cargoes in the second quarter of 2017, around four times as many as the same period in 2016, demonstrating the significant ramp-up of the facility as new trains have come online. Since start-up, the facility has shipped LNG to over 20 different countries, which include most recently Thailand, Pakistan, Taiwan, Poland and the UK. The diversity in cargo destination has meant that the average distance travelled for U.S. cargoes has been almost 8,000 nautical miles, approximately double the global long-term average, which is positive for shipping demand.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Some off-takers from projects currently under development are yet to secure all of their shipping requirements, leading to increased tender activity in the medium and longer term charter markets. These tenders include requirements for both newbuild vessels and on-the-water vessels with the latter being positive in terms of absorbing the current oversupply in the spot market.</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Growing LNG supply has to date been met by increased demand in both new and existing markets. For example, Japan and South Korea, the two largest LNG importing nations, have increased their LNG imports in the first half of 2017 by 10% and 18%, respectively, versus the same period in 2016. The new South Korean President Moon Jae-in has committed to cease production of certain existing coal-fired power plants, to halt construction of new coal and nuclear power plants and not to extend the lifespan of ageing nuclear reactors, all of which are expected to drive future LNG demand in the country.</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Demand in the first half of 2017 in emerging LNG markets such as China (+35%) and Pakistan (+46%) has risen sharply over the same period last year. Pakistan’s Petroleum Minister said in July that the country could import over 30 mtpa by 2022 (compared to 4.5 mtpa currently), which would make Pakistan the fifth-largest importer in the world based on current levels of consumption.</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Looking longer term, while final investment decisions (“FIDs”) for new liquefaction projects in the current environment continue to be very limited, there have been a number of encouraging recent developments. For example, ENI took a FID on the 3.3 mtpa Coral South LNG project offshore Mozambique in June 2017, with BP having signed an agreement to purchase 100% of the LNG produced in late 2016. In addition, at the end of this quarter, the US Department of Energy authorized an additional 2.5 mtpa of exports from the Lake Charles project in Louisiana, bringing total authorized exports to 17.5 mtpa. In the same month, Energy Transfer, Korean Gas Corporation and Shell signed a memorandum of understanding to study joint participation in this project.</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Post quarter-end, Qatar Petroleum announced its intention to increase LNG production to 100 mtpa from 77 mtpa today by doubling the size of the new gas project in the southern sector of the North Field.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number of markets that do not currently import gas are exploring LNG as an alternative to oil and coal or to replace declining domestic supply. Many countries with growing power demand, such as Ivory Coast, South Africa, Bangladesh and Myanmar, are looking at floating storage and re-gasification units (“FSRU”) as a quick-to-market, cost-effective solution to import LNG. Other countries with FSRUs already in place, such as Pakistan, are looking at expanding their use of FSRUs due to the successful commissioning and effective operations of the existing units. FSRUs continue to dominate new import markets as a quicker to build, more flexible and lower cost alternative to an onshore facility. Many producers and marketers of LNG appear to be focusing their attention on FSRUs as a key enabler in creating new markets for their LNG.</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shorter term LNG shipping market, TFDE headline rates have increased year on year, but remain below mid-cycle rates at around $35,000-$40,000 per day, according to Clarksons. Whilst a recovery in spot rates to mid-cycle levels is taking longer than anticipated, we continue to see a greater number of fixtures in 2017 compared to the same period in 2016 and increasing signs of seasonality, both of which point to a tightening market. Over time, this market tightening should be helped by the low level of new vessel orders, which stand at 7 for 2017 year to date including four vessels ordered for the Yamal project post quarter-end.</w:t>
      </w:r>
    </w:p>
    <w:p>
      <w:pPr>
        <w:sectPr>
          <w:pgSz w:w="11900" w:h="16838" w:orient="portrait"/>
          <w:cols w:equalWidth="0" w:num="1">
            <w:col w:w="11420"/>
          </w:cols>
          <w:pgMar w:left="240" w:top="40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GasLog Partners will host a conference call to discuss its results at 8:30 a.m. EDT (1:30 p.m. BST) on Thursday, July 27, 2017. Andrew Orekar, Chief Executive Officer, and Alastair Maxwell, Chief Financial Officer, will review the Partnership’s operational and financial performance for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Management’s presentation will be followed by a Q&amp;A 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51480551</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Partnership’s website at http://www.gaslogmlp.com/investor-relations.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BST) on Thursday, July 27, 2017 until 11:59 p.m. EDT (4:59 a.m. BST) on Thursday, August 3,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51480551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replay will also be available via a webcast on the investor relations page of the Partnership’s website at </w:t>
      </w:r>
      <w:r>
        <w:rPr>
          <w:rFonts w:ascii="Arial" w:cs="Arial" w:eastAsia="Arial" w:hAnsi="Arial"/>
          <w:sz w:val="16"/>
          <w:szCs w:val="16"/>
          <w:u w:val="single" w:color="auto"/>
          <w:color w:val="auto"/>
        </w:rPr>
        <w:t>http://www.gaslogmlp.com/investor-relations</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11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auto"/>
        </w:rPr>
        <w:t>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ectPr>
          <w:pgSz w:w="11900" w:h="16838" w:orient="portrait"/>
          <w:cols w:equalWidth="0" w:num="1">
            <w:col w:w="11400"/>
          </w:cols>
          <w:pgMar w:left="240" w:top="405" w:right="259" w:bottom="57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570" w:gutter="0" w:footer="0" w:header="0"/>
          <w:type w:val="continuous"/>
        </w:sectPr>
      </w:pPr>
    </w:p>
    <w:bookmarkStart w:id="8" w:name="page9"/>
    <w:bookmarkEnd w:id="8"/>
    <w:p>
      <w:pPr>
        <w:ind w:left="660" w:right="2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4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Partnership’s Annual Report on Form 20-F filed with the SEC on February 13, 2017,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w w:val="98"/>
              </w:rPr>
              <w:t>EXHIBIT I – Unaudited Interim Financial Information: IFRS Common Control Reported Results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As of December 31, 2016 and June 30, 2017</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90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assets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928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6,008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Vessels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1,624,494</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1,599,171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1,631,430</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1,603,096</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3,412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2,257</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4,266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905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53,235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209,144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67,075</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217,987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1,698,505</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1,821,083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Partners’ equity and liabilities</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Partners’ equity</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Owners’ capital</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50,803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4"/>
              </w:rPr>
              <w:t>Common unitholders (24,572,358 units issued and outstanding as of December 31, 2016 and 38,675,593</w:t>
            </w: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units issued and outstanding as of June 30, 2017)</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565,408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702,445</w:t>
            </w:r>
          </w:p>
        </w:tc>
        <w:tc>
          <w:tcPr>
            <w:tcW w:w="0" w:type="dxa"/>
            <w:vAlign w:val="bottom"/>
          </w:tcPr>
          <w:p>
            <w:pPr>
              <w:spacing w:after="0"/>
              <w:rPr>
                <w:sz w:val="1"/>
                <w:szCs w:val="1"/>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w w:val="94"/>
              </w:rPr>
              <w:t>Subordinated unitholders (9,822,358 units issued and outstanding as of December 31, 2016 and nil units</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issued and outstanding as of June 30, 2017)</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60,988</w:t>
            </w: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9"/>
              </w:rPr>
              <w:t>General partner (701,933 units issued and outstanding as of December 31, 2016 and 789,298 units</w:t>
            </w: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issued and outstanding as of June 30, 2017)</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10,095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Incentive distribution rights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5,878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6"/>
              </w:rPr>
              <w:t>Preference unitholders (nil units issued and outstanding as of December 31, 2016 and 5,750,000 units</w:t>
            </w: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issued and outstanding as of June 30, 2017)</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140,331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partners’ equity</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693,172</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859,613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1,517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Due to related parties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1,390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1,836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33,722</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33,575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Borrowings—current portion</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56,020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85,091</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94,485</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123,635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Borrowings—non-current portion</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910,666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837,545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182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liabilities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910,848</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837,835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1,698,505</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6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33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 2016</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2017</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64,049</w:t>
            </w: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65,270</w:t>
            </w:r>
          </w:p>
        </w:tc>
        <w:tc>
          <w:tcPr>
            <w:tcW w:w="3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120,354</w:t>
            </w:r>
          </w:p>
        </w:tc>
        <w:tc>
          <w:tcPr>
            <w:tcW w:w="32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129,823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(13,042)</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(13,710)</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(25,885)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(957)</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(819)</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(1,781)</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(13,861)</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(13,991)</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(26,440)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(3,118)</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(3,301)</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(6,090)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33,071</w:t>
            </w:r>
          </w:p>
        </w:tc>
        <w:tc>
          <w:tcPr>
            <w:tcW w:w="34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33,449</w:t>
            </w:r>
          </w:p>
        </w:tc>
        <w:tc>
          <w:tcPr>
            <w:tcW w:w="3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60,158</w:t>
            </w:r>
          </w:p>
        </w:tc>
        <w:tc>
          <w:tcPr>
            <w:tcW w:w="32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34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(10,782)</w:t>
            </w:r>
          </w:p>
        </w:tc>
        <w:tc>
          <w:tcPr>
            <w:tcW w:w="34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(17,913)</w:t>
            </w:r>
          </w:p>
        </w:tc>
        <w:tc>
          <w:tcPr>
            <w:tcW w:w="32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(20,931)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Financial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(990)</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(2,336)</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(3,892)</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(12,888</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(21,763</w:t>
            </w:r>
          </w:p>
        </w:tc>
        <w:tc>
          <w:tcPr>
            <w:tcW w:w="320" w:type="dxa"/>
            <w:vAlign w:val="bottom"/>
            <w:tcBorders>
              <w:bottom w:val="single" w:sz="8" w:color="E5FF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(22,894</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22,529</w:t>
            </w:r>
          </w:p>
        </w:tc>
        <w:tc>
          <w:tcPr>
            <w:tcW w:w="34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20,561</w:t>
            </w:r>
          </w:p>
        </w:tc>
        <w:tc>
          <w:tcPr>
            <w:tcW w:w="3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38,395</w:t>
            </w:r>
          </w:p>
        </w:tc>
        <w:tc>
          <w:tcPr>
            <w:tcW w:w="32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44,906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Less:</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Profit attributable to GasLog’s operations</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(5,146)</w:t>
            </w:r>
          </w:p>
        </w:tc>
        <w:tc>
          <w:tcPr>
            <w:tcW w:w="18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(1,203)</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(4,821)</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17,383</w:t>
            </w:r>
          </w:p>
        </w:tc>
        <w:tc>
          <w:tcPr>
            <w:tcW w:w="340" w:type="dxa"/>
            <w:vAlign w:val="bottom"/>
            <w:tcBorders>
              <w:bottom w:val="single" w:sz="8" w:color="E5FF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340" w:type="dxa"/>
            <w:vAlign w:val="bottom"/>
            <w:tcBorders>
              <w:bottom w:val="single" w:sz="8" w:color="E5FF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33,574</w:t>
            </w:r>
          </w:p>
        </w:tc>
        <w:tc>
          <w:tcPr>
            <w:tcW w:w="320" w:type="dxa"/>
            <w:vAlign w:val="bottom"/>
            <w:tcBorders>
              <w:bottom w:val="single" w:sz="8" w:color="E5FF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Partnership’s profit attributable to:</w:t>
            </w: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11,295</w:t>
            </w:r>
          </w:p>
        </w:tc>
        <w:tc>
          <w:tcPr>
            <w:tcW w:w="34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17,349</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21,974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units</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5,084</w:t>
            </w:r>
          </w:p>
        </w:tc>
        <w:tc>
          <w:tcPr>
            <w:tcW w:w="34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9,891</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partner units</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672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Incentive distribution rights</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656</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103</w:t>
            </w:r>
          </w:p>
        </w:tc>
        <w:tc>
          <w:tcPr>
            <w:tcW w:w="1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1,037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Preference units</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1,549</w:t>
            </w:r>
          </w:p>
        </w:tc>
        <w:tc>
          <w:tcPr>
            <w:tcW w:w="34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Earnings per unit for the period (basic and</w:t>
            </w: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diluted):</w:t>
            </w:r>
          </w:p>
        </w:tc>
        <w:tc>
          <w:tcPr>
            <w:tcW w:w="15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5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0.52</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0.52</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1.01</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partner unit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0.46</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Profit for the period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38,395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44,906</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26,440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17,913</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20,931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2,617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287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85,814</w:t>
            </w:r>
          </w:p>
        </w:tc>
        <w:tc>
          <w:tcPr>
            <w:tcW w:w="4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11,534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97,348</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95,909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(12,909</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(19,098</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84,439</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76,811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 for vessels’ additions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(170,759)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(170,730</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3,312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Borrowings drawdowns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469,707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Borrowings repayments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(330,750)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(104,937)</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(9,070)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payment to GasLog in exchange for contribution of net assets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(66,643)</w:t>
            </w:r>
          </w:p>
        </w:tc>
        <w:tc>
          <w:tcPr>
            <w:tcW w:w="0" w:type="dxa"/>
            <w:vAlign w:val="bottom"/>
          </w:tcPr>
          <w:p>
            <w:pPr>
              <w:spacing w:after="0"/>
              <w:rPr>
                <w:sz w:val="1"/>
                <w:szCs w:val="1"/>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Proceeds from public offerings and issuances of common units and general partner units (net of</w:t>
            </w:r>
          </w:p>
        </w:tc>
        <w:tc>
          <w:tcPr>
            <w:tcW w:w="1940" w:type="dxa"/>
            <w:vAlign w:val="bottom"/>
            <w:gridSpan w:val="2"/>
            <w:vMerge w:val="restart"/>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underwriting discounts and commissions)</w:t>
            </w:r>
          </w:p>
        </w:tc>
        <w:tc>
          <w:tcPr>
            <w:tcW w:w="1940" w:type="dxa"/>
            <w:vAlign w:val="bottom"/>
            <w:gridSpan w:val="2"/>
            <w:vMerge w:val="continue"/>
            <w:shd w:val="clear" w:color="auto" w:fill="E5FFFF"/>
          </w:tcPr>
          <w:p>
            <w:pPr>
              <w:spacing w:after="0"/>
              <w:rPr>
                <w:sz w:val="20"/>
                <w:szCs w:val="20"/>
                <w:color w:val="auto"/>
              </w:rPr>
            </w:pP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89,649</w:t>
            </w:r>
          </w:p>
        </w:tc>
        <w:tc>
          <w:tcPr>
            <w:tcW w:w="0" w:type="dxa"/>
            <w:vAlign w:val="bottom"/>
          </w:tcPr>
          <w:p>
            <w:pPr>
              <w:spacing w:after="0"/>
              <w:rPr>
                <w:sz w:val="1"/>
                <w:szCs w:val="1"/>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rPr>
              <w:t>Proceeds from public offering and issuance of preference units (net of underwriting discounts and</w:t>
            </w:r>
          </w:p>
        </w:tc>
        <w:tc>
          <w:tcPr>
            <w:tcW w:w="19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1940" w:type="dxa"/>
            <w:vAlign w:val="bottom"/>
            <w:gridSpan w:val="2"/>
            <w:vMerge w:val="continue"/>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139,222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of offering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(26)</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Distributions paid</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(31,423)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(39,670)</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 paid to GasLog before vessel dropdown</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(7,800)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90,638</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75,786</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4,347</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155,909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62,677</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67,024</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209,144</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Partnership Performance Results to IFRS Common Control Reported Results in our Financial Statements: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Our Partnership Performance Results presented below are non-GAAP measures and exclude amounts related to GAS-seven Ltd. (the owner of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Seattle</w:t>
      </w:r>
      <w:r>
        <w:rPr>
          <w:rFonts w:ascii="Arial" w:cs="Arial" w:eastAsia="Arial" w:hAnsi="Arial"/>
          <w:sz w:val="17"/>
          <w:szCs w:val="17"/>
          <w:color w:val="auto"/>
        </w:rPr>
        <w:t>) and GAS-eleven Ltd. (the owner of the</w:t>
      </w:r>
      <w:r>
        <w:rPr>
          <w:rFonts w:ascii="Arial" w:cs="Arial" w:eastAsia="Arial" w:hAnsi="Arial"/>
          <w:sz w:val="17"/>
          <w:szCs w:val="17"/>
          <w:i w:val="1"/>
          <w:iCs w:val="1"/>
          <w:color w:val="auto"/>
        </w:rPr>
        <w:t xml:space="preserve"> GasLog Greece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periods prior to their transfers to the Partnership on November 1, 2016 and May 3,</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While such amounts are reflected in the Partnership’s unaudited condensed consolidated financial statements because the transfers to the Partnership were accounted for as reorganizations of entities under common control under IFRS. GAS-seven Ltd. and GAS-eleven Ltd. were not owned by the Partnership prior to their respective transfers to the Partnership in November 2016 and May 2017, and accordingly the Partnership was not entitled to the cash or results generated in the periods prior to such transfers.</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4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For the three months ended June 30, 2016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Partnership</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6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attributable to</w:t>
            </w: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Performance</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Control</w:t>
            </w:r>
          </w:p>
        </w:tc>
        <w:tc>
          <w:tcPr>
            <w:tcW w:w="0" w:type="dxa"/>
            <w:vAlign w:val="bottom"/>
          </w:tcPr>
          <w:p>
            <w:pPr>
              <w:spacing w:after="0"/>
              <w:rPr>
                <w:sz w:val="1"/>
                <w:szCs w:val="1"/>
                <w:color w:val="auto"/>
              </w:rPr>
            </w:pPr>
          </w:p>
        </w:tc>
      </w:tr>
      <w:tr>
        <w:trPr>
          <w:trHeight w:val="234"/>
        </w:trPr>
        <w:tc>
          <w:tcPr>
            <w:tcW w:w="47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GasLog</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Reported Results</w:t>
            </w:r>
          </w:p>
        </w:tc>
        <w:tc>
          <w:tcPr>
            <w:tcW w:w="0" w:type="dxa"/>
            <w:vAlign w:val="bottom"/>
          </w:tcPr>
          <w:p>
            <w:pPr>
              <w:spacing w:after="0"/>
              <w:rPr>
                <w:sz w:val="1"/>
                <w:szCs w:val="1"/>
                <w:color w:val="auto"/>
              </w:rPr>
            </w:pPr>
          </w:p>
        </w:tc>
      </w:tr>
      <w:tr>
        <w:trPr>
          <w:trHeight w:val="210"/>
        </w:trPr>
        <w:tc>
          <w:tcPr>
            <w:tcW w:w="4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14,413</w:t>
            </w:r>
          </w:p>
        </w:tc>
        <w:tc>
          <w:tcPr>
            <w:tcW w:w="46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49,636</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64,049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2940" w:type="dxa"/>
            <w:vAlign w:val="bottom"/>
            <w:gridSpan w:val="3"/>
          </w:tcPr>
          <w:p>
            <w:pPr>
              <w:jc w:val="right"/>
              <w:ind w:right="320"/>
              <w:spacing w:after="0"/>
              <w:rPr>
                <w:sz w:val="20"/>
                <w:szCs w:val="20"/>
                <w:color w:val="auto"/>
              </w:rPr>
            </w:pPr>
            <w:r>
              <w:rPr>
                <w:rFonts w:ascii="Arial" w:cs="Arial" w:eastAsia="Arial" w:hAnsi="Arial"/>
                <w:sz w:val="18"/>
                <w:szCs w:val="18"/>
                <w:color w:val="auto"/>
              </w:rPr>
              <w:t>(2,624)</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(10,418)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16"/>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29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(180)</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(777)</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w:t>
            </w:r>
          </w:p>
        </w:tc>
        <w:tc>
          <w:tcPr>
            <w:tcW w:w="2940" w:type="dxa"/>
            <w:vAlign w:val="bottom"/>
            <w:gridSpan w:val="3"/>
          </w:tcPr>
          <w:p>
            <w:pPr>
              <w:jc w:val="right"/>
              <w:ind w:right="320"/>
              <w:spacing w:after="0"/>
              <w:rPr>
                <w:sz w:val="20"/>
                <w:szCs w:val="20"/>
                <w:color w:val="auto"/>
              </w:rPr>
            </w:pPr>
            <w:r>
              <w:rPr>
                <w:rFonts w:ascii="Arial" w:cs="Arial" w:eastAsia="Arial" w:hAnsi="Arial"/>
                <w:sz w:val="18"/>
                <w:szCs w:val="18"/>
                <w:color w:val="auto"/>
              </w:rPr>
              <w:t>(2,912)</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(10,949)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3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29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(237)</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(2,881)</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98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8,460</w:t>
            </w:r>
          </w:p>
        </w:tc>
        <w:tc>
          <w:tcPr>
            <w:tcW w:w="46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24,611</w:t>
            </w:r>
          </w:p>
        </w:tc>
        <w:tc>
          <w:tcPr>
            <w:tcW w:w="4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33,071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98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(2,324)</w:t>
            </w:r>
          </w:p>
        </w:tc>
        <w:tc>
          <w:tcPr>
            <w:tcW w:w="46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(7,252)</w:t>
            </w: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income</w:t>
            </w:r>
          </w:p>
        </w:tc>
        <w:tc>
          <w:tcPr>
            <w:tcW w:w="98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29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(990)</w:t>
            </w:r>
          </w:p>
        </w:tc>
        <w:tc>
          <w:tcPr>
            <w:tcW w:w="19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98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(7,228</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98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5,146</w:t>
            </w:r>
          </w:p>
        </w:tc>
        <w:tc>
          <w:tcPr>
            <w:tcW w:w="46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17,383</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22,529</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For the three months ended March 31, 2017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Partnership</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6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attributable to</w:t>
            </w: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Performance</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Control</w:t>
            </w:r>
          </w:p>
        </w:tc>
        <w:tc>
          <w:tcPr>
            <w:tcW w:w="0" w:type="dxa"/>
            <w:vAlign w:val="bottom"/>
          </w:tcPr>
          <w:p>
            <w:pPr>
              <w:spacing w:after="0"/>
              <w:rPr>
                <w:sz w:val="1"/>
                <w:szCs w:val="1"/>
                <w:color w:val="auto"/>
              </w:rPr>
            </w:pPr>
          </w:p>
        </w:tc>
      </w:tr>
      <w:tr>
        <w:trPr>
          <w:trHeight w:val="234"/>
        </w:trPr>
        <w:tc>
          <w:tcPr>
            <w:tcW w:w="47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GasLog</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Reported Results</w:t>
            </w:r>
          </w:p>
        </w:tc>
        <w:tc>
          <w:tcPr>
            <w:tcW w:w="0" w:type="dxa"/>
            <w:vAlign w:val="bottom"/>
          </w:tcPr>
          <w:p>
            <w:pPr>
              <w:spacing w:after="0"/>
              <w:rPr>
                <w:sz w:val="1"/>
                <w:szCs w:val="1"/>
                <w:color w:val="auto"/>
              </w:rPr>
            </w:pPr>
          </w:p>
        </w:tc>
      </w:tr>
      <w:tr>
        <w:trPr>
          <w:trHeight w:val="210"/>
        </w:trPr>
        <w:tc>
          <w:tcPr>
            <w:tcW w:w="4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7,560</w:t>
            </w:r>
          </w:p>
        </w:tc>
        <w:tc>
          <w:tcPr>
            <w:tcW w:w="46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56,993</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64,553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2940" w:type="dxa"/>
            <w:vAlign w:val="bottom"/>
            <w:gridSpan w:val="3"/>
          </w:tcPr>
          <w:p>
            <w:pPr>
              <w:jc w:val="right"/>
              <w:ind w:right="320"/>
              <w:spacing w:after="0"/>
              <w:rPr>
                <w:sz w:val="20"/>
                <w:szCs w:val="20"/>
                <w:color w:val="auto"/>
              </w:rPr>
            </w:pPr>
            <w:r>
              <w:rPr>
                <w:rFonts w:ascii="Arial" w:cs="Arial" w:eastAsia="Arial" w:hAnsi="Arial"/>
                <w:sz w:val="18"/>
                <w:szCs w:val="18"/>
                <w:color w:val="auto"/>
              </w:rPr>
              <w:t>(1,207)</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(11,168)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29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(95)</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(715)</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w:t>
            </w:r>
          </w:p>
        </w:tc>
        <w:tc>
          <w:tcPr>
            <w:tcW w:w="2940" w:type="dxa"/>
            <w:vAlign w:val="bottom"/>
            <w:gridSpan w:val="3"/>
          </w:tcPr>
          <w:p>
            <w:pPr>
              <w:jc w:val="right"/>
              <w:ind w:right="320"/>
              <w:spacing w:after="0"/>
              <w:rPr>
                <w:sz w:val="20"/>
                <w:szCs w:val="20"/>
                <w:color w:val="auto"/>
              </w:rPr>
            </w:pPr>
            <w:r>
              <w:rPr>
                <w:rFonts w:ascii="Arial" w:cs="Arial" w:eastAsia="Arial" w:hAnsi="Arial"/>
                <w:sz w:val="18"/>
                <w:szCs w:val="18"/>
                <w:color w:val="auto"/>
              </w:rPr>
              <w:t>(1,475)</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(12,362)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3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29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(96)</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(3,084)</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98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4,687</w:t>
            </w:r>
          </w:p>
        </w:tc>
        <w:tc>
          <w:tcPr>
            <w:tcW w:w="46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29,664</w:t>
            </w:r>
          </w:p>
        </w:tc>
        <w:tc>
          <w:tcPr>
            <w:tcW w:w="4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34,351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98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(1,367)</w:t>
            </w:r>
          </w:p>
        </w:tc>
        <w:tc>
          <w:tcPr>
            <w:tcW w:w="46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(8,782)</w:t>
            </w: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income</w:t>
            </w:r>
          </w:p>
        </w:tc>
        <w:tc>
          <w:tcPr>
            <w:tcW w:w="294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Gain on interest rate swaps</w:t>
            </w:r>
          </w:p>
        </w:tc>
        <w:tc>
          <w:tcPr>
            <w:tcW w:w="980" w:type="dxa"/>
            <w:vAlign w:val="bottom"/>
            <w:shd w:val="clear" w:color="auto" w:fill="E5FFFF"/>
          </w:tcPr>
          <w:p>
            <w:pPr>
              <w:spacing w:after="0"/>
              <w:rPr>
                <w:sz w:val="19"/>
                <w:szCs w:val="19"/>
                <w:color w:val="auto"/>
              </w:rPr>
            </w:pPr>
          </w:p>
        </w:tc>
        <w:tc>
          <w:tcPr>
            <w:tcW w:w="19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23</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98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(8,642</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(10,006</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98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3,323</w:t>
            </w:r>
          </w:p>
        </w:tc>
        <w:tc>
          <w:tcPr>
            <w:tcW w:w="46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21,022</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24,345</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60" w:type="dxa"/>
            <w:vAlign w:val="bottom"/>
          </w:tcPr>
          <w:p>
            <w:pPr>
              <w:spacing w:after="0"/>
              <w:rPr>
                <w:sz w:val="24"/>
                <w:szCs w:val="24"/>
                <w:color w:val="auto"/>
              </w:rPr>
            </w:pPr>
          </w:p>
        </w:tc>
        <w:tc>
          <w:tcPr>
            <w:tcW w:w="2480" w:type="dxa"/>
            <w:vAlign w:val="bottom"/>
            <w:gridSpan w:val="2"/>
          </w:tcPr>
          <w:p>
            <w:pPr>
              <w:jc w:val="right"/>
              <w:ind w:right="135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7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For the three months ended June 30, 2017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Partnership</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attributable to</w:t>
            </w: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Performance</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Control</w:t>
            </w:r>
          </w:p>
        </w:tc>
        <w:tc>
          <w:tcPr>
            <w:tcW w:w="0" w:type="dxa"/>
            <w:vAlign w:val="bottom"/>
          </w:tcPr>
          <w:p>
            <w:pPr>
              <w:spacing w:after="0"/>
              <w:rPr>
                <w:sz w:val="1"/>
                <w:szCs w:val="1"/>
                <w:color w:val="auto"/>
              </w:rPr>
            </w:pPr>
          </w:p>
        </w:tc>
      </w:tr>
      <w:tr>
        <w:trPr>
          <w:trHeight w:val="234"/>
        </w:trPr>
        <w:tc>
          <w:tcPr>
            <w:tcW w:w="47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GasLog</w:t>
            </w: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Results</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Reported Results</w:t>
            </w:r>
          </w:p>
        </w:tc>
        <w:tc>
          <w:tcPr>
            <w:tcW w:w="0" w:type="dxa"/>
            <w:vAlign w:val="bottom"/>
          </w:tcPr>
          <w:p>
            <w:pPr>
              <w:spacing w:after="0"/>
              <w:rPr>
                <w:sz w:val="1"/>
                <w:szCs w:val="1"/>
                <w:color w:val="auto"/>
              </w:rPr>
            </w:pPr>
          </w:p>
        </w:tc>
      </w:tr>
      <w:tr>
        <w:trPr>
          <w:trHeight w:val="210"/>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2,688</w:t>
            </w:r>
          </w:p>
        </w:tc>
        <w:tc>
          <w:tcPr>
            <w:tcW w:w="46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62,582</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65,270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2920" w:type="dxa"/>
            <w:vAlign w:val="bottom"/>
            <w:gridSpan w:val="3"/>
          </w:tcPr>
          <w:p>
            <w:pPr>
              <w:jc w:val="right"/>
              <w:ind w:right="320"/>
              <w:spacing w:after="0"/>
              <w:rPr>
                <w:sz w:val="20"/>
                <w:szCs w:val="20"/>
                <w:color w:val="auto"/>
              </w:rPr>
            </w:pPr>
            <w:r>
              <w:rPr>
                <w:rFonts w:ascii="Arial" w:cs="Arial" w:eastAsia="Arial" w:hAnsi="Arial"/>
                <w:sz w:val="18"/>
                <w:szCs w:val="18"/>
                <w:color w:val="auto"/>
              </w:rPr>
              <w:t>(401)</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(13,309)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292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(33)</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(786)</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w:t>
            </w:r>
          </w:p>
        </w:tc>
        <w:tc>
          <w:tcPr>
            <w:tcW w:w="2920" w:type="dxa"/>
            <w:vAlign w:val="bottom"/>
            <w:gridSpan w:val="3"/>
          </w:tcPr>
          <w:p>
            <w:pPr>
              <w:jc w:val="right"/>
              <w:ind w:right="320"/>
              <w:spacing w:after="0"/>
              <w:rPr>
                <w:sz w:val="20"/>
                <w:szCs w:val="20"/>
                <w:color w:val="auto"/>
              </w:rPr>
            </w:pPr>
            <w:r>
              <w:rPr>
                <w:rFonts w:ascii="Arial" w:cs="Arial" w:eastAsia="Arial" w:hAnsi="Arial"/>
                <w:sz w:val="18"/>
                <w:szCs w:val="18"/>
                <w:color w:val="auto"/>
              </w:rPr>
              <w:t>(525)</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(13,466)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30"/>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292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(34)</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(3,267)</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9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w:t>
            </w:r>
          </w:p>
        </w:tc>
        <w:tc>
          <w:tcPr>
            <w:tcW w:w="460" w:type="dxa"/>
            <w:vAlign w:val="bottom"/>
            <w:tcBorders>
              <w:bottom w:val="single" w:sz="8" w:color="E5FF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4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96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(10,288)</w:t>
            </w: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Financial income</w:t>
            </w:r>
          </w:p>
        </w:tc>
        <w:tc>
          <w:tcPr>
            <w:tcW w:w="292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960" w:type="dxa"/>
            <w:vAlign w:val="bottom"/>
            <w:shd w:val="clear" w:color="auto" w:fill="E5FFFF"/>
          </w:tcPr>
          <w:p>
            <w:pPr>
              <w:spacing w:after="0"/>
              <w:rPr>
                <w:sz w:val="19"/>
                <w:szCs w:val="19"/>
                <w:color w:val="auto"/>
              </w:rPr>
            </w:pPr>
          </w:p>
        </w:tc>
        <w:tc>
          <w:tcPr>
            <w:tcW w:w="19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(2,336)</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9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96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1,203</w:t>
            </w:r>
          </w:p>
        </w:tc>
        <w:tc>
          <w:tcPr>
            <w:tcW w:w="46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19,358</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20,561</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80" w:type="dxa"/>
            <w:vAlign w:val="bottom"/>
          </w:tcPr>
          <w:p>
            <w:pPr>
              <w:spacing w:after="0"/>
              <w:rPr>
                <w:sz w:val="24"/>
                <w:szCs w:val="24"/>
                <w:color w:val="auto"/>
              </w:rPr>
            </w:pPr>
          </w:p>
        </w:tc>
        <w:tc>
          <w:tcPr>
            <w:tcW w:w="2460" w:type="dxa"/>
            <w:vAlign w:val="bottom"/>
            <w:gridSpan w:val="2"/>
          </w:tcPr>
          <w:p>
            <w:pPr>
              <w:jc w:val="right"/>
              <w:ind w:right="135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7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EBITDA is defined as earnings before interest income and expense, gain/loss on interest rate swaps, taxes, depreciation and amortization. Adjusted Profit represents earnings before (a) non-cash gain/loss on interest rate swaps that includes unrealized gain/loss on interest rate swaps held for trading and recycled loss of cash flow hedges reclassified to profit or loss and (b) write-off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 the case of EBITDA, financial costs, gain/loss on interest rate swaps, taxes, depreciation and amortization; and in the case of Adjusted Profit, non-cash gain/loss on interest rate swaps and write-off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Reconciliation of EBITDA to Profit:</w:t>
            </w:r>
          </w:p>
        </w:tc>
        <w:tc>
          <w:tcPr>
            <w:tcW w:w="1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IFRS Common Control Reported Results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4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89"/>
              </w:rPr>
              <w:t>For the three months ended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2016</w:t>
            </w:r>
          </w:p>
        </w:tc>
        <w:tc>
          <w:tcPr>
            <w:tcW w:w="17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March 31,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7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22,529</w:t>
            </w:r>
          </w:p>
        </w:tc>
        <w:tc>
          <w:tcPr>
            <w:tcW w:w="3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24,345</w:t>
            </w:r>
          </w:p>
        </w:tc>
        <w:tc>
          <w:tcPr>
            <w:tcW w:w="3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20,561</w:t>
            </w:r>
          </w:p>
        </w:tc>
        <w:tc>
          <w:tcPr>
            <w:tcW w:w="120" w:type="dxa"/>
            <w:vAlign w:val="bottom"/>
            <w:tcBorders>
              <w:top w:val="single" w:sz="8" w:color="E5FFFF"/>
            </w:tcBorders>
            <w:shd w:val="clear" w:color="auto" w:fill="E5FF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Depreciation</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rPr>
              <w:t>13,861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13,837</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13,991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34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9,576</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10,782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Financial income</w:t>
            </w:r>
          </w:p>
        </w:tc>
        <w:tc>
          <w:tcPr>
            <w:tcW w:w="340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E5FFFF"/>
          </w:tcPr>
          <w:p>
            <w:pPr>
              <w:spacing w:after="0"/>
              <w:rPr>
                <w:sz w:val="20"/>
                <w:szCs w:val="20"/>
                <w:color w:val="auto"/>
              </w:rPr>
            </w:pPr>
            <w:r>
              <w:rPr>
                <w:rFonts w:ascii="Arial" w:cs="Arial" w:eastAsia="Arial" w:hAnsi="Arial"/>
                <w:sz w:val="18"/>
                <w:szCs w:val="18"/>
                <w:color w:val="auto"/>
              </w:rPr>
              <w:t>Loss/(gain) on interest rate swaps</w:t>
            </w:r>
          </w:p>
        </w:tc>
        <w:tc>
          <w:tcPr>
            <w:tcW w:w="34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990</w:t>
            </w:r>
          </w:p>
        </w:tc>
        <w:tc>
          <w:tcPr>
            <w:tcW w:w="16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7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46,932</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48,188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9"/>
              </w:rPr>
              <w:t>Partnership Performance Results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4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89"/>
              </w:rPr>
              <w:t>For the three months ended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2016</w:t>
            </w:r>
          </w:p>
        </w:tc>
        <w:tc>
          <w:tcPr>
            <w:tcW w:w="17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March 31,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7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17,383</w:t>
            </w:r>
          </w:p>
        </w:tc>
        <w:tc>
          <w:tcPr>
            <w:tcW w:w="3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21,022</w:t>
            </w:r>
          </w:p>
        </w:tc>
        <w:tc>
          <w:tcPr>
            <w:tcW w:w="3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Borders>
              <w:top w:val="single" w:sz="8" w:color="E5FFFF"/>
            </w:tcBorders>
            <w:shd w:val="clear" w:color="auto" w:fill="E5FF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Depreciation</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rPr>
              <w:t>10,949</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13,466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34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7,252</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10,288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Financial income</w:t>
            </w:r>
          </w:p>
        </w:tc>
        <w:tc>
          <w:tcPr>
            <w:tcW w:w="340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E5FFFF"/>
          </w:tcPr>
          <w:p>
            <w:pPr>
              <w:spacing w:after="0"/>
              <w:rPr>
                <w:sz w:val="20"/>
                <w:szCs w:val="20"/>
                <w:color w:val="auto"/>
              </w:rPr>
            </w:pPr>
            <w:r>
              <w:rPr>
                <w:rFonts w:ascii="Arial" w:cs="Arial" w:eastAsia="Arial" w:hAnsi="Arial"/>
                <w:sz w:val="18"/>
                <w:szCs w:val="18"/>
                <w:color w:val="auto"/>
              </w:rPr>
              <w:t>(Gain)/loss on interest rate swaps</w:t>
            </w:r>
          </w:p>
        </w:tc>
        <w:tc>
          <w:tcPr>
            <w:tcW w:w="172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7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35,560</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20" w:type="dxa"/>
            <w:vAlign w:val="bottom"/>
            <w:vMerge w:val="restart"/>
          </w:tcPr>
          <w:p>
            <w:pPr>
              <w:jc w:val="right"/>
              <w:ind w:right="510"/>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0C0C0"/>
            </w:tcBorders>
          </w:tcPr>
          <w:p>
            <w:pPr>
              <w:spacing w:after="0"/>
              <w:rPr>
                <w:sz w:val="21"/>
                <w:szCs w:val="21"/>
                <w:color w:val="auto"/>
              </w:rPr>
            </w:pPr>
          </w:p>
        </w:tc>
        <w:tc>
          <w:tcPr>
            <w:tcW w:w="172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Reconciliation of Adjusted Profit to Profit:</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6400" w:type="dxa"/>
            <w:vAlign w:val="bottom"/>
          </w:tcPr>
          <w:p>
            <w:pPr>
              <w:spacing w:after="0"/>
              <w:rPr>
                <w:sz w:val="24"/>
                <w:szCs w:val="24"/>
                <w:color w:val="auto"/>
              </w:rPr>
            </w:pPr>
          </w:p>
        </w:tc>
        <w:tc>
          <w:tcPr>
            <w:tcW w:w="48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IFRS Common Control Reported Results</w:t>
            </w:r>
          </w:p>
        </w:tc>
      </w:tr>
      <w:tr>
        <w:trPr>
          <w:trHeight w:val="230"/>
        </w:trPr>
        <w:tc>
          <w:tcPr>
            <w:tcW w:w="6400" w:type="dxa"/>
            <w:vAlign w:val="bottom"/>
          </w:tcPr>
          <w:p>
            <w:pPr>
              <w:spacing w:after="0"/>
              <w:rPr>
                <w:sz w:val="19"/>
                <w:szCs w:val="19"/>
                <w:color w:val="auto"/>
              </w:rPr>
            </w:pPr>
          </w:p>
        </w:tc>
        <w:tc>
          <w:tcPr>
            <w:tcW w:w="344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89"/>
              </w:rPr>
              <w:t>For the three months ended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640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2016</w:t>
            </w:r>
          </w:p>
        </w:tc>
        <w:tc>
          <w:tcPr>
            <w:tcW w:w="17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March 31,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2017</w:t>
            </w:r>
          </w:p>
        </w:tc>
      </w:tr>
      <w:tr>
        <w:trPr>
          <w:trHeight w:val="210"/>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22,529</w:t>
            </w:r>
          </w:p>
        </w:tc>
        <w:tc>
          <w:tcPr>
            <w:tcW w:w="3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24,345</w:t>
            </w:r>
          </w:p>
        </w:tc>
        <w:tc>
          <w:tcPr>
            <w:tcW w:w="3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20,561</w:t>
            </w:r>
          </w:p>
        </w:tc>
        <w:tc>
          <w:tcPr>
            <w:tcW w:w="120" w:type="dxa"/>
            <w:vAlign w:val="bottom"/>
            <w:tcBorders>
              <w:top w:val="single" w:sz="8" w:color="E5FFFF"/>
            </w:tcBorders>
            <w:shd w:val="clear" w:color="auto" w:fill="E5FF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Non-cash loss/(gain) on interest rate swaps</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1,857</w:t>
            </w:r>
          </w:p>
        </w:tc>
      </w:tr>
      <w:tr>
        <w:trPr>
          <w:trHeight w:val="223"/>
        </w:trPr>
        <w:tc>
          <w:tcPr>
            <w:tcW w:w="6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Adjusted Profit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23,054</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23,697</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22,418</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4"/>
        </w:trPr>
        <w:tc>
          <w:tcPr>
            <w:tcW w:w="6400" w:type="dxa"/>
            <w:vAlign w:val="bottom"/>
          </w:tcPr>
          <w:p>
            <w:pPr>
              <w:spacing w:after="0"/>
              <w:rPr>
                <w:sz w:val="24"/>
                <w:szCs w:val="24"/>
                <w:color w:val="auto"/>
              </w:rPr>
            </w:pPr>
          </w:p>
        </w:tc>
        <w:tc>
          <w:tcPr>
            <w:tcW w:w="48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9"/>
              </w:rPr>
              <w:t>Partnership Performance Results</w:t>
            </w:r>
          </w:p>
        </w:tc>
      </w:tr>
      <w:tr>
        <w:trPr>
          <w:trHeight w:val="230"/>
        </w:trPr>
        <w:tc>
          <w:tcPr>
            <w:tcW w:w="6400" w:type="dxa"/>
            <w:vAlign w:val="bottom"/>
          </w:tcPr>
          <w:p>
            <w:pPr>
              <w:spacing w:after="0"/>
              <w:rPr>
                <w:sz w:val="19"/>
                <w:szCs w:val="19"/>
                <w:color w:val="auto"/>
              </w:rPr>
            </w:pPr>
          </w:p>
        </w:tc>
        <w:tc>
          <w:tcPr>
            <w:tcW w:w="344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89"/>
              </w:rPr>
              <w:t>For the three months ended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640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2016</w:t>
            </w:r>
          </w:p>
        </w:tc>
        <w:tc>
          <w:tcPr>
            <w:tcW w:w="17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March 31,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2017</w:t>
            </w:r>
          </w:p>
        </w:tc>
      </w:tr>
      <w:tr>
        <w:trPr>
          <w:trHeight w:val="210"/>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17,383</w:t>
            </w:r>
          </w:p>
        </w:tc>
        <w:tc>
          <w:tcPr>
            <w:tcW w:w="3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21,022</w:t>
            </w:r>
          </w:p>
        </w:tc>
        <w:tc>
          <w:tcPr>
            <w:tcW w:w="3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Borders>
              <w:top w:val="single" w:sz="8" w:color="E5FFFF"/>
            </w:tcBorders>
            <w:shd w:val="clear" w:color="auto" w:fill="E5FF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Non-cash (gain)/loss on interest rate swaps</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1,857</w:t>
            </w:r>
          </w:p>
        </w:tc>
      </w:tr>
      <w:tr>
        <w:trPr>
          <w:trHeight w:val="223"/>
        </w:trPr>
        <w:tc>
          <w:tcPr>
            <w:tcW w:w="6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Adjusted Profit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17,383</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20,374</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21,215</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Distributable cash flow means EBITDA, on the basis of the Partnership Performance Results, after considering financial costs for the period, including realized loss on interest rate swaps and excluding amortization of loan fees, estimated dry-docking and replacement capital reserves established by the Partnership and accrued dividends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Reconciliation of Distributable Cash Flow to Profit:</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280" w:type="dxa"/>
            <w:vAlign w:val="bottom"/>
          </w:tcPr>
          <w:p>
            <w:pPr>
              <w:spacing w:after="0"/>
              <w:rPr>
                <w:sz w:val="24"/>
                <w:szCs w:val="24"/>
                <w:color w:val="auto"/>
              </w:rPr>
            </w:pPr>
          </w:p>
        </w:tc>
        <w:tc>
          <w:tcPr>
            <w:tcW w:w="3480" w:type="dxa"/>
            <w:vAlign w:val="bottom"/>
            <w:gridSpan w:val="5"/>
          </w:tcPr>
          <w:p>
            <w:pPr>
              <w:jc w:val="center"/>
              <w:ind w:left="1230"/>
              <w:spacing w:after="0"/>
              <w:rPr>
                <w:sz w:val="20"/>
                <w:szCs w:val="20"/>
                <w:color w:val="auto"/>
              </w:rPr>
            </w:pPr>
            <w:r>
              <w:rPr>
                <w:rFonts w:ascii="Arial" w:cs="Arial" w:eastAsia="Arial" w:hAnsi="Arial"/>
                <w:sz w:val="18"/>
                <w:szCs w:val="18"/>
                <w:b w:val="1"/>
                <w:bCs w:val="1"/>
                <w:color w:val="auto"/>
                <w:w w:val="89"/>
              </w:rPr>
              <w:t>For the three months ended</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1"/>
        </w:trPr>
        <w:tc>
          <w:tcPr>
            <w:tcW w:w="6280" w:type="dxa"/>
            <w:vAlign w:val="bottom"/>
          </w:tcPr>
          <w:p>
            <w:pPr>
              <w:spacing w:after="0"/>
              <w:rPr>
                <w:sz w:val="23"/>
                <w:szCs w:val="23"/>
                <w:color w:val="auto"/>
              </w:rPr>
            </w:pPr>
          </w:p>
        </w:tc>
        <w:tc>
          <w:tcPr>
            <w:tcW w:w="170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w w:val="88"/>
              </w:rPr>
              <w:t xml:space="preserve">June 30, 2016 </w:t>
            </w:r>
            <w:r>
              <w:rPr>
                <w:rFonts w:ascii="Arial" w:cs="Arial" w:eastAsia="Arial" w:hAnsi="Arial"/>
                <w:sz w:val="30"/>
                <w:szCs w:val="30"/>
                <w:b w:val="1"/>
                <w:bCs w:val="1"/>
                <w:color w:val="auto"/>
                <w:w w:val="88"/>
                <w:vertAlign w:val="superscript"/>
              </w:rPr>
              <w:t>(1)</w:t>
            </w:r>
          </w:p>
        </w:tc>
        <w:tc>
          <w:tcPr>
            <w:tcW w:w="1780" w:type="dxa"/>
            <w:vAlign w:val="bottom"/>
            <w:gridSpan w:val="3"/>
          </w:tcPr>
          <w:p>
            <w:pPr>
              <w:jc w:val="center"/>
              <w:ind w:right="340"/>
              <w:spacing w:after="0" w:line="271" w:lineRule="exact"/>
              <w:rPr>
                <w:sz w:val="20"/>
                <w:szCs w:val="20"/>
                <w:color w:val="auto"/>
              </w:rPr>
            </w:pPr>
            <w:r>
              <w:rPr>
                <w:rFonts w:ascii="Arial" w:cs="Arial" w:eastAsia="Arial" w:hAnsi="Arial"/>
                <w:sz w:val="18"/>
                <w:szCs w:val="18"/>
                <w:b w:val="1"/>
                <w:bCs w:val="1"/>
                <w:color w:val="auto"/>
                <w:w w:val="88"/>
              </w:rPr>
              <w:t xml:space="preserve">March 31, 2017 </w:t>
            </w:r>
            <w:r>
              <w:rPr>
                <w:rFonts w:ascii="Arial" w:cs="Arial" w:eastAsia="Arial" w:hAnsi="Arial"/>
                <w:sz w:val="30"/>
                <w:szCs w:val="30"/>
                <w:b w:val="1"/>
                <w:bCs w:val="1"/>
                <w:color w:val="auto"/>
                <w:w w:val="88"/>
                <w:vertAlign w:val="superscript"/>
              </w:rPr>
              <w:t>(1)</w:t>
            </w:r>
          </w:p>
        </w:tc>
        <w:tc>
          <w:tcPr>
            <w:tcW w:w="1440" w:type="dxa"/>
            <w:vAlign w:val="bottom"/>
            <w:gridSpan w:val="2"/>
          </w:tcPr>
          <w:p>
            <w:pPr>
              <w:jc w:val="right"/>
              <w:ind w:right="160"/>
              <w:spacing w:after="0" w:line="271" w:lineRule="exact"/>
              <w:rPr>
                <w:sz w:val="20"/>
                <w:szCs w:val="20"/>
                <w:color w:val="auto"/>
              </w:rPr>
            </w:pPr>
            <w:r>
              <w:rPr>
                <w:rFonts w:ascii="Arial" w:cs="Arial" w:eastAsia="Arial" w:hAnsi="Arial"/>
                <w:sz w:val="18"/>
                <w:szCs w:val="18"/>
                <w:b w:val="1"/>
                <w:bCs w:val="1"/>
                <w:color w:val="auto"/>
                <w:w w:val="85"/>
              </w:rPr>
              <w:t xml:space="preserve">June 30, 2017 </w:t>
            </w:r>
            <w:r>
              <w:rPr>
                <w:rFonts w:ascii="Arial" w:cs="Arial" w:eastAsia="Arial" w:hAnsi="Arial"/>
                <w:sz w:val="30"/>
                <w:szCs w:val="30"/>
                <w:b w:val="1"/>
                <w:bCs w:val="1"/>
                <w:color w:val="auto"/>
                <w:w w:val="85"/>
                <w:vertAlign w:val="superscript"/>
              </w:rPr>
              <w:t>(1)</w:t>
            </w:r>
          </w:p>
        </w:tc>
      </w:tr>
      <w:tr>
        <w:trPr>
          <w:trHeight w:val="210"/>
        </w:trPr>
        <w:tc>
          <w:tcPr>
            <w:tcW w:w="6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Partnership’s profit for the period</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17,383</w:t>
            </w:r>
          </w:p>
        </w:tc>
        <w:tc>
          <w:tcPr>
            <w:tcW w:w="3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21,022</w:t>
            </w:r>
          </w:p>
        </w:tc>
        <w:tc>
          <w:tcPr>
            <w:tcW w:w="3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Borders>
              <w:top w:val="single" w:sz="8" w:color="E5FFFF"/>
            </w:tcBorders>
            <w:shd w:val="clear" w:color="auto" w:fill="E5FF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10,949</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12,362</w:t>
            </w:r>
          </w:p>
        </w:tc>
        <w:tc>
          <w:tcPr>
            <w:tcW w:w="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13,466</w:t>
            </w:r>
          </w:p>
        </w:tc>
      </w:tr>
      <w:tr>
        <w:trPr>
          <w:trHeight w:val="216"/>
        </w:trPr>
        <w:tc>
          <w:tcPr>
            <w:tcW w:w="62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7,252</w:t>
            </w:r>
          </w:p>
        </w:tc>
        <w:tc>
          <w:tcPr>
            <w:tcW w:w="17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8,782</w:t>
            </w:r>
          </w:p>
        </w:tc>
        <w:tc>
          <w:tcPr>
            <w:tcW w:w="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10,288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r>
      <w:tr>
        <w:trPr>
          <w:trHeight w:val="230"/>
        </w:trPr>
        <w:tc>
          <w:tcPr>
            <w:tcW w:w="6280" w:type="dxa"/>
            <w:vAlign w:val="bottom"/>
            <w:shd w:val="clear" w:color="auto" w:fill="E5FFFF"/>
          </w:tcPr>
          <w:p>
            <w:pPr>
              <w:spacing w:after="0"/>
              <w:rPr>
                <w:sz w:val="20"/>
                <w:szCs w:val="20"/>
                <w:color w:val="auto"/>
              </w:rPr>
            </w:pPr>
            <w:r>
              <w:rPr>
                <w:rFonts w:ascii="Arial" w:cs="Arial" w:eastAsia="Arial" w:hAnsi="Arial"/>
                <w:sz w:val="18"/>
                <w:szCs w:val="18"/>
                <w:color w:val="auto"/>
              </w:rPr>
              <w:t>Gain on interest rate swaps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2,336</w:t>
            </w:r>
          </w:p>
        </w:tc>
      </w:tr>
      <w:tr>
        <w:trPr>
          <w:trHeight w:val="210"/>
        </w:trPr>
        <w:tc>
          <w:tcPr>
            <w:tcW w:w="62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35,560</w:t>
            </w:r>
          </w:p>
        </w:tc>
        <w:tc>
          <w:tcPr>
            <w:tcW w:w="32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42,026</w:t>
            </w:r>
          </w:p>
        </w:tc>
        <w:tc>
          <w:tcPr>
            <w:tcW w:w="320" w:type="dxa"/>
            <w:vAlign w:val="bottom"/>
            <w:tcBorders>
              <w:bottom w:val="single" w:sz="8" w:color="E5FF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120" w:type="dxa"/>
            <w:vAlign w:val="bottom"/>
            <w:tcBorders>
              <w:bottom w:val="single" w:sz="8" w:color="E5FFFF"/>
            </w:tcBorders>
          </w:tcPr>
          <w:p>
            <w:pPr>
              <w:spacing w:after="0"/>
              <w:rPr>
                <w:sz w:val="18"/>
                <w:szCs w:val="18"/>
                <w:color w:val="auto"/>
              </w:rPr>
            </w:pPr>
          </w:p>
        </w:tc>
      </w:tr>
      <w:tr>
        <w:trPr>
          <w:trHeight w:val="182"/>
        </w:trPr>
        <w:tc>
          <w:tcPr>
            <w:tcW w:w="6280" w:type="dxa"/>
            <w:vAlign w:val="bottom"/>
            <w:shd w:val="clear" w:color="auto" w:fill="E5FFFF"/>
          </w:tcPr>
          <w:p>
            <w:pPr>
              <w:spacing w:after="0" w:line="182" w:lineRule="exact"/>
              <w:rPr>
                <w:sz w:val="20"/>
                <w:szCs w:val="20"/>
                <w:color w:val="auto"/>
              </w:rPr>
            </w:pPr>
            <w:r>
              <w:rPr>
                <w:rFonts w:ascii="Arial" w:cs="Arial" w:eastAsia="Arial" w:hAnsi="Arial"/>
                <w:sz w:val="18"/>
                <w:szCs w:val="18"/>
                <w:color w:val="auto"/>
                <w:w w:val="97"/>
              </w:rPr>
              <w:t>Financial costs (excluding amortization of loan fees) and realized loss on interest</w:t>
            </w:r>
          </w:p>
        </w:tc>
        <w:tc>
          <w:tcPr>
            <w:tcW w:w="138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r>
      <w:tr>
        <w:trPr>
          <w:trHeight w:val="230"/>
        </w:trPr>
        <w:tc>
          <w:tcPr>
            <w:tcW w:w="62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rate swaps</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(6,322)</w:t>
            </w:r>
          </w:p>
        </w:tc>
        <w:tc>
          <w:tcPr>
            <w:tcW w:w="17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(8,419)</w:t>
            </w:r>
          </w:p>
        </w:tc>
        <w:tc>
          <w:tcPr>
            <w:tcW w:w="20" w:type="dxa"/>
            <w:vAlign w:val="bottom"/>
            <w:shd w:val="clear" w:color="auto" w:fill="E5FFFF"/>
          </w:tcPr>
          <w:p>
            <w:pPr>
              <w:spacing w:after="0"/>
              <w:rPr>
                <w:sz w:val="20"/>
                <w:szCs w:val="20"/>
                <w:color w:val="auto"/>
              </w:rPr>
            </w:pP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(9,591)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Dry-docking capital reserve</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(2,168)</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(2,682)</w:t>
            </w:r>
          </w:p>
        </w:tc>
        <w:tc>
          <w:tcPr>
            <w:tcW w:w="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(2,871)</w:t>
            </w:r>
          </w:p>
        </w:tc>
      </w:tr>
      <w:tr>
        <w:trPr>
          <w:trHeight w:val="216"/>
        </w:trPr>
        <w:tc>
          <w:tcPr>
            <w:tcW w:w="6280" w:type="dxa"/>
            <w:vAlign w:val="bottom"/>
            <w:shd w:val="clear" w:color="auto" w:fill="E5FFFF"/>
          </w:tcPr>
          <w:p>
            <w:pPr>
              <w:spacing w:after="0"/>
              <w:rPr>
                <w:sz w:val="20"/>
                <w:szCs w:val="20"/>
                <w:color w:val="auto"/>
              </w:rPr>
            </w:pPr>
            <w:r>
              <w:rPr>
                <w:rFonts w:ascii="Arial" w:cs="Arial" w:eastAsia="Arial" w:hAnsi="Arial"/>
                <w:sz w:val="18"/>
                <w:szCs w:val="18"/>
                <w:color w:val="auto"/>
              </w:rPr>
              <w:t>Replacement capital reserve</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(7,233)</w:t>
            </w:r>
          </w:p>
        </w:tc>
        <w:tc>
          <w:tcPr>
            <w:tcW w:w="17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(7,429)</w:t>
            </w:r>
          </w:p>
        </w:tc>
        <w:tc>
          <w:tcPr>
            <w:tcW w:w="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(7,954)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Accrued preferred equity distribution</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(1,549)</w:t>
            </w:r>
          </w:p>
        </w:tc>
      </w:tr>
      <w:tr>
        <w:trPr>
          <w:trHeight w:val="210"/>
        </w:trPr>
        <w:tc>
          <w:tcPr>
            <w:tcW w:w="6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Distributable cash flow</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19,837</w:t>
            </w:r>
          </w:p>
        </w:tc>
        <w:tc>
          <w:tcPr>
            <w:tcW w:w="3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23,496</w:t>
            </w:r>
          </w:p>
        </w:tc>
        <w:tc>
          <w:tcPr>
            <w:tcW w:w="3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23,255</w:t>
            </w:r>
          </w:p>
        </w:tc>
        <w:tc>
          <w:tcPr>
            <w:tcW w:w="120" w:type="dxa"/>
            <w:vAlign w:val="bottom"/>
            <w:tcBorders>
              <w:top w:val="single" w:sz="8" w:color="E5FFFF"/>
            </w:tcBorders>
            <w:shd w:val="clear" w:color="auto" w:fill="E5FFFF"/>
          </w:tcPr>
          <w:p>
            <w:pPr>
              <w:spacing w:after="0"/>
              <w:rPr>
                <w:sz w:val="18"/>
                <w:szCs w:val="18"/>
                <w:color w:val="auto"/>
              </w:rPr>
            </w:pPr>
          </w:p>
        </w:tc>
      </w:tr>
      <w:tr>
        <w:trPr>
          <w:trHeight w:val="250"/>
        </w:trPr>
        <w:tc>
          <w:tcPr>
            <w:tcW w:w="6280" w:type="dxa"/>
            <w:vAlign w:val="bottom"/>
          </w:tcPr>
          <w:p>
            <w:pPr>
              <w:spacing w:after="0" w:line="250" w:lineRule="exact"/>
              <w:rPr>
                <w:sz w:val="20"/>
                <w:szCs w:val="20"/>
                <w:color w:val="auto"/>
              </w:rPr>
            </w:pPr>
            <w:r>
              <w:rPr>
                <w:rFonts w:ascii="Arial" w:cs="Arial" w:eastAsia="Arial" w:hAnsi="Arial"/>
                <w:sz w:val="17"/>
                <w:szCs w:val="17"/>
                <w:color w:val="auto"/>
              </w:rPr>
              <w:t>Other reserves</w:t>
            </w:r>
            <w:r>
              <w:rPr>
                <w:rFonts w:ascii="Arial" w:cs="Arial" w:eastAsia="Arial" w:hAnsi="Arial"/>
                <w:sz w:val="28"/>
                <w:szCs w:val="28"/>
                <w:color w:val="auto"/>
                <w:vertAlign w:val="superscript"/>
              </w:rPr>
              <w:t>(2) (3) (4)</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(2,760)</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(3,375)</w:t>
            </w:r>
          </w:p>
        </w:tc>
        <w:tc>
          <w:tcPr>
            <w:tcW w:w="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r>
      <w:tr>
        <w:trPr>
          <w:trHeight w:val="223"/>
        </w:trPr>
        <w:tc>
          <w:tcPr>
            <w:tcW w:w="62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distribution declared</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17,077</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20,121</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auto"/>
              <w:bottom w:val="single" w:sz="8" w:color="auto"/>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20,853</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8"/>
        <w:spacing w:after="0" w:line="234" w:lineRule="auto"/>
        <w:tabs>
          <w:tab w:leader="none" w:pos="176"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 xml:space="preserve">Excludes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and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for the periods prior to their transfers to the Partnership on November 1, 2016 and May 3, 2017, respectively. While such amounts are reflected in the Partnership’s unaudited condensed consolidated financial statements because the transfers to the Partnership were accounted for as reorganizations of entities under common control under IFRS, GAS-seven Ltd. and GAS-eleven Ltd. were not owned by the Partnership prior to their transfers to the Partnership in November 2016 and May 2017 and accordingly the Partnership was not entitled to the cash or results generated in the period prior to such transfers.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16" w:name="page17"/>
    <w:bookmarkEnd w:id="16"/>
    <w:p>
      <w:pPr>
        <w:ind w:left="-8" w:firstLine="8"/>
        <w:spacing w:after="0" w:line="215" w:lineRule="auto"/>
        <w:tabs>
          <w:tab w:leader="none" w:pos="168"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Refers to reserves (other than the dry-docking and replacement capital reserves) for the proper conduct of the business of the Partnership and its subsidiaries (including reserves for future capital expenditures and for anticipated future credit needs of the Partnership and its subsidiaries).</w:t>
      </w:r>
    </w:p>
    <w:p>
      <w:pPr>
        <w:spacing w:after="0" w:line="210" w:lineRule="exact"/>
        <w:rPr>
          <w:rFonts w:ascii="Arial" w:cs="Arial" w:eastAsia="Arial" w:hAnsi="Arial"/>
          <w:sz w:val="20"/>
          <w:szCs w:val="20"/>
          <w:color w:val="auto"/>
          <w:vertAlign w:val="superscript"/>
        </w:rPr>
      </w:pPr>
    </w:p>
    <w:p>
      <w:pPr>
        <w:ind w:left="-8" w:right="240" w:firstLine="8"/>
        <w:spacing w:after="0" w:line="215" w:lineRule="auto"/>
        <w:tabs>
          <w:tab w:leader="none" w:pos="168"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For the three months ended June 30, 2016, the cash distributions declared and the other reserves have been affected by $1,365 paid in respect of the common units issued in the Partnership’s equity offering completed in the third quarter of 2016.</w:t>
      </w:r>
    </w:p>
    <w:p>
      <w:pPr>
        <w:spacing w:after="0" w:line="162" w:lineRule="exact"/>
        <w:rPr>
          <w:rFonts w:ascii="Arial" w:cs="Arial" w:eastAsia="Arial" w:hAnsi="Arial"/>
          <w:sz w:val="20"/>
          <w:szCs w:val="20"/>
          <w:color w:val="auto"/>
          <w:vertAlign w:val="superscript"/>
        </w:rPr>
      </w:pPr>
    </w:p>
    <w:p>
      <w:pPr>
        <w:ind w:left="172" w:hanging="172"/>
        <w:spacing w:after="0"/>
        <w:tabs>
          <w:tab w:leader="none" w:pos="172"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For the three months ended June 30, 2017, the cash distributions declared and the other reserves have been calculated based on the number of units issued and outstanding as of June 30, 2017.</w:t>
      </w:r>
    </w:p>
    <w:p>
      <w:pPr>
        <w:spacing w:after="0" w:line="16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12"/>
          </w:cols>
          <w:pgMar w:left="248" w:top="44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and Six Months Ended June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following is a discussion of our financial condition and results of operations for the three- and six-month periods ended June 30, 2017 and June 30, 2016.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13, 2017.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60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GasLog Ltd.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Partnership’s Annual Report on Form 20-F filed with the SEC on February 13, 2017,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60" w:firstLine="405"/>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report,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pacing w:after="0" w:line="229"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July 26, 2017, the board of directors of GasLog Partners approved and declared a quarterly cash distribution of $0.51 per common unit for the quarter ended June 30, 2017. The cash distribution is payable on August 11, 2017, to all unitholders of record as of August 7, 2017. The aggregate amount of the declared distribution will be $20.9 million based on the number of units issued and outstanding as of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of Subordination Period</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On May 16, 2017, the subordination period of the subordinated units held by GasLog expired and consequently all 9,822,358 subordinated units</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converted into common units on a one-for-one basis and now participate pro rata with all other outstanding common units in distributions of available cash.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 xml:space="preserve">On May 3, 2017, GasLog Partners acquired 100% of the shares in the entity that owns and charters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from GasLog.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Greece </w:t>
      </w:r>
      <w:r>
        <w:rPr>
          <w:rFonts w:ascii="Arial" w:cs="Arial" w:eastAsia="Arial" w:hAnsi="Arial"/>
          <w:sz w:val="18"/>
          <w:szCs w:val="18"/>
          <w:color w:val="auto"/>
        </w:rPr>
        <w:t>is a 174,000 cubic meter (“cbm”) tri-fuel diesel electric (“TFDE”) LNG carrier built in 2016 which is chartered to Royal Dutch Shell plc (“Shell”)</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March 2026. The aggregate purchase price for the acquisition was $219.0 million which included $1.0 million for positive net working capital balances transferred with the vessel.</w:t>
      </w:r>
    </w:p>
    <w:p>
      <w:pPr>
        <w:spacing w:after="0" w:line="18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 million. The Series A Preference Units are listed on the New York Stock Exchange under the symbol “GLOP PR A”. The initial distribution on the Series A Preference Units will be payable on September 15, 2017.</w:t>
      </w:r>
    </w:p>
    <w:p>
      <w:pPr>
        <w:spacing w:after="0" w:line="19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had issued and received payment for 410,877 units at a weighted average price of $22.68 per common unit for total net proceeds of $8.8 million, after broker commissions of $0.2 million and other expenses of $0.3 million. In connection with the issuance of common units under the ATM Programme during this period, the Partnership also issued 8,385 general partner units to its general partner in order for GasLog to retain its 2.0% general partner interest. The net proceeds from the issuance of the general partner units were $0.2 million. In the period from July 1, 2017 and up to July 6, 2017, GasLog Partners issued and received payment for an additional 94,367 common units at a weighted average price of $22.91 per unit for net proceeds of $2.1 million, after broker commissions of $0.03 million. The issuance of these units fulfilled contractual commitments entered into on or before June 30, 2017. In connection with the issuance of common units during this subsequent period, the Partnership also issued 1,926 general partner units to its general partner in order for GasLog to retain its 2.0% general partner interest, the net proceeds of which were $0.04 million.</w:t>
      </w:r>
    </w:p>
    <w:p>
      <w:pPr>
        <w:spacing w:after="0" w:line="18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On June 2, 2017, GasLog Partners signed an agreement to acquire from GasLog 100% of the shares in the entity that owns and charters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is a 174,000 cbm TFDE LNG carrier built in 2016 which is chartered to Shell through September 2023. The aggregate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the acquisition was $211.0 million, which included $1.0 million for positive net working capital balances transferred with the vessel. The acquisition closed on July 3, 2017.</w:t>
      </w:r>
    </w:p>
    <w:p>
      <w:pPr>
        <w:spacing w:after="0" w:line="18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June 30, 2017, GasLog holds a 27.3% interest in the Partnership (including 2%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with an initial duration of five full years or more.</w:t>
      </w:r>
    </w:p>
    <w:p>
      <w:pPr>
        <w:spacing w:after="0" w:line="1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 xml:space="preserve">As of June 30, 2017, our fleet consisted of ten LNG carriers, including five vessels with modern TFDE propulsion and five modern steam propulsion vessels (“Steam”) that operate under long-term charters with wholly owned subsidiaries of Shell. On July 3, 2017, our fleet increased to eleven LNG carriers upon completion of the acquisition of the </w:t>
      </w:r>
      <w:r>
        <w:rPr>
          <w:rFonts w:ascii="Arial" w:cs="Arial" w:eastAsia="Arial" w:hAnsi="Arial"/>
          <w:sz w:val="18"/>
          <w:szCs w:val="18"/>
          <w:i w:val="1"/>
          <w:iCs w:val="1"/>
          <w:color w:val="auto"/>
        </w:rPr>
        <w:t>GasLog Geneva</w:t>
      </w:r>
      <w:r>
        <w:rPr>
          <w:rFonts w:ascii="Arial" w:cs="Arial" w:eastAsia="Arial" w:hAnsi="Arial"/>
          <w:sz w:val="18"/>
          <w:szCs w:val="18"/>
          <w:color w:val="auto"/>
        </w:rPr>
        <w:t>, a 174,000 cbm TFDE LNG carrier built in 2016. We also have options and other rights under which we may acquire additional LNG carriers from GasLog, as described below. We believe that such options and rights provide us with significant built-in growth opportunities. We may also acquire vessels from shipyards or other owners.</w:t>
      </w:r>
    </w:p>
    <w:p>
      <w:pPr>
        <w:sectPr>
          <w:pgSz w:w="11900" w:h="16838" w:orient="portrait"/>
          <w:cols w:equalWidth="0" w:num="1">
            <w:col w:w="11400"/>
          </w:cols>
          <w:pgMar w:left="240" w:top="409" w:right="259" w:bottom="1002"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002" w:gutter="0" w:footer="0" w:header="0"/>
          <w:type w:val="continuous"/>
        </w:sectPr>
      </w:pPr>
    </w:p>
    <w:bookmarkStart w:id="19" w:name="page20"/>
    <w:bookmarkEnd w:id="19"/>
    <w:p>
      <w:pPr>
        <w:ind w:right="40" w:firstLine="405"/>
        <w:spacing w:after="0" w:line="259" w:lineRule="auto"/>
        <w:rPr>
          <w:sz w:val="20"/>
          <w:szCs w:val="20"/>
          <w:color w:val="auto"/>
        </w:rPr>
      </w:pPr>
      <w:r>
        <w:rPr>
          <w:rFonts w:ascii="Arial" w:cs="Arial" w:eastAsia="Arial" w:hAnsi="Arial"/>
          <w:sz w:val="18"/>
          <w:szCs w:val="18"/>
          <w:color w:val="auto"/>
        </w:rPr>
        <w:t>We operate our vessels under long-term charters with fixed-fee contracts that generate predictable cash flows during the life of these charters.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fleet currently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Charter</w:t>
            </w:r>
          </w:p>
        </w:tc>
        <w:tc>
          <w:tcPr>
            <w:tcW w:w="1480" w:type="dxa"/>
            <w:vAlign w:val="bottom"/>
          </w:tcPr>
          <w:p>
            <w:pPr>
              <w:spacing w:after="0"/>
              <w:rPr>
                <w:sz w:val="18"/>
                <w:szCs w:val="18"/>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LNG Carrier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Year Built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(cbm)</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Charterer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Propulsion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480" w:type="dxa"/>
            <w:vAlign w:val="bottom"/>
          </w:tcPr>
          <w:p>
            <w:pPr>
              <w:ind w:left="120"/>
              <w:spacing w:after="0"/>
              <w:rPr>
                <w:sz w:val="20"/>
                <w:szCs w:val="20"/>
                <w:color w:val="auto"/>
              </w:rPr>
            </w:pPr>
            <w:r>
              <w:rPr>
                <w:rFonts w:ascii="Arial" w:cs="Arial" w:eastAsia="Arial" w:hAnsi="Arial"/>
                <w:sz w:val="18"/>
                <w:szCs w:val="18"/>
                <w:b w:val="1"/>
                <w:bCs w:val="1"/>
                <w:color w:val="auto"/>
                <w:w w:val="99"/>
              </w:rPr>
              <w:t>Optional Period</w:t>
            </w:r>
          </w:p>
        </w:tc>
      </w:tr>
      <w:tr>
        <w:trPr>
          <w:trHeight w:val="210"/>
        </w:trPr>
        <w:tc>
          <w:tcPr>
            <w:tcW w:w="32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i w:val="1"/>
                <w:iCs w:val="1"/>
                <w:color w:val="auto"/>
              </w:rPr>
              <w:t>GasLog Shanghai</w:t>
            </w:r>
          </w:p>
        </w:tc>
        <w:tc>
          <w:tcPr>
            <w:tcW w:w="1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Shell</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TFDE</w:t>
            </w:r>
          </w:p>
        </w:tc>
        <w:tc>
          <w:tcPr>
            <w:tcW w:w="1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May 2018</w:t>
            </w:r>
          </w:p>
        </w:tc>
        <w:tc>
          <w:tcPr>
            <w:tcW w:w="1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3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Sydney</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8"/>
              </w:rPr>
              <w:t>September 2018</w:t>
            </w:r>
          </w:p>
        </w:tc>
        <w:tc>
          <w:tcPr>
            <w:tcW w:w="14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2020</w:t>
            </w:r>
          </w:p>
        </w:tc>
        <w:tc>
          <w:tcPr>
            <w:tcW w:w="1480" w:type="dxa"/>
            <w:vAlign w:val="bottom"/>
          </w:tcPr>
          <w:p>
            <w:pPr>
              <w:jc w:val="center"/>
              <w:spacing w:after="0" w:line="256" w:lineRule="exact"/>
              <w:rPr>
                <w:sz w:val="20"/>
                <w:szCs w:val="20"/>
                <w:color w:val="auto"/>
              </w:rPr>
            </w:pPr>
            <w:r>
              <w:rPr>
                <w:rFonts w:ascii="Arial" w:cs="Arial" w:eastAsia="Arial" w:hAnsi="Arial"/>
                <w:sz w:val="18"/>
                <w:szCs w:val="18"/>
                <w:color w:val="auto"/>
                <w:w w:val="87"/>
              </w:rPr>
              <w:t xml:space="preserve">2025–2030 </w:t>
            </w:r>
            <w:r>
              <w:rPr>
                <w:rFonts w:ascii="Arial" w:cs="Arial" w:eastAsia="Arial" w:hAnsi="Arial"/>
                <w:sz w:val="29"/>
                <w:szCs w:val="29"/>
                <w:color w:val="auto"/>
                <w:w w:val="87"/>
                <w:vertAlign w:val="superscript"/>
              </w:rPr>
              <w:t>(1)</w:t>
            </w:r>
          </w:p>
        </w:tc>
      </w:tr>
      <w:tr>
        <w:trPr>
          <w:trHeight w:val="257"/>
        </w:trPr>
        <w:tc>
          <w:tcPr>
            <w:tcW w:w="33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Greece</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E5FFFF"/>
          </w:tcPr>
          <w:p>
            <w:pPr>
              <w:spacing w:after="0"/>
              <w:rPr>
                <w:sz w:val="22"/>
                <w:szCs w:val="22"/>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22"/>
                <w:szCs w:val="22"/>
                <w:color w:val="auto"/>
              </w:rPr>
            </w:pPr>
          </w:p>
        </w:tc>
        <w:tc>
          <w:tcPr>
            <w:tcW w:w="12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2"/>
              </w:rPr>
              <w:t>March 2026</w:t>
            </w:r>
          </w:p>
        </w:tc>
        <w:tc>
          <w:tcPr>
            <w:tcW w:w="1480" w:type="dxa"/>
            <w:vAlign w:val="bottom"/>
            <w:shd w:val="clear" w:color="auto" w:fill="E5FFFF"/>
          </w:tcPr>
          <w:p>
            <w:pPr>
              <w:jc w:val="center"/>
              <w:spacing w:after="0" w:line="256" w:lineRule="exact"/>
              <w:rPr>
                <w:sz w:val="20"/>
                <w:szCs w:val="20"/>
                <w:color w:val="auto"/>
              </w:rPr>
            </w:pPr>
            <w:r>
              <w:rPr>
                <w:rFonts w:ascii="Arial" w:cs="Arial" w:eastAsia="Arial" w:hAnsi="Arial"/>
                <w:sz w:val="18"/>
                <w:szCs w:val="18"/>
                <w:color w:val="auto"/>
                <w:w w:val="84"/>
              </w:rPr>
              <w:t xml:space="preserve">2031 </w:t>
            </w:r>
            <w:r>
              <w:rPr>
                <w:rFonts w:ascii="Arial" w:cs="Arial" w:eastAsia="Arial" w:hAnsi="Arial"/>
                <w:sz w:val="29"/>
                <w:szCs w:val="29"/>
                <w:color w:val="auto"/>
                <w:w w:val="84"/>
                <w:vertAlign w:val="superscript"/>
              </w:rPr>
              <w:t>(2)</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i w:val="1"/>
                <w:iCs w:val="1"/>
                <w:color w:val="auto"/>
              </w:rPr>
              <w:t xml:space="preserve">GasLog Geneva </w:t>
            </w:r>
            <w:r>
              <w:rPr>
                <w:rFonts w:ascii="Arial" w:cs="Arial" w:eastAsia="Arial" w:hAnsi="Arial"/>
                <w:sz w:val="29"/>
                <w:szCs w:val="29"/>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2023</w:t>
            </w:r>
          </w:p>
        </w:tc>
        <w:tc>
          <w:tcPr>
            <w:tcW w:w="1480" w:type="dxa"/>
            <w:vAlign w:val="bottom"/>
          </w:tcPr>
          <w:p>
            <w:pPr>
              <w:jc w:val="center"/>
              <w:spacing w:after="0" w:line="256" w:lineRule="exact"/>
              <w:rPr>
                <w:sz w:val="20"/>
                <w:szCs w:val="20"/>
                <w:color w:val="auto"/>
              </w:rPr>
            </w:pPr>
            <w:r>
              <w:rPr>
                <w:rFonts w:ascii="Arial" w:cs="Arial" w:eastAsia="Arial" w:hAnsi="Arial"/>
                <w:sz w:val="18"/>
                <w:szCs w:val="18"/>
                <w:color w:val="auto"/>
                <w:w w:val="87"/>
              </w:rPr>
              <w:t xml:space="preserve">2028–2031 </w:t>
            </w:r>
            <w:r>
              <w:rPr>
                <w:rFonts w:ascii="Arial" w:cs="Arial" w:eastAsia="Arial" w:hAnsi="Arial"/>
                <w:sz w:val="29"/>
                <w:szCs w:val="29"/>
                <w:color w:val="auto"/>
                <w:w w:val="87"/>
                <w:vertAlign w:val="superscript"/>
              </w:rPr>
              <w:t>(4)</w:t>
            </w:r>
          </w:p>
        </w:tc>
      </w:tr>
      <w:tr>
        <w:trPr>
          <w:trHeight w:val="257"/>
        </w:trPr>
        <w:tc>
          <w:tcPr>
            <w:tcW w:w="33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Methane Rita Andrea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shd w:val="clear" w:color="auto" w:fill="E5FFFF"/>
          </w:tcPr>
          <w:p>
            <w:pPr>
              <w:spacing w:after="0"/>
              <w:rPr>
                <w:sz w:val="22"/>
                <w:szCs w:val="22"/>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2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6"/>
              </w:rPr>
              <w:t>April 2020</w:t>
            </w:r>
          </w:p>
        </w:tc>
        <w:tc>
          <w:tcPr>
            <w:tcW w:w="1480" w:type="dxa"/>
            <w:vAlign w:val="bottom"/>
            <w:shd w:val="clear" w:color="auto" w:fill="E5FFFF"/>
          </w:tcPr>
          <w:p>
            <w:pPr>
              <w:jc w:val="center"/>
              <w:spacing w:after="0" w:line="256" w:lineRule="exact"/>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9"/>
                <w:szCs w:val="29"/>
                <w:color w:val="auto"/>
                <w:w w:val="87"/>
                <w:vertAlign w:val="superscript"/>
              </w:rPr>
              <w:t>(5)</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2019</w:t>
            </w:r>
          </w:p>
        </w:tc>
        <w:tc>
          <w:tcPr>
            <w:tcW w:w="1480" w:type="dxa"/>
            <w:vAlign w:val="bottom"/>
          </w:tcPr>
          <w:p>
            <w:pPr>
              <w:jc w:val="center"/>
              <w:spacing w:after="0" w:line="256" w:lineRule="exact"/>
              <w:rPr>
                <w:sz w:val="20"/>
                <w:szCs w:val="20"/>
                <w:color w:val="auto"/>
              </w:rPr>
            </w:pPr>
            <w:r>
              <w:rPr>
                <w:rFonts w:ascii="Arial" w:cs="Arial" w:eastAsia="Arial" w:hAnsi="Arial"/>
                <w:sz w:val="18"/>
                <w:szCs w:val="18"/>
                <w:color w:val="auto"/>
                <w:w w:val="87"/>
              </w:rPr>
              <w:t xml:space="preserve">2022–2024 </w:t>
            </w:r>
            <w:r>
              <w:rPr>
                <w:rFonts w:ascii="Arial" w:cs="Arial" w:eastAsia="Arial" w:hAnsi="Arial"/>
                <w:sz w:val="29"/>
                <w:szCs w:val="29"/>
                <w:color w:val="auto"/>
                <w:w w:val="87"/>
                <w:vertAlign w:val="superscript"/>
              </w:rPr>
              <w:t>(5)</w:t>
            </w:r>
          </w:p>
        </w:tc>
      </w:tr>
      <w:tr>
        <w:trPr>
          <w:trHeight w:val="257"/>
        </w:trPr>
        <w:tc>
          <w:tcPr>
            <w:tcW w:w="33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Methane Alison Victoria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E5FFFF"/>
          </w:tcPr>
          <w:p>
            <w:pPr>
              <w:spacing w:after="0"/>
              <w:rPr>
                <w:sz w:val="22"/>
                <w:szCs w:val="22"/>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2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8"/>
              </w:rPr>
              <w:t>December 2019</w:t>
            </w:r>
          </w:p>
        </w:tc>
        <w:tc>
          <w:tcPr>
            <w:tcW w:w="1480" w:type="dxa"/>
            <w:vAlign w:val="bottom"/>
            <w:shd w:val="clear" w:color="auto" w:fill="E5FFFF"/>
          </w:tcPr>
          <w:p>
            <w:pPr>
              <w:jc w:val="center"/>
              <w:spacing w:after="0" w:line="256" w:lineRule="exact"/>
              <w:rPr>
                <w:sz w:val="20"/>
                <w:szCs w:val="20"/>
                <w:color w:val="auto"/>
              </w:rPr>
            </w:pPr>
            <w:r>
              <w:rPr>
                <w:rFonts w:ascii="Arial" w:cs="Arial" w:eastAsia="Arial" w:hAnsi="Arial"/>
                <w:sz w:val="18"/>
                <w:szCs w:val="18"/>
                <w:color w:val="auto"/>
                <w:w w:val="87"/>
              </w:rPr>
              <w:t xml:space="preserve">2022–2024 </w:t>
            </w:r>
            <w:r>
              <w:rPr>
                <w:rFonts w:ascii="Arial" w:cs="Arial" w:eastAsia="Arial" w:hAnsi="Arial"/>
                <w:sz w:val="29"/>
                <w:szCs w:val="29"/>
                <w:color w:val="auto"/>
                <w:w w:val="87"/>
                <w:vertAlign w:val="superscript"/>
              </w:rPr>
              <w:t>(6)</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2020</w:t>
            </w:r>
          </w:p>
        </w:tc>
        <w:tc>
          <w:tcPr>
            <w:tcW w:w="1480" w:type="dxa"/>
            <w:vAlign w:val="bottom"/>
          </w:tcPr>
          <w:p>
            <w:pPr>
              <w:jc w:val="center"/>
              <w:spacing w:after="0" w:line="256" w:lineRule="exact"/>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9"/>
                <w:szCs w:val="29"/>
                <w:color w:val="auto"/>
                <w:w w:val="87"/>
                <w:vertAlign w:val="superscript"/>
              </w:rPr>
              <w:t>(6)</w:t>
            </w:r>
          </w:p>
        </w:tc>
      </w:tr>
      <w:tr>
        <w:trPr>
          <w:trHeight w:val="257"/>
        </w:trPr>
        <w:tc>
          <w:tcPr>
            <w:tcW w:w="33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Methane Heather Sally</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E5FFFF"/>
          </w:tcPr>
          <w:p>
            <w:pPr>
              <w:spacing w:after="0"/>
              <w:rPr>
                <w:sz w:val="22"/>
                <w:szCs w:val="22"/>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26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8"/>
              </w:rPr>
              <w:t>December 2020</w:t>
            </w:r>
          </w:p>
        </w:tc>
        <w:tc>
          <w:tcPr>
            <w:tcW w:w="1480" w:type="dxa"/>
            <w:vAlign w:val="bottom"/>
            <w:shd w:val="clear" w:color="auto" w:fill="E5FFFF"/>
          </w:tcPr>
          <w:p>
            <w:pPr>
              <w:jc w:val="center"/>
              <w:spacing w:after="0" w:line="256" w:lineRule="exact"/>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9"/>
                <w:szCs w:val="29"/>
                <w:color w:val="auto"/>
                <w:w w:val="87"/>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72" w:lineRule="exact"/>
        <w:rPr>
          <w:sz w:val="20"/>
          <w:szCs w:val="20"/>
          <w:color w:val="auto"/>
        </w:rPr>
      </w:pPr>
    </w:p>
    <w:p>
      <w:pPr>
        <w:ind w:left="360" w:right="260" w:hanging="352"/>
        <w:spacing w:after="0" w:line="253"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Charterer may extend the term of the time charter for a period ranging from five to ten years, and the charter requires that the charterer provide us with advance notice of its exercise of any extension option. The period shown reflects the expiration of the minimum optional period and the maximum optional period.</w:t>
      </w:r>
    </w:p>
    <w:p>
      <w:pPr>
        <w:spacing w:after="0" w:line="106" w:lineRule="exact"/>
        <w:rPr>
          <w:rFonts w:ascii="Arial" w:cs="Arial" w:eastAsia="Arial" w:hAnsi="Arial"/>
          <w:sz w:val="12"/>
          <w:szCs w:val="12"/>
          <w:color w:val="auto"/>
        </w:rPr>
      </w:pPr>
    </w:p>
    <w:p>
      <w:pPr>
        <w:ind w:left="360" w:hanging="352"/>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Charterer may extend the term of the time charter for a period of five years, provided that the charterer provides us with advance notice of declaration.</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On July 3, 2017, GasLog Partners acquired from GasLog 100% of the shares in the entity that owns and charters the </w:t>
      </w:r>
      <w:r>
        <w:rPr>
          <w:rFonts w:ascii="Arial" w:cs="Arial" w:eastAsia="Arial" w:hAnsi="Arial"/>
          <w:sz w:val="14"/>
          <w:szCs w:val="14"/>
          <w:i w:val="1"/>
          <w:iCs w:val="1"/>
          <w:color w:val="auto"/>
        </w:rPr>
        <w:t>GasLog Geneva</w:t>
      </w:r>
      <w:r>
        <w:rPr>
          <w:rFonts w:ascii="Arial" w:cs="Arial" w:eastAsia="Arial" w:hAnsi="Arial"/>
          <w:sz w:val="14"/>
          <w:szCs w:val="14"/>
          <w:color w:val="auto"/>
        </w:rPr>
        <w:t>.</w:t>
      </w:r>
    </w:p>
    <w:p>
      <w:pPr>
        <w:spacing w:after="0" w:line="149" w:lineRule="exact"/>
        <w:rPr>
          <w:rFonts w:ascii="Arial" w:cs="Arial" w:eastAsia="Arial" w:hAnsi="Arial"/>
          <w:sz w:val="12"/>
          <w:szCs w:val="12"/>
          <w:color w:val="auto"/>
        </w:rPr>
      </w:pPr>
    </w:p>
    <w:p>
      <w:pPr>
        <w:ind w:left="360" w:right="20" w:hanging="352"/>
        <w:spacing w:after="0" w:line="253"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06" w:lineRule="exact"/>
        <w:rPr>
          <w:rFonts w:ascii="Arial" w:cs="Arial" w:eastAsia="Arial" w:hAnsi="Arial"/>
          <w:sz w:val="12"/>
          <w:szCs w:val="12"/>
          <w:color w:val="auto"/>
        </w:rPr>
      </w:pPr>
    </w:p>
    <w:p>
      <w:pPr>
        <w:ind w:left="360" w:hanging="352"/>
        <w:spacing w:after="0" w:line="253"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Charterer may extend either or both of these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06" w:lineRule="exact"/>
        <w:rPr>
          <w:rFonts w:ascii="Arial" w:cs="Arial" w:eastAsia="Arial" w:hAnsi="Arial"/>
          <w:sz w:val="12"/>
          <w:szCs w:val="12"/>
          <w:color w:val="auto"/>
        </w:rPr>
      </w:pPr>
    </w:p>
    <w:p>
      <w:pPr>
        <w:ind w:left="360" w:right="260" w:hanging="352"/>
        <w:spacing w:after="0" w:line="253"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 xml:space="preserve">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began upon delivery of the ships in January 2013, March 2013 and May 2013, respectively, and were due to terminate in January 2018, March 2018 and May 2019, as applicable, with Methane Services Limited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were each extended by four months to May 2018 and July 2018, respectively, whilst the initial term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is due to come off charter in May 2018 plus or minus 30 days,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is due to come off charter in July 2018 plus or minus 30 days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is due to come off charter in September 2018 plus or minus 30 days. GasLog Partners is continuing to consider several options for these vessels which include fixing new multi-year charters with third parties or trading such vessels on an interim basis in the spot market, and will pursue the most advantageous redeployment depending on evolving market conditions. In accordance with the agreement entered into in April 2015 between GasLog and GasLog Partners, if GasLog Partners does not enter into a multi-year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 xml:space="preserve">We currently have the option to purchase from GasLog: (i)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within 36 months after GasLog notifies our board of directors of their acceptance by their charterers and (ii) as provided for under the addendum to the omnibus agreement dated April 21, 2015, among GasLog, GasLog Partners, our general partner and GasLog Partners Holdings,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(which is subject to a multi-year charter to MSL), within 36 months after the completion of their acquisition by GasLog on March 31, 2015. In each case, our option to purchase is at fair market value as determined pursuant to the omnibus agreement.</w:t>
      </w:r>
    </w:p>
    <w:p>
      <w:pPr>
        <w:sectPr>
          <w:pgSz w:w="11900" w:h="16838" w:orient="portrait"/>
          <w:cols w:equalWidth="0" w:num="1">
            <w:col w:w="11420"/>
          </w:cols>
          <w:pgMar w:left="240" w:top="409"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Cargo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Capacity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Charter Expiration</w:t>
            </w:r>
            <w:r>
              <w:rPr>
                <w:rFonts w:ascii="Arial" w:cs="Arial" w:eastAsia="Arial" w:hAnsi="Arial"/>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LNG Carrier</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Built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(cbm)</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Charterer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Propulsion</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i w:val="1"/>
                <w:iCs w:val="1"/>
                <w:color w:val="auto"/>
              </w:rPr>
              <w:t>Solaris</w:t>
            </w:r>
          </w:p>
        </w:tc>
        <w:tc>
          <w:tcPr>
            <w:tcW w:w="1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Shell</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7"/>
              </w:rPr>
              <w:t>TFDE</w:t>
            </w:r>
          </w:p>
        </w:tc>
        <w:tc>
          <w:tcPr>
            <w:tcW w:w="10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TFDE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2026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Gibraltar</w:t>
            </w:r>
          </w:p>
        </w:tc>
        <w:tc>
          <w:tcPr>
            <w:tcW w:w="13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7"/>
              </w:rPr>
              <w:t>TFDE</w:t>
            </w: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October 2023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TFDE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2024</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i w:val="1"/>
                <w:iCs w:val="1"/>
                <w:color w:val="auto"/>
              </w:rPr>
              <w:t xml:space="preserve">Methane Julia Louise </w:t>
            </w:r>
            <w:r>
              <w:rPr>
                <w:rFonts w:ascii="Arial" w:cs="Arial" w:eastAsia="Arial" w:hAnsi="Arial"/>
                <w:sz w:val="29"/>
                <w:szCs w:val="29"/>
                <w:color w:val="auto"/>
                <w:vertAlign w:val="superscript"/>
              </w:rPr>
              <w:t>(2)</w:t>
            </w:r>
          </w:p>
        </w:tc>
        <w:tc>
          <w:tcPr>
            <w:tcW w:w="13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5FFFF"/>
          </w:tcPr>
          <w:p>
            <w:pPr>
              <w:spacing w:after="0"/>
              <w:rPr>
                <w:sz w:val="22"/>
                <w:szCs w:val="22"/>
                <w:color w:val="auto"/>
              </w:rPr>
            </w:pP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shd w:val="clear" w:color="auto" w:fill="E5FFFF"/>
          </w:tcPr>
          <w:p>
            <w:pPr>
              <w:spacing w:after="0"/>
              <w:rPr>
                <w:sz w:val="22"/>
                <w:szCs w:val="22"/>
                <w:color w:val="auto"/>
              </w:rPr>
            </w:pPr>
          </w:p>
        </w:tc>
        <w:tc>
          <w:tcPr>
            <w:tcW w:w="138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7"/>
              </w:rPr>
              <w:t>TFDE</w:t>
            </w: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March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Indicates the expiration of the initial fixed term.</w:t>
      </w:r>
    </w:p>
    <w:p>
      <w:pPr>
        <w:spacing w:after="0" w:line="149" w:lineRule="exact"/>
        <w:rPr>
          <w:rFonts w:ascii="Arial" w:cs="Arial" w:eastAsia="Arial" w:hAnsi="Arial"/>
          <w:sz w:val="12"/>
          <w:szCs w:val="12"/>
          <w:color w:val="auto"/>
        </w:rPr>
      </w:pPr>
    </w:p>
    <w:p>
      <w:pPr>
        <w:ind w:left="360" w:right="100" w:hanging="352"/>
        <w:spacing w:after="0" w:line="256"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Co., Ltd. (“Lepta Shipping”), a subsidiary of Mitsui Co., Ltd.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 year charter with MSL.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Cargo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Estimated Charter</w:t>
            </w: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Year Built</w:t>
            </w:r>
            <w:r>
              <w:rPr>
                <w:rFonts w:ascii="Arial" w:cs="Arial" w:eastAsia="Arial" w:hAnsi="Arial"/>
                <w:sz w:val="30"/>
                <w:szCs w:val="30"/>
                <w:b w:val="1"/>
                <w:bCs w:val="1"/>
                <w:color w:val="auto"/>
                <w:w w:val="88"/>
                <w:vertAlign w:val="superscript"/>
              </w:rPr>
              <w:t>(1)</w:t>
            </w:r>
          </w:p>
        </w:tc>
        <w:tc>
          <w:tcPr>
            <w:tcW w:w="12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3"/>
              </w:rPr>
              <w:t>Capacity</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Propulsion</w:t>
            </w:r>
            <w:r>
              <w:rPr>
                <w:rFonts w:ascii="Arial" w:cs="Arial" w:eastAsia="Arial" w:hAnsi="Arial"/>
                <w:sz w:val="30"/>
                <w:szCs w:val="30"/>
                <w:b w:val="1"/>
                <w:bCs w:val="1"/>
                <w:color w:val="auto"/>
                <w:w w:val="86"/>
                <w:vertAlign w:val="superscript"/>
              </w:rPr>
              <w:t>(4)</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LNG Carrier</w:t>
            </w:r>
          </w:p>
        </w:tc>
        <w:tc>
          <w:tcPr>
            <w:tcW w:w="1500" w:type="dxa"/>
            <w:vAlign w:val="bottom"/>
            <w:gridSpan w:val="2"/>
            <w:vMerge w:val="continue"/>
          </w:tcPr>
          <w:p>
            <w:pPr>
              <w:spacing w:after="0"/>
              <w:rPr>
                <w:sz w:val="23"/>
                <w:szCs w:val="2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(cbm)</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Charterer</w:t>
            </w:r>
          </w:p>
        </w:tc>
        <w:tc>
          <w:tcPr>
            <w:tcW w:w="1340" w:type="dxa"/>
            <w:vAlign w:val="bottom"/>
            <w:gridSpan w:val="2"/>
            <w:vMerge w:val="continue"/>
          </w:tcPr>
          <w:p>
            <w:pPr>
              <w:spacing w:after="0"/>
              <w:rPr>
                <w:sz w:val="23"/>
                <w:szCs w:val="23"/>
                <w:color w:val="auto"/>
              </w:rPr>
            </w:pPr>
          </w:p>
        </w:tc>
        <w:tc>
          <w:tcPr>
            <w:tcW w:w="19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(5)</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8"/>
                <w:szCs w:val="18"/>
                <w:color w:val="auto"/>
              </w:rPr>
              <w:t>Hull No. 2130</w:t>
            </w:r>
          </w:p>
        </w:tc>
        <w:tc>
          <w:tcPr>
            <w:tcW w:w="1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Q1 2018</w:t>
            </w: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Shell</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1"/>
              </w:rPr>
              <w:t>LP-2S</w:t>
            </w:r>
          </w:p>
        </w:tc>
        <w:tc>
          <w:tcPr>
            <w:tcW w:w="10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Hull No. 2800</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Q1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LP-2S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Hull No. 2801</w:t>
            </w: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Q1 2018</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22"/>
                <w:szCs w:val="22"/>
                <w:color w:val="auto"/>
              </w:rPr>
            </w:pPr>
          </w:p>
        </w:tc>
        <w:tc>
          <w:tcPr>
            <w:tcW w:w="138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84"/>
              </w:rPr>
              <w:t>Total</w:t>
            </w:r>
            <w:r>
              <w:rPr>
                <w:rFonts w:ascii="Arial" w:cs="Arial" w:eastAsia="Arial" w:hAnsi="Arial"/>
                <w:sz w:val="29"/>
                <w:szCs w:val="29"/>
                <w:color w:val="auto"/>
                <w:w w:val="84"/>
                <w:vertAlign w:val="superscript"/>
              </w:rPr>
              <w:t>(2)</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1"/>
              </w:rPr>
              <w:t>LP-2S</w:t>
            </w: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Hull No. 2131</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Q1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LP-2S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Hull No. 2212</w:t>
            </w: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Q2 2019</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180,000</w:t>
            </w:r>
          </w:p>
        </w:tc>
        <w:tc>
          <w:tcPr>
            <w:tcW w:w="120" w:type="dxa"/>
            <w:vAlign w:val="bottom"/>
            <w:shd w:val="clear" w:color="auto" w:fill="E5FFFF"/>
          </w:tcPr>
          <w:p>
            <w:pPr>
              <w:spacing w:after="0"/>
              <w:rPr>
                <w:sz w:val="22"/>
                <w:szCs w:val="22"/>
                <w:color w:val="auto"/>
              </w:rPr>
            </w:pPr>
          </w:p>
        </w:tc>
        <w:tc>
          <w:tcPr>
            <w:tcW w:w="138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85"/>
              </w:rPr>
              <w:t xml:space="preserve">Centrica </w:t>
            </w:r>
            <w:r>
              <w:rPr>
                <w:rFonts w:ascii="Arial" w:cs="Arial" w:eastAsia="Arial" w:hAnsi="Arial"/>
                <w:sz w:val="29"/>
                <w:szCs w:val="29"/>
                <w:color w:val="auto"/>
                <w:w w:val="85"/>
                <w:vertAlign w:val="superscript"/>
              </w:rPr>
              <w:t>(3)</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1"/>
              </w:rPr>
              <w:t>LP-2S</w:t>
            </w: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Expected delivery quarters are presented.</w:t>
      </w:r>
    </w:p>
    <w:p>
      <w:pPr>
        <w:spacing w:after="0" w:line="14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vessel is chartered to Total Gas &amp; Power Chartering Limited (“Total”).</w:t>
      </w:r>
    </w:p>
    <w:p>
      <w:pPr>
        <w:spacing w:after="0" w:line="14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vessel is chartered to Pioneer Shipping Limited, a wholly owned subsidiary of Centrica plc (“Centrica”).</w:t>
      </w:r>
    </w:p>
    <w:p>
      <w:pPr>
        <w:spacing w:after="0" w:line="14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References to “LP-2S” refer to low pressure dual-fuel two-stroke engine propulsion.</w:t>
      </w:r>
    </w:p>
    <w:p>
      <w:pPr>
        <w:spacing w:after="0" w:line="14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Our results set forth below are derived from the unaudited condensed consolidated financial statements of the Partnership. The transfers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Seattle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Greece </w:t>
      </w:r>
      <w:r>
        <w:rPr>
          <w:rFonts w:ascii="Arial" w:cs="Arial" w:eastAsia="Arial" w:hAnsi="Arial"/>
          <w:sz w:val="18"/>
          <w:szCs w:val="18"/>
          <w:color w:val="auto"/>
        </w:rPr>
        <w:t>from GasLog to the Partnership on November 1, 2016 and May 3, 2017, respectively, were accounted for as reorganizations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 Our results set forth below do not include results attributable to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because the Partnership’s acquisition of the entity that owns and charters the </w:t>
      </w:r>
      <w:r>
        <w:rPr>
          <w:rFonts w:ascii="Arial" w:cs="Arial" w:eastAsia="Arial" w:hAnsi="Arial"/>
          <w:sz w:val="18"/>
          <w:szCs w:val="18"/>
          <w:i w:val="1"/>
          <w:iCs w:val="1"/>
          <w:color w:val="auto"/>
        </w:rPr>
        <w:t xml:space="preserve">GasLog Geneva </w:t>
      </w:r>
      <w:r>
        <w:rPr>
          <w:rFonts w:ascii="Arial" w:cs="Arial" w:eastAsia="Arial" w:hAnsi="Arial"/>
          <w:sz w:val="18"/>
          <w:szCs w:val="18"/>
          <w:color w:val="auto"/>
        </w:rPr>
        <w:t>closed after June 30,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1" w:name="page22"/>
    <w:bookmarkEnd w:id="21"/>
    <w:p>
      <w:pPr>
        <w:ind w:right="420" w:firstLine="405"/>
        <w:spacing w:after="0" w:line="277"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Three-month period ended June 30, 2016 compared to the three-month period ended June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45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IFRS Reported Common Control Results</w:t>
            </w:r>
          </w:p>
        </w:tc>
        <w:tc>
          <w:tcPr>
            <w:tcW w:w="0" w:type="dxa"/>
            <w:vAlign w:val="bottom"/>
          </w:tcPr>
          <w:p>
            <w:pPr>
              <w:spacing w:after="0"/>
              <w:rPr>
                <w:sz w:val="1"/>
                <w:szCs w:val="1"/>
                <w:color w:val="auto"/>
              </w:rPr>
            </w:pPr>
          </w:p>
        </w:tc>
      </w:tr>
      <w:tr>
        <w:trPr>
          <w:trHeight w:val="23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profit or loss</w:t>
            </w: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346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8"/>
              </w:rPr>
              <w:t>(in thousands of U.S. dollars)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64,049</w:t>
            </w:r>
          </w:p>
        </w:tc>
        <w:tc>
          <w:tcPr>
            <w:tcW w:w="48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65,270</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(13,042)</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(13,710)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(957)</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(13,861)</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(13,991)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(3,118)</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(3,301)</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33,071</w:t>
            </w: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33,449</w:t>
            </w:r>
          </w:p>
        </w:tc>
        <w:tc>
          <w:tcPr>
            <w:tcW w:w="32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(10,782)</w:t>
            </w: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(990)</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(2,336)</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22,529</w:t>
            </w:r>
          </w:p>
        </w:tc>
        <w:tc>
          <w:tcPr>
            <w:tcW w:w="480" w:type="dxa"/>
            <w:vAlign w:val="bottom"/>
            <w:tcBorders>
              <w:bottom w:val="single" w:sz="8" w:color="E5FF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20,561</w:t>
            </w:r>
          </w:p>
        </w:tc>
        <w:tc>
          <w:tcPr>
            <w:tcW w:w="320" w:type="dxa"/>
            <w:vAlign w:val="bottom"/>
            <w:tcBorders>
              <w:bottom w:val="single" w:sz="8" w:color="E5FF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686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Profit attributable to Partnership’s operations</w:t>
            </w:r>
          </w:p>
        </w:tc>
        <w:tc>
          <w:tcPr>
            <w:tcW w:w="12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17,383</w:t>
            </w:r>
          </w:p>
        </w:tc>
        <w:tc>
          <w:tcPr>
            <w:tcW w:w="48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19,358</w:t>
            </w:r>
          </w:p>
        </w:tc>
        <w:tc>
          <w:tcPr>
            <w:tcW w:w="3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1,975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For the three-month periods ended June 30, 2016 and 2017, we had an average of 10.0 vessels operating in our owned fleet having 889 and 910 operating days, respectively.</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by $1.3 million, or 2.0%, from $64.0 million for the three-month period ended June 30, 2016, to $65.3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2017. The increase in revenues is attributable to an increase of $1.3 million due to off-hire days for a scheduled dry-docking in the three months ended June 30, 2016. The average daily hire rate marginally decreased from $72,045 for the three-month period ended June 30, 2016 to $71,725 for the three-month period ended June 30, 2017.</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Vessel Operating Costs: </w:t>
      </w:r>
      <w:r>
        <w:rPr>
          <w:rFonts w:ascii="Arial" w:cs="Arial" w:eastAsia="Arial" w:hAnsi="Arial"/>
          <w:sz w:val="18"/>
          <w:szCs w:val="18"/>
          <w:color w:val="auto"/>
        </w:rPr>
        <w:t>Vessel operating costs increased by $0.7 million, or 5.4%, from $13.0 million for the three-month period ended June 30,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$13.7 million for the same period in 2017. The increase is mainly attributable to an increase of $0.6 million in crew wages expenses. As a result, daily operating cost per vessel increased from $14,331 per day for the three-month period ended June 30, 2016 to $15,066 per day for the three-month period ended June 30, 2017.</w:t>
      </w:r>
    </w:p>
    <w:p>
      <w:pPr>
        <w:spacing w:after="0" w:line="18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marginally by $0.2 million, or 6.5%, from $3.1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three-month period ended June 30, 2016, to $3.3 million for the same period in 2017. The increase is mainly attributable to an increase in administrative expenses of $0.3 million for services provided under the administrative services agreement with GasLog related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acquired from GasLog in November 2016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acquired from GasLog in May 2017, partially offset by a decrease of $0.1 million in all other expenses.</w:t>
      </w:r>
    </w:p>
    <w:p>
      <w:pPr>
        <w:spacing w:after="0" w:line="154"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$1.2 million, or 12.5%, from $9.6 million for the three-month period ended June 30, 2016, to $10.8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2017. The increase is attributable to an increase of $1.3 million in interest expense on loans. During the three-month period ended June 30, 2016, we had an average of $1,019.0 million of outstanding indebtedness with a weighted average interest rate of 3.1%, compared to an average of $948.9 million of outstanding indebtedness with a weighted average interest rate of 3.9% during the three-month period ended June 30, 2017.</w:t>
      </w:r>
    </w:p>
    <w:p>
      <w:pPr>
        <w:spacing w:after="0" w:line="15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increased by $1.3 million, from $1.0 million for the three-month period ended June 30,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$2.3 million for the same period in 2017. The increase is mainly attributable to an increase in loss of $1.5 million from mark-to-market valuation of our interest rate swaps carried at fair value through profit or loss.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decreased by $1.9 million, or 8.4%, from $22.5 million for the three-month period ended June 30,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$20.6 million for the same period in 2017, as a result of the aforementioned factors.</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b w:val="1"/>
          <w:bCs w:val="1"/>
          <w:i w:val="1"/>
          <w:iCs w:val="1"/>
          <w:color w:val="auto"/>
        </w:rPr>
        <w:t xml:space="preserve">Profit attributable to the Partnership: </w:t>
      </w:r>
      <w:r>
        <w:rPr>
          <w:rFonts w:ascii="Arial" w:cs="Arial" w:eastAsia="Arial" w:hAnsi="Arial"/>
          <w:sz w:val="18"/>
          <w:szCs w:val="18"/>
          <w:color w:val="auto"/>
        </w:rPr>
        <w:t>Profit attributable to the Partnership increased by $2.0 million, or 11.5%, from $17.4 million for the three-month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ended June 30, 2016, to $19.4 million for the three-month period ended June 30, 2017. The increase is mainly attributable to the profit from operations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acquired by the Partnership on November 1, 2016 and May 3, 2017, respectively, which was partially offset by the interest expense with respect to the aggregate outstanding debt of the respective vessels, as well as mark-to-market losses from valuation of interest rate swaps.</w:t>
      </w:r>
    </w:p>
    <w:p>
      <w:pPr>
        <w:spacing w:after="0" w:line="18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Specifically, the profit attributable to the Partnership was affected by (a) an increase in revenues of $11.7 million contributed by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a $1.3 million increase in revenues from the existing vessels (mainly attributable to the scheduled dry-docking in the three-month period ended June 30, 2016), (b) an increase in operating expenses attributable to the Partnership of $2.8 million mainly attributable to the operating expenses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(c) an increase in depreciation expense attributable to the Partnership of $2.5 million, resulting primarily from the acquisition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w:t>
      </w:r>
    </w:p>
    <w:p>
      <w:pPr>
        <w:spacing w:after="0" w:line="18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In addition, the profit attributable to the Partnership was further affected by (a) an increase in general and administrative expenses attributable to the Partnership of $0.4 million, from $2.9 million for the three-month period ended June 30, 2016, to $3.3 million for the three-month period ended June 30, 2017, which is primarily attributable to an increase in administrative fees and share-based compensation (b) an increase in financial costs attributable to the Partnership of $3.0 million, from $7.3 million for the three-month period ended June 30, 2016, to $10.3 million for the three-month period ended June 30, 2017, due to increased interest expense of $2.1 million with respect to the aggregate outstanding debt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after their respective dropdowns to the Partnership and a further increase of $1.0 million attributable to the credit facility with GasLog and (c) an increase in loss on interest rate swaps attributable to the Partnership of $2.3 million, pursuant to the three interest rate swap agreements entered into with GasLog in November 2016.</w:t>
      </w:r>
    </w:p>
    <w:p>
      <w:pPr>
        <w:sectPr>
          <w:pgSz w:w="11900" w:h="16838" w:orient="portrait"/>
          <w:cols w:equalWidth="0" w:num="1">
            <w:col w:w="11400"/>
          </w:cols>
          <w:pgMar w:left="240" w:top="409" w:right="259" w:bottom="179"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79" w:gutter="0" w:footer="0" w:header="0"/>
          <w:type w:val="continuous"/>
        </w:sectPr>
      </w:pPr>
    </w:p>
    <w:bookmarkStart w:id="22" w:name="page23"/>
    <w:bookmarkEnd w:id="22"/>
    <w:p>
      <w:pPr>
        <w:ind w:right="80" w:firstLine="405"/>
        <w:spacing w:after="0" w:line="279" w:lineRule="auto"/>
        <w:rPr>
          <w:sz w:val="20"/>
          <w:szCs w:val="20"/>
          <w:color w:val="auto"/>
        </w:rPr>
      </w:pPr>
      <w:r>
        <w:rPr>
          <w:rFonts w:ascii="Arial" w:cs="Arial" w:eastAsia="Arial" w:hAnsi="Arial"/>
          <w:sz w:val="17"/>
          <w:szCs w:val="17"/>
          <w:color w:val="auto"/>
        </w:rPr>
        <w:t>The above discussion of revenues, operating expenses, depreciation expense, general and administrative expenses and net financial costs attributable to the Partnership for the three-month period ended June 30, 2016, are non-GAAP measures that exclude amounts related to vessels currently owned by the Partnership for the periods prior to their respective transfer to GasLog Partners from GasLog. For a reconciliation of the results attributable to the Partnership to the most directly comparable IFRS reported results, refer to Appendix A included elsewhere in this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Six-month period ended June 30, 2016 compared to the six-month period ended June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45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1"/>
              </w:rPr>
              <w:t>IFRS Reported Common Control Results</w:t>
            </w:r>
          </w:p>
        </w:tc>
        <w:tc>
          <w:tcPr>
            <w:tcW w:w="0" w:type="dxa"/>
            <w:vAlign w:val="bottom"/>
          </w:tcPr>
          <w:p>
            <w:pPr>
              <w:spacing w:after="0"/>
              <w:rPr>
                <w:sz w:val="1"/>
                <w:szCs w:val="1"/>
                <w:color w:val="auto"/>
              </w:rPr>
            </w:pPr>
          </w:p>
        </w:tc>
      </w:tr>
      <w:tr>
        <w:trPr>
          <w:trHeight w:val="21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profit or loss</w:t>
            </w: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346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8"/>
              </w:rPr>
              <w:t>(in thousands of U.S. dollars)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120,354</w:t>
            </w:r>
          </w:p>
        </w:tc>
        <w:tc>
          <w:tcPr>
            <w:tcW w:w="48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129,823</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(25,885)</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(26,085)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(1,781)</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(26,440)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(27,828)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(6,090)</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(6,481)</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60,158</w:t>
            </w: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67,800</w:t>
            </w:r>
          </w:p>
        </w:tc>
        <w:tc>
          <w:tcPr>
            <w:tcW w:w="32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(17,913)</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(20,931)</w:t>
            </w: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(3,892)</w:t>
            </w: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38,395</w:t>
            </w:r>
          </w:p>
        </w:tc>
        <w:tc>
          <w:tcPr>
            <w:tcW w:w="480" w:type="dxa"/>
            <w:vAlign w:val="bottom"/>
            <w:tcBorders>
              <w:bottom w:val="single" w:sz="8" w:color="E5FF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44,906</w:t>
            </w:r>
          </w:p>
        </w:tc>
        <w:tc>
          <w:tcPr>
            <w:tcW w:w="320" w:type="dxa"/>
            <w:vAlign w:val="bottom"/>
            <w:tcBorders>
              <w:bottom w:val="single" w:sz="8" w:color="E5FF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6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Profit attributable to Partnership’s operations</w:t>
            </w:r>
          </w:p>
        </w:tc>
        <w:tc>
          <w:tcPr>
            <w:tcW w:w="12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33,574</w:t>
            </w:r>
          </w:p>
        </w:tc>
        <w:tc>
          <w:tcPr>
            <w:tcW w:w="48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40,380</w:t>
            </w:r>
          </w:p>
        </w:tc>
        <w:tc>
          <w:tcPr>
            <w:tcW w:w="3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6,806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For the six-month period ended June 30, 2016, we had an average of 9.5 vessels operating in our owned fleet having 1,686 operating days, while during the six-month period ended June 30, 2017, we had an average of 10.0 vessels operating in our owned fleet having 1,810 operating days.</w:t>
      </w:r>
    </w:p>
    <w:p>
      <w:pPr>
        <w:spacing w:after="0" w:line="14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$9.4 million, or 7.8%, from $120.4 million for the six-month period ended June 30, 2016, to $129.8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same period in 2017. The increase in revenues is attributable to an increase of $7.4 million pursuant to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March 29, 2016, an increase of $2.8 million due to off-hire days for scheduled dry-dockings in the six months ended June 30, 2016, partially offset by a decrease of $0.7 million due to decreased calendar days in the six months ended June 30, 2017 as compared to the same period in 2016. The average daily hire rate marginally increased from $71,384 for the six-month period ended June 30, 2016 to $71,725 for the six-month period ended June 30, 2017.</w:t>
      </w:r>
    </w:p>
    <w:p>
      <w:pPr>
        <w:spacing w:after="0" w:line="15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b w:val="1"/>
          <w:bCs w:val="1"/>
          <w:i w:val="1"/>
          <w:iCs w:val="1"/>
          <w:color w:val="auto"/>
        </w:rPr>
        <w:t xml:space="preserve">Vessel Operating Costs: </w:t>
      </w:r>
      <w:r>
        <w:rPr>
          <w:rFonts w:ascii="Arial" w:cs="Arial" w:eastAsia="Arial" w:hAnsi="Arial"/>
          <w:sz w:val="17"/>
          <w:szCs w:val="17"/>
          <w:color w:val="auto"/>
        </w:rPr>
        <w:t>Vessel operating costs increased marginally by $0.2 million, or 0.8%, from $25.9 million for the six-month period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30, 2016, to $26.1 million for the same period in 2017. The marginal increase was mainly attributable to an increase of $1.1 million in crew wages expenses and management fees, primarily attributable to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on March 29, 2016, partially offset by a decrease of $0.7 million in technical maintenance expenses, mainly related to the scheduled dry-dockings and other planned repairs performed in the first six months of 2016, and a decrease of $0.4 million in insurance expenses. Daily operating cost per vessel decreased from $14,954 per day for the six-month period ended June 30, 2016 to $14,412 per day for the six-month period ended June 30, 2017.</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$1.4 million, or 5.3%, from $26.4 million for the six-month period ended June 30, 2016 to $27.8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same period in 2017. The increase is attributable to the increase in the average number of vessels pursuant to the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$0.4 million, or 6.6%, from $6.1 million for the six-month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June 30, 2016, to $6.5 million for the same period in 2017. The increase is mainly attributable to an increase in administrative expenses of $0.6 million for services provided under the administrative services agreement with GasLog related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acquired from GasLog in November 2016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acquired from GasLog in May 2017, partially offset by a decrease of $0.2 million in all other expenses.</w:t>
      </w:r>
    </w:p>
    <w:p>
      <w:pPr>
        <w:spacing w:after="0" w:line="15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$3.0 million, or 16.8%, from $17.9 million for the six-month period ended June 30, 2016, to $20.9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2017. The increase is mainly attributable to an increase of $3.1 million in interest expense on loans. During the six-month period ended June 30, 2016, we had an average of $953.8 million of outstanding indebtedness with a weighted average interest rate of 3.1%, compared to an average of $959.8 million of outstanding indebtedness with a weighted average interest rate of 3.8% during the six-month period ended June 30, 2017.</w:t>
      </w:r>
    </w:p>
    <w:p>
      <w:pPr>
        <w:spacing w:after="0" w:line="15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decreased by $1.6 million, from a loss of $3.9 million for six-month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a loss of $2.3 million for the same period in 2017. The decrease is mainly attributable to a decrease in loss of $1.4 million from mark-to-market valuation of our interest rate swaps carried at fair value through profit or loss.</w:t>
      </w:r>
    </w:p>
    <w:p>
      <w:pPr>
        <w:spacing w:after="0" w:line="1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increased by $6.5 million, or 16.9%, from $38.4 million for the six-month period ended June 30,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$44.9 million for the same period in 2017, as a result of the aforementioned factors.</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Profit attributable to the Partnership: </w:t>
      </w:r>
      <w:r>
        <w:rPr>
          <w:rFonts w:ascii="Arial" w:cs="Arial" w:eastAsia="Arial" w:hAnsi="Arial"/>
          <w:sz w:val="18"/>
          <w:szCs w:val="18"/>
          <w:color w:val="auto"/>
        </w:rPr>
        <w:t>Profit attributable to the Partnership increased by $6.8 million, or 20.2%, from $33.6 million for the six-month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ended June 30, 2016, to $40.4 million for the six-month period ended June 30, 2017. The increase is mainly attributable to the profit from operations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acquired by the Partnership on November 1, 2016 and May 3, 2017, respectively, which was partially offset by the interest expense with respect to the aggregate outstanding debt of the specified vessels.</w:t>
      </w:r>
    </w:p>
    <w:p>
      <w:pPr>
        <w:sectPr>
          <w:pgSz w:w="11900" w:h="16838" w:orient="portrait"/>
          <w:cols w:equalWidth="0" w:num="1">
            <w:col w:w="11420"/>
          </w:cols>
          <w:pgMar w:left="240" w:top="40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3" w:name="page24"/>
    <w:bookmarkEnd w:id="23"/>
    <w:p>
      <w:pPr>
        <w:ind w:right="20" w:firstLine="405"/>
        <w:spacing w:after="0" w:line="273" w:lineRule="auto"/>
        <w:rPr>
          <w:sz w:val="20"/>
          <w:szCs w:val="20"/>
          <w:color w:val="auto"/>
        </w:rPr>
      </w:pPr>
      <w:r>
        <w:rPr>
          <w:rFonts w:ascii="Arial" w:cs="Arial" w:eastAsia="Arial" w:hAnsi="Arial"/>
          <w:sz w:val="17"/>
          <w:szCs w:val="17"/>
          <w:color w:val="auto"/>
        </w:rPr>
        <w:t xml:space="preserve">Specifically, the profit attributable to the Partnership was mainly affected by (a) an increase in revenues of $18.3 million contributed by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Seattle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Greece </w:t>
      </w:r>
      <w:r>
        <w:rPr>
          <w:rFonts w:ascii="Arial" w:cs="Arial" w:eastAsia="Arial" w:hAnsi="Arial"/>
          <w:sz w:val="17"/>
          <w:szCs w:val="17"/>
          <w:color w:val="auto"/>
        </w:rPr>
        <w:t xml:space="preserve">and a $2.2 million increase in revenues from the existing vessels (mainly attributable to the scheduled dry-dockings in the six-month period ended June 30, 2016), (b) an increase in operating expenses attributable to the Partnership of $2.7 million (the operating expenses of the </w:t>
      </w: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Greece </w:t>
      </w:r>
      <w:r>
        <w:rPr>
          <w:rFonts w:ascii="Arial" w:cs="Arial" w:eastAsia="Arial" w:hAnsi="Arial"/>
          <w:sz w:val="17"/>
          <w:szCs w:val="17"/>
          <w:color w:val="auto"/>
        </w:rPr>
        <w:t>in 2017 were partially offset by the decrease in operating expenses from the existing vessels of $1.0 million, mainly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attributable to scheduled dry-dockings and planned repairs in 2016) and (c) an increase in depreciation expense attributable to the Partnership of $3.8 million, resulting primarily from the acquisitions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Greece</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the profit attributable to the Partnership was further affected by (a) an increase in general and administrative expenses attributable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Partnership of $0.7 million, from $5.7 million for the six-month period ended June 30, 2016, to $6.4 million for the six-month period ended June 30,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is primarily attributable to an increase in administrative fees, (b) an increase in financial costs attributable to the Partnership of $4.7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$14.4 million for the six-month period ended June 30, 2016, to $19.1 million for the six-month period ended June 30, 2017, mainly attributable to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 of the aggregate outstanding debt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after their respective dropdowns to the Partnership and a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$0.9 million attributable to the credit facility with GasLog and (c) an increase in loss on interest rate swaps attributable to the Partnership of $2.3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pursuant to the three interest rate swap agreements entered into with GasLog in November 2016.</w:t>
      </w:r>
    </w:p>
    <w:p>
      <w:pPr>
        <w:spacing w:after="0" w:line="21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above discussion of revenues, operating expenses, depreciation expense, general and administrative expenses and net financial costs attributable to the Partnership for the six-month period ended June 30, 2016, are non-GAAP measures that exclude amounts related to vessels currently owned by the Partnership for the periods prior to their respective transfer to GasLog Partners from GasLog. For a reconciliation of the results attributable to the Partnership to the most directly comparable IFRS reported results, refer to Appendix A included elsewhere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June 30, 2017, we had $209.1 million of cash and cash equivalents, of which $161.1 million is held in current accounts and $48.0 million was held in time deposits.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June 30, 2017, we had an aggregate of $922.6 million of indebtedness outstanding under our credit facilities, of which $85.1 million is repayable within one year. In addition, we had unused availability under our revolving credit facilities of $42.9 million.</w:t>
      </w:r>
    </w:p>
    <w:p>
      <w:pPr>
        <w:spacing w:after="0" w:line="170" w:lineRule="exact"/>
        <w:rPr>
          <w:sz w:val="20"/>
          <w:szCs w:val="20"/>
          <w:color w:val="auto"/>
        </w:rPr>
      </w:pPr>
    </w:p>
    <w:p>
      <w:pPr>
        <w:ind w:right="260" w:firstLine="405"/>
        <w:spacing w:after="0" w:line="272" w:lineRule="auto"/>
        <w:rPr>
          <w:sz w:val="20"/>
          <w:szCs w:val="20"/>
          <w:color w:val="auto"/>
        </w:rPr>
      </w:pPr>
      <w:r>
        <w:rPr>
          <w:rFonts w:ascii="Arial" w:cs="Arial" w:eastAsia="Arial" w:hAnsi="Arial"/>
          <w:sz w:val="17"/>
          <w:szCs w:val="17"/>
          <w:color w:val="auto"/>
        </w:rPr>
        <w:t>On April 3, 2017, the Partnership signed a deed of termination with respect to its revolving credit facility with GasLog. On the same date, the Partnership entered into a new unsecured five-year term loan of $45.0 million and a new five-year revolving credit facility of $30.0 million with GasLog (together, the “New Sponsor Credit Facility”).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under the junior tranche of the credit agreement that subsidiaries of the Partnership and GasLog entered into on February 18, 2016 (the “Five Vessel Refinancing”), which would have been originally due in April 2018. The outstanding amount of $15.0 million under the revolving credit facility was repaid by the Partnership on May 22, 2017.</w:t>
      </w:r>
    </w:p>
    <w:p>
      <w:pPr>
        <w:spacing w:after="0" w:line="178"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 xml:space="preserve">On May 3, 2017, in connection with the acquisition of GAS-eleven Ltd., the entity that owns the </w:t>
      </w:r>
      <w:r>
        <w:rPr>
          <w:rFonts w:ascii="Arial" w:cs="Arial" w:eastAsia="Arial" w:hAnsi="Arial"/>
          <w:sz w:val="18"/>
          <w:szCs w:val="18"/>
          <w:i w:val="1"/>
          <w:iCs w:val="1"/>
          <w:color w:val="auto"/>
        </w:rPr>
        <w:t>GasLog Greece</w:t>
      </w:r>
      <w:r>
        <w:rPr>
          <w:rFonts w:ascii="Arial" w:cs="Arial" w:eastAsia="Arial" w:hAnsi="Arial"/>
          <w:sz w:val="18"/>
          <w:szCs w:val="18"/>
          <w:color w:val="auto"/>
        </w:rPr>
        <w:t>, the Partnership paid GasLog $66.6 million representing the difference between the $219.0 million aggregate purchase price and the $151.4 million of outstanding indebtedness of the acquired entity assumed by GasLog Partners less an adjustment of $1.0 million in order to maintain the agreed working capital position in the acquired entity of $1.0 million.</w:t>
      </w:r>
    </w:p>
    <w:p>
      <w:pPr>
        <w:spacing w:after="0" w:line="18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 xml:space="preserve">On July 3, 2017, in connection with the acquisition of GAS-thirteen Ltd., the entity that owns the </w:t>
      </w:r>
      <w:r>
        <w:rPr>
          <w:rFonts w:ascii="Arial" w:cs="Arial" w:eastAsia="Arial" w:hAnsi="Arial"/>
          <w:sz w:val="18"/>
          <w:szCs w:val="18"/>
          <w:i w:val="1"/>
          <w:iCs w:val="1"/>
          <w:color w:val="auto"/>
        </w:rPr>
        <w:t>GasLog Geneva</w:t>
      </w:r>
      <w:r>
        <w:rPr>
          <w:rFonts w:ascii="Arial" w:cs="Arial" w:eastAsia="Arial" w:hAnsi="Arial"/>
          <w:sz w:val="18"/>
          <w:szCs w:val="18"/>
          <w:color w:val="auto"/>
        </w:rPr>
        <w:t>, the Partnership paid GasLog $55.0 million representing the difference between the $211.0 million aggregate purchase price and the $155.0 million of outstanding indebtedness of the acquired entity assumed by GasLog Partners less an adjustment of $1.0 million in order to maintain the agreed working capital position in the acquired entity of $1.0 million.</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connection with the acquisitions of GAS-eleven Ltd. on May 3, 2017 and GAS-thirteen Ltd. on July 3, 2017, the Partnership assumed $151.4 million and $155.0 million of outstanding indebtedness of the respective acquired entities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 xml:space="preserve">The loan agreement with respect to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provided for four tranches of $51.3 million, $25.6 million, $25.0 million and $61.1 million, while the loan agreement with respect to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provided for four tranches of $50.5 million, $25.3 million, $24.6 million and $60.3 million. Under the terms of the agreement, each drawing under the first three tranches would be repaid in 24 consecutive semi-annual equal installments commencing six months after the actual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 installment. On March 22, 2016, $163.0 million was drawn down to partially finance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on September 26, 2016, $160.7 million was drawn down to partially finance the delivery of the </w:t>
      </w:r>
      <w:r>
        <w:rPr>
          <w:rFonts w:ascii="Arial" w:cs="Arial" w:eastAsia="Arial" w:hAnsi="Arial"/>
          <w:sz w:val="17"/>
          <w:szCs w:val="17"/>
          <w:i w:val="1"/>
          <w:iCs w:val="1"/>
          <w:color w:val="auto"/>
        </w:rPr>
        <w:t>GasLog Geneva</w:t>
      </w:r>
      <w:r>
        <w:rPr>
          <w:rFonts w:ascii="Arial" w:cs="Arial" w:eastAsia="Arial" w:hAnsi="Arial"/>
          <w:sz w:val="17"/>
          <w:szCs w:val="17"/>
          <w:color w:val="auto"/>
        </w:rPr>
        <w:t>. Amounts drawn under each applicable tranche bear interest at London Interbank Offered Rate (“LIBOR”) plus a margin.</w:t>
      </w:r>
    </w:p>
    <w:p>
      <w:pPr>
        <w:sectPr>
          <w:pgSz w:w="11900" w:h="16838" w:orient="portrait"/>
          <w:cols w:equalWidth="0" w:num="1">
            <w:col w:w="11400"/>
          </w:cols>
          <w:pgMar w:left="240" w:top="409" w:right="25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24" w:name="page25"/>
    <w:bookmarkEnd w:id="24"/>
    <w:p>
      <w:pPr>
        <w:ind w:right="20" w:firstLine="405"/>
        <w:spacing w:after="0" w:line="291"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The facility includes customary restrictive covenants and, among other restrictions, the facilities include a fair market value covenant pursuant to which an event of default could occur under the facility if the aggregate fair market values of the collateral vessels (without taking into account any charter arrangements) were to fall below 115.0% of the aggregate outstanding principal balances for the first two years after each drawdown and below 120% at any time thereafter.</w:t>
      </w:r>
    </w:p>
    <w:p>
      <w:pPr>
        <w:spacing w:after="0" w:line="16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(including interest and debt repayments) on a trailing 12 months basis must be not less than 110.0%;</w:t>
      </w:r>
    </w:p>
    <w:p>
      <w:pPr>
        <w:spacing w:after="0" w:line="32" w:lineRule="exact"/>
        <w:rPr>
          <w:rFonts w:ascii="Arial" w:cs="Arial" w:eastAsia="Arial" w:hAnsi="Arial"/>
          <w:sz w:val="16"/>
          <w:szCs w:val="16"/>
          <w:color w:val="auto"/>
        </w:rPr>
      </w:pPr>
    </w:p>
    <w:p>
      <w:pPr>
        <w:ind w:left="340" w:right="20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 million after the first drawdown;</w:t>
      </w:r>
    </w:p>
    <w:p>
      <w:pPr>
        <w:ind w:left="340" w:right="420" w:hanging="332"/>
        <w:spacing w:after="0" w:line="265"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 million.</w:t>
      </w:r>
    </w:p>
    <w:p>
      <w:pPr>
        <w:spacing w:after="0" w:line="21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Geneva</w:t>
      </w:r>
      <w:r>
        <w:rPr>
          <w:rFonts w:ascii="Arial" w:cs="Arial" w:eastAsia="Arial" w:hAnsi="Arial"/>
          <w:sz w:val="17"/>
          <w:szCs w:val="17"/>
          <w:color w:val="auto"/>
        </w:rPr>
        <w:t>.</w:t>
      </w:r>
    </w:p>
    <w:p>
      <w:pPr>
        <w:spacing w:after="0" w:line="14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has entered into three interest rate swap agreements with GasLog at a notional value of $390.0 million in aggregate, maturing between</w:t>
      </w:r>
    </w:p>
    <w:p>
      <w:pPr>
        <w:spacing w:after="0" w:line="4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2020 and 2022. As of June 30, 2017, the Partnership has hedged 41.6% of its floating interest rate exposure on its outstanding debt at a weighted average interest rate of approximately 1.6% (excluding margin).</w:t>
      </w:r>
    </w:p>
    <w:p>
      <w:pPr>
        <w:spacing w:after="0" w:line="18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are expected to carry out scheduled dry-dockings during the first, second and fourth quarters of 2018, respectively. In addition to the normal cost of the dry-dockings for which provisions are made through our dry-docking reserves in our Distributable cash flow calculations, we plan to make certain investments in the vessels with the aim of enhancing their operational performance at a total cost of approximately $25 million, which is expected to be capitalized as part of the respective vessel’s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June 30, 2017, our current assets totaled $218.0 million and current liabilities totaled $123.6 million, resulting in a positive working capital position of $94.4 million.</w:t>
      </w:r>
    </w:p>
    <w:p>
      <w:pPr>
        <w:spacing w:after="0" w:line="170"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Six-month period ended June 30, 2016 compared to the six-month period ended June 30, 2017</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Pr>
          <w:p>
            <w:pPr>
              <w:spacing w:after="0"/>
              <w:rPr>
                <w:sz w:val="20"/>
                <w:szCs w:val="20"/>
                <w:color w:val="auto"/>
              </w:rPr>
            </w:pPr>
          </w:p>
        </w:tc>
      </w:tr>
      <w:tr>
        <w:trPr>
          <w:trHeight w:val="426"/>
        </w:trPr>
        <w:tc>
          <w:tcPr>
            <w:tcW w:w="5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(in thousands of U.S. dollars)</w:t>
            </w:r>
          </w:p>
        </w:tc>
      </w:tr>
      <w:tr>
        <w:trPr>
          <w:trHeight w:val="216"/>
        </w:trPr>
        <w:tc>
          <w:tcPr>
            <w:tcW w:w="516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Net cash provided by operating activities</w:t>
            </w:r>
          </w:p>
        </w:tc>
        <w:tc>
          <w:tcPr>
            <w:tcW w:w="45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84,439</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76,811</w:t>
            </w:r>
          </w:p>
        </w:tc>
      </w:tr>
      <w:tr>
        <w:trPr>
          <w:trHeight w:val="216"/>
        </w:trPr>
        <w:tc>
          <w:tcPr>
            <w:tcW w:w="5160" w:type="dxa"/>
            <w:vAlign w:val="bottom"/>
          </w:tcPr>
          <w:p>
            <w:pPr>
              <w:ind w:left="1040"/>
              <w:spacing w:after="0"/>
              <w:rPr>
                <w:sz w:val="20"/>
                <w:szCs w:val="20"/>
                <w:color w:val="auto"/>
              </w:rPr>
            </w:pPr>
            <w:r>
              <w:rPr>
                <w:rFonts w:ascii="Arial" w:cs="Arial" w:eastAsia="Arial" w:hAnsi="Arial"/>
                <w:sz w:val="18"/>
                <w:szCs w:val="18"/>
                <w:color w:val="auto"/>
              </w:rPr>
              <w:t>Net cash (used in)/provided by investing activities</w:t>
            </w:r>
          </w:p>
        </w:tc>
        <w:tc>
          <w:tcPr>
            <w:tcW w:w="4580" w:type="dxa"/>
            <w:vAlign w:val="bottom"/>
            <w:gridSpan w:val="3"/>
          </w:tcPr>
          <w:p>
            <w:pPr>
              <w:jc w:val="right"/>
              <w:ind w:right="60"/>
              <w:spacing w:after="0"/>
              <w:rPr>
                <w:sz w:val="20"/>
                <w:szCs w:val="20"/>
                <w:color w:val="auto"/>
              </w:rPr>
            </w:pPr>
            <w:r>
              <w:rPr>
                <w:rFonts w:ascii="Arial" w:cs="Arial" w:eastAsia="Arial" w:hAnsi="Arial"/>
                <w:sz w:val="18"/>
                <w:szCs w:val="18"/>
                <w:color w:val="auto"/>
              </w:rPr>
              <w:t>(170,730)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r>
      <w:tr>
        <w:trPr>
          <w:trHeight w:val="216"/>
        </w:trPr>
        <w:tc>
          <w:tcPr>
            <w:tcW w:w="516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45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90,638</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75,786</w:t>
            </w:r>
          </w:p>
        </w:tc>
      </w:tr>
      <w:tr>
        <w:trPr>
          <w:trHeight w:val="405"/>
        </w:trPr>
        <w:tc>
          <w:tcPr>
            <w:tcW w:w="5160" w:type="dxa"/>
            <w:vAlign w:val="bottom"/>
          </w:tcPr>
          <w:p>
            <w:pPr>
              <w:spacing w:after="0"/>
              <w:rPr>
                <w:sz w:val="24"/>
                <w:szCs w:val="24"/>
                <w:color w:val="auto"/>
              </w:rPr>
            </w:pPr>
          </w:p>
        </w:tc>
        <w:tc>
          <w:tcPr>
            <w:tcW w:w="2880" w:type="dxa"/>
            <w:vAlign w:val="bottom"/>
          </w:tcPr>
          <w:p>
            <w:pPr>
              <w:jc w:val="right"/>
              <w:ind w:right="2190"/>
              <w:spacing w:after="0"/>
              <w:rPr>
                <w:sz w:val="20"/>
                <w:szCs w:val="20"/>
                <w:color w:val="auto"/>
              </w:rPr>
            </w:pPr>
            <w:r>
              <w:rPr>
                <w:rFonts w:ascii="Arial" w:cs="Arial" w:eastAsia="Arial" w:hAnsi="Arial"/>
                <w:sz w:val="18"/>
                <w:szCs w:val="18"/>
                <w:color w:val="auto"/>
              </w:rPr>
              <w:t>8</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60" w:type="dxa"/>
            <w:vAlign w:val="bottom"/>
            <w:tcBorders>
              <w:bottom w:val="single" w:sz="8" w:color="C0C0C0"/>
            </w:tcBorders>
          </w:tcPr>
          <w:p>
            <w:pPr>
              <w:spacing w:after="0"/>
              <w:rPr>
                <w:sz w:val="21"/>
                <w:szCs w:val="21"/>
                <w:color w:val="auto"/>
              </w:rPr>
            </w:pPr>
          </w:p>
        </w:tc>
        <w:tc>
          <w:tcPr>
            <w:tcW w:w="288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-1397000</wp:posOffset>
            </wp:positionV>
            <wp:extent cx="660400" cy="969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0" cy="96901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Net cash provided by operating activities decreased by $7.6 million, from $84.4 million in the six-month period ended June 30, 2016 to $76.8 million in the six-month period ended June 30, 2017. The decrease of $7.6 million is mainly attributable to a decrease of $10.5 million caused by movements in working capital accounts and an increase of $6.2 million in cash paid for interest, partially offset by an increase of $9.5 million in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in)/provided by Investing Activities:</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 xml:space="preserve">Net cash used in investing activities decreased by $174.0 million, from cash used in investing activities of $170.7 million in the six-month period ended June 30, 2016, to cash provided by investing activities of $3.3 million in the six-month period ended June 30, 2017. The decrease of $174.0 million is attributable to a decrease of $170.7 million in payments for vessels (mainly due to the amount paid in connection with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in the six months ended June 30, 2016), an increase in net cash from short-term investments of $3.0 million and an increase in financial income of $0.3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Net cash provided by financing activities decreased by $14.8 million, from cash provided by financing activities of $90.6 million in the six-month period ended June 30, 2016, to $75.8 million in the six-month period ended June 30, 2017. The decrease of $14.8 million is attributable to a decrease in bank loan drawdowns of $409.7 million, a cash remittance to GasLog in exchange for the acquisition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in 2017 of $66.6 million and an increase in distributions paid of $8.3 million, partially offset by net public offering proceeds of $228.6 million in the first six months of 2017, a decrease in bank loan repayments of $225.8 million, the $7.8 million payment of the dividend paid prior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dropdown in 2016 and a decrease of $7.6 million in payments of loan issuance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On and after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July 1,</w:t>
            </w:r>
          </w:p>
        </w:tc>
        <w:tc>
          <w:tcPr>
            <w:tcW w:w="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For the years ending December 31,</w:t>
            </w:r>
          </w:p>
        </w:tc>
        <w:tc>
          <w:tcPr>
            <w:tcW w:w="760" w:type="dxa"/>
            <w:vAlign w:val="bottom"/>
            <w:tcBorders>
              <w:bottom w:val="single" w:sz="8" w:color="auto"/>
            </w:tcBorders>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2022-2026</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96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w w:val="88"/>
              </w:rPr>
              <w:t>(in millions of U.S. dollars, except days and percentages)</w:t>
            </w:r>
          </w:p>
        </w:tc>
        <w:tc>
          <w:tcPr>
            <w:tcW w:w="760" w:type="dxa"/>
            <w:vAlign w:val="bottom"/>
          </w:tcPr>
          <w:p>
            <w:pPr>
              <w:spacing w:after="0"/>
              <w:rPr>
                <w:sz w:val="18"/>
                <w:szCs w:val="18"/>
                <w:color w:val="auto"/>
              </w:rPr>
            </w:pPr>
          </w:p>
        </w:tc>
      </w:tr>
      <w:tr>
        <w:trPr>
          <w:trHeight w:val="257"/>
        </w:trPr>
        <w:tc>
          <w:tcPr>
            <w:tcW w:w="43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(1)(2)(3)(4)</w:t>
            </w:r>
          </w:p>
        </w:tc>
        <w:tc>
          <w:tcPr>
            <w:tcW w:w="13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$130.13</w:t>
            </w:r>
          </w:p>
        </w:tc>
        <w:tc>
          <w:tcPr>
            <w:tcW w:w="102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220.08</w:t>
            </w:r>
          </w:p>
        </w:tc>
        <w:tc>
          <w:tcPr>
            <w:tcW w:w="94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170.61</w:t>
            </w:r>
          </w:p>
        </w:tc>
        <w:tc>
          <w:tcPr>
            <w:tcW w:w="920" w:type="dxa"/>
            <w:vAlign w:val="bottom"/>
            <w:shd w:val="clear" w:color="auto" w:fill="E5FFFF"/>
          </w:tcPr>
          <w:p>
            <w:pPr>
              <w:jc w:val="right"/>
              <w:ind w:right="170"/>
              <w:spacing w:after="0"/>
              <w:rPr>
                <w:sz w:val="20"/>
                <w:szCs w:val="20"/>
                <w:color w:val="auto"/>
              </w:rPr>
            </w:pPr>
            <w:r>
              <w:rPr>
                <w:rFonts w:ascii="Arial" w:cs="Arial" w:eastAsia="Arial" w:hAnsi="Arial"/>
                <w:sz w:val="18"/>
                <w:szCs w:val="18"/>
                <w:color w:val="auto"/>
              </w:rPr>
              <w:t>93.51</w:t>
            </w:r>
          </w:p>
        </w:tc>
        <w:tc>
          <w:tcPr>
            <w:tcW w:w="80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28.68</w:t>
            </w:r>
          </w:p>
        </w:tc>
        <w:tc>
          <w:tcPr>
            <w:tcW w:w="128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130.60</w:t>
            </w:r>
          </w:p>
        </w:tc>
        <w:tc>
          <w:tcPr>
            <w:tcW w:w="7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773.61</w:t>
            </w:r>
          </w:p>
        </w:tc>
      </w:tr>
      <w:tr>
        <w:trPr>
          <w:trHeight w:val="257"/>
        </w:trPr>
        <w:tc>
          <w:tcPr>
            <w:tcW w:w="4380" w:type="dxa"/>
            <w:vAlign w:val="bottom"/>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1,810</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3,094</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2,446</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1,275</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335</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1,520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10,480</w:t>
            </w:r>
          </w:p>
        </w:tc>
      </w:tr>
      <w:tr>
        <w:trPr>
          <w:trHeight w:val="257"/>
        </w:trPr>
        <w:tc>
          <w:tcPr>
            <w:tcW w:w="43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(5)</w:t>
            </w:r>
          </w:p>
        </w:tc>
        <w:tc>
          <w:tcPr>
            <w:tcW w:w="13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1,810</w:t>
            </w:r>
          </w:p>
        </w:tc>
        <w:tc>
          <w:tcPr>
            <w:tcW w:w="102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3,560</w:t>
            </w:r>
          </w:p>
        </w:tc>
        <w:tc>
          <w:tcPr>
            <w:tcW w:w="94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3,650</w:t>
            </w:r>
          </w:p>
        </w:tc>
        <w:tc>
          <w:tcPr>
            <w:tcW w:w="920" w:type="dxa"/>
            <w:vAlign w:val="bottom"/>
            <w:shd w:val="clear" w:color="auto" w:fill="E5FFFF"/>
          </w:tcPr>
          <w:p>
            <w:pPr>
              <w:jc w:val="right"/>
              <w:ind w:right="170"/>
              <w:spacing w:after="0"/>
              <w:rPr>
                <w:sz w:val="20"/>
                <w:szCs w:val="20"/>
                <w:color w:val="auto"/>
              </w:rPr>
            </w:pPr>
            <w:r>
              <w:rPr>
                <w:rFonts w:ascii="Arial" w:cs="Arial" w:eastAsia="Arial" w:hAnsi="Arial"/>
                <w:sz w:val="18"/>
                <w:szCs w:val="18"/>
                <w:color w:val="auto"/>
              </w:rPr>
              <w:t>3,570</w:t>
            </w:r>
          </w:p>
        </w:tc>
        <w:tc>
          <w:tcPr>
            <w:tcW w:w="80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3,560</w:t>
            </w:r>
          </w:p>
        </w:tc>
        <w:tc>
          <w:tcPr>
            <w:tcW w:w="128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17,960</w:t>
            </w:r>
          </w:p>
        </w:tc>
        <w:tc>
          <w:tcPr>
            <w:tcW w:w="7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34,110</w:t>
            </w:r>
          </w:p>
        </w:tc>
      </w:tr>
      <w:tr>
        <w:trPr>
          <w:trHeight w:val="257"/>
        </w:trPr>
        <w:tc>
          <w:tcPr>
            <w:tcW w:w="4380" w:type="dxa"/>
            <w:vAlign w:val="bottom"/>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(6)</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466</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1,204</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2,295</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3,225</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16,440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23,630</w:t>
            </w:r>
          </w:p>
        </w:tc>
      </w:tr>
      <w:tr>
        <w:trPr>
          <w:trHeight w:val="216"/>
        </w:trPr>
        <w:tc>
          <w:tcPr>
            <w:tcW w:w="4380" w:type="dxa"/>
            <w:vAlign w:val="bottom"/>
            <w:shd w:val="clear" w:color="auto" w:fill="E5FFFF"/>
          </w:tcPr>
          <w:p>
            <w:pPr>
              <w:spacing w:after="0"/>
              <w:rPr>
                <w:sz w:val="20"/>
                <w:szCs w:val="20"/>
                <w:color w:val="auto"/>
              </w:rPr>
            </w:pPr>
            <w:r>
              <w:rPr>
                <w:rFonts w:ascii="Arial" w:cs="Arial" w:eastAsia="Arial" w:hAnsi="Arial"/>
                <w:sz w:val="18"/>
                <w:szCs w:val="18"/>
                <w:color w:val="auto"/>
                <w:w w:val="98"/>
              </w:rPr>
              <w:t>Percentage of total contracted days/total available days</w:t>
            </w: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86.9%</w:t>
            </w:r>
          </w:p>
        </w:tc>
        <w:tc>
          <w:tcPr>
            <w:tcW w:w="9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67.0%</w:t>
            </w:r>
          </w:p>
        </w:tc>
        <w:tc>
          <w:tcPr>
            <w:tcW w:w="9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35.7%</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9.4%</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8.5%</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0"/>
          <w:szCs w:val="20"/>
          <w:color w:val="auto"/>
        </w:rPr>
      </w:pPr>
    </w:p>
    <w:p>
      <w:pPr>
        <w:ind w:left="360" w:right="20" w:hanging="352"/>
        <w:spacing w:after="0" w:line="253"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 xml:space="preserve">Reflects time charter revenues and contracted days for the ten LNG carriers in our fleet as of June 30, 2017. Does not include charter revenues for the </w:t>
      </w:r>
      <w:r>
        <w:rPr>
          <w:rFonts w:ascii="Arial" w:cs="Arial" w:eastAsia="Arial" w:hAnsi="Arial"/>
          <w:sz w:val="14"/>
          <w:szCs w:val="14"/>
          <w:i w:val="1"/>
          <w:iCs w:val="1"/>
          <w:color w:val="auto"/>
        </w:rPr>
        <w:t>GasLog Geneva</w:t>
      </w:r>
      <w:r>
        <w:rPr>
          <w:rFonts w:ascii="Arial" w:cs="Arial" w:eastAsia="Arial" w:hAnsi="Arial"/>
          <w:sz w:val="14"/>
          <w:szCs w:val="14"/>
          <w:color w:val="auto"/>
        </w:rPr>
        <w:t>, the acquisition of which was completed on July 3, 2017.</w:t>
      </w:r>
    </w:p>
    <w:p>
      <w:pPr>
        <w:spacing w:after="0" w:line="106" w:lineRule="exact"/>
        <w:rPr>
          <w:rFonts w:ascii="Arial" w:cs="Arial" w:eastAsia="Arial" w:hAnsi="Arial"/>
          <w:sz w:val="12"/>
          <w:szCs w:val="12"/>
          <w:color w:val="auto"/>
        </w:rPr>
      </w:pPr>
    </w:p>
    <w:p>
      <w:pPr>
        <w:ind w:left="360" w:right="260" w:hanging="352"/>
        <w:spacing w:after="0" w:line="253"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06" w:lineRule="exact"/>
        <w:rPr>
          <w:rFonts w:ascii="Arial" w:cs="Arial" w:eastAsia="Arial" w:hAnsi="Arial"/>
          <w:sz w:val="12"/>
          <w:szCs w:val="12"/>
          <w:color w:val="auto"/>
        </w:rPr>
      </w:pPr>
    </w:p>
    <w:p>
      <w:pPr>
        <w:ind w:left="360" w:hanging="352"/>
        <w:spacing w:after="0"/>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time charters that include a fixed operating cost component subject to annual escalation, revenue calculations include that fixed annual escalation.</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Revenue calculations assume no exercise of any option to extend the terms of charters.</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222"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table above provides information about our contracted charter revenues and ship utilization based on contracts in effect as of June 30, 2017 for the ten LNG carriers in our fleet.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13, 2017.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ectPr>
          <w:pgSz w:w="11900" w:h="16838" w:orient="portrait"/>
          <w:cols w:equalWidth="0" w:num="1">
            <w:col w:w="11420"/>
          </w:cols>
          <w:pgMar w:left="240" w:top="409" w:right="239"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0380" w:type="dxa"/>
            <w:vAlign w:val="bottom"/>
            <w:gridSpan w:val="7"/>
          </w:tcPr>
          <w:p>
            <w:pPr>
              <w:jc w:val="center"/>
              <w:ind w:left="970"/>
              <w:spacing w:after="0"/>
              <w:rPr>
                <w:sz w:val="20"/>
                <w:szCs w:val="20"/>
                <w:color w:val="auto"/>
              </w:rPr>
            </w:pPr>
            <w:r>
              <w:rPr>
                <w:rFonts w:ascii="Arial" w:cs="Arial" w:eastAsia="Arial" w:hAnsi="Arial"/>
                <w:sz w:val="18"/>
                <w:szCs w:val="18"/>
                <w:b w:val="1"/>
                <w:bCs w:val="1"/>
                <w:color w:val="auto"/>
                <w:w w:val="97"/>
              </w:rPr>
              <w:t>GASLOG PARTNERS LP</w:t>
            </w:r>
          </w:p>
        </w:tc>
        <w:tc>
          <w:tcPr>
            <w:tcW w:w="1040" w:type="dxa"/>
            <w:vAlign w:val="bottom"/>
          </w:tcPr>
          <w:p>
            <w:pPr>
              <w:spacing w:after="0"/>
              <w:rPr>
                <w:sz w:val="20"/>
                <w:szCs w:val="20"/>
                <w:color w:val="auto"/>
              </w:rPr>
            </w:pPr>
          </w:p>
        </w:tc>
      </w:tr>
      <w:tr>
        <w:trPr>
          <w:trHeight w:val="432"/>
        </w:trPr>
        <w:tc>
          <w:tcPr>
            <w:tcW w:w="10380" w:type="dxa"/>
            <w:vAlign w:val="bottom"/>
            <w:gridSpan w:val="7"/>
          </w:tcPr>
          <w:p>
            <w:pPr>
              <w:jc w:val="center"/>
              <w:ind w:left="97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1040" w:type="dxa"/>
            <w:vAlign w:val="bottom"/>
          </w:tcPr>
          <w:p>
            <w:pPr>
              <w:spacing w:after="0"/>
              <w:rPr>
                <w:sz w:val="24"/>
                <w:szCs w:val="24"/>
                <w:color w:val="auto"/>
              </w:rPr>
            </w:pPr>
          </w:p>
        </w:tc>
      </w:tr>
      <w:tr>
        <w:trPr>
          <w:trHeight w:val="418"/>
        </w:trPr>
        <w:tc>
          <w:tcPr>
            <w:tcW w:w="4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0"/>
        </w:trPr>
        <w:tc>
          <w:tcPr>
            <w:tcW w:w="10380" w:type="dxa"/>
            <w:vAlign w:val="bottom"/>
            <w:gridSpan w:val="7"/>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Unaudited condensed consolidated statements of financial position as of December 31, 2016 and June 30, 2017</w:t>
              </w:r>
            </w:hyperlink>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48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7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Unaudited condensed consolidated statements of profit or loss for the three and six months ended June 30, 2016 and 2017</w:t>
              </w:r>
            </w:hyperlink>
          </w:p>
        </w:tc>
        <w:tc>
          <w:tcPr>
            <w:tcW w:w="160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380" w:type="dxa"/>
            <w:vAlign w:val="bottom"/>
            <w:gridSpan w:val="7"/>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Unaudited condensed consolidated statements of comprehensive income for the three and six months ended June 30, 2016 and 2017</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48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380" w:type="dxa"/>
            <w:vAlign w:val="bottom"/>
            <w:gridSpan w:val="7"/>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Unaudited condensed consolidated statements of changes in owners’/partners’ equity for the six months ended June 30, 2016 and 2017</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Unaudited condensed consolidated statements of cash flows for the six months ended June 30, 2016 and 2017</w:t>
              </w:r>
            </w:hyperlink>
          </w:p>
        </w:tc>
        <w:tc>
          <w:tcPr>
            <w:tcW w:w="1800" w:type="dxa"/>
            <w:vAlign w:val="bottom"/>
            <w:tcBorders>
              <w:top w:val="single" w:sz="8" w:color="0000EE"/>
            </w:tcBorders>
            <w:gridSpan w:val="4"/>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38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Notes to the unaudited condensed consolidated financial statements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426"/>
        </w:trPr>
        <w:tc>
          <w:tcPr>
            <w:tcW w:w="4880" w:type="dxa"/>
            <w:vAlign w:val="bottom"/>
            <w:tcBorders>
              <w:top w:val="single" w:sz="8" w:color="0000EE"/>
            </w:tcBorders>
          </w:tcPr>
          <w:p>
            <w:pPr>
              <w:spacing w:after="0"/>
              <w:rPr>
                <w:sz w:val="24"/>
                <w:szCs w:val="24"/>
                <w:color w:val="auto"/>
              </w:rPr>
            </w:pPr>
          </w:p>
        </w:tc>
        <w:tc>
          <w:tcPr>
            <w:tcW w:w="5500" w:type="dxa"/>
            <w:vAlign w:val="bottom"/>
            <w:gridSpan w:val="6"/>
          </w:tcPr>
          <w:p>
            <w:pPr>
              <w:jc w:val="center"/>
              <w:ind w:right="3840"/>
              <w:spacing w:after="0"/>
              <w:rPr>
                <w:sz w:val="20"/>
                <w:szCs w:val="20"/>
                <w:color w:val="auto"/>
              </w:rPr>
            </w:pPr>
            <w:r>
              <w:rPr>
                <w:rFonts w:ascii="Arial" w:cs="Arial" w:eastAsia="Arial" w:hAnsi="Arial"/>
                <w:sz w:val="18"/>
                <w:szCs w:val="18"/>
                <w:color w:val="auto"/>
                <w:w w:val="96"/>
              </w:rPr>
              <w:t>F-1</w:t>
            </w:r>
          </w:p>
        </w:tc>
        <w:tc>
          <w:tcPr>
            <w:tcW w:w="1040" w:type="dxa"/>
            <w:vAlign w:val="bottom"/>
          </w:tcPr>
          <w:p>
            <w:pPr>
              <w:spacing w:after="0"/>
              <w:rPr>
                <w:sz w:val="24"/>
                <w:szCs w:val="24"/>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0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GasLog Partners LP</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As of December 31, 2016 and June 30, 2017</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60" w:type="dxa"/>
            <w:vAlign w:val="bottom"/>
            <w:tcBorders>
              <w:bottom w:val="single" w:sz="8" w:color="E5FFFF"/>
            </w:tcBorders>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360" w:type="dxa"/>
            <w:vAlign w:val="bottom"/>
            <w:tcBorders>
              <w:bottom w:val="single" w:sz="8" w:color="E5FF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460" w:type="dxa"/>
            <w:vAlign w:val="bottom"/>
            <w:tcBorders>
              <w:bottom w:val="single" w:sz="8" w:color="E5FFFF"/>
            </w:tcBorders>
          </w:tcPr>
          <w:p>
            <w:pPr>
              <w:spacing w:after="0"/>
              <w:rPr>
                <w:sz w:val="24"/>
                <w:szCs w:val="24"/>
                <w:color w:val="auto"/>
              </w:rPr>
            </w:pP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Borders>
              <w:bottom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900"/>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assets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928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6,008</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Vessels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60" w:type="dxa"/>
            <w:vAlign w:val="bottom"/>
          </w:tcPr>
          <w:p>
            <w:pPr>
              <w:spacing w:after="0"/>
              <w:rPr>
                <w:sz w:val="19"/>
                <w:szCs w:val="19"/>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1,624,494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1,599,171</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4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1,631,430</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1,603,096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3,412</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2,257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Due from related parties</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3</w:t>
            </w: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4,266</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905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3,000</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53,235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209,144</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67,075</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217,987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E5FFFF"/>
            </w:tcBorders>
          </w:tcPr>
          <w:p>
            <w:pPr>
              <w:spacing w:after="0"/>
              <w:rPr>
                <w:sz w:val="22"/>
                <w:szCs w:val="22"/>
                <w:color w:val="auto"/>
              </w:rPr>
            </w:pPr>
          </w:p>
        </w:tc>
        <w:tc>
          <w:tcPr>
            <w:tcW w:w="360" w:type="dxa"/>
            <w:vAlign w:val="bottom"/>
            <w:tcBorders>
              <w:bottom w:val="single" w:sz="8" w:color="E5FF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1,698,505</w:t>
            </w:r>
          </w:p>
        </w:tc>
        <w:tc>
          <w:tcPr>
            <w:tcW w:w="46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1,821,083</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Partners’ equity and liabilities</w:t>
            </w:r>
          </w:p>
        </w:tc>
        <w:tc>
          <w:tcPr>
            <w:tcW w:w="4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Partners’ equity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Owners’ capital</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50,803</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6"/>
              </w:rPr>
              <w:t>Common unitholders (24,572,358 units issued and outstanding as of December 31, 2016</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and 38,675,593 units issued and outstanding as of June 30, 2017)</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565,408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702,445</w:t>
            </w:r>
          </w:p>
        </w:tc>
        <w:tc>
          <w:tcPr>
            <w:tcW w:w="0" w:type="dxa"/>
            <w:vAlign w:val="bottom"/>
          </w:tcPr>
          <w:p>
            <w:pPr>
              <w:spacing w:after="0"/>
              <w:rPr>
                <w:sz w:val="1"/>
                <w:szCs w:val="1"/>
                <w:color w:val="auto"/>
              </w:rPr>
            </w:pPr>
          </w:p>
        </w:tc>
      </w:tr>
      <w:tr>
        <w:trPr>
          <w:trHeight w:val="202"/>
        </w:trPr>
        <w:tc>
          <w:tcPr>
            <w:tcW w:w="6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3"/>
              </w:rPr>
              <w:t>Subordinated unitholders (9,822,358 units issued and outstanding as of December 31, 2016</w:t>
            </w:r>
          </w:p>
        </w:tc>
        <w:tc>
          <w:tcPr>
            <w:tcW w:w="4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6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and nil units issued and outstanding as of June 30, 2017)</w:t>
            </w:r>
          </w:p>
        </w:tc>
        <w:tc>
          <w:tcPr>
            <w:tcW w:w="46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60,988</w:t>
            </w:r>
          </w:p>
        </w:tc>
        <w:tc>
          <w:tcPr>
            <w:tcW w:w="1680" w:type="dxa"/>
            <w:vAlign w:val="bottom"/>
            <w:gridSpan w:val="2"/>
            <w:vMerge w:val="continue"/>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General partner (701,933 units issued and outstanding as of December 31, 2016 and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789,298 units issued and outstanding as of June 30, 2017)</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10,095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Incentive distribution rights (“IDR”)</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5,878</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9"/>
              </w:rPr>
              <w:t>Preference unitholders (nil units issued and outstanding as of December 31, 2016 and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180"/>
              <w:spacing w:after="0"/>
              <w:rPr>
                <w:sz w:val="20"/>
                <w:szCs w:val="20"/>
                <w:color w:val="auto"/>
              </w:rPr>
            </w:pPr>
            <w:r>
              <w:rPr>
                <w:rFonts w:ascii="Arial" w:cs="Arial" w:eastAsia="Arial" w:hAnsi="Arial"/>
                <w:sz w:val="18"/>
                <w:szCs w:val="18"/>
                <w:color w:val="auto"/>
              </w:rPr>
              <w:t>5,750,000 units issued and outstanding as of June 30, 2017)</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140,331</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partners’ equity</w:t>
            </w:r>
          </w:p>
        </w:tc>
        <w:tc>
          <w:tcPr>
            <w:tcW w:w="4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693,172</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859,613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1,517</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Due to related parties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1,390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1,836</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33,722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33,575</w:t>
            </w: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Borrowings—current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360" w:type="dxa"/>
            <w:vAlign w:val="bottom"/>
            <w:shd w:val="clear" w:color="auto" w:fill="E5FFFF"/>
          </w:tcPr>
          <w:p>
            <w:pPr>
              <w:spacing w:after="0"/>
              <w:rPr>
                <w:sz w:val="19"/>
                <w:szCs w:val="19"/>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56,020</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85,091</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94,485</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123,635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6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910,666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837,545</w:t>
            </w: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182</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46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910,848</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837,835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460" w:type="dxa"/>
            <w:vAlign w:val="bottom"/>
            <w:tcBorders>
              <w:bottom w:val="single" w:sz="8" w:color="E5FFFF"/>
            </w:tcBorders>
            <w:shd w:val="clear" w:color="auto" w:fill="E5FFFF"/>
          </w:tcPr>
          <w:p>
            <w:pPr>
              <w:spacing w:after="0"/>
              <w:rPr>
                <w:sz w:val="19"/>
                <w:szCs w:val="19"/>
                <w:color w:val="auto"/>
              </w:rPr>
            </w:pPr>
          </w:p>
        </w:tc>
        <w:tc>
          <w:tcPr>
            <w:tcW w:w="360" w:type="dxa"/>
            <w:vAlign w:val="bottom"/>
            <w:tcBorders>
              <w:bottom w:val="single" w:sz="8" w:color="E5FFFF"/>
            </w:tcBorders>
            <w:shd w:val="clear" w:color="auto" w:fill="E5FFFF"/>
          </w:tcPr>
          <w:p>
            <w:pPr>
              <w:spacing w:after="0"/>
              <w:rPr>
                <w:sz w:val="19"/>
                <w:szCs w:val="19"/>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1,698,505</w:t>
            </w:r>
          </w:p>
        </w:tc>
        <w:tc>
          <w:tcPr>
            <w:tcW w:w="46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1,821,083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statements of GAS-eleven Ltd. acquired on May 3, 2017 from GasLog Ltd. (“GasLog”)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For the three months ended</w:t>
            </w:r>
          </w:p>
        </w:tc>
        <w:tc>
          <w:tcPr>
            <w:tcW w:w="30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Borders>
              <w:bottom w:val="single" w:sz="8" w:color="E5FFFF"/>
            </w:tcBorders>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Note</w:t>
            </w:r>
          </w:p>
        </w:tc>
        <w:tc>
          <w:tcPr>
            <w:tcW w:w="22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June 30, 2016</w:t>
            </w:r>
          </w:p>
        </w:tc>
        <w:tc>
          <w:tcPr>
            <w:tcW w:w="24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480"/>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13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1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64,049</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65,270</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120,354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129,823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(13,042)</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(13,710)</w:t>
            </w:r>
          </w:p>
        </w:tc>
        <w:tc>
          <w:tcPr>
            <w:tcW w:w="15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(25,885)</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(1,781)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(13,861)</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(13,991)</w:t>
            </w:r>
          </w:p>
        </w:tc>
        <w:tc>
          <w:tcPr>
            <w:tcW w:w="15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(26,440)</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(6,090)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33,071</w:t>
            </w:r>
          </w:p>
        </w:tc>
        <w:tc>
          <w:tcPr>
            <w:tcW w:w="24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33,449</w:t>
            </w:r>
          </w:p>
        </w:tc>
        <w:tc>
          <w:tcPr>
            <w:tcW w:w="24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60,158</w:t>
            </w:r>
          </w:p>
        </w:tc>
        <w:tc>
          <w:tcPr>
            <w:tcW w:w="2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67,800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Financial costs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(9,576)</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(10,782)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(17,913)</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24</w:t>
            </w:r>
          </w:p>
        </w:tc>
        <w:tc>
          <w:tcPr>
            <w:tcW w:w="16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230</w:t>
            </w:r>
          </w:p>
        </w:tc>
        <w:tc>
          <w:tcPr>
            <w:tcW w:w="15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42</w:t>
            </w:r>
          </w:p>
        </w:tc>
        <w:tc>
          <w:tcPr>
            <w:tcW w:w="14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on interest rate swaps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(2,336)</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(3,892)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(10,542</w:t>
            </w:r>
          </w:p>
        </w:tc>
        <w:tc>
          <w:tcPr>
            <w:tcW w:w="240" w:type="dxa"/>
            <w:vAlign w:val="bottom"/>
            <w:tcBorders>
              <w:top w:val="single" w:sz="8" w:color="E5FFFF"/>
            </w:tcBorders>
            <w:shd w:val="clear" w:color="auto" w:fill="E5FF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(12,888</w:t>
            </w:r>
          </w:p>
        </w:tc>
        <w:tc>
          <w:tcPr>
            <w:tcW w:w="240" w:type="dxa"/>
            <w:vAlign w:val="bottom"/>
            <w:tcBorders>
              <w:top w:val="single" w:sz="8" w:color="E5FFFF"/>
            </w:tcBorders>
            <w:shd w:val="clear" w:color="auto" w:fill="E5FF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(21,763</w:t>
            </w:r>
          </w:p>
        </w:tc>
        <w:tc>
          <w:tcPr>
            <w:tcW w:w="220" w:type="dxa"/>
            <w:vAlign w:val="bottom"/>
            <w:tcBorders>
              <w:top w:val="single" w:sz="8" w:color="E5FFFF"/>
            </w:tcBorders>
            <w:shd w:val="clear" w:color="auto" w:fill="E5FF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(22,894</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22,529</w:t>
            </w:r>
          </w:p>
        </w:tc>
        <w:tc>
          <w:tcPr>
            <w:tcW w:w="2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20,561</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38,395</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w w:val="95"/>
              </w:rPr>
              <w:t>Earnings per unit attributable to the Partnership, basic</w:t>
            </w:r>
          </w:p>
        </w:tc>
        <w:tc>
          <w:tcPr>
            <w:tcW w:w="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and diluted:</w:t>
            </w:r>
          </w:p>
        </w:tc>
        <w:tc>
          <w:tcPr>
            <w:tcW w:w="4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E5FFFF"/>
          </w:tcPr>
          <w:p>
            <w:pPr>
              <w:spacing w:after="0"/>
              <w:rPr>
                <w:sz w:val="20"/>
                <w:szCs w:val="20"/>
                <w:color w:val="auto"/>
              </w:rPr>
            </w:pPr>
          </w:p>
        </w:tc>
        <w:tc>
          <w:tcPr>
            <w:tcW w:w="13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3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3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w:t>
            </w: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0.52</w:t>
            </w:r>
          </w:p>
        </w:tc>
        <w:tc>
          <w:tcPr>
            <w:tcW w:w="16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1.01</w:t>
            </w:r>
          </w:p>
        </w:tc>
        <w:tc>
          <w:tcPr>
            <w:tcW w:w="14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partner unit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89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GAS-seven Ltd. and GAS-eleven Ltd. acquired on November 1, 2016 and on May 3, 2017, respectively, from GasLog (Note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5360"/>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six months ended June 30, 2016 and 2017 (All amounts expressed in thousands of U.S.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vMerge w:val="restart"/>
          </w:tcPr>
          <w:p>
            <w:pPr>
              <w:spacing w:after="0"/>
              <w:rPr>
                <w:sz w:val="19"/>
                <w:szCs w:val="19"/>
                <w:color w:val="auto"/>
              </w:rPr>
            </w:pPr>
          </w:p>
        </w:tc>
        <w:tc>
          <w:tcPr>
            <w:tcW w:w="32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3020" w:type="dxa"/>
            <w:vAlign w:val="bottom"/>
            <w:gridSpan w:val="4"/>
          </w:tcPr>
          <w:p>
            <w:pPr>
              <w:ind w:left="4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E5FFFF"/>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E5FFFF"/>
            </w:tcBorders>
            <w:vMerge w:val="continue"/>
          </w:tcPr>
          <w:p>
            <w:pPr>
              <w:spacing w:after="0"/>
              <w:rPr>
                <w:sz w:val="20"/>
                <w:szCs w:val="20"/>
                <w:color w:val="auto"/>
              </w:rPr>
            </w:pP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June 30, 2016</w:t>
            </w:r>
          </w:p>
        </w:tc>
        <w:tc>
          <w:tcPr>
            <w:tcW w:w="24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560"/>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13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520"/>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1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22,529</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20,561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38,395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44,906</w:t>
            </w:r>
          </w:p>
        </w:tc>
        <w:tc>
          <w:tcPr>
            <w:tcW w:w="0" w:type="dxa"/>
            <w:vAlign w:val="bottom"/>
          </w:tcPr>
          <w:p>
            <w:pPr>
              <w:spacing w:after="0"/>
              <w:rPr>
                <w:sz w:val="1"/>
                <w:szCs w:val="1"/>
                <w:color w:val="auto"/>
              </w:rPr>
            </w:pPr>
          </w:p>
        </w:tc>
      </w:tr>
      <w:tr>
        <w:trPr>
          <w:trHeight w:val="216"/>
        </w:trPr>
        <w:tc>
          <w:tcPr>
            <w:tcW w:w="44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comprehensive income:</w:t>
            </w: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Items that may be reclassified subsequently to profit or</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loss: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7"/>
              </w:rPr>
              <w:t>Recycled loss of cash flow hedges reclassified to profit or</w:t>
            </w:r>
          </w:p>
        </w:tc>
        <w:tc>
          <w:tcPr>
            <w:tcW w:w="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loss</w:t>
            </w:r>
          </w:p>
        </w:tc>
        <w:tc>
          <w:tcPr>
            <w:tcW w:w="46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21"/>
                <w:szCs w:val="21"/>
                <w:color w:val="auto"/>
              </w:rPr>
            </w:pP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143</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287</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46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24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E5FF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22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4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22,672</w:t>
            </w:r>
          </w:p>
        </w:tc>
        <w:tc>
          <w:tcPr>
            <w:tcW w:w="240" w:type="dxa"/>
            <w:vAlign w:val="bottom"/>
            <w:tcBorders>
              <w:bottom w:val="single" w:sz="8" w:color="E5FFFF"/>
            </w:tcBorders>
            <w:shd w:val="clear" w:color="auto" w:fill="E5FFFF"/>
          </w:tcPr>
          <w:p>
            <w:pPr>
              <w:spacing w:after="0"/>
              <w:rPr>
                <w:sz w:val="19"/>
                <w:szCs w:val="19"/>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20,561</w:t>
            </w:r>
          </w:p>
        </w:tc>
        <w:tc>
          <w:tcPr>
            <w:tcW w:w="240" w:type="dxa"/>
            <w:vAlign w:val="bottom"/>
            <w:tcBorders>
              <w:bottom w:val="single" w:sz="8" w:color="E5FFFF"/>
            </w:tcBorders>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38,682</w:t>
            </w:r>
          </w:p>
        </w:tc>
        <w:tc>
          <w:tcPr>
            <w:tcW w:w="22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44,906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1"/>
          <w:szCs w:val="11"/>
          <w:b w:val="1"/>
          <w:bCs w:val="1"/>
          <w:color w:val="auto"/>
        </w:rPr>
      </w:pPr>
      <w:r>
        <w:rPr>
          <w:rFonts w:ascii="Arial" w:cs="Arial" w:eastAsia="Arial" w:hAnsi="Arial"/>
          <w:sz w:val="13"/>
          <w:szCs w:val="13"/>
          <w:color w:val="auto"/>
        </w:rPr>
        <w:t>Restated so as to reflect the historical financial statements of GAS-seven Ltd. and GAS-eleven Ltd. acquired on November 1, 2016 and on May 3, 2017, respectively, from GasLog (Note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4900"/>
        <w:spacing w:after="0" w:line="261" w:lineRule="auto"/>
        <w:rPr>
          <w:sz w:val="20"/>
          <w:szCs w:val="20"/>
          <w:color w:val="auto"/>
        </w:rPr>
      </w:pPr>
      <w:r>
        <w:rPr>
          <w:rFonts w:ascii="Arial" w:cs="Arial" w:eastAsia="Arial" w:hAnsi="Arial"/>
          <w:sz w:val="18"/>
          <w:szCs w:val="18"/>
          <w:b w:val="1"/>
          <w:bCs w:val="1"/>
          <w:color w:val="auto"/>
        </w:rPr>
        <w:t>Unaudited condensed consolidated statements of changes in owners’/partners’ equity For the six months ended June 30, 2016 and 2017</w:t>
      </w: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4"/>
              </w:rPr>
              <w:t>Limited Partners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Common</w:t>
            </w:r>
          </w:p>
        </w:tc>
        <w:tc>
          <w:tcPr>
            <w:tcW w:w="14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Subordinated</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Preference</w:t>
            </w:r>
          </w:p>
        </w:tc>
        <w:tc>
          <w:tcPr>
            <w:tcW w:w="780" w:type="dxa"/>
            <w:vAlign w:val="bottom"/>
            <w:gridSpan w:val="2"/>
            <w:vMerge w:val="continue"/>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Owners’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General partner</w:t>
            </w:r>
          </w:p>
        </w:tc>
        <w:tc>
          <w:tcPr>
            <w:tcW w:w="1680" w:type="dxa"/>
            <w:vAlign w:val="bottom"/>
            <w:gridSpan w:val="4"/>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IDR</w:t>
            </w:r>
          </w:p>
        </w:tc>
        <w:tc>
          <w:tcPr>
            <w:tcW w:w="1460" w:type="dxa"/>
            <w:vAlign w:val="bottom"/>
            <w:gridSpan w:val="4"/>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Partners’</w:t>
            </w: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unitholders</w:t>
            </w: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unitholders</w:t>
            </w:r>
          </w:p>
        </w:tc>
        <w:tc>
          <w:tcPr>
            <w:tcW w:w="560" w:type="dxa"/>
            <w:vAlign w:val="bottom"/>
            <w:gridSpan w:val="2"/>
            <w:vMerge w:val="continue"/>
          </w:tcPr>
          <w:p>
            <w:pPr>
              <w:spacing w:after="0"/>
              <w:rPr>
                <w:sz w:val="14"/>
                <w:szCs w:val="14"/>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unitholders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Units</w:t>
            </w: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Units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Units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20" w:type="dxa"/>
            <w:vAlign w:val="bottom"/>
            <w:tcBorders>
              <w:top w:val="single" w:sz="8" w:color="E5FFFF"/>
            </w:tcBorders>
            <w:shd w:val="clear" w:color="auto" w:fill="E5FFFF"/>
          </w:tcPr>
          <w:p>
            <w:pPr>
              <w:spacing w:after="0" w:line="116" w:lineRule="exact"/>
              <w:rPr>
                <w:sz w:val="20"/>
                <w:szCs w:val="20"/>
                <w:color w:val="auto"/>
              </w:rPr>
            </w:pPr>
            <w:r>
              <w:rPr>
                <w:rFonts w:ascii="Arial" w:cs="Arial" w:eastAsia="Arial" w:hAnsi="Arial"/>
                <w:sz w:val="13"/>
                <w:szCs w:val="13"/>
                <w:b w:val="1"/>
                <w:bCs w:val="1"/>
                <w:color w:val="auto"/>
              </w:rPr>
              <w:t>Balance at January 1, 2016 (as</w:t>
            </w:r>
          </w:p>
        </w:tc>
        <w:tc>
          <w:tcPr>
            <w:tcW w:w="58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700" w:type="dxa"/>
            <w:vAlign w:val="bottom"/>
            <w:tcBorders>
              <w:top w:val="single" w:sz="8" w:color="auto"/>
            </w:tcBorders>
            <w:shd w:val="clear" w:color="auto" w:fill="E5FFFF"/>
          </w:tcPr>
          <w:p>
            <w:pPr>
              <w:spacing w:after="0"/>
              <w:rPr>
                <w:sz w:val="10"/>
                <w:szCs w:val="10"/>
                <w:color w:val="auto"/>
              </w:rPr>
            </w:pPr>
          </w:p>
        </w:tc>
        <w:tc>
          <w:tcPr>
            <w:tcW w:w="280" w:type="dxa"/>
            <w:vAlign w:val="bottom"/>
            <w:tcBorders>
              <w:top w:val="single" w:sz="8" w:color="E5FFFF"/>
            </w:tcBorders>
            <w:shd w:val="clear" w:color="auto" w:fill="E5FFFF"/>
          </w:tcPr>
          <w:p>
            <w:pPr>
              <w:spacing w:after="0"/>
              <w:rPr>
                <w:sz w:val="10"/>
                <w:szCs w:val="10"/>
                <w:color w:val="auto"/>
              </w:rPr>
            </w:pPr>
          </w:p>
        </w:tc>
        <w:tc>
          <w:tcPr>
            <w:tcW w:w="60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68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5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44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5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8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E5FFFF"/>
          </w:tcPr>
          <w:p>
            <w:pPr>
              <w:ind w:left="160"/>
              <w:spacing w:after="0" w:line="20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645,811</w:t>
            </w:r>
          </w:p>
        </w:tc>
        <w:tc>
          <w:tcPr>
            <w:tcW w:w="46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8,842</w:t>
            </w:r>
          </w:p>
        </w:tc>
        <w:tc>
          <w:tcPr>
            <w:tcW w:w="12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b w:val="1"/>
                <w:bCs w:val="1"/>
                <w:color w:val="auto"/>
                <w:w w:val="96"/>
              </w:rPr>
              <w:t>21,822,358</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507,433</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9,822,358</w:t>
            </w:r>
          </w:p>
        </w:tc>
        <w:tc>
          <w:tcPr>
            <w:tcW w:w="10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59,786</w:t>
            </w:r>
          </w:p>
        </w:tc>
        <w:tc>
          <w:tcPr>
            <w:tcW w:w="44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2,117</w:t>
            </w: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578,178</w:t>
            </w: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64,434</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642,612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10,395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Profit attributable to GasLog’s operations</w:t>
            </w: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(see Note 13)</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4,821</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4,821</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Other comprehensive income attributable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to GasLog’s operations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Total comprehensive income</w:t>
            </w: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5,108</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5,108</w:t>
            </w: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attributable to GasLog’s operations</w:t>
            </w:r>
          </w:p>
        </w:tc>
        <w:tc>
          <w:tcPr>
            <w:tcW w:w="700" w:type="dxa"/>
            <w:vAlign w:val="bottom"/>
            <w:gridSpan w:val="2"/>
            <w:vMerge w:val="continue"/>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560" w:type="dxa"/>
            <w:vAlign w:val="bottom"/>
            <w:gridSpan w:val="2"/>
            <w:vMerge w:val="continue"/>
            <w:shd w:val="clear" w:color="auto" w:fill="E5FFFF"/>
          </w:tcPr>
          <w:p>
            <w:pPr>
              <w:spacing w:after="0"/>
              <w:rPr>
                <w:sz w:val="14"/>
                <w:szCs w:val="14"/>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(20,862)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(9,390)</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(31,423)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Share-based compensation</w:t>
            </w:r>
          </w:p>
        </w:tc>
        <w:tc>
          <w:tcPr>
            <w:tcW w:w="7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7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4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147</w:t>
            </w: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Partnership’s profit (see Note 13)</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21,974</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33,574</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Partnership’s total comprehensive</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vMerge w:val="continue"/>
            <w:shd w:val="clear" w:color="auto" w:fill="E5FFFF"/>
          </w:tcPr>
          <w:p>
            <w:pPr>
              <w:spacing w:after="0"/>
              <w:rPr>
                <w:sz w:val="9"/>
                <w:szCs w:val="9"/>
                <w:color w:val="auto"/>
              </w:rPr>
            </w:pP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672</w:t>
            </w:r>
          </w:p>
        </w:tc>
        <w:tc>
          <w:tcPr>
            <w:tcW w:w="120" w:type="dxa"/>
            <w:vAlign w:val="bottom"/>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21,974</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9,891</w:t>
            </w:r>
          </w:p>
        </w:tc>
        <w:tc>
          <w:tcPr>
            <w:tcW w:w="44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1,037</w:t>
            </w:r>
          </w:p>
        </w:tc>
        <w:tc>
          <w:tcPr>
            <w:tcW w:w="12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6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33,574</w:t>
            </w:r>
          </w:p>
        </w:tc>
        <w:tc>
          <w:tcPr>
            <w:tcW w:w="12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33,574</w:t>
            </w:r>
          </w:p>
        </w:tc>
        <w:tc>
          <w:tcPr>
            <w:tcW w:w="1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income</w:t>
            </w:r>
          </w:p>
        </w:tc>
        <w:tc>
          <w:tcPr>
            <w:tcW w:w="700" w:type="dxa"/>
            <w:vAlign w:val="bottom"/>
            <w:gridSpan w:val="2"/>
            <w:vMerge w:val="continue"/>
            <w:shd w:val="clear" w:color="auto" w:fill="E5FFFF"/>
          </w:tcPr>
          <w:p>
            <w:pPr>
              <w:spacing w:after="0"/>
              <w:rPr>
                <w:sz w:val="14"/>
                <w:szCs w:val="14"/>
                <w:color w:val="auto"/>
              </w:rPr>
            </w:pPr>
          </w:p>
        </w:tc>
        <w:tc>
          <w:tcPr>
            <w:tcW w:w="46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44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line="156" w:lineRule="exact"/>
              <w:rPr>
                <w:sz w:val="20"/>
                <w:szCs w:val="20"/>
                <w:color w:val="auto"/>
              </w:rPr>
            </w:pPr>
            <w:r>
              <w:rPr>
                <w:rFonts w:ascii="Arial" w:cs="Arial" w:eastAsia="Arial" w:hAnsi="Arial"/>
                <w:sz w:val="12"/>
                <w:szCs w:val="12"/>
                <w:b w:val="1"/>
                <w:bCs w:val="1"/>
                <w:color w:val="auto"/>
              </w:rPr>
              <w:t>Balance at June 30, 2016 (as restated</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645,811</w:t>
            </w:r>
          </w:p>
        </w:tc>
        <w:tc>
          <w:tcPr>
            <w:tcW w:w="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8,889</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21,822,358</w:t>
            </w:r>
          </w:p>
        </w:tc>
        <w:tc>
          <w:tcPr>
            <w:tcW w:w="2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508,621</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9,822,358</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60,321</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2,645</w:t>
            </w: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580,476</w:t>
            </w: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79,937</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660,413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620" w:type="dxa"/>
            <w:vAlign w:val="bottom"/>
            <w:shd w:val="clear" w:color="auto" w:fill="E5FFFF"/>
          </w:tcPr>
          <w:p>
            <w:pPr>
              <w:spacing w:after="0" w:line="136" w:lineRule="exact"/>
              <w:rPr>
                <w:sz w:val="20"/>
                <w:szCs w:val="20"/>
                <w:color w:val="auto"/>
              </w:rPr>
            </w:pPr>
            <w:r>
              <w:rPr>
                <w:rFonts w:ascii="Arial" w:cs="Arial" w:eastAsia="Arial" w:hAnsi="Arial"/>
                <w:sz w:val="14"/>
                <w:szCs w:val="14"/>
                <w:b w:val="1"/>
                <w:bCs w:val="1"/>
                <w:color w:val="auto"/>
              </w:rPr>
              <w:t>Balance at January 1, 2017</w:t>
            </w: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E5FFFF"/>
          </w:tcPr>
          <w:p>
            <w:pPr>
              <w:ind w:left="160"/>
              <w:spacing w:after="0" w:line="202" w:lineRule="exact"/>
              <w:rPr>
                <w:sz w:val="20"/>
                <w:szCs w:val="20"/>
                <w:color w:val="auto"/>
              </w:rPr>
            </w:pPr>
            <w:r>
              <w:rPr>
                <w:rFonts w:ascii="Arial" w:cs="Arial" w:eastAsia="Arial" w:hAnsi="Arial"/>
                <w:sz w:val="14"/>
                <w:szCs w:val="14"/>
                <w:b w:val="1"/>
                <w:bCs w:val="1"/>
                <w:color w:val="auto"/>
              </w:rPr>
              <w:t>(as restated</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701,933</w:t>
            </w:r>
          </w:p>
        </w:tc>
        <w:tc>
          <w:tcPr>
            <w:tcW w:w="46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10,095</w:t>
            </w:r>
          </w:p>
        </w:tc>
        <w:tc>
          <w:tcPr>
            <w:tcW w:w="12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b w:val="1"/>
                <w:bCs w:val="1"/>
                <w:color w:val="auto"/>
                <w:w w:val="96"/>
              </w:rPr>
              <w:t>24,572,358</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565,408</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9,822,358</w:t>
            </w:r>
          </w:p>
        </w:tc>
        <w:tc>
          <w:tcPr>
            <w:tcW w:w="10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60,988</w:t>
            </w:r>
          </w:p>
        </w:tc>
        <w:tc>
          <w:tcPr>
            <w:tcW w:w="44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5,878</w:t>
            </w: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642,369</w:t>
            </w: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50,803</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693,172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Profit and total comprehensive income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w w:val="98"/>
              </w:rPr>
              <w:t>attributable to GasLog’s operations (see</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Note 13)</w:t>
            </w:r>
          </w:p>
        </w:tc>
        <w:tc>
          <w:tcPr>
            <w:tcW w:w="7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4,526</w:t>
            </w:r>
          </w:p>
        </w:tc>
        <w:tc>
          <w:tcPr>
            <w:tcW w:w="680" w:type="dxa"/>
            <w:vAlign w:val="bottom"/>
          </w:tcPr>
          <w:p>
            <w:pPr>
              <w:jc w:val="right"/>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Net proceeds from public offerings and</w:t>
            </w: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w w:val="98"/>
              </w:rPr>
              <w:t>issuances of common units and general</w:t>
            </w: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partner units (Note 5)</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87,365</w:t>
            </w:r>
          </w:p>
        </w:tc>
        <w:tc>
          <w:tcPr>
            <w:tcW w:w="4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1,809</w:t>
            </w:r>
          </w:p>
        </w:tc>
        <w:tc>
          <w:tcPr>
            <w:tcW w:w="120" w:type="dxa"/>
            <w:vAlign w:val="bottom"/>
            <w:shd w:val="clear" w:color="auto" w:fill="E5FFFF"/>
          </w:tcPr>
          <w:p>
            <w:pPr>
              <w:spacing w:after="0"/>
              <w:rPr>
                <w:sz w:val="14"/>
                <w:szCs w:val="14"/>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4,280,877</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86,994</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88,803</w:t>
            </w:r>
          </w:p>
        </w:tc>
        <w:tc>
          <w:tcPr>
            <w:tcW w:w="12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88,803</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Net proceeds from public offering and</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issuance of preference units (Note 5)</w:t>
            </w:r>
          </w:p>
        </w:tc>
        <w:tc>
          <w:tcPr>
            <w:tcW w:w="7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138,782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138,782</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Cash payment to GasLog in exchange for</w:t>
            </w: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net assets contribution to the</w:t>
            </w: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Partnership</w:t>
            </w:r>
          </w:p>
        </w:tc>
        <w:tc>
          <w:tcPr>
            <w:tcW w:w="700" w:type="dxa"/>
            <w:vAlign w:val="bottom"/>
            <w:gridSpan w:val="2"/>
            <w:vMerge w:val="continue"/>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56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(66,643)</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(66,643)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Difference between net book values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acquired subsidiary and consideration</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paid</w:t>
            </w:r>
          </w:p>
        </w:tc>
        <w:tc>
          <w:tcPr>
            <w:tcW w:w="700" w:type="dxa"/>
            <w:vAlign w:val="bottom"/>
            <w:gridSpan w:val="2"/>
            <w:vMerge w:val="continue"/>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(820)</w:t>
            </w:r>
          </w:p>
        </w:tc>
        <w:tc>
          <w:tcPr>
            <w:tcW w:w="980" w:type="dxa"/>
            <w:vAlign w:val="bottom"/>
            <w:gridSpan w:val="2"/>
            <w:vMerge w:val="continue"/>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c>
          <w:tcPr>
            <w:tcW w:w="780" w:type="dxa"/>
            <w:vAlign w:val="bottom"/>
            <w:gridSpan w:val="2"/>
            <w:vMerge w:val="continue"/>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(10,321)</w:t>
            </w: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(11,314)</w:t>
            </w:r>
          </w:p>
        </w:tc>
        <w:tc>
          <w:tcPr>
            <w:tcW w:w="660" w:type="dxa"/>
            <w:vAlign w:val="bottom"/>
          </w:tcPr>
          <w:p>
            <w:pPr>
              <w:jc w:val="right"/>
              <w:spacing w:after="0"/>
              <w:rPr>
                <w:sz w:val="20"/>
                <w:szCs w:val="20"/>
                <w:color w:val="auto"/>
              </w:rPr>
            </w:pPr>
            <w:r>
              <w:rPr>
                <w:rFonts w:ascii="Arial" w:cs="Arial" w:eastAsia="Arial" w:hAnsi="Arial"/>
                <w:sz w:val="14"/>
                <w:szCs w:val="14"/>
                <w:color w:val="auto"/>
              </w:rPr>
              <w:t>11,314</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Distributions declared (see Note 12)</w:t>
            </w:r>
          </w:p>
        </w:tc>
        <w:tc>
          <w:tcPr>
            <w:tcW w:w="7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(793)</w:t>
            </w:r>
          </w:p>
        </w:tc>
        <w:tc>
          <w:tcPr>
            <w:tcW w:w="98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(28,099)</w:t>
            </w:r>
          </w:p>
        </w:tc>
        <w:tc>
          <w:tcPr>
            <w:tcW w:w="7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(9,724)</w:t>
            </w:r>
          </w:p>
        </w:tc>
        <w:tc>
          <w:tcPr>
            <w:tcW w:w="56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(1,054)</w:t>
            </w: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(39,670)</w:t>
            </w: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(39,670)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Conversion of subordinated units to</w:t>
            </w: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common units (Note 5)</w:t>
            </w:r>
          </w:p>
        </w:tc>
        <w:tc>
          <w:tcPr>
            <w:tcW w:w="700" w:type="dxa"/>
            <w:vAlign w:val="bottom"/>
            <w:gridSpan w:val="2"/>
            <w:vMerge w:val="continue"/>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9,822,358</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46,047</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w w:val="97"/>
              </w:rPr>
              <w:t>(9,822,358)</w:t>
            </w: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(46,047)</w:t>
            </w:r>
          </w:p>
        </w:tc>
        <w:tc>
          <w:tcPr>
            <w:tcW w:w="56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Partnership’s profit (see Note 13)</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32,073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5,085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1,549</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40,380</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40,380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Partnership’s total comprehensive</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vMerge w:val="continue"/>
            <w:shd w:val="clear" w:color="auto" w:fill="E5FFFF"/>
          </w:tcPr>
          <w:p>
            <w:pPr>
              <w:spacing w:after="0"/>
              <w:rPr>
                <w:sz w:val="9"/>
                <w:szCs w:val="9"/>
                <w:color w:val="auto"/>
              </w:rPr>
            </w:pP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777</w:t>
            </w:r>
          </w:p>
        </w:tc>
        <w:tc>
          <w:tcPr>
            <w:tcW w:w="120" w:type="dxa"/>
            <w:vAlign w:val="bottom"/>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32,073</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5,085</w:t>
            </w:r>
          </w:p>
        </w:tc>
        <w:tc>
          <w:tcPr>
            <w:tcW w:w="44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896</w:t>
            </w:r>
          </w:p>
        </w:tc>
        <w:tc>
          <w:tcPr>
            <w:tcW w:w="120" w:type="dxa"/>
            <w:vAlign w:val="bottom"/>
            <w:shd w:val="clear" w:color="auto" w:fill="E5FFFF"/>
          </w:tcPr>
          <w:p>
            <w:pPr>
              <w:spacing w:after="0"/>
              <w:rPr>
                <w:sz w:val="9"/>
                <w:szCs w:val="9"/>
                <w:color w:val="auto"/>
              </w:rPr>
            </w:pP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1,549</w:t>
            </w:r>
          </w:p>
        </w:tc>
        <w:tc>
          <w:tcPr>
            <w:tcW w:w="120" w:type="dxa"/>
            <w:vAlign w:val="bottom"/>
            <w:shd w:val="clear" w:color="auto" w:fill="E5FFFF"/>
          </w:tcPr>
          <w:p>
            <w:pPr>
              <w:spacing w:after="0"/>
              <w:rPr>
                <w:sz w:val="9"/>
                <w:szCs w:val="9"/>
                <w:color w:val="auto"/>
              </w:rPr>
            </w:pPr>
          </w:p>
        </w:tc>
        <w:tc>
          <w:tcPr>
            <w:tcW w:w="66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40,380</w:t>
            </w:r>
          </w:p>
        </w:tc>
        <w:tc>
          <w:tcPr>
            <w:tcW w:w="120" w:type="dxa"/>
            <w:vAlign w:val="bottom"/>
            <w:shd w:val="clear" w:color="auto" w:fill="E5FFFF"/>
          </w:tcPr>
          <w:p>
            <w:pPr>
              <w:spacing w:after="0"/>
              <w:rPr>
                <w:sz w:val="9"/>
                <w:szCs w:val="9"/>
                <w:color w:val="auto"/>
              </w:rPr>
            </w:pP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40,380</w:t>
            </w:r>
          </w:p>
        </w:tc>
        <w:tc>
          <w:tcPr>
            <w:tcW w:w="1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income</w:t>
            </w:r>
          </w:p>
        </w:tc>
        <w:tc>
          <w:tcPr>
            <w:tcW w:w="700" w:type="dxa"/>
            <w:vAlign w:val="bottom"/>
            <w:gridSpan w:val="2"/>
            <w:vMerge w:val="continue"/>
            <w:shd w:val="clear" w:color="auto" w:fill="E5FFFF"/>
          </w:tcPr>
          <w:p>
            <w:pPr>
              <w:spacing w:after="0"/>
              <w:rPr>
                <w:sz w:val="14"/>
                <w:szCs w:val="14"/>
                <w:color w:val="auto"/>
              </w:rPr>
            </w:pPr>
          </w:p>
        </w:tc>
        <w:tc>
          <w:tcPr>
            <w:tcW w:w="46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44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56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2017</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789,298</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11,073</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38,675,593</w:t>
            </w: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702,445</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5,764</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5,750,000</w:t>
            </w: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140,331</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859,613</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859,613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GAS-seven Ltd. and GAS-eleven Ltd. acquired on November 1, 2016 and on May 3, 2017, respectively, from GasLog (Note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2720"/>
        <w:spacing w:after="0" w:line="289" w:lineRule="auto"/>
        <w:rPr>
          <w:sz w:val="20"/>
          <w:szCs w:val="20"/>
          <w:color w:val="auto"/>
        </w:rPr>
      </w:pPr>
      <w:r>
        <w:rPr>
          <w:rFonts w:ascii="Arial" w:cs="Arial" w:eastAsia="Arial" w:hAnsi="Arial"/>
          <w:sz w:val="17"/>
          <w:szCs w:val="17"/>
          <w:b w:val="1"/>
          <w:bCs w:val="1"/>
          <w:color w:val="auto"/>
        </w:rPr>
        <w:t>Unaudited condensed consolidated statements of cash flows For the six months ended June 30, 2016 and 2017 (All amounts expressed in thousands of U.S. Dollars)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June 30, 2016</w:t>
      </w:r>
      <w:r>
        <w:rPr>
          <w:sz w:val="20"/>
          <w:szCs w:val="20"/>
          <w:color w:val="auto"/>
        </w:rPr>
        <w:tab/>
      </w:r>
      <w:r>
        <w:rPr>
          <w:rFonts w:ascii="Arial" w:cs="Arial" w:eastAsia="Arial" w:hAnsi="Arial"/>
          <w:sz w:val="15"/>
          <w:szCs w:val="15"/>
          <w:b w:val="1"/>
          <w:bCs w:val="1"/>
          <w:color w:val="auto"/>
        </w:rPr>
        <w:t>June 30, 2017</w:t>
      </w:r>
    </w:p>
    <w:p>
      <w:pPr>
        <w:spacing w:after="0" w:line="36" w:lineRule="exact"/>
        <w:rPr>
          <w:sz w:val="20"/>
          <w:szCs w:val="20"/>
          <w:color w:val="auto"/>
        </w:rPr>
      </w:pPr>
    </w:p>
    <w:p>
      <w:pPr>
        <w:sectPr>
          <w:pgSz w:w="11900" w:h="16838" w:orient="portrait"/>
          <w:cols w:equalWidth="0" w:num="2">
            <w:col w:w="7280" w:space="680"/>
            <w:col w:w="346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84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ind w:right="351"/>
              <w:spacing w:after="0" w:line="210" w:lineRule="exact"/>
              <w:rPr>
                <w:sz w:val="20"/>
                <w:szCs w:val="20"/>
                <w:color w:val="auto"/>
              </w:rPr>
            </w:pPr>
            <w:r>
              <w:rPr>
                <w:rFonts w:ascii="Arial" w:cs="Arial" w:eastAsia="Arial" w:hAnsi="Arial"/>
                <w:sz w:val="14"/>
                <w:szCs w:val="14"/>
                <w:i w:val="1"/>
                <w:iCs w:val="1"/>
                <w:color w:val="auto"/>
              </w:rPr>
              <w:t xml:space="preserve">(restated) </w:t>
            </w:r>
            <w:r>
              <w:rPr>
                <w:rFonts w:ascii="Arial" w:cs="Arial" w:eastAsia="Arial" w:hAnsi="Arial"/>
                <w:sz w:val="23"/>
                <w:szCs w:val="23"/>
                <w:color w:val="auto"/>
                <w:vertAlign w:val="superscript"/>
              </w:rPr>
              <w:t>(1)</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2880" w:type="dxa"/>
            <w:vAlign w:val="bottom"/>
            <w:gridSpan w:val="4"/>
            <w:shd w:val="clear" w:color="auto" w:fill="E5FFFF"/>
          </w:tcPr>
          <w:p>
            <w:pPr>
              <w:jc w:val="right"/>
              <w:ind w:right="380"/>
              <w:spacing w:after="0"/>
              <w:rPr>
                <w:sz w:val="20"/>
                <w:szCs w:val="20"/>
                <w:color w:val="auto"/>
              </w:rPr>
            </w:pPr>
            <w:r>
              <w:rPr>
                <w:rFonts w:ascii="Arial" w:cs="Arial" w:eastAsia="Arial" w:hAnsi="Arial"/>
                <w:sz w:val="18"/>
                <w:szCs w:val="18"/>
                <w:color w:val="auto"/>
              </w:rPr>
              <w:t>38,395</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Adjustments for:</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2880" w:type="dxa"/>
            <w:vAlign w:val="bottom"/>
            <w:gridSpan w:val="4"/>
            <w:shd w:val="clear" w:color="auto" w:fill="E5FFFF"/>
          </w:tcPr>
          <w:p>
            <w:pPr>
              <w:jc w:val="right"/>
              <w:ind w:right="380"/>
              <w:spacing w:after="0"/>
              <w:rPr>
                <w:sz w:val="20"/>
                <w:szCs w:val="20"/>
                <w:color w:val="auto"/>
              </w:rPr>
            </w:pPr>
            <w:r>
              <w:rPr>
                <w:rFonts w:ascii="Arial" w:cs="Arial" w:eastAsia="Arial" w:hAnsi="Arial"/>
                <w:sz w:val="18"/>
                <w:szCs w:val="18"/>
                <w:color w:val="auto"/>
              </w:rPr>
              <w:t>26,440</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Financial costs</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17,913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288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(42)</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2,617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2880" w:type="dxa"/>
            <w:vAlign w:val="bottom"/>
            <w:gridSpan w:val="4"/>
            <w:shd w:val="clear" w:color="auto" w:fill="E5FFFF"/>
          </w:tcPr>
          <w:p>
            <w:pPr>
              <w:jc w:val="right"/>
              <w:ind w:right="380"/>
              <w:spacing w:after="0"/>
              <w:rPr>
                <w:sz w:val="20"/>
                <w:szCs w:val="20"/>
                <w:color w:val="auto"/>
              </w:rPr>
            </w:pPr>
            <w:r>
              <w:rPr>
                <w:rFonts w:ascii="Arial" w:cs="Arial" w:eastAsia="Arial" w:hAnsi="Arial"/>
                <w:sz w:val="18"/>
                <w:szCs w:val="18"/>
                <w:color w:val="auto"/>
              </w:rPr>
              <w:t>287</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204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85,814</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94,895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Movements in working capital</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11,534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provided by operations</w:t>
            </w:r>
          </w:p>
        </w:tc>
        <w:tc>
          <w:tcPr>
            <w:tcW w:w="460" w:type="dxa"/>
            <w:vAlign w:val="bottom"/>
            <w:tcBorders>
              <w:top w:val="single" w:sz="8" w:color="E5FFFF"/>
            </w:tcBorders>
            <w:shd w:val="clear" w:color="auto" w:fill="E5FFFF"/>
          </w:tcPr>
          <w:p>
            <w:pPr>
              <w:spacing w:after="0"/>
              <w:rPr>
                <w:sz w:val="19"/>
                <w:szCs w:val="19"/>
                <w:color w:val="auto"/>
              </w:rPr>
            </w:pPr>
          </w:p>
        </w:tc>
        <w:tc>
          <w:tcPr>
            <w:tcW w:w="360" w:type="dxa"/>
            <w:vAlign w:val="bottom"/>
            <w:tcBorders>
              <w:top w:val="single" w:sz="8" w:color="E5FFFF"/>
            </w:tcBorders>
            <w:shd w:val="clear" w:color="auto" w:fill="E5FFFF"/>
          </w:tcPr>
          <w:p>
            <w:pPr>
              <w:spacing w:after="0"/>
              <w:rPr>
                <w:sz w:val="19"/>
                <w:szCs w:val="19"/>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97,348</w:t>
            </w:r>
          </w:p>
        </w:tc>
        <w:tc>
          <w:tcPr>
            <w:tcW w:w="460" w:type="dxa"/>
            <w:vAlign w:val="bottom"/>
            <w:tcBorders>
              <w:top w:val="single" w:sz="8" w:color="E5FFFF"/>
            </w:tcBorders>
            <w:shd w:val="clear" w:color="auto" w:fill="E5FFFF"/>
          </w:tcPr>
          <w:p>
            <w:pPr>
              <w:spacing w:after="0"/>
              <w:rPr>
                <w:sz w:val="19"/>
                <w:szCs w:val="19"/>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95,909</w:t>
            </w:r>
          </w:p>
        </w:tc>
        <w:tc>
          <w:tcPr>
            <w:tcW w:w="100" w:type="dxa"/>
            <w:vAlign w:val="bottom"/>
            <w:tcBorders>
              <w:top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Interest paid</w:t>
            </w:r>
          </w:p>
        </w:tc>
        <w:tc>
          <w:tcPr>
            <w:tcW w:w="460" w:type="dxa"/>
            <w:vAlign w:val="bottom"/>
            <w:tcBorders>
              <w:bottom w:val="single" w:sz="8" w:color="E5FFFF"/>
            </w:tcBorders>
          </w:tcPr>
          <w:p>
            <w:pPr>
              <w:spacing w:after="0"/>
              <w:rPr>
                <w:sz w:val="19"/>
                <w:szCs w:val="19"/>
                <w:color w:val="auto"/>
              </w:rPr>
            </w:pPr>
          </w:p>
        </w:tc>
        <w:tc>
          <w:tcPr>
            <w:tcW w:w="360" w:type="dxa"/>
            <w:vAlign w:val="bottom"/>
            <w:tcBorders>
              <w:bottom w:val="single" w:sz="8" w:color="E5FF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(12,909</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(19,098)</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84,439</w:t>
            </w:r>
          </w:p>
        </w:tc>
        <w:tc>
          <w:tcPr>
            <w:tcW w:w="460" w:type="dxa"/>
            <w:vAlign w:val="bottom"/>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76,811</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vessels’ additions</w:t>
            </w:r>
          </w:p>
        </w:tc>
        <w:tc>
          <w:tcPr>
            <w:tcW w:w="288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(170,759)</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29</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46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460" w:type="dxa"/>
            <w:vAlign w:val="bottom"/>
            <w:tcBorders>
              <w:bottom w:val="single" w:sz="8" w:color="E5FFFF"/>
            </w:tcBorders>
          </w:tcPr>
          <w:p>
            <w:pPr>
              <w:spacing w:after="0"/>
              <w:rPr>
                <w:sz w:val="19"/>
                <w:szCs w:val="19"/>
                <w:color w:val="auto"/>
              </w:rPr>
            </w:pPr>
          </w:p>
        </w:tc>
        <w:tc>
          <w:tcPr>
            <w:tcW w:w="360" w:type="dxa"/>
            <w:vAlign w:val="bottom"/>
            <w:tcBorders>
              <w:bottom w:val="single" w:sz="8" w:color="E5FF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(170,730</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drawdowns</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469,707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Borrowings repayments</w:t>
            </w:r>
          </w:p>
        </w:tc>
        <w:tc>
          <w:tcPr>
            <w:tcW w:w="288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(330,750)</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2880" w:type="dxa"/>
            <w:vAlign w:val="bottom"/>
            <w:gridSpan w:val="4"/>
          </w:tcPr>
          <w:p>
            <w:pPr>
              <w:jc w:val="right"/>
              <w:ind w:right="320"/>
              <w:spacing w:after="0"/>
              <w:rPr>
                <w:sz w:val="20"/>
                <w:szCs w:val="20"/>
                <w:color w:val="auto"/>
              </w:rPr>
            </w:pPr>
            <w:r>
              <w:rPr>
                <w:rFonts w:ascii="Arial" w:cs="Arial" w:eastAsia="Arial" w:hAnsi="Arial"/>
                <w:sz w:val="18"/>
                <w:szCs w:val="18"/>
                <w:color w:val="auto"/>
              </w:rPr>
              <w:t>(9,070)</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Cash payment to GasLog in exchange for contribution of net assets</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(66,643)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line="201" w:lineRule="exact"/>
              <w:rPr>
                <w:sz w:val="20"/>
                <w:szCs w:val="20"/>
                <w:color w:val="auto"/>
              </w:rPr>
            </w:pPr>
            <w:r>
              <w:rPr>
                <w:rFonts w:ascii="Arial" w:cs="Arial" w:eastAsia="Arial" w:hAnsi="Arial"/>
                <w:sz w:val="18"/>
                <w:szCs w:val="18"/>
                <w:color w:val="auto"/>
                <w:w w:val="96"/>
              </w:rPr>
              <w:t>Proceeds from public offerings and issuances of common units and general partner units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(net of underwriting discounts and commissions)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89,649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Proceeds from public offering and issuance of preference units (net of underwriting</w:t>
            </w:r>
          </w:p>
        </w:tc>
        <w:tc>
          <w:tcPr>
            <w:tcW w:w="4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60" w:type="dxa"/>
            <w:vAlign w:val="bottom"/>
            <w:gridSpan w:val="2"/>
            <w:vMerge w:val="restart"/>
            <w:shd w:val="clear" w:color="auto" w:fill="E5FF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discounts and commissions)</w:t>
            </w:r>
          </w:p>
        </w:tc>
        <w:tc>
          <w:tcPr>
            <w:tcW w:w="46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60" w:type="dxa"/>
            <w:vAlign w:val="bottom"/>
            <w:gridSpan w:val="2"/>
            <w:vMerge w:val="continue"/>
            <w:shd w:val="clear" w:color="auto" w:fill="E5FFFF"/>
          </w:tcPr>
          <w:p>
            <w:pPr>
              <w:spacing w:after="0"/>
              <w:rPr>
                <w:sz w:val="20"/>
                <w:szCs w:val="20"/>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880" w:type="dxa"/>
            <w:vAlign w:val="bottom"/>
            <w:gridSpan w:val="4"/>
          </w:tcPr>
          <w:p>
            <w:pPr>
              <w:jc w:val="right"/>
              <w:ind w:right="320"/>
              <w:spacing w:after="0"/>
              <w:rPr>
                <w:sz w:val="20"/>
                <w:szCs w:val="20"/>
                <w:color w:val="auto"/>
              </w:rPr>
            </w:pPr>
            <w:r>
              <w:rPr>
                <w:rFonts w:ascii="Arial" w:cs="Arial" w:eastAsia="Arial" w:hAnsi="Arial"/>
                <w:sz w:val="18"/>
                <w:szCs w:val="18"/>
                <w:color w:val="auto"/>
              </w:rPr>
              <w:t>(26)</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Distributions paid</w:t>
            </w:r>
          </w:p>
        </w:tc>
        <w:tc>
          <w:tcPr>
            <w:tcW w:w="288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(31,423)</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(39,670)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Dividend paid to GasLog before vessel dropdown</w:t>
            </w:r>
          </w:p>
        </w:tc>
        <w:tc>
          <w:tcPr>
            <w:tcW w:w="2880" w:type="dxa"/>
            <w:vAlign w:val="bottom"/>
            <w:gridSpan w:val="4"/>
          </w:tcPr>
          <w:p>
            <w:pPr>
              <w:jc w:val="right"/>
              <w:ind w:right="320"/>
              <w:spacing w:after="0"/>
              <w:rPr>
                <w:sz w:val="20"/>
                <w:szCs w:val="20"/>
                <w:color w:val="auto"/>
              </w:rPr>
            </w:pPr>
            <w:r>
              <w:rPr>
                <w:rFonts w:ascii="Arial" w:cs="Arial" w:eastAsia="Arial" w:hAnsi="Arial"/>
                <w:sz w:val="18"/>
                <w:szCs w:val="18"/>
                <w:color w:val="auto"/>
              </w:rPr>
              <w:t>(7,800)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tcBorders>
              <w:top w:val="single" w:sz="8" w:color="E5FFFF"/>
            </w:tcBorders>
            <w:shd w:val="clear" w:color="auto" w:fill="E5FFFF"/>
          </w:tcPr>
          <w:p>
            <w:pPr>
              <w:spacing w:after="0"/>
              <w:rPr>
                <w:sz w:val="19"/>
                <w:szCs w:val="19"/>
                <w:color w:val="auto"/>
              </w:rPr>
            </w:pPr>
          </w:p>
        </w:tc>
        <w:tc>
          <w:tcPr>
            <w:tcW w:w="360" w:type="dxa"/>
            <w:vAlign w:val="bottom"/>
            <w:tcBorders>
              <w:top w:val="single" w:sz="8" w:color="E5FFFF"/>
            </w:tcBorders>
            <w:shd w:val="clear" w:color="auto" w:fill="E5FFFF"/>
          </w:tcPr>
          <w:p>
            <w:pPr>
              <w:spacing w:after="0"/>
              <w:rPr>
                <w:sz w:val="19"/>
                <w:szCs w:val="19"/>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90,638</w:t>
            </w:r>
          </w:p>
        </w:tc>
        <w:tc>
          <w:tcPr>
            <w:tcW w:w="460" w:type="dxa"/>
            <w:vAlign w:val="bottom"/>
            <w:tcBorders>
              <w:top w:val="single" w:sz="8" w:color="E5FFFF"/>
            </w:tcBorders>
            <w:shd w:val="clear" w:color="auto" w:fill="E5FFFF"/>
          </w:tcPr>
          <w:p>
            <w:pPr>
              <w:spacing w:after="0"/>
              <w:rPr>
                <w:sz w:val="19"/>
                <w:szCs w:val="19"/>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75,786</w:t>
            </w:r>
          </w:p>
        </w:tc>
        <w:tc>
          <w:tcPr>
            <w:tcW w:w="100" w:type="dxa"/>
            <w:vAlign w:val="bottom"/>
            <w:tcBorders>
              <w:top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460" w:type="dxa"/>
            <w:vAlign w:val="bottom"/>
            <w:tcBorders>
              <w:bottom w:val="single" w:sz="8" w:color="E5FFFF"/>
            </w:tcBorders>
          </w:tcPr>
          <w:p>
            <w:pPr>
              <w:spacing w:after="0"/>
              <w:rPr>
                <w:sz w:val="19"/>
                <w:szCs w:val="19"/>
                <w:color w:val="auto"/>
              </w:rPr>
            </w:pPr>
          </w:p>
        </w:tc>
        <w:tc>
          <w:tcPr>
            <w:tcW w:w="360" w:type="dxa"/>
            <w:vAlign w:val="bottom"/>
            <w:tcBorders>
              <w:bottom w:val="single" w:sz="8" w:color="E5FF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4,347</w:t>
            </w:r>
          </w:p>
        </w:tc>
        <w:tc>
          <w:tcPr>
            <w:tcW w:w="460" w:type="dxa"/>
            <w:vAlign w:val="bottom"/>
            <w:tcBorders>
              <w:bottom w:val="single" w:sz="8" w:color="E5FF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155,909</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46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62,677</w:t>
            </w:r>
          </w:p>
        </w:tc>
        <w:tc>
          <w:tcPr>
            <w:tcW w:w="460" w:type="dxa"/>
            <w:vAlign w:val="bottom"/>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53,235</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67,024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6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900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vessels through related parties</w:t>
            </w:r>
          </w:p>
        </w:tc>
        <w:tc>
          <w:tcPr>
            <w:tcW w:w="2880" w:type="dxa"/>
            <w:vAlign w:val="bottom"/>
            <w:gridSpan w:val="4"/>
            <w:shd w:val="clear" w:color="auto" w:fill="E5FFFF"/>
          </w:tcPr>
          <w:p>
            <w:pPr>
              <w:jc w:val="right"/>
              <w:ind w:right="380"/>
              <w:spacing w:after="0"/>
              <w:rPr>
                <w:sz w:val="20"/>
                <w:szCs w:val="20"/>
                <w:color w:val="auto"/>
              </w:rPr>
            </w:pPr>
            <w:r>
              <w:rPr>
                <w:rFonts w:ascii="Arial" w:cs="Arial" w:eastAsia="Arial" w:hAnsi="Arial"/>
                <w:sz w:val="18"/>
                <w:szCs w:val="18"/>
                <w:color w:val="auto"/>
              </w:rPr>
              <w:t>291</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Payments for vessels through capital contributions before dropdown</w:t>
            </w:r>
          </w:p>
        </w:tc>
        <w:tc>
          <w:tcPr>
            <w:tcW w:w="2880" w:type="dxa"/>
            <w:vAlign w:val="bottom"/>
            <w:gridSpan w:val="4"/>
          </w:tcPr>
          <w:p>
            <w:pPr>
              <w:jc w:val="right"/>
              <w:ind w:right="380"/>
              <w:spacing w:after="0"/>
              <w:rPr>
                <w:sz w:val="20"/>
                <w:szCs w:val="20"/>
                <w:color w:val="auto"/>
              </w:rPr>
            </w:pPr>
            <w:r>
              <w:rPr>
                <w:rFonts w:ascii="Arial" w:cs="Arial" w:eastAsia="Arial" w:hAnsi="Arial"/>
                <w:sz w:val="18"/>
                <w:szCs w:val="18"/>
                <w:color w:val="auto"/>
              </w:rPr>
              <w:t>10,395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5FFFF"/>
          </w:tcPr>
          <w:p>
            <w:pPr>
              <w:spacing w:after="0"/>
              <w:rPr>
                <w:sz w:val="20"/>
                <w:szCs w:val="20"/>
                <w:color w:val="auto"/>
              </w:rPr>
            </w:pPr>
            <w:r>
              <w:rPr>
                <w:rFonts w:ascii="Arial" w:cs="Arial" w:eastAsia="Arial" w:hAnsi="Arial"/>
                <w:sz w:val="18"/>
                <w:szCs w:val="18"/>
                <w:color w:val="auto"/>
              </w:rPr>
              <w:t>Financing costs included in liabilities at the end of the period</w:t>
            </w:r>
          </w:p>
        </w:tc>
        <w:tc>
          <w:tcPr>
            <w:tcW w:w="2880" w:type="dxa"/>
            <w:vAlign w:val="bottom"/>
            <w:gridSpan w:val="4"/>
            <w:shd w:val="clear" w:color="auto" w:fill="E5FFFF"/>
          </w:tcPr>
          <w:p>
            <w:pPr>
              <w:jc w:val="right"/>
              <w:ind w:right="380"/>
              <w:spacing w:after="0"/>
              <w:rPr>
                <w:sz w:val="20"/>
                <w:szCs w:val="20"/>
                <w:color w:val="auto"/>
              </w:rPr>
            </w:pPr>
            <w:r>
              <w:rPr>
                <w:rFonts w:ascii="Arial" w:cs="Arial" w:eastAsia="Arial" w:hAnsi="Arial"/>
                <w:sz w:val="18"/>
                <w:szCs w:val="18"/>
                <w:color w:val="auto"/>
              </w:rPr>
              <w:t>143</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Offering costs included in liabilities at the end of the period</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89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GAS-seven Ltd. and GAS-eleven Ltd. acquired on November 1, 2016 and on May 3, 2017, respectively, from GasLog (Note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GasLog Partners LP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 xml:space="preserve">On May 3, 2017 GasLog Partners acquired from GasLog 100% of the ownership interests in GAS-eleven Ltd., the entity that owns a 174,000 cubic meter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w:t>
      </w:r>
    </w:p>
    <w:p>
      <w:pPr>
        <w:spacing w:after="0" w:line="17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 xml:space="preserve">The acquisitions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from GasLog were accounted for as reorganizations of companies under common control. The Partnership’s historical results were retroactively restated to reflect the historical results of GAS-seven Ltd., the entity that owns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Seattle</w:t>
      </w:r>
      <w:r>
        <w:rPr>
          <w:rFonts w:ascii="Arial" w:cs="Arial" w:eastAsia="Arial" w:hAnsi="Arial"/>
          <w:sz w:val="18"/>
          <w:szCs w:val="18"/>
          <w:color w:val="auto"/>
        </w:rPr>
        <w:t>, a 155,000 cbm LNG carrier, which was acquired by the Partnership on November 1, 2016, and GAS-eleven Ltd, the entity that owns the</w:t>
      </w:r>
      <w:r>
        <w:rPr>
          <w:rFonts w:ascii="Arial" w:cs="Arial" w:eastAsia="Arial" w:hAnsi="Arial"/>
          <w:sz w:val="18"/>
          <w:szCs w:val="18"/>
          <w:i w:val="1"/>
          <w:iCs w:val="1"/>
          <w:color w:val="auto"/>
        </w:rPr>
        <w:t xml:space="preserve"> GasLog Greece</w:t>
      </w:r>
      <w:r>
        <w:rPr>
          <w:rFonts w:ascii="Arial" w:cs="Arial" w:eastAsia="Arial" w:hAnsi="Arial"/>
          <w:sz w:val="18"/>
          <w:szCs w:val="18"/>
          <w:color w:val="auto"/>
        </w:rPr>
        <w:t>, from their respective dates of incorporation by GasLog. The carrying amounts of assets and liabilities included are based on the historical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such assets and liabilities recognized by the subsidiaries.</w:t>
      </w:r>
    </w:p>
    <w:p>
      <w:pPr>
        <w:spacing w:after="0" w:line="188"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As of June 30, 2017, GasLog holds a 27.3%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1"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The Partnership’s principal business is the acquisition and operation of vessels in the LNG market, providing transportation services of LNG on a worldwide basis under long-term charters. GasLog LNG Services Ltd. (“GasLog LNG Services” or the “Manager”), a related party and a wholly owned subsidiary of GasLog, incorporated under the laws of the Bermuda, provides technical services to the Partnership.</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the companies listed below were 100% held by the Partnership: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Place of</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 of</w:t>
            </w: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Principal activities</w:t>
            </w:r>
          </w:p>
        </w:tc>
        <w:tc>
          <w:tcPr>
            <w:tcW w:w="2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1"/>
              </w:rPr>
              <w:t>Vessel</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Cargo Capacity</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1720" w:type="dxa"/>
            <w:vAlign w:val="bottom"/>
            <w:gridSpan w:val="2"/>
            <w:vMerge w:val="continue"/>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incorporation</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incorporation</w:t>
            </w:r>
          </w:p>
        </w:tc>
        <w:tc>
          <w:tcPr>
            <w:tcW w:w="206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220" w:type="dxa"/>
            <w:vAlign w:val="bottom"/>
            <w:tcBorders>
              <w:top w:val="single" w:sz="8" w:color="E5FFFF"/>
            </w:tcBorders>
            <w:shd w:val="clear" w:color="auto" w:fill="E5FFFF"/>
          </w:tcPr>
          <w:p>
            <w:pPr>
              <w:spacing w:after="0"/>
              <w:rPr>
                <w:sz w:val="12"/>
                <w:szCs w:val="12"/>
                <w:color w:val="auto"/>
              </w:rPr>
            </w:pPr>
          </w:p>
        </w:tc>
        <w:tc>
          <w:tcPr>
            <w:tcW w:w="10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1"/>
              </w:rPr>
              <w:t>Bermuda</w:t>
            </w:r>
          </w:p>
        </w:tc>
        <w:tc>
          <w:tcPr>
            <w:tcW w:w="24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rPr>
              <w:t>April 2010</w:t>
            </w:r>
          </w:p>
        </w:tc>
        <w:tc>
          <w:tcPr>
            <w:tcW w:w="240" w:type="dxa"/>
            <w:vAlign w:val="bottom"/>
            <w:tcBorders>
              <w:top w:val="single" w:sz="8" w:color="E5FFFF"/>
            </w:tcBorders>
            <w:shd w:val="clear" w:color="auto" w:fill="E5FFFF"/>
          </w:tcPr>
          <w:p>
            <w:pPr>
              <w:spacing w:after="0"/>
              <w:rPr>
                <w:sz w:val="12"/>
                <w:szCs w:val="12"/>
                <w:color w:val="auto"/>
              </w:rPr>
            </w:pPr>
          </w:p>
        </w:tc>
        <w:tc>
          <w:tcPr>
            <w:tcW w:w="18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2"/>
              </w:rPr>
              <w:t>Vessel-owning company</w:t>
            </w:r>
          </w:p>
        </w:tc>
        <w:tc>
          <w:tcPr>
            <w:tcW w:w="220" w:type="dxa"/>
            <w:vAlign w:val="bottom"/>
            <w:tcBorders>
              <w:top w:val="single" w:sz="8" w:color="E5FFFF"/>
            </w:tcBorders>
            <w:shd w:val="clear" w:color="auto" w:fill="E5FFFF"/>
          </w:tcPr>
          <w:p>
            <w:pPr>
              <w:spacing w:after="0"/>
              <w:rPr>
                <w:sz w:val="12"/>
                <w:szCs w:val="12"/>
                <w:color w:val="auto"/>
              </w:rPr>
            </w:pPr>
          </w:p>
        </w:tc>
        <w:tc>
          <w:tcPr>
            <w:tcW w:w="19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220" w:type="dxa"/>
            <w:vAlign w:val="bottom"/>
            <w:tcBorders>
              <w:top w:val="single" w:sz="8" w:color="E5FFFF"/>
            </w:tcBorders>
            <w:shd w:val="clear" w:color="auto" w:fill="E5FFFF"/>
          </w:tcPr>
          <w:p>
            <w:pPr>
              <w:spacing w:after="0"/>
              <w:rPr>
                <w:sz w:val="12"/>
                <w:szCs w:val="12"/>
                <w:color w:val="auto"/>
              </w:rPr>
            </w:pPr>
          </w:p>
        </w:tc>
        <w:tc>
          <w:tcPr>
            <w:tcW w:w="13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2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1"/>
              </w:rPr>
              <w:t>January 2013</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April 2010</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2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2"/>
              </w:rPr>
              <w:t>February 2011</w:t>
            </w:r>
          </w:p>
        </w:tc>
        <w:tc>
          <w:tcPr>
            <w:tcW w:w="20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3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20" w:type="dxa"/>
            <w:vAlign w:val="bottom"/>
            <w:shd w:val="clear" w:color="auto" w:fill="E5FFFF"/>
          </w:tcPr>
          <w:p>
            <w:pPr>
              <w:spacing w:after="0"/>
              <w:rPr>
                <w:sz w:val="12"/>
                <w:szCs w:val="12"/>
                <w:color w:val="auto"/>
              </w:rPr>
            </w:pPr>
          </w:p>
        </w:tc>
        <w:tc>
          <w:tcPr>
            <w:tcW w:w="11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2013</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March 2011</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GAS-eleven Ltd.</w:t>
            </w:r>
          </w:p>
        </w:tc>
        <w:tc>
          <w:tcPr>
            <w:tcW w:w="12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2"/>
              </w:rPr>
              <w:t>December 2012</w:t>
            </w:r>
          </w:p>
        </w:tc>
        <w:tc>
          <w:tcPr>
            <w:tcW w:w="20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3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220" w:type="dxa"/>
            <w:vAlign w:val="bottom"/>
            <w:shd w:val="clear" w:color="auto" w:fill="E5FFFF"/>
          </w:tcPr>
          <w:p>
            <w:pPr>
              <w:spacing w:after="0"/>
              <w:rPr>
                <w:sz w:val="12"/>
                <w:szCs w:val="12"/>
                <w:color w:val="auto"/>
              </w:rPr>
            </w:pPr>
          </w:p>
        </w:tc>
        <w:tc>
          <w:tcPr>
            <w:tcW w:w="11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January 2014</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2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89"/>
              </w:rPr>
              <w:t>January 2014</w:t>
            </w:r>
          </w:p>
        </w:tc>
        <w:tc>
          <w:tcPr>
            <w:tcW w:w="20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shd w:val="clear" w:color="auto" w:fill="E5FFFF"/>
          </w:tcPr>
          <w:p>
            <w:pPr>
              <w:jc w:val="center"/>
              <w:ind w:right="200"/>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3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20" w:type="dxa"/>
            <w:vAlign w:val="bottom"/>
            <w:shd w:val="clear" w:color="auto" w:fill="E5FFFF"/>
          </w:tcPr>
          <w:p>
            <w:pPr>
              <w:spacing w:after="0"/>
              <w:rPr>
                <w:sz w:val="12"/>
                <w:szCs w:val="12"/>
                <w:color w:val="auto"/>
              </w:rPr>
            </w:pPr>
          </w:p>
        </w:tc>
        <w:tc>
          <w:tcPr>
            <w:tcW w:w="11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April 2014</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2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shd w:val="clear" w:color="auto" w:fill="E5FFFF"/>
          </w:tcPr>
          <w:p>
            <w:pPr>
              <w:jc w:val="center"/>
              <w:ind w:right="240"/>
              <w:spacing w:after="0" w:line="149" w:lineRule="exact"/>
              <w:rPr>
                <w:sz w:val="20"/>
                <w:szCs w:val="20"/>
                <w:color w:val="auto"/>
              </w:rPr>
            </w:pPr>
            <w:r>
              <w:rPr>
                <w:rFonts w:ascii="Arial" w:cs="Arial" w:eastAsia="Arial" w:hAnsi="Arial"/>
                <w:sz w:val="14"/>
                <w:szCs w:val="14"/>
                <w:color w:val="auto"/>
              </w:rPr>
              <w:t>April 2014</w:t>
            </w:r>
          </w:p>
        </w:tc>
        <w:tc>
          <w:tcPr>
            <w:tcW w:w="2060" w:type="dxa"/>
            <w:vAlign w:val="bottom"/>
            <w:gridSpan w:val="2"/>
            <w:shd w:val="clear" w:color="auto" w:fill="E5FFFF"/>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shd w:val="clear" w:color="auto" w:fill="E5FFFF"/>
          </w:tcPr>
          <w:p>
            <w:pPr>
              <w:jc w:val="center"/>
              <w:ind w:right="200"/>
              <w:spacing w:after="0" w:line="149" w:lineRule="exact"/>
              <w:rPr>
                <w:sz w:val="20"/>
                <w:szCs w:val="20"/>
                <w:color w:val="auto"/>
              </w:rPr>
            </w:pPr>
            <w:r>
              <w:rPr>
                <w:rFonts w:ascii="Arial" w:cs="Arial" w:eastAsia="Arial" w:hAnsi="Arial"/>
                <w:sz w:val="14"/>
                <w:szCs w:val="14"/>
                <w:i w:val="1"/>
                <w:iCs w:val="1"/>
                <w:color w:val="auto"/>
                <w:w w:val="93"/>
              </w:rPr>
              <w:t>Methane Shirley Elisabeth</w:t>
            </w:r>
          </w:p>
        </w:tc>
        <w:tc>
          <w:tcPr>
            <w:tcW w:w="13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20" w:type="dxa"/>
            <w:vAlign w:val="bottom"/>
            <w:shd w:val="clear" w:color="auto" w:fill="E5FFFF"/>
          </w:tcPr>
          <w:p>
            <w:pPr>
              <w:spacing w:after="0"/>
              <w:rPr>
                <w:sz w:val="12"/>
                <w:szCs w:val="12"/>
                <w:color w:val="auto"/>
              </w:rPr>
            </w:pPr>
          </w:p>
        </w:tc>
        <w:tc>
          <w:tcPr>
            <w:tcW w:w="11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Bermuda</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April 2014</w:t>
            </w: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Vessel-owning company</w:t>
            </w:r>
          </w:p>
        </w:tc>
        <w:tc>
          <w:tcPr>
            <w:tcW w:w="2160" w:type="dxa"/>
            <w:vAlign w:val="bottom"/>
            <w:gridSpan w:val="2"/>
          </w:tcPr>
          <w:p>
            <w:pPr>
              <w:jc w:val="center"/>
              <w:ind w:right="22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30"/>
        </w:trPr>
        <w:tc>
          <w:tcPr>
            <w:tcW w:w="17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 Partners</w:t>
            </w:r>
          </w:p>
        </w:tc>
        <w:tc>
          <w:tcPr>
            <w:tcW w:w="10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2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8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9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36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Holdings LLC</w:t>
            </w:r>
          </w:p>
        </w:tc>
        <w:tc>
          <w:tcPr>
            <w:tcW w:w="1280" w:type="dxa"/>
            <w:vAlign w:val="bottom"/>
            <w:gridSpan w:val="2"/>
            <w:shd w:val="clear" w:color="auto" w:fill="E5FFFF"/>
          </w:tcPr>
          <w:p>
            <w:pPr>
              <w:jc w:val="center"/>
              <w:ind w:right="240"/>
              <w:spacing w:after="0"/>
              <w:rPr>
                <w:sz w:val="20"/>
                <w:szCs w:val="20"/>
                <w:color w:val="auto"/>
              </w:rPr>
            </w:pPr>
            <w:r>
              <w:rPr>
                <w:rFonts w:ascii="Arial" w:cs="Arial" w:eastAsia="Arial" w:hAnsi="Arial"/>
                <w:sz w:val="14"/>
                <w:szCs w:val="14"/>
                <w:color w:val="auto"/>
                <w:w w:val="94"/>
              </w:rPr>
              <w:t>Marshall Islands</w:t>
            </w:r>
          </w:p>
        </w:tc>
        <w:tc>
          <w:tcPr>
            <w:tcW w:w="1480" w:type="dxa"/>
            <w:vAlign w:val="bottom"/>
            <w:gridSpan w:val="2"/>
            <w:shd w:val="clear" w:color="auto" w:fill="E5FFFF"/>
          </w:tcPr>
          <w:p>
            <w:pPr>
              <w:jc w:val="center"/>
              <w:ind w:right="240"/>
              <w:spacing w:after="0"/>
              <w:rPr>
                <w:sz w:val="20"/>
                <w:szCs w:val="20"/>
                <w:color w:val="auto"/>
              </w:rPr>
            </w:pPr>
            <w:r>
              <w:rPr>
                <w:rFonts w:ascii="Arial" w:cs="Arial" w:eastAsia="Arial" w:hAnsi="Arial"/>
                <w:sz w:val="14"/>
                <w:szCs w:val="14"/>
                <w:color w:val="auto"/>
              </w:rPr>
              <w:t>April 2014</w:t>
            </w:r>
          </w:p>
        </w:tc>
        <w:tc>
          <w:tcPr>
            <w:tcW w:w="2060" w:type="dxa"/>
            <w:vAlign w:val="bottom"/>
            <w:gridSpan w:val="2"/>
            <w:shd w:val="clear" w:color="auto" w:fill="E5FFFF"/>
          </w:tcPr>
          <w:p>
            <w:pPr>
              <w:jc w:val="center"/>
              <w:ind w:right="220"/>
              <w:spacing w:after="0"/>
              <w:rPr>
                <w:sz w:val="20"/>
                <w:szCs w:val="20"/>
                <w:color w:val="auto"/>
              </w:rPr>
            </w:pPr>
            <w:r>
              <w:rPr>
                <w:rFonts w:ascii="Arial" w:cs="Arial" w:eastAsia="Arial" w:hAnsi="Arial"/>
                <w:sz w:val="14"/>
                <w:szCs w:val="14"/>
                <w:color w:val="auto"/>
                <w:w w:val="96"/>
              </w:rPr>
              <w:t>Holding company</w:t>
            </w:r>
          </w:p>
        </w:tc>
        <w:tc>
          <w:tcPr>
            <w:tcW w:w="2160" w:type="dxa"/>
            <w:vAlign w:val="bottom"/>
            <w:gridSpan w:val="2"/>
            <w:shd w:val="clear" w:color="auto" w:fill="E5FFFF"/>
          </w:tcPr>
          <w:p>
            <w:pPr>
              <w:jc w:val="center"/>
              <w:ind w:right="220"/>
              <w:spacing w:after="0"/>
              <w:rPr>
                <w:sz w:val="20"/>
                <w:szCs w:val="20"/>
                <w:color w:val="auto"/>
              </w:rPr>
            </w:pPr>
            <w:r>
              <w:rPr>
                <w:rFonts w:ascii="Arial" w:cs="Arial" w:eastAsia="Arial" w:hAnsi="Arial"/>
                <w:sz w:val="14"/>
                <w:szCs w:val="14"/>
                <w:color w:val="auto"/>
                <w:w w:val="99"/>
              </w:rPr>
              <w:t>—</w:t>
            </w:r>
          </w:p>
        </w:tc>
        <w:tc>
          <w:tcPr>
            <w:tcW w:w="1580" w:type="dxa"/>
            <w:vAlign w:val="bottom"/>
            <w:gridSpan w:val="2"/>
            <w:shd w:val="clear" w:color="auto" w:fill="E5FFFF"/>
          </w:tcPr>
          <w:p>
            <w:pPr>
              <w:jc w:val="center"/>
              <w:ind w:right="200"/>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 xml:space="preserve">Interim Financial Reporting </w:t>
      </w:r>
      <w:r>
        <w:rPr>
          <w:rFonts w:ascii="Arial" w:cs="Arial" w:eastAsia="Arial" w:hAnsi="Arial"/>
          <w:sz w:val="16"/>
          <w:szCs w:val="16"/>
          <w:color w:val="auto"/>
        </w:rPr>
        <w:t>as issued by the International Accounting Standards Board (“IASB”). Certain information and footnote disclosures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2016, filed on an Annual Report on Form 20-F with the Securities Exchange Commission on February 13, 2017.</w:t>
      </w:r>
    </w:p>
    <w:p>
      <w:pPr>
        <w:spacing w:after="0" w:line="15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2016. On July 26, 2017, the Partnership’s board of directors authorized the unaudited condensed consolidated financial statements for issuance.</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critical accounting judgments and key sources of estimation uncertainty were disclosed in the Partnership’s annual consolidated financial statements for the year ended December 31, 2016.</w:t>
      </w:r>
    </w:p>
    <w:p>
      <w:pPr>
        <w:spacing w:after="0" w:line="1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p>
      <w:pPr>
        <w:ind w:firstLine="405"/>
        <w:spacing w:after="0" w:line="302"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existing debt and equity financing.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period:</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February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Partnership’s financial statements; refer to Notes 6 and 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 were in issue but not yet effective:</w:t>
      </w:r>
    </w:p>
    <w:p>
      <w:pPr>
        <w:spacing w:after="0" w:line="21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anticipates that the implementation of this standard will not have a material impact on the Partnership’s financial statements since the Partnership’s revenues are generated by long-term contracts with charterers.</w:t>
      </w:r>
    </w:p>
    <w:p>
      <w:pPr>
        <w:spacing w:after="0" w:line="18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Partnership’s financial statements.</w:t>
      </w:r>
    </w:p>
    <w:p>
      <w:pPr>
        <w:spacing w:after="0" w:line="17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anticipates that the implementation of this standard will not have a material impact on the Partnership’s financial statements, since the changes for lessors are fairly minor.</w:t>
      </w:r>
    </w:p>
    <w:p>
      <w:pPr>
        <w:spacing w:after="0" w:line="182"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Partnership’s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Partnership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December 31, 2016</w:t>
            </w:r>
          </w:p>
        </w:tc>
        <w:tc>
          <w:tcPr>
            <w:tcW w:w="440" w:type="dxa"/>
            <w:vAlign w:val="bottom"/>
            <w:vMerge w:val="restart"/>
          </w:tcPr>
          <w:p>
            <w:pPr>
              <w:spacing w:after="0"/>
              <w:rPr>
                <w:sz w:val="20"/>
                <w:szCs w:val="20"/>
                <w:color w:val="auto"/>
              </w:rPr>
            </w:pPr>
          </w:p>
        </w:tc>
        <w:tc>
          <w:tcPr>
            <w:tcW w:w="15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FFFF"/>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E5FF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E5FF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8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 xml:space="preserve">Due from GasLog LNG Services </w:t>
            </w:r>
            <w:r>
              <w:rPr>
                <w:rFonts w:ascii="Arial" w:cs="Arial" w:eastAsia="Arial" w:hAnsi="Arial"/>
                <w:sz w:val="29"/>
                <w:szCs w:val="29"/>
                <w:color w:val="auto"/>
                <w:vertAlign w:val="superscript"/>
              </w:rPr>
              <w:t>(a)</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4,266</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4,266</w:t>
            </w:r>
          </w:p>
        </w:tc>
        <w:tc>
          <w:tcPr>
            <w:tcW w:w="4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vMerge w:val="continue"/>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December 31, 2016</w:t>
            </w:r>
          </w:p>
        </w:tc>
        <w:tc>
          <w:tcPr>
            <w:tcW w:w="440" w:type="dxa"/>
            <w:vAlign w:val="bottom"/>
            <w:vMerge w:val="restart"/>
          </w:tcPr>
          <w:p>
            <w:pPr>
              <w:spacing w:after="0"/>
              <w:rPr>
                <w:sz w:val="24"/>
                <w:szCs w:val="24"/>
                <w:color w:val="auto"/>
              </w:rPr>
            </w:pPr>
          </w:p>
        </w:tc>
        <w:tc>
          <w:tcPr>
            <w:tcW w:w="15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FFFF"/>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E5FF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E5FF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shd w:val="clear" w:color="auto" w:fill="E5FFFF"/>
          </w:tcPr>
          <w:p>
            <w:pPr>
              <w:spacing w:after="0" w:line="236" w:lineRule="exact"/>
              <w:rPr>
                <w:sz w:val="20"/>
                <w:szCs w:val="20"/>
                <w:color w:val="auto"/>
              </w:rPr>
            </w:pPr>
            <w:r>
              <w:rPr>
                <w:rFonts w:ascii="Arial" w:cs="Arial" w:eastAsia="Arial" w:hAnsi="Arial"/>
                <w:sz w:val="17"/>
                <w:szCs w:val="17"/>
                <w:color w:val="auto"/>
              </w:rPr>
              <w:t xml:space="preserve">Due to GasLog </w:t>
            </w:r>
            <w:r>
              <w:rPr>
                <w:rFonts w:ascii="Arial" w:cs="Arial" w:eastAsia="Arial" w:hAnsi="Arial"/>
                <w:sz w:val="27"/>
                <w:szCs w:val="27"/>
                <w:color w:val="auto"/>
                <w:vertAlign w:val="superscript"/>
              </w:rPr>
              <w:t>(b)</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255</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0"/>
        </w:trPr>
        <w:tc>
          <w:tcPr>
            <w:tcW w:w="7280" w:type="dxa"/>
            <w:vAlign w:val="bottom"/>
          </w:tcPr>
          <w:p>
            <w:pPr>
              <w:spacing w:after="0" w:line="269" w:lineRule="exact"/>
              <w:rPr>
                <w:sz w:val="20"/>
                <w:szCs w:val="20"/>
                <w:color w:val="auto"/>
              </w:rPr>
            </w:pPr>
            <w:r>
              <w:rPr>
                <w:rFonts w:ascii="Arial" w:cs="Arial" w:eastAsia="Arial" w:hAnsi="Arial"/>
                <w:sz w:val="18"/>
                <w:szCs w:val="18"/>
                <w:color w:val="auto"/>
              </w:rPr>
              <w:t xml:space="preserve">Due to GasLog Carriers Ltd. (“GasLog Carriers”) </w:t>
            </w:r>
            <w:r>
              <w:rPr>
                <w:rFonts w:ascii="Arial" w:cs="Arial" w:eastAsia="Arial" w:hAnsi="Arial"/>
                <w:sz w:val="30"/>
                <w:szCs w:val="30"/>
                <w:color w:val="auto"/>
                <w:vertAlign w:val="superscript"/>
              </w:rPr>
              <w:t>(c)</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1,135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1,390</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09" w:right="239" w:bottom="44" w:gutter="0" w:footer="0" w:header="0"/>
        </w:sect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44" w:gutter="0" w:footer="0" w:header="0"/>
          <w:type w:val="continuous"/>
        </w:sectPr>
      </w:pPr>
    </w:p>
    <w:bookmarkStart w:id="34" w:name="page35"/>
    <w:bookmarkEnd w:id="34"/>
    <w:p>
      <w:pPr>
        <w:ind w:left="420" w:hanging="32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4"/>
          <w:szCs w:val="14"/>
          <w:color w:val="auto"/>
        </w:rPr>
        <w:t>The balances represent mainly amounts advanced to the Manager to cover future operating expenses of the Partnership.</w:t>
      </w:r>
    </w:p>
    <w:p>
      <w:pPr>
        <w:spacing w:after="0" w:line="13" w:lineRule="exact"/>
        <w:rPr>
          <w:rFonts w:ascii="Arial" w:cs="Arial" w:eastAsia="Arial" w:hAnsi="Arial"/>
          <w:sz w:val="12"/>
          <w:szCs w:val="12"/>
          <w:color w:val="auto"/>
        </w:rPr>
      </w:pPr>
    </w:p>
    <w:p>
      <w:pPr>
        <w:ind w:left="420" w:hanging="32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4"/>
          <w:szCs w:val="14"/>
          <w:color w:val="auto"/>
        </w:rPr>
        <w:t>The balances represent mainly payments made by GasLog on behalf of the Partnership.</w:t>
      </w:r>
    </w:p>
    <w:p>
      <w:pPr>
        <w:spacing w:after="0" w:line="1" w:lineRule="exact"/>
        <w:rPr>
          <w:rFonts w:ascii="Arial" w:cs="Arial" w:eastAsia="Arial" w:hAnsi="Arial"/>
          <w:sz w:val="12"/>
          <w:szCs w:val="12"/>
          <w:color w:val="auto"/>
        </w:rPr>
      </w:pPr>
    </w:p>
    <w:p>
      <w:pPr>
        <w:ind w:left="420" w:right="20" w:hanging="322"/>
        <w:spacing w:after="0" w:line="237"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4"/>
          <w:szCs w:val="14"/>
          <w:color w:val="auto"/>
        </w:rPr>
        <w:t>As of December 31, 2016, the balance due to GasLog Carriers, the parent company of GAS-eleven Ltd. prior to its acquisition by the Partnership, represented mainly amounts paid directly by GasLog Carriers on behalf of GAS-eleven Ltd. As of June 30, 2017, the balance had been fully settled.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Loans due to related parties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28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620" w:type="dxa"/>
            <w:vAlign w:val="bottom"/>
            <w:gridSpan w:val="3"/>
          </w:tcPr>
          <w:p>
            <w:pPr>
              <w:ind w:left="24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7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Credit facility with GasLog</w:t>
            </w:r>
          </w:p>
        </w:tc>
        <w:tc>
          <w:tcPr>
            <w:tcW w:w="1500" w:type="dxa"/>
            <w:vAlign w:val="bottom"/>
            <w:tcBorders>
              <w:top w:val="single" w:sz="8" w:color="auto"/>
              <w:bottom w:val="single" w:sz="8" w:color="auto"/>
            </w:tcBorders>
            <w:shd w:val="clear" w:color="auto" w:fill="E5FFFF"/>
          </w:tcPr>
          <w:p>
            <w:pPr>
              <w:ind w:left="13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E5FFFF"/>
            </w:tcBorders>
            <w:shd w:val="clear" w:color="auto" w:fill="E5FFFF"/>
          </w:tcPr>
          <w:p>
            <w:pPr>
              <w:spacing w:after="0"/>
              <w:rPr>
                <w:sz w:val="18"/>
                <w:szCs w:val="18"/>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w w:val="88"/>
              </w:rPr>
              <w:t>—</w:t>
            </w:r>
          </w:p>
        </w:tc>
        <w:tc>
          <w:tcPr>
            <w:tcW w:w="4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Upon completion of the IPO on May 12, 2014, the Partnership entered into a $30,000 revolving credit facility with GasLog (the “Old Sponsor Credit Facility”), to be used for general partnership purposes. The credit facility was for a term of 36 months, unsecured and bore interest at a rate of 5.0% per annum, with no commitment fee for the first year. After the first year, the interest increased to a rate of 6.0% per annum, with an annual 2.4% commitment fee on the undrawn balance.</w:t>
      </w:r>
    </w:p>
    <w:p>
      <w:pPr>
        <w:spacing w:after="0" w:line="18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On April 3, 2017, GasLog Partners signed a deed of termination with respect to the Old Sponsor Credit Facility. On the same date, GasLog Partners entered into a new unsecured five-year term loan of $45,000 and a new five-year revolving credit facility of $30,000 with GasLog (together, the “New Sponsor Credit Facility”). On April 5, 2017, an amount of $45,000 under the term loan facility and an amount of $15,000 under the revolving credit facility were drawn by the Partnership, with the latter fully repaid on May 22, 2017. For the terms of the New Sponsor Credit Facility, please refer to Note 6.</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an amount of $45,000 was outstanding under the facilities described above (December 31, 2016: nil).</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Partnership had the following transactions with related parties, which have been included in the unaudited condensed consolidated statements of profit or loss for the three and six months ended June 30, 2016 and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60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E5FFFF"/>
            </w:tcBorders>
          </w:tcPr>
          <w:p>
            <w:pPr>
              <w:spacing w:after="0"/>
              <w:rPr>
                <w:sz w:val="14"/>
                <w:szCs w:val="14"/>
                <w:color w:val="auto"/>
              </w:rPr>
            </w:pPr>
          </w:p>
        </w:tc>
        <w:tc>
          <w:tcPr>
            <w:tcW w:w="20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Details</w:t>
            </w:r>
          </w:p>
        </w:tc>
        <w:tc>
          <w:tcPr>
            <w:tcW w:w="120" w:type="dxa"/>
            <w:vAlign w:val="bottom"/>
            <w:tcBorders>
              <w:bottom w:val="single" w:sz="8" w:color="E5FFFF"/>
            </w:tcBorders>
          </w:tcPr>
          <w:p>
            <w:pPr>
              <w:spacing w:after="0"/>
              <w:rPr>
                <w:sz w:val="14"/>
                <w:szCs w:val="14"/>
                <w:color w:val="auto"/>
              </w:rPr>
            </w:pPr>
          </w:p>
        </w:tc>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Account</w:t>
            </w:r>
          </w:p>
        </w:tc>
        <w:tc>
          <w:tcPr>
            <w:tcW w:w="120" w:type="dxa"/>
            <w:vAlign w:val="bottom"/>
            <w:tcBorders>
              <w:bottom w:val="single" w:sz="8" w:color="E5FF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June 30, 2016</w:t>
            </w:r>
          </w:p>
        </w:tc>
        <w:tc>
          <w:tcPr>
            <w:tcW w:w="120" w:type="dxa"/>
            <w:vAlign w:val="bottom"/>
            <w:tcBorders>
              <w:bottom w:val="single" w:sz="8" w:color="E5FFFF"/>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E5FFFF"/>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E5FFFF"/>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E5FFFF"/>
            </w:tcBorders>
          </w:tcPr>
          <w:p>
            <w:pPr>
              <w:spacing w:after="0"/>
              <w:rPr>
                <w:sz w:val="14"/>
                <w:szCs w:val="14"/>
                <w:color w:val="auto"/>
              </w:rPr>
            </w:pPr>
          </w:p>
        </w:tc>
      </w:tr>
      <w:tr>
        <w:trPr>
          <w:trHeight w:val="183"/>
        </w:trPr>
        <w:tc>
          <w:tcPr>
            <w:tcW w:w="1500" w:type="dxa"/>
            <w:vAlign w:val="bottom"/>
            <w:shd w:val="clear" w:color="auto" w:fill="E5FFFF"/>
          </w:tcPr>
          <w:p>
            <w:pPr>
              <w:spacing w:after="0"/>
              <w:rPr>
                <w:sz w:val="20"/>
                <w:szCs w:val="20"/>
                <w:color w:val="auto"/>
              </w:rPr>
            </w:pPr>
            <w:r>
              <w:rPr>
                <w:rFonts w:ascii="Arial" w:cs="Arial" w:eastAsia="Arial" w:hAnsi="Arial"/>
                <w:sz w:val="14"/>
                <w:szCs w:val="14"/>
                <w:color w:val="auto"/>
              </w:rPr>
              <w:t>GasLog</w:t>
            </w:r>
          </w:p>
        </w:tc>
        <w:tc>
          <w:tcPr>
            <w:tcW w:w="120" w:type="dxa"/>
            <w:vAlign w:val="bottom"/>
            <w:shd w:val="clear" w:color="auto" w:fill="E5FFFF"/>
          </w:tcPr>
          <w:p>
            <w:pPr>
              <w:spacing w:after="0"/>
              <w:rPr>
                <w:sz w:val="15"/>
                <w:szCs w:val="15"/>
                <w:color w:val="auto"/>
              </w:rPr>
            </w:pPr>
          </w:p>
        </w:tc>
        <w:tc>
          <w:tcPr>
            <w:tcW w:w="2060" w:type="dxa"/>
            <w:vAlign w:val="bottom"/>
            <w:shd w:val="clear" w:color="auto" w:fill="E5FFFF"/>
          </w:tcPr>
          <w:p>
            <w:pPr>
              <w:spacing w:after="0" w:line="183" w:lineRule="exact"/>
              <w:rPr>
                <w:sz w:val="20"/>
                <w:szCs w:val="20"/>
                <w:color w:val="auto"/>
              </w:rPr>
            </w:pPr>
            <w:r>
              <w:rPr>
                <w:rFonts w:ascii="Arial" w:cs="Arial" w:eastAsia="Arial" w:hAnsi="Arial"/>
                <w:sz w:val="13"/>
                <w:szCs w:val="13"/>
                <w:color w:val="auto"/>
              </w:rPr>
              <w:t>Commercial management fee</w:t>
            </w:r>
            <w:r>
              <w:rPr>
                <w:rFonts w:ascii="Arial" w:cs="Arial" w:eastAsia="Arial" w:hAnsi="Arial"/>
                <w:sz w:val="21"/>
                <w:szCs w:val="21"/>
                <w:color w:val="auto"/>
                <w:vertAlign w:val="superscript"/>
              </w:rPr>
              <w:t>(i)</w:t>
            </w:r>
          </w:p>
        </w:tc>
        <w:tc>
          <w:tcPr>
            <w:tcW w:w="2640" w:type="dxa"/>
            <w:vAlign w:val="bottom"/>
            <w:gridSpan w:val="3"/>
            <w:shd w:val="clear" w:color="auto" w:fill="E5FFFF"/>
          </w:tcPr>
          <w:p>
            <w:pPr>
              <w:ind w:left="120"/>
              <w:spacing w:after="0"/>
              <w:rPr>
                <w:sz w:val="20"/>
                <w:szCs w:val="20"/>
                <w:color w:val="auto"/>
              </w:rPr>
            </w:pPr>
            <w:r>
              <w:rPr>
                <w:rFonts w:ascii="Arial" w:cs="Arial" w:eastAsia="Arial" w:hAnsi="Arial"/>
                <w:sz w:val="14"/>
                <w:szCs w:val="14"/>
                <w:color w:val="auto"/>
              </w:rPr>
              <w:t>General and administrative expenses</w:t>
            </w:r>
          </w:p>
        </w:tc>
        <w:tc>
          <w:tcPr>
            <w:tcW w:w="11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945</w:t>
            </w: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900</w:t>
            </w:r>
          </w:p>
        </w:tc>
        <w:tc>
          <w:tcPr>
            <w:tcW w:w="200" w:type="dxa"/>
            <w:vAlign w:val="bottom"/>
            <w:shd w:val="clear" w:color="auto" w:fill="E5FFFF"/>
          </w:tcPr>
          <w:p>
            <w:pPr>
              <w:spacing w:after="0"/>
              <w:rPr>
                <w:sz w:val="15"/>
                <w:szCs w:val="15"/>
                <w:color w:val="auto"/>
              </w:rPr>
            </w:pP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1,803</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1,800</w:t>
            </w:r>
          </w:p>
        </w:tc>
      </w:tr>
      <w:tr>
        <w:trPr>
          <w:trHeight w:val="189"/>
        </w:trPr>
        <w:tc>
          <w:tcPr>
            <w:tcW w:w="1620" w:type="dxa"/>
            <w:vAlign w:val="bottom"/>
            <w:gridSpan w:val="2"/>
          </w:tcPr>
          <w:p>
            <w:pPr>
              <w:spacing w:after="0"/>
              <w:rPr>
                <w:sz w:val="20"/>
                <w:szCs w:val="20"/>
                <w:color w:val="auto"/>
              </w:rPr>
            </w:pPr>
            <w:r>
              <w:rPr>
                <w:rFonts w:ascii="Arial" w:cs="Arial" w:eastAsia="Arial" w:hAnsi="Arial"/>
                <w:sz w:val="14"/>
                <w:szCs w:val="14"/>
                <w:color w:val="auto"/>
              </w:rPr>
              <w:t>GasLog</w:t>
            </w:r>
          </w:p>
        </w:tc>
        <w:tc>
          <w:tcPr>
            <w:tcW w:w="2060" w:type="dxa"/>
            <w:vAlign w:val="bottom"/>
          </w:tcPr>
          <w:p>
            <w:pPr>
              <w:spacing w:after="0" w:line="189" w:lineRule="exact"/>
              <w:rPr>
                <w:sz w:val="20"/>
                <w:szCs w:val="20"/>
                <w:color w:val="auto"/>
              </w:rPr>
            </w:pPr>
            <w:r>
              <w:rPr>
                <w:rFonts w:ascii="Arial" w:cs="Arial" w:eastAsia="Arial" w:hAnsi="Arial"/>
                <w:sz w:val="13"/>
                <w:szCs w:val="13"/>
                <w:color w:val="auto"/>
              </w:rPr>
              <w:t>Administrative services fee</w:t>
            </w:r>
            <w:r>
              <w:rPr>
                <w:rFonts w:ascii="Arial" w:cs="Arial" w:eastAsia="Arial" w:hAnsi="Arial"/>
                <w:sz w:val="21"/>
                <w:szCs w:val="21"/>
                <w:color w:val="auto"/>
                <w:vertAlign w:val="superscript"/>
              </w:rPr>
              <w:t>(ii)</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General and administrative expenses</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1,176</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1,525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2,352</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2,948</w:t>
            </w:r>
          </w:p>
        </w:tc>
      </w:tr>
      <w:tr>
        <w:trPr>
          <w:trHeight w:val="189"/>
        </w:trPr>
        <w:tc>
          <w:tcPr>
            <w:tcW w:w="162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 LNG Services</w:t>
            </w:r>
          </w:p>
        </w:tc>
        <w:tc>
          <w:tcPr>
            <w:tcW w:w="2060" w:type="dxa"/>
            <w:vAlign w:val="bottom"/>
            <w:shd w:val="clear" w:color="auto" w:fill="E5FFFF"/>
          </w:tcPr>
          <w:p>
            <w:pPr>
              <w:spacing w:after="0" w:line="189"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(iii)</w:t>
            </w:r>
          </w:p>
        </w:tc>
        <w:tc>
          <w:tcPr>
            <w:tcW w:w="2640" w:type="dxa"/>
            <w:vAlign w:val="bottom"/>
            <w:gridSpan w:val="3"/>
            <w:shd w:val="clear" w:color="auto" w:fill="E5FFFF"/>
          </w:tcPr>
          <w:p>
            <w:pPr>
              <w:ind w:left="120"/>
              <w:spacing w:after="0"/>
              <w:rPr>
                <w:sz w:val="20"/>
                <w:szCs w:val="20"/>
                <w:color w:val="auto"/>
              </w:rPr>
            </w:pPr>
            <w:r>
              <w:rPr>
                <w:rFonts w:ascii="Arial" w:cs="Arial" w:eastAsia="Arial" w:hAnsi="Arial"/>
                <w:sz w:val="14"/>
                <w:szCs w:val="14"/>
                <w:color w:val="auto"/>
              </w:rPr>
              <w:t>Vessel operating costs</w:t>
            </w:r>
          </w:p>
        </w:tc>
        <w:tc>
          <w:tcPr>
            <w:tcW w:w="11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1,380</w:t>
            </w: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1,380</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2,626</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2,760</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Interest expense (Note 6)</w:t>
            </w:r>
          </w:p>
        </w:tc>
        <w:tc>
          <w:tcPr>
            <w:tcW w:w="26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Financial costs</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1,160</w:t>
            </w:r>
          </w:p>
        </w:tc>
      </w:tr>
      <w:tr>
        <w:trPr>
          <w:trHeight w:val="149"/>
        </w:trPr>
        <w:tc>
          <w:tcPr>
            <w:tcW w:w="1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w:t>
            </w: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Commitment fee (Note 6)</w:t>
            </w:r>
          </w:p>
        </w:tc>
        <w:tc>
          <w:tcPr>
            <w:tcW w:w="264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Financial costs</w:t>
            </w:r>
          </w:p>
        </w:tc>
        <w:tc>
          <w:tcPr>
            <w:tcW w:w="116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E5FFFF"/>
          </w:tcPr>
          <w:p>
            <w:pPr>
              <w:spacing w:after="0"/>
              <w:rPr>
                <w:sz w:val="12"/>
                <w:szCs w:val="12"/>
                <w:color w:val="auto"/>
              </w:rPr>
            </w:pP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243</w:t>
            </w:r>
          </w:p>
        </w:tc>
        <w:tc>
          <w:tcPr>
            <w:tcW w:w="12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242</w:t>
            </w:r>
          </w:p>
        </w:tc>
      </w:tr>
      <w:tr>
        <w:trPr>
          <w:trHeight w:val="182"/>
        </w:trPr>
        <w:tc>
          <w:tcPr>
            <w:tcW w:w="1620" w:type="dxa"/>
            <w:vAlign w:val="bottom"/>
            <w:gridSpan w:val="2"/>
          </w:tcPr>
          <w:p>
            <w:pPr>
              <w:spacing w:after="0"/>
              <w:rPr>
                <w:sz w:val="20"/>
                <w:szCs w:val="20"/>
                <w:color w:val="auto"/>
              </w:rPr>
            </w:pPr>
            <w:r>
              <w:rPr>
                <w:rFonts w:ascii="Arial" w:cs="Arial" w:eastAsia="Arial" w:hAnsi="Arial"/>
                <w:sz w:val="14"/>
                <w:szCs w:val="14"/>
                <w:color w:val="auto"/>
              </w:rPr>
              <w:t>GasLog</w:t>
            </w:r>
          </w:p>
        </w:tc>
        <w:tc>
          <w:tcPr>
            <w:tcW w:w="2060" w:type="dxa"/>
            <w:vAlign w:val="bottom"/>
          </w:tcPr>
          <w:p>
            <w:pPr>
              <w:spacing w:after="0"/>
              <w:rPr>
                <w:sz w:val="20"/>
                <w:szCs w:val="20"/>
                <w:color w:val="auto"/>
              </w:rPr>
            </w:pPr>
            <w:r>
              <w:rPr>
                <w:rFonts w:ascii="Arial" w:cs="Arial" w:eastAsia="Arial" w:hAnsi="Arial"/>
                <w:sz w:val="14"/>
                <w:szCs w:val="14"/>
                <w:color w:val="auto"/>
              </w:rPr>
              <w:t>Interest on swaps (Note 10)</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Loss on interest rate swaps</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479</w:t>
            </w: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1,104</w:t>
            </w:r>
          </w:p>
        </w:tc>
      </w:tr>
    </w:tbl>
    <w:p>
      <w:pPr>
        <w:spacing w:after="0" w:line="96" w:lineRule="exact"/>
        <w:rPr>
          <w:sz w:val="20"/>
          <w:szCs w:val="20"/>
          <w:color w:val="auto"/>
        </w:rPr>
      </w:pPr>
    </w:p>
    <w:p>
      <w:pPr>
        <w:ind w:left="420" w:hanging="32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4"/>
          <w:szCs w:val="14"/>
          <w:b w:val="1"/>
          <w:bCs w:val="1"/>
          <w:i w:val="1"/>
          <w:iCs w:val="1"/>
          <w:color w:val="auto"/>
        </w:rPr>
        <w:t>Commercial Management Agreements</w:t>
      </w:r>
    </w:p>
    <w:p>
      <w:pPr>
        <w:spacing w:after="0" w:line="149" w:lineRule="exact"/>
        <w:rPr>
          <w:rFonts w:ascii="Arial" w:cs="Arial" w:eastAsia="Arial" w:hAnsi="Arial"/>
          <w:sz w:val="12"/>
          <w:szCs w:val="12"/>
          <w:color w:val="auto"/>
        </w:rPr>
      </w:pPr>
    </w:p>
    <w:p>
      <w:pPr>
        <w:ind w:left="420" w:right="60"/>
        <w:spacing w:after="0" w:line="231" w:lineRule="auto"/>
        <w:rPr>
          <w:rFonts w:ascii="Arial" w:cs="Arial" w:eastAsia="Arial" w:hAnsi="Arial"/>
          <w:sz w:val="12"/>
          <w:szCs w:val="12"/>
          <w:color w:val="auto"/>
        </w:rPr>
      </w:pPr>
      <w:r>
        <w:rPr>
          <w:rFonts w:ascii="Arial" w:cs="Arial" w:eastAsia="Arial" w:hAnsi="Arial"/>
          <w:sz w:val="14"/>
          <w:szCs w:val="14"/>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w:t>
      </w:r>
    </w:p>
    <w:p>
      <w:pPr>
        <w:spacing w:after="0" w:line="116" w:lineRule="exact"/>
        <w:rPr>
          <w:rFonts w:ascii="Arial" w:cs="Arial" w:eastAsia="Arial" w:hAnsi="Arial"/>
          <w:sz w:val="12"/>
          <w:szCs w:val="12"/>
          <w:color w:val="auto"/>
        </w:rPr>
      </w:pPr>
    </w:p>
    <w:p>
      <w:pPr>
        <w:jc w:val="both"/>
        <w:ind w:left="420" w:right="60"/>
        <w:spacing w:after="0" w:line="234" w:lineRule="auto"/>
        <w:rPr>
          <w:rFonts w:ascii="Arial" w:cs="Arial" w:eastAsia="Arial" w:hAnsi="Arial"/>
          <w:sz w:val="12"/>
          <w:szCs w:val="12"/>
          <w:color w:val="auto"/>
        </w:rPr>
      </w:pPr>
      <w:r>
        <w:rPr>
          <w:rFonts w:ascii="Arial" w:cs="Arial" w:eastAsia="Arial" w:hAnsi="Arial"/>
          <w:sz w:val="14"/>
          <w:szCs w:val="14"/>
          <w:color w:val="auto"/>
        </w:rPr>
        <w:t xml:space="preserve">The same provisions are included in the commercial management agreements that GAS-eleven Ltd., GAS-sixteen Ltd., GAS-seventeen Ltd., GAS-nineteen Ltd., GAS-twenty Ltd. and GAS-twenty one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Shirley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respectively, into GasLog’s fleet in March 2016, April 2014 and June 2014 (together with the Amended Commercial Management Agreements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commercial management agreement between GAS-seven Ltd. and GasLog, the “Commercial Management Agreements”).</w:t>
      </w:r>
    </w:p>
    <w:p>
      <w:pPr>
        <w:spacing w:after="0" w:line="114" w:lineRule="exact"/>
        <w:rPr>
          <w:rFonts w:ascii="Arial" w:cs="Arial" w:eastAsia="Arial" w:hAnsi="Arial"/>
          <w:sz w:val="12"/>
          <w:szCs w:val="12"/>
          <w:color w:val="auto"/>
        </w:rPr>
      </w:pPr>
    </w:p>
    <w:p>
      <w:pPr>
        <w:ind w:left="420" w:hanging="32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4"/>
          <w:szCs w:val="14"/>
          <w:b w:val="1"/>
          <w:bCs w:val="1"/>
          <w:i w:val="1"/>
          <w:iCs w:val="1"/>
          <w:color w:val="auto"/>
        </w:rPr>
        <w:t>Administrative Services Agreement</w:t>
      </w:r>
    </w:p>
    <w:p>
      <w:pPr>
        <w:spacing w:after="0" w:line="149" w:lineRule="exact"/>
        <w:rPr>
          <w:rFonts w:ascii="Arial" w:cs="Arial" w:eastAsia="Arial" w:hAnsi="Arial"/>
          <w:sz w:val="12"/>
          <w:szCs w:val="12"/>
          <w:color w:val="auto"/>
        </w:rPr>
      </w:pPr>
    </w:p>
    <w:p>
      <w:pPr>
        <w:ind w:left="420"/>
        <w:spacing w:after="0" w:line="249" w:lineRule="auto"/>
        <w:rPr>
          <w:rFonts w:ascii="Arial" w:cs="Arial" w:eastAsia="Arial" w:hAnsi="Arial"/>
          <w:sz w:val="12"/>
          <w:szCs w:val="12"/>
          <w:color w:val="auto"/>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GasLog receives a service fee of $588 per vessel per year in connection with providing services under this agreement. On November 16, 2016, the board of directors approved an increase in the service fee payable to GasLog under the terms of the Administrative Services Agreement. With effect from January 1, 2017, the service fee increased to $632 per vessel per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5" w:name="page36"/>
    <w:bookmarkEnd w:id="35"/>
    <w:p>
      <w:pPr>
        <w:ind w:left="420" w:hanging="322"/>
        <w:spacing w:after="0"/>
        <w:tabs>
          <w:tab w:leader="none" w:pos="420" w:val="left"/>
        </w:tabs>
        <w:numPr>
          <w:ilvl w:val="1"/>
          <w:numId w:val="22"/>
        </w:numPr>
        <w:rPr>
          <w:rFonts w:ascii="Arial" w:cs="Arial" w:eastAsia="Arial" w:hAnsi="Arial"/>
          <w:sz w:val="12"/>
          <w:szCs w:val="12"/>
          <w:color w:val="auto"/>
        </w:rPr>
      </w:pPr>
      <w:r>
        <w:rPr>
          <w:rFonts w:ascii="Arial" w:cs="Arial" w:eastAsia="Arial" w:hAnsi="Arial"/>
          <w:sz w:val="14"/>
          <w:szCs w:val="14"/>
          <w:b w:val="1"/>
          <w:bCs w:val="1"/>
          <w:i w:val="1"/>
          <w:iCs w:val="1"/>
          <w:color w:val="auto"/>
        </w:rPr>
        <w:t>Ship Management Agreements</w:t>
      </w:r>
    </w:p>
    <w:p>
      <w:pPr>
        <w:spacing w:after="0" w:line="149" w:lineRule="exact"/>
        <w:rPr>
          <w:rFonts w:ascii="Arial" w:cs="Arial" w:eastAsia="Arial" w:hAnsi="Arial"/>
          <w:sz w:val="12"/>
          <w:szCs w:val="12"/>
          <w:color w:val="auto"/>
        </w:rPr>
      </w:pPr>
    </w:p>
    <w:p>
      <w:pPr>
        <w:ind w:left="420" w:right="20"/>
        <w:spacing w:after="0" w:line="242" w:lineRule="auto"/>
        <w:rPr>
          <w:rFonts w:ascii="Arial" w:cs="Arial" w:eastAsia="Arial" w:hAnsi="Arial"/>
          <w:sz w:val="12"/>
          <w:szCs w:val="12"/>
          <w:color w:val="auto"/>
        </w:rPr>
      </w:pPr>
      <w:r>
        <w:rPr>
          <w:rFonts w:ascii="Arial" w:cs="Arial" w:eastAsia="Arial" w:hAnsi="Arial"/>
          <w:sz w:val="13"/>
          <w:szCs w:val="13"/>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respectively, into GasLog’s fleet in April 2014 and June 2014 (together with the Amended Ship Management Agreements and the ship management agreement that GAS-seven Ltd. entered into with the Manager upon its vessel’s delivery form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 that GAS-eleven Ltd. had entered into with GasLog upon the delivery of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in March 2016, again for a fixed monthly charge of $46.</w:t>
      </w:r>
    </w:p>
    <w:p>
      <w:pPr>
        <w:spacing w:after="0" w:line="188" w:lineRule="exact"/>
        <w:rPr>
          <w:rFonts w:ascii="Arial" w:cs="Arial" w:eastAsia="Arial" w:hAnsi="Arial"/>
          <w:sz w:val="12"/>
          <w:szCs w:val="12"/>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Vessels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The movement in vessels is reported in the following table:</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1580" w:type="dxa"/>
            <w:vAlign w:val="bottom"/>
            <w:gridSpan w:val="3"/>
          </w:tcPr>
          <w:p>
            <w:pPr>
              <w:ind w:left="460"/>
              <w:spacing w:after="0"/>
              <w:rPr>
                <w:sz w:val="20"/>
                <w:szCs w:val="20"/>
                <w:color w:val="auto"/>
              </w:rPr>
            </w:pPr>
            <w:r>
              <w:rPr>
                <w:rFonts w:ascii="Arial" w:cs="Arial" w:eastAsia="Arial" w:hAnsi="Arial"/>
                <w:sz w:val="18"/>
                <w:szCs w:val="18"/>
                <w:b w:val="1"/>
                <w:bCs w:val="1"/>
                <w:color w:val="auto"/>
              </w:rPr>
              <w:t>Vessels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9480" w:type="dxa"/>
            <w:vAlign w:val="bottom"/>
            <w:tcBorders>
              <w:top w:val="single" w:sz="8" w:color="E5FFFF"/>
              <w:bottom w:val="single" w:sz="8" w:color="E5FFFF"/>
            </w:tcBorders>
            <w:shd w:val="clear" w:color="auto" w:fill="E5FFFF"/>
          </w:tcPr>
          <w:p>
            <w:pPr>
              <w:spacing w:after="0"/>
              <w:rPr>
                <w:sz w:val="16"/>
                <w:szCs w:val="16"/>
                <w:color w:val="auto"/>
              </w:rPr>
            </w:pPr>
          </w:p>
        </w:tc>
        <w:tc>
          <w:tcPr>
            <w:tcW w:w="1480" w:type="dxa"/>
            <w:vAlign w:val="bottom"/>
            <w:tcBorders>
              <w:top w:val="single" w:sz="8" w:color="auto"/>
              <w:bottom w:val="single" w:sz="8" w:color="E5FFFF"/>
            </w:tcBorders>
            <w:shd w:val="clear" w:color="auto" w:fill="E5FFFF"/>
          </w:tcPr>
          <w:p>
            <w:pPr>
              <w:spacing w:after="0"/>
              <w:rPr>
                <w:sz w:val="16"/>
                <w:szCs w:val="16"/>
                <w:color w:val="auto"/>
              </w:rPr>
            </w:pPr>
          </w:p>
        </w:tc>
        <w:tc>
          <w:tcPr>
            <w:tcW w:w="20" w:type="dxa"/>
            <w:vAlign w:val="bottom"/>
            <w:tcBorders>
              <w:top w:val="single" w:sz="8" w:color="E5FFFF"/>
              <w:bottom w:val="single" w:sz="8" w:color="E5FFFF"/>
            </w:tcBorders>
            <w:shd w:val="clear" w:color="auto" w:fill="E5FFFF"/>
          </w:tcPr>
          <w:p>
            <w:pPr>
              <w:spacing w:after="0"/>
              <w:rPr>
                <w:sz w:val="16"/>
                <w:szCs w:val="16"/>
                <w:color w:val="auto"/>
              </w:rPr>
            </w:pPr>
          </w:p>
        </w:tc>
        <w:tc>
          <w:tcPr>
            <w:tcW w:w="80" w:type="dxa"/>
            <w:vAlign w:val="bottom"/>
            <w:tcBorders>
              <w:top w:val="single" w:sz="8" w:color="E5FFFF"/>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As of January 1, 2017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1,777,030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Additions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1,779,535</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4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As of January 1, 2017</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152,536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As of June 30, 2017</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180,364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9840" w:type="dxa"/>
            <w:vAlign w:val="bottom"/>
            <w:gridSpan w:val="3"/>
          </w:tcPr>
          <w:p>
            <w:pPr>
              <w:spacing w:after="0"/>
              <w:rPr>
                <w:sz w:val="20"/>
                <w:szCs w:val="20"/>
                <w:color w:val="auto"/>
              </w:rPr>
            </w:pPr>
            <w:r>
              <w:rPr>
                <w:rFonts w:ascii="Arial" w:cs="Arial" w:eastAsia="Arial" w:hAnsi="Arial"/>
                <w:sz w:val="18"/>
                <w:szCs w:val="18"/>
                <w:b w:val="1"/>
                <w:bCs w:val="1"/>
                <w:color w:val="auto"/>
              </w:rPr>
              <w:t>Net book value</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As of December 31, 2016</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1,624,494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1,599,171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vessels have been pledged as collateral under the terms of the Partnership’s bank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Partners’ Equity</w:t>
      </w:r>
    </w:p>
    <w:p>
      <w:pPr>
        <w:spacing w:after="0" w:line="229"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$78,176.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9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$138,782. The Series A Preference Units are listed on the New York Stock Exchange under the symbol “GLOP PR A”. The initial distribution on the Series A Preference Units will be payable on September 15, 2017. The preference units issued have been accounted for as equity instruments based on certain characteristics such as the discretionary nature of the distributions by our board of directors, which can be deferred and accumulate, as well as the redemption rights at the option of the Partnership only. These units have preference upon liquidation and the holders would receive $25.00 per unit plus any accumulated and unpaid distributions.</w:t>
      </w:r>
    </w:p>
    <w:p>
      <w:pPr>
        <w:spacing w:after="0" w:line="166"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June 30, 2017, GasLog Partners had issued and received payment for 410,877 common units at a weighted average price of $22.68 per common unit for total net proceeds of $8,818. In connection with the issuance of common units under the ATM Programme during this period, the Partnership also issued 8,385 general partner units to its general partner in order for GasLog to retain its 2.0% general partner interest. The net proceeds from the issuance of the general partner units were $190.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6" w:name="page37"/>
    <w:bookmarkEnd w:id="36"/>
    <w:p>
      <w:pPr>
        <w:ind w:right="220" w:firstLine="405"/>
        <w:spacing w:after="0" w:line="342" w:lineRule="auto"/>
        <w:rPr>
          <w:sz w:val="20"/>
          <w:szCs w:val="20"/>
          <w:color w:val="auto"/>
        </w:rPr>
      </w:pPr>
      <w:r>
        <w:rPr>
          <w:rFonts w:ascii="Arial" w:cs="Arial" w:eastAsia="Arial" w:hAnsi="Arial"/>
          <w:sz w:val="16"/>
          <w:szCs w:val="16"/>
          <w:color w:val="auto"/>
        </w:rPr>
        <w:t>Additionally, the subordination period of the subordinated units held by GasLog expired and consequently all 9,822,358 subordinated units converted into common units on a one-for-one basis and now participate pro rata with all other outstanding common units in distributions of available cash.</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December 31,</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300" w:type="dxa"/>
            <w:vAlign w:val="bottom"/>
          </w:tcPr>
          <w:p>
            <w:pPr>
              <w:spacing w:after="0"/>
              <w:rPr>
                <w:sz w:val="20"/>
                <w:szCs w:val="20"/>
                <w:color w:val="auto"/>
              </w:rPr>
            </w:pPr>
          </w:p>
        </w:tc>
        <w:tc>
          <w:tcPr>
            <w:tcW w:w="770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E5FFFF"/>
            </w:tcBorders>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Amounts due within one year</w:t>
            </w:r>
          </w:p>
        </w:tc>
        <w:tc>
          <w:tcPr>
            <w:tcW w:w="13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59,625</w:t>
            </w:r>
          </w:p>
        </w:tc>
        <w:tc>
          <w:tcPr>
            <w:tcW w:w="44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89,375</w:t>
            </w:r>
          </w:p>
        </w:tc>
        <w:tc>
          <w:tcPr>
            <w:tcW w:w="120" w:type="dxa"/>
            <w:vAlign w:val="bottom"/>
            <w:shd w:val="clear" w:color="auto" w:fill="E5FFFF"/>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(3,605)</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(4,284)</w:t>
            </w:r>
          </w:p>
        </w:tc>
      </w:tr>
      <w:tr>
        <w:trPr>
          <w:trHeight w:val="210"/>
        </w:trPr>
        <w:tc>
          <w:tcPr>
            <w:tcW w:w="300" w:type="dxa"/>
            <w:vAlign w:val="bottom"/>
          </w:tcPr>
          <w:p>
            <w:pPr>
              <w:spacing w:after="0"/>
              <w:rPr>
                <w:sz w:val="18"/>
                <w:szCs w:val="18"/>
                <w:color w:val="auto"/>
              </w:rPr>
            </w:pPr>
          </w:p>
        </w:tc>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 current portion</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56,020</w:t>
            </w:r>
          </w:p>
        </w:tc>
        <w:tc>
          <w:tcPr>
            <w:tcW w:w="4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85,091</w:t>
            </w:r>
          </w:p>
        </w:tc>
        <w:tc>
          <w:tcPr>
            <w:tcW w:w="120" w:type="dxa"/>
            <w:vAlign w:val="bottom"/>
            <w:tcBorders>
              <w:top w:val="single" w:sz="8" w:color="E5FFFF"/>
            </w:tcBorders>
            <w:shd w:val="clear" w:color="auto" w:fill="E5FF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300" w:type="dxa"/>
            <w:vAlign w:val="bottom"/>
          </w:tcPr>
          <w:p>
            <w:pPr>
              <w:jc w:val="right"/>
              <w:spacing w:after="0"/>
              <w:rPr>
                <w:sz w:val="20"/>
                <w:szCs w:val="20"/>
                <w:color w:val="auto"/>
              </w:rPr>
            </w:pPr>
            <w:r>
              <w:rPr>
                <w:rFonts w:ascii="Arial" w:cs="Arial" w:eastAsia="Arial" w:hAnsi="Arial"/>
                <w:sz w:val="18"/>
                <w:szCs w:val="18"/>
                <w:color w:val="auto"/>
              </w:rPr>
              <w:t>922,566</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847,879</w:t>
            </w:r>
          </w:p>
        </w:tc>
        <w:tc>
          <w:tcPr>
            <w:tcW w:w="1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Less: unamortized deferred loan issuance costs</w:t>
            </w:r>
          </w:p>
        </w:tc>
        <w:tc>
          <w:tcPr>
            <w:tcW w:w="17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(11,900)</w:t>
            </w:r>
          </w:p>
        </w:tc>
        <w:tc>
          <w:tcPr>
            <w:tcW w:w="14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(10,334)</w:t>
            </w:r>
          </w:p>
        </w:tc>
      </w:tr>
      <w:tr>
        <w:trPr>
          <w:trHeight w:val="210"/>
        </w:trPr>
        <w:tc>
          <w:tcPr>
            <w:tcW w:w="300" w:type="dxa"/>
            <w:vAlign w:val="bottom"/>
          </w:tcPr>
          <w:p>
            <w:pPr>
              <w:spacing w:after="0"/>
              <w:rPr>
                <w:sz w:val="18"/>
                <w:szCs w:val="18"/>
                <w:color w:val="auto"/>
              </w:rPr>
            </w:pPr>
          </w:p>
        </w:tc>
        <w:tc>
          <w:tcPr>
            <w:tcW w:w="77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Borrowings – non-current portion</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910,666</w:t>
            </w:r>
          </w:p>
        </w:tc>
        <w:tc>
          <w:tcPr>
            <w:tcW w:w="440" w:type="dxa"/>
            <w:vAlign w:val="bottom"/>
            <w:tcBorders>
              <w:bottom w:val="single" w:sz="8" w:color="E5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837,545</w:t>
            </w:r>
          </w:p>
        </w:tc>
        <w:tc>
          <w:tcPr>
            <w:tcW w:w="120" w:type="dxa"/>
            <w:vAlign w:val="bottom"/>
            <w:tcBorders>
              <w:bottom w:val="single" w:sz="8" w:color="E5FFFF"/>
            </w:tcBorders>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966,686</w:t>
            </w:r>
          </w:p>
        </w:tc>
        <w:tc>
          <w:tcPr>
            <w:tcW w:w="440" w:type="dxa"/>
            <w:vAlign w:val="bottom"/>
            <w:tcBorders>
              <w:bottom w:val="single" w:sz="8" w:color="E5FFFF"/>
            </w:tcBorders>
            <w:shd w:val="clear" w:color="auto" w:fill="E5FFFF"/>
          </w:tcPr>
          <w:p>
            <w:pPr>
              <w:spacing w:after="0"/>
              <w:rPr>
                <w:sz w:val="19"/>
                <w:szCs w:val="19"/>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922,636</w:t>
            </w:r>
          </w:p>
        </w:tc>
        <w:tc>
          <w:tcPr>
            <w:tcW w:w="120" w:type="dxa"/>
            <w:vAlign w:val="bottom"/>
            <w:tcBorders>
              <w:bottom w:val="single" w:sz="8" w:color="E5FFFF"/>
            </w:tcBorders>
            <w:shd w:val="clear" w:color="auto" w:fill="E5FF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main terms of the bank loan facilities and the Old Sponsor Credit Facility have been disclosed in the annual consolidated financial statements for the year ended December 31, 2016. Refer to Note 7 “Borrowings”.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April 3, 2017, the Partnership signed a deed of termination with respect to the Old Sponsor Credit Facility with GasLog. On the same date,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Partnership entered into the New Sponsor Credit Facility (Note 3). On April 5, 2017, an amount of $45,000 under the term loan facility and an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 under the revolving credit facility were drawn by the Partnership and were used on the same date to prepay $60,125 of the outstanding debt of 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nineteen Ltd., GAS-twenty Ltd. and GAS-twenty one Ltd. under the junior tranche of the credit agreement that subsidiaries of the Partnership and 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on February 18, 2016 (the “Five Vessel Refinancing”), which would have been originally due in April 2018. The New Sponsor Credit Facility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and the revolving credit facility provides for an availability period of five years. Each borrowing under the New Sponsor Credit Facility accrues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at a rate of 9.125% per annum with an annual 1.0% commitment fee on the undrawn balance.</w:t>
      </w:r>
    </w:p>
    <w:p>
      <w:pPr>
        <w:spacing w:after="0" w:line="21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New Sponsor Facility contains customary events of default, including nonpayment of principal or interest, breach of covenants or material inaccuracy of representations, default under other material indebtedness and bankruptcy. In addition, the New Sponsor Facility covenants require that at all times GasLog must continue to control, directly or indirectly, the affairs or composition of the Partnership’s board of directors and any amendment to our limited partnership agreement, in the reasonable opinion of the lender, must not be adverse to its interests in connection with the New Sponsor Credit Facility.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New Sponsor Facility as of June 30, 2017 is $44,278.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GAS-eleven Ltd. facility</w:t>
      </w:r>
    </w:p>
    <w:p>
      <w:pPr>
        <w:spacing w:after="0" w:line="22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Following the acquisition of GAS-eleven Ltd., the Partnership assumed $151,423 of outstanding indebtedness of the acquired entity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The loan agreement with respect to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provided for four tranches of $51,257, $25,615, $24,991 and $61,104. Under the terms of the agreement, each drawing under the first three tranches would be repaid in 24 consecutive semi-annual equal installments commencing six months after the actual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according to a 12-year profile. Each drawing under the fourth tranche would be repaid in 20 consecutive semi-annual equal installments commencing six months after the actual delivery of the relevant vessel according to a 20-year profile, with a balloon payment together with the final installment. On March 22, 2016, $162,967 was drawn down to partially finance the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Amounts drawn per tranche bear interest at LIBOR plus a margin.</w:t>
      </w:r>
    </w:p>
    <w:p>
      <w:pPr>
        <w:spacing w:after="0" w:line="19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7"/>
          <w:szCs w:val="17"/>
          <w:i w:val="1"/>
          <w:iCs w:val="1"/>
          <w:color w:val="auto"/>
        </w:rPr>
        <w:t>GasLog Greece</w:t>
      </w:r>
      <w:r>
        <w:rPr>
          <w:rFonts w:ascii="Arial" w:cs="Arial" w:eastAsia="Arial" w:hAnsi="Arial"/>
          <w:sz w:val="17"/>
          <w:szCs w:val="17"/>
          <w:color w:val="auto"/>
        </w:rPr>
        <w:t>. The facility includes customary respective covenants and, among other restrictions, the facilities include a fair market value covenant pursuant to which an event of default could occur under the facility if the aggregate fair market value of the collateral vessel (without taking into account any charter arrangements) were to fall below 115% of the aggregate outstanding principal balance for the first two years after each drawdown and below 120% at any time thereafter.</w:t>
      </w:r>
    </w:p>
    <w:p>
      <w:pPr>
        <w:spacing w:after="0" w:line="17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(including interest and debt repayments) on a trailing 12 months basis must be not less than 110.0%;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7" w:name="page38"/>
    <w:bookmarkEnd w:id="37"/>
    <w:p>
      <w:pPr>
        <w:ind w:left="340" w:right="32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$50,000 after the first drawdown;</w:t>
      </w:r>
    </w:p>
    <w:p>
      <w:pPr>
        <w:spacing w:after="0" w:line="1" w:lineRule="exact"/>
        <w:rPr>
          <w:rFonts w:ascii="Arial" w:cs="Arial" w:eastAsia="Arial" w:hAnsi="Arial"/>
          <w:sz w:val="18"/>
          <w:szCs w:val="18"/>
          <w:color w:val="auto"/>
        </w:rPr>
      </w:pPr>
    </w:p>
    <w:p>
      <w:pPr>
        <w:ind w:left="340" w:right="420" w:hanging="332"/>
        <w:spacing w:after="0" w:line="26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w:t>
      </w:r>
    </w:p>
    <w:p>
      <w:pPr>
        <w:spacing w:after="0" w:line="21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 xml:space="preserve">GasLog was in compliance with the above financial covenants as of June 30, 2017.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8"/>
          <w:szCs w:val="18"/>
          <w:i w:val="1"/>
          <w:iCs w:val="1"/>
          <w:color w:val="auto"/>
        </w:rPr>
        <w:t>GasLog Greece</w:t>
      </w:r>
      <w:r>
        <w:rPr>
          <w:rFonts w:ascii="Arial" w:cs="Arial" w:eastAsia="Arial" w:hAnsi="Arial"/>
          <w:sz w:val="18"/>
          <w:szCs w:val="18"/>
          <w:color w:val="auto"/>
        </w:rPr>
        <w:t>.</w:t>
      </w:r>
    </w:p>
    <w:p>
      <w:pPr>
        <w:spacing w:after="0" w:line="18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GasLog Partners was in compliance with its financial covenants as of June 30,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Opening balance</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Cash flows</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Non-cash items</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Borrowings outstanding as of January 1, 2017</w:t>
            </w: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966,686</w:t>
            </w:r>
          </w:p>
        </w:tc>
        <w:tc>
          <w:tcPr>
            <w:tcW w:w="4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966,686</w:t>
            </w:r>
          </w:p>
        </w:tc>
        <w:tc>
          <w:tcPr>
            <w:tcW w:w="120" w:type="dxa"/>
            <w:vAlign w:val="bottom"/>
            <w:tcBorders>
              <w:top w:val="single" w:sz="8" w:color="E5FFFF"/>
            </w:tcBorders>
            <w:shd w:val="clear" w:color="auto" w:fill="E5FF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Borrowings drawdowns</w:t>
            </w: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Borrowings repayments</w:t>
            </w:r>
          </w:p>
        </w:tc>
        <w:tc>
          <w:tcPr>
            <w:tcW w:w="18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(104,937)</w:t>
            </w:r>
          </w:p>
        </w:tc>
        <w:tc>
          <w:tcPr>
            <w:tcW w:w="18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(104,937)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(1,499)</w:t>
            </w: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(1,499)</w:t>
            </w:r>
          </w:p>
        </w:tc>
      </w:tr>
      <w:tr>
        <w:trPr>
          <w:trHeight w:val="202"/>
        </w:trPr>
        <w:tc>
          <w:tcPr>
            <w:tcW w:w="42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Amortization of deferred loan issuance costs</w:t>
            </w:r>
          </w:p>
        </w:tc>
        <w:tc>
          <w:tcPr>
            <w:tcW w:w="14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44"/>
        </w:trPr>
        <w:tc>
          <w:tcPr>
            <w:tcW w:w="42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(Note 10)</w:t>
            </w:r>
          </w:p>
        </w:tc>
        <w:tc>
          <w:tcPr>
            <w:tcW w:w="18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2,386</w:t>
            </w:r>
          </w:p>
        </w:tc>
        <w:tc>
          <w:tcPr>
            <w:tcW w:w="440" w:type="dxa"/>
            <w:vAlign w:val="bottom"/>
            <w:shd w:val="clear" w:color="auto" w:fill="E5FFFF"/>
          </w:tcPr>
          <w:p>
            <w:pPr>
              <w:spacing w:after="0"/>
              <w:rPr>
                <w:sz w:val="21"/>
                <w:szCs w:val="21"/>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E5FFFF"/>
          </w:tcPr>
          <w:p>
            <w:pPr>
              <w:spacing w:after="0"/>
              <w:rPr>
                <w:sz w:val="21"/>
                <w:szCs w:val="2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Borrowings outstanding as of June 30, 2017</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966,686</w:t>
            </w:r>
          </w:p>
        </w:tc>
        <w:tc>
          <w:tcPr>
            <w:tcW w:w="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(46,436</w:t>
            </w:r>
          </w:p>
        </w:tc>
        <w:tc>
          <w:tcPr>
            <w:tcW w:w="420" w:type="dxa"/>
            <w:vAlign w:val="bottom"/>
          </w:tcPr>
          <w:p>
            <w:pPr>
              <w:jc w:val="right"/>
              <w:ind w:right="340"/>
              <w:spacing w:after="0"/>
              <w:rPr>
                <w:sz w:val="20"/>
                <w:szCs w:val="20"/>
                <w:color w:val="auto"/>
              </w:rPr>
            </w:pPr>
            <w:r>
              <w:rPr>
                <w:rFonts w:ascii="Arial" w:cs="Arial" w:eastAsia="Arial" w:hAnsi="Arial"/>
                <w:sz w:val="8"/>
                <w:szCs w:val="8"/>
                <w:b w:val="1"/>
                <w:bCs w:val="1"/>
                <w:color w:val="auto"/>
                <w:w w:val="7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2,386</w:t>
            </w:r>
          </w:p>
        </w:tc>
        <w:tc>
          <w:tcPr>
            <w:tcW w:w="4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922,636</w:t>
            </w:r>
          </w:p>
        </w:tc>
        <w:tc>
          <w:tcPr>
            <w:tcW w:w="1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Payables and Accruals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E5FFFF"/>
            </w:tcBorders>
          </w:tcPr>
          <w:p>
            <w:pPr>
              <w:spacing w:after="0"/>
              <w:rPr>
                <w:sz w:val="20"/>
                <w:szCs w:val="20"/>
                <w:color w:val="auto"/>
              </w:rPr>
            </w:pPr>
          </w:p>
        </w:tc>
        <w:tc>
          <w:tcPr>
            <w:tcW w:w="1500" w:type="dxa"/>
            <w:vAlign w:val="bottom"/>
            <w:tcBorders>
              <w:bottom w:val="single" w:sz="8" w:color="E5FFFF"/>
            </w:tcBorders>
          </w:tcPr>
          <w:p>
            <w:pPr>
              <w:spacing w:after="0"/>
              <w:rPr>
                <w:sz w:val="20"/>
                <w:szCs w:val="20"/>
                <w:color w:val="auto"/>
              </w:rPr>
            </w:pPr>
          </w:p>
        </w:tc>
        <w:tc>
          <w:tcPr>
            <w:tcW w:w="480" w:type="dxa"/>
            <w:vAlign w:val="bottom"/>
            <w:tcBorders>
              <w:bottom w:val="single" w:sz="8" w:color="E5FFFF"/>
            </w:tcBorders>
          </w:tcPr>
          <w:p>
            <w:pPr>
              <w:spacing w:after="0"/>
              <w:rPr>
                <w:sz w:val="20"/>
                <w:szCs w:val="20"/>
                <w:color w:val="auto"/>
              </w:rPr>
            </w:pPr>
          </w:p>
        </w:tc>
        <w:tc>
          <w:tcPr>
            <w:tcW w:w="1480" w:type="dxa"/>
            <w:vAlign w:val="bottom"/>
            <w:tcBorders>
              <w:bottom w:val="single" w:sz="8" w:color="E5FFFF"/>
            </w:tcBorders>
          </w:tcPr>
          <w:p>
            <w:pPr>
              <w:spacing w:after="0"/>
              <w:rPr>
                <w:sz w:val="20"/>
                <w:szCs w:val="20"/>
                <w:color w:val="auto"/>
              </w:rPr>
            </w:pPr>
          </w:p>
        </w:tc>
        <w:tc>
          <w:tcPr>
            <w:tcW w:w="44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Unearned revenue</w:t>
            </w:r>
          </w:p>
        </w:tc>
        <w:tc>
          <w:tcPr>
            <w:tcW w:w="15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20,023</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5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2,615</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Accrued off-hire</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Accrued purchases</w:t>
            </w:r>
          </w:p>
        </w:tc>
        <w:tc>
          <w:tcPr>
            <w:tcW w:w="15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1,287</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Accrued interest</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16"/>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Accrued board of directors’ fees</w:t>
            </w:r>
          </w:p>
        </w:tc>
        <w:tc>
          <w:tcPr>
            <w:tcW w:w="15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720" w:type="dxa"/>
            <w:vAlign w:val="bottom"/>
            <w:gridSpan w:val="3"/>
            <w:shd w:val="clear" w:color="auto" w:fill="E5FFFF"/>
          </w:tcPr>
          <w:p>
            <w:pPr>
              <w:jc w:val="right"/>
              <w:ind w:right="34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3"/>
        </w:trPr>
        <w:tc>
          <w:tcPr>
            <w:tcW w:w="40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E5FFFF"/>
              <w:bottom w:val="single" w:sz="8" w:color="E5FFFF"/>
            </w:tcBorders>
            <w:shd w:val="clear" w:color="auto" w:fill="E5FFFF"/>
          </w:tcPr>
          <w:p>
            <w:pPr>
              <w:spacing w:after="0"/>
              <w:rPr>
                <w:sz w:val="19"/>
                <w:szCs w:val="19"/>
                <w:color w:val="auto"/>
              </w:rPr>
            </w:pPr>
          </w:p>
        </w:tc>
        <w:tc>
          <w:tcPr>
            <w:tcW w:w="48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E5FFFF"/>
              <w:bottom w:val="single" w:sz="8" w:color="E5FFFF"/>
            </w:tcBorders>
            <w:shd w:val="clear" w:color="auto" w:fill="E5FFFF"/>
          </w:tcPr>
          <w:p>
            <w:pPr>
              <w:spacing w:after="0"/>
              <w:rPr>
                <w:sz w:val="19"/>
                <w:szCs w:val="19"/>
                <w:color w:val="auto"/>
              </w:rPr>
            </w:pP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33,722</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33,575</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8. General and Administrative Expenses</w:t>
            </w: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ind w:left="420"/>
              <w:spacing w:after="0"/>
              <w:rPr>
                <w:sz w:val="20"/>
                <w:szCs w:val="20"/>
                <w:color w:val="auto"/>
              </w:rPr>
            </w:pPr>
            <w:r>
              <w:rPr>
                <w:rFonts w:ascii="Arial" w:cs="Arial" w:eastAsia="Arial" w:hAnsi="Arial"/>
                <w:sz w:val="18"/>
                <w:szCs w:val="18"/>
                <w:color w:val="auto"/>
              </w:rPr>
              <w:t>An analysis of general and administrative expenses is as follows:</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20" w:type="dxa"/>
            <w:vAlign w:val="bottom"/>
          </w:tcPr>
          <w:p>
            <w:pPr>
              <w:spacing w:after="0"/>
              <w:rPr>
                <w:sz w:val="24"/>
                <w:szCs w:val="24"/>
                <w:color w:val="auto"/>
              </w:rPr>
            </w:pPr>
          </w:p>
        </w:tc>
        <w:tc>
          <w:tcPr>
            <w:tcW w:w="4100" w:type="dxa"/>
            <w:vAlign w:val="bottom"/>
            <w:gridSpan w:val="5"/>
          </w:tcPr>
          <w:p>
            <w:pPr>
              <w:ind w:left="660"/>
              <w:spacing w:after="0"/>
              <w:rPr>
                <w:sz w:val="20"/>
                <w:szCs w:val="20"/>
                <w:color w:val="auto"/>
              </w:rPr>
            </w:pPr>
            <w:r>
              <w:rPr>
                <w:rFonts w:ascii="Arial" w:cs="Arial" w:eastAsia="Arial" w:hAnsi="Arial"/>
                <w:sz w:val="18"/>
                <w:szCs w:val="18"/>
                <w:b w:val="1"/>
                <w:bCs w:val="1"/>
                <w:color w:val="auto"/>
              </w:rPr>
              <w:t>For the three months ended</w:t>
            </w:r>
          </w:p>
        </w:tc>
        <w:tc>
          <w:tcPr>
            <w:tcW w:w="3300" w:type="dxa"/>
            <w:vAlign w:val="bottom"/>
            <w:gridSpan w:val="6"/>
          </w:tcPr>
          <w:p>
            <w:pPr>
              <w:ind w:left="5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June 30, 2016</w:t>
            </w:r>
          </w:p>
        </w:tc>
        <w:tc>
          <w:tcPr>
            <w:tcW w:w="2120" w:type="dxa"/>
            <w:vAlign w:val="bottom"/>
            <w:gridSpan w:val="3"/>
          </w:tcPr>
          <w:p>
            <w:pPr>
              <w:ind w:left="220"/>
              <w:spacing w:after="0"/>
              <w:rPr>
                <w:sz w:val="20"/>
                <w:szCs w:val="20"/>
                <w:color w:val="auto"/>
              </w:rPr>
            </w:pPr>
            <w:r>
              <w:rPr>
                <w:rFonts w:ascii="Arial" w:cs="Arial" w:eastAsia="Arial" w:hAnsi="Arial"/>
                <w:sz w:val="18"/>
                <w:szCs w:val="18"/>
                <w:b w:val="1"/>
                <w:bCs w:val="1"/>
                <w:color w:val="auto"/>
              </w:rPr>
              <w:t>June 30, 2017</w:t>
            </w:r>
          </w:p>
        </w:tc>
        <w:tc>
          <w:tcPr>
            <w:tcW w:w="1840" w:type="dxa"/>
            <w:vAlign w:val="bottom"/>
            <w:gridSpan w:val="4"/>
          </w:tcPr>
          <w:p>
            <w:pPr>
              <w:ind w:left="20"/>
              <w:spacing w:after="0"/>
              <w:rPr>
                <w:sz w:val="20"/>
                <w:szCs w:val="20"/>
                <w:color w:val="auto"/>
              </w:rPr>
            </w:pPr>
            <w:r>
              <w:rPr>
                <w:rFonts w:ascii="Arial" w:cs="Arial" w:eastAsia="Arial" w:hAnsi="Arial"/>
                <w:sz w:val="18"/>
                <w:szCs w:val="18"/>
                <w:b w:val="1"/>
                <w:bCs w:val="1"/>
                <w:color w:val="auto"/>
              </w:rPr>
              <w:t>June 30, 2016</w:t>
            </w: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4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Board of directors’ fees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w:t>
            </w:r>
          </w:p>
        </w:tc>
        <w:tc>
          <w:tcPr>
            <w:tcW w:w="48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80" w:type="dxa"/>
            <w:vAlign w:val="bottom"/>
            <w:gridSpan w:val="2"/>
          </w:tcPr>
          <w:p>
            <w:pPr>
              <w:jc w:val="right"/>
              <w:ind w:right="390"/>
              <w:spacing w:after="0"/>
              <w:rPr>
                <w:sz w:val="20"/>
                <w:szCs w:val="20"/>
                <w:color w:val="auto"/>
              </w:rPr>
            </w:pPr>
            <w:r>
              <w:rPr>
                <w:rFonts w:ascii="Arial" w:cs="Arial" w:eastAsia="Arial" w:hAnsi="Arial"/>
                <w:sz w:val="18"/>
                <w:szCs w:val="18"/>
                <w:color w:val="auto"/>
              </w:rPr>
              <w:t>136</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Legal and professional fees</w:t>
            </w:r>
          </w:p>
        </w:tc>
        <w:tc>
          <w:tcPr>
            <w:tcW w:w="1980" w:type="dxa"/>
            <w:vAlign w:val="bottom"/>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447</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Commercial management fees (Note 3)</w:t>
            </w:r>
          </w:p>
        </w:tc>
        <w:tc>
          <w:tcPr>
            <w:tcW w:w="1980" w:type="dxa"/>
            <w:vAlign w:val="bottom"/>
            <w:gridSpan w:val="2"/>
          </w:tcPr>
          <w:p>
            <w:pPr>
              <w:jc w:val="right"/>
              <w:ind w:right="390"/>
              <w:spacing w:after="0"/>
              <w:rPr>
                <w:sz w:val="20"/>
                <w:szCs w:val="20"/>
                <w:color w:val="auto"/>
              </w:rPr>
            </w:pPr>
            <w:r>
              <w:rPr>
                <w:rFonts w:ascii="Arial" w:cs="Arial" w:eastAsia="Arial" w:hAnsi="Arial"/>
                <w:sz w:val="18"/>
                <w:szCs w:val="18"/>
                <w:color w:val="auto"/>
              </w:rPr>
              <w:t>945</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Administrative fees (Note 3)</w:t>
            </w:r>
          </w:p>
        </w:tc>
        <w:tc>
          <w:tcPr>
            <w:tcW w:w="1980" w:type="dxa"/>
            <w:vAlign w:val="bottom"/>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1,176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1,525</w:t>
            </w: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2,352</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Foreign exchange differences, net</w:t>
            </w:r>
          </w:p>
        </w:tc>
        <w:tc>
          <w:tcPr>
            <w:tcW w:w="1980" w:type="dxa"/>
            <w:vAlign w:val="bottom"/>
            <w:gridSpan w:val="2"/>
          </w:tcPr>
          <w:p>
            <w:pPr>
              <w:jc w:val="right"/>
              <w:ind w:right="330"/>
              <w:spacing w:after="0"/>
              <w:rPr>
                <w:sz w:val="20"/>
                <w:szCs w:val="20"/>
                <w:color w:val="auto"/>
              </w:rPr>
            </w:pPr>
            <w:r>
              <w:rPr>
                <w:rFonts w:ascii="Arial" w:cs="Arial" w:eastAsia="Arial" w:hAnsi="Arial"/>
                <w:sz w:val="18"/>
                <w:szCs w:val="18"/>
                <w:color w:val="auto"/>
              </w:rPr>
              <w:t>(60)</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Other expenses, net</w:t>
            </w:r>
          </w:p>
        </w:tc>
        <w:tc>
          <w:tcPr>
            <w:tcW w:w="1980" w:type="dxa"/>
            <w:vAlign w:val="bottom"/>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225</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E5FFFF"/>
          </w:tcPr>
          <w:p>
            <w:pPr>
              <w:spacing w:after="0"/>
              <w:rPr>
                <w:sz w:val="19"/>
                <w:szCs w:val="19"/>
                <w:color w:val="auto"/>
              </w:rPr>
            </w:pP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w:t>
            </w:r>
          </w:p>
        </w:tc>
        <w:tc>
          <w:tcPr>
            <w:tcW w:w="4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3,301</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8"/>
                <w:szCs w:val="18"/>
                <w:color w:val="auto"/>
                <w:w w:val="91"/>
              </w:rPr>
              <w:t>F-12</w:t>
            </w: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9. Derivative Financial Instruments</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The fair value of the derivative assets is as follows:</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70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3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77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Interest rate swaps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440" w:type="dxa"/>
            <w:vAlign w:val="bottom"/>
            <w:tcBorders>
              <w:bottom w:val="single" w:sz="8" w:color="E5FF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6,008</w:t>
            </w:r>
          </w:p>
        </w:tc>
        <w:tc>
          <w:tcPr>
            <w:tcW w:w="440" w:type="dxa"/>
            <w:vAlign w:val="bottom"/>
            <w:tcBorders>
              <w:bottom w:val="single" w:sz="8" w:color="E5FFFF"/>
            </w:tcBorders>
            <w:shd w:val="clear" w:color="auto" w:fill="E5FFFF"/>
          </w:tcPr>
          <w:p>
            <w:pPr>
              <w:spacing w:after="0"/>
              <w:rPr>
                <w:sz w:val="19"/>
                <w:szCs w:val="19"/>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3,749</w:t>
            </w:r>
          </w:p>
        </w:tc>
        <w:tc>
          <w:tcPr>
            <w:tcW w:w="12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70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non-current asset</w:t>
            </w: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7700" w:type="dxa"/>
            <w:vAlign w:val="bottom"/>
            <w:tcBorders>
              <w:bottom w:val="single" w:sz="8" w:color="E5FFFF"/>
            </w:tcBorders>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6,008</w:t>
            </w:r>
          </w:p>
        </w:tc>
        <w:tc>
          <w:tcPr>
            <w:tcW w:w="4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w:t>
            </w:r>
          </w:p>
        </w:tc>
        <w:tc>
          <w:tcPr>
            <w:tcW w:w="1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6,008</w:t>
            </w:r>
          </w:p>
        </w:tc>
        <w:tc>
          <w:tcPr>
            <w:tcW w:w="440" w:type="dxa"/>
            <w:vAlign w:val="bottom"/>
            <w:tcBorders>
              <w:bottom w:val="single" w:sz="8" w:color="E5FFFF"/>
            </w:tcBorders>
            <w:shd w:val="clear" w:color="auto" w:fill="E5FFFF"/>
          </w:tcPr>
          <w:p>
            <w:pPr>
              <w:spacing w:after="0"/>
              <w:rPr>
                <w:sz w:val="19"/>
                <w:szCs w:val="19"/>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3,749</w:t>
            </w:r>
          </w:p>
        </w:tc>
        <w:tc>
          <w:tcPr>
            <w:tcW w:w="12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05" w:right="239" w:bottom="360" w:gutter="0" w:footer="0" w:header="0"/>
        </w:sectPr>
      </w:pP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derivative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-113030</wp:posOffset>
            </wp:positionV>
            <wp:extent cx="687768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rate swaps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-121920</wp:posOffset>
            </wp:positionV>
            <wp:extent cx="687768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Derivative financial instruments, current liability</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-121920</wp:posOffset>
            </wp:positionV>
            <wp:extent cx="687768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Interest rate swap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439"/>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4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r>
      <w:tr>
        <w:trPr>
          <w:trHeight w:val="22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4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1,836</w:t>
            </w:r>
          </w:p>
        </w:tc>
        <w:tc>
          <w:tcPr>
            <w:tcW w:w="44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w:t>
            </w:r>
          </w:p>
        </w:tc>
      </w:tr>
      <w:tr>
        <w:trPr>
          <w:trHeight w:val="22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4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280" w:space="720"/>
            <w:col w:w="3420"/>
          </w:cols>
          <w:pgMar w:left="240" w:top="405" w:right="239" w:bottom="360" w:gutter="0" w:footer="0" w:header="0"/>
          <w:type w:val="continuous"/>
        </w:sectPr>
      </w:pPr>
    </w:p>
    <w:p>
      <w:pPr>
        <w:spacing w:after="0" w:line="2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amounts based on the three-month U.S. dollar LIBOR, and the Partnership effects quarterly payments to the counterparty on the notional amounts at the respective fixed rates.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Fixed</w:t>
            </w:r>
          </w:p>
        </w:tc>
        <w:tc>
          <w:tcPr>
            <w:tcW w:w="28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Interest</w:t>
            </w: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Counterparty</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Trade 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 Date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 Partners</w:t>
            </w:r>
          </w:p>
        </w:tc>
        <w:tc>
          <w:tcPr>
            <w:tcW w:w="12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Nov 2016</w:t>
            </w:r>
          </w:p>
        </w:tc>
        <w:tc>
          <w:tcPr>
            <w:tcW w:w="10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Nov 2016</w:t>
            </w:r>
          </w:p>
        </w:tc>
        <w:tc>
          <w:tcPr>
            <w:tcW w:w="1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2020</w:t>
            </w:r>
          </w:p>
        </w:tc>
        <w:tc>
          <w:tcPr>
            <w:tcW w:w="1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1.54%</w:t>
            </w:r>
          </w:p>
        </w:tc>
        <w:tc>
          <w:tcPr>
            <w:tcW w:w="1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ind w:left="780"/>
              <w:spacing w:after="0"/>
              <w:rPr>
                <w:sz w:val="20"/>
                <w:szCs w:val="20"/>
                <w:color w:val="auto"/>
              </w:rPr>
            </w:pPr>
            <w:r>
              <w:rPr>
                <w:rFonts w:ascii="Arial" w:cs="Arial" w:eastAsia="Arial" w:hAnsi="Arial"/>
                <w:sz w:val="18"/>
                <w:szCs w:val="18"/>
                <w:color w:val="auto"/>
                <w:w w:val="86"/>
              </w:rPr>
              <w:t>130,000</w:t>
            </w:r>
          </w:p>
        </w:tc>
        <w:tc>
          <w:tcPr>
            <w:tcW w:w="1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58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Nov 2016</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Nov 2016</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1.63%</w:t>
            </w:r>
          </w:p>
        </w:tc>
        <w:tc>
          <w:tcPr>
            <w:tcW w:w="14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130,000</w:t>
            </w:r>
          </w:p>
        </w:tc>
        <w:tc>
          <w:tcPr>
            <w:tcW w:w="1360" w:type="dxa"/>
            <w:vAlign w:val="bottom"/>
          </w:tcPr>
          <w:p>
            <w:pPr>
              <w:jc w:val="right"/>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Partners</w:t>
            </w:r>
          </w:p>
        </w:tc>
        <w:tc>
          <w:tcPr>
            <w:tcW w:w="1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Nov 2016</w:t>
            </w:r>
          </w:p>
        </w:tc>
        <w:tc>
          <w:tcPr>
            <w:tcW w:w="13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Nov 2016</w:t>
            </w:r>
          </w:p>
        </w:tc>
        <w:tc>
          <w:tcPr>
            <w:tcW w:w="146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1.715%</w:t>
            </w:r>
          </w:p>
        </w:tc>
        <w:tc>
          <w:tcPr>
            <w:tcW w:w="14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ind w:left="780"/>
              <w:spacing w:after="0"/>
              <w:rPr>
                <w:sz w:val="20"/>
                <w:szCs w:val="20"/>
                <w:color w:val="auto"/>
              </w:rPr>
            </w:pPr>
            <w:r>
              <w:rPr>
                <w:rFonts w:ascii="Arial" w:cs="Arial" w:eastAsia="Arial" w:hAnsi="Arial"/>
                <w:sz w:val="18"/>
                <w:szCs w:val="18"/>
                <w:color w:val="auto"/>
              </w:rPr>
              <w:t>130,000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w w:val="86"/>
              </w:rPr>
              <w:t>390,000</w:t>
            </w:r>
          </w:p>
        </w:tc>
        <w:tc>
          <w:tcPr>
            <w:tcW w:w="1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390,000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The derivative instruments listed above were not designated as cash flow hedging instruments as of June 30, 2017. The change in the fair value of the derivative contracts for the three and six months ended June 30, 2017 amounted to a loss of $1,857 and $1,209, respectively (for the three and six months ended June 30, 2016: $382 and $2,617, respectively), which was recognized against profit or loss in the period incurred and is included in Loss on interest rate swaps. During the three and six months ended June 30, 2017, the loss of $1,857 and $1,209, respectively, derived mainly from the fact that the LIBOR yield curve, which was used to calculate the present value of the estimated future cash flows, was lower than the agreed fixed interest rates resulting in a decrease in net derivative assets from interest rate swaps held for trading.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Opening balance</w:t>
            </w:r>
          </w:p>
        </w:tc>
        <w:tc>
          <w:tcPr>
            <w:tcW w:w="2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Non-cash items</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derivative assets as of January 1, 2017</w:t>
            </w: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4,172</w:t>
            </w:r>
          </w:p>
        </w:tc>
        <w:tc>
          <w:tcPr>
            <w:tcW w:w="44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4,172</w:t>
            </w:r>
          </w:p>
        </w:tc>
        <w:tc>
          <w:tcPr>
            <w:tcW w:w="120" w:type="dxa"/>
            <w:vAlign w:val="bottom"/>
            <w:tcBorders>
              <w:top w:val="single" w:sz="8" w:color="E5FFFF"/>
            </w:tcBorders>
            <w:shd w:val="clear" w:color="auto" w:fill="E5FF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Unrealized loss on interest rate swaps held for trading (Note 10)</w:t>
            </w: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00"/>
              <w:spacing w:after="0"/>
              <w:rPr>
                <w:sz w:val="20"/>
                <w:szCs w:val="20"/>
                <w:color w:val="auto"/>
              </w:rPr>
            </w:pPr>
            <w:r>
              <w:rPr>
                <w:rFonts w:ascii="Arial" w:cs="Arial" w:eastAsia="Arial" w:hAnsi="Arial"/>
                <w:sz w:val="18"/>
                <w:szCs w:val="18"/>
                <w:color w:val="auto"/>
              </w:rPr>
              <w:t>(1,209)</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r>
      <w:tr>
        <w:trPr>
          <w:trHeight w:val="223"/>
        </w:trPr>
        <w:tc>
          <w:tcPr>
            <w:tcW w:w="5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derivative assets as of June 30, 2017</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4,172</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(1,209</w:t>
            </w:r>
          </w:p>
        </w:tc>
        <w:tc>
          <w:tcPr>
            <w:tcW w:w="440" w:type="dxa"/>
            <w:vAlign w:val="bottom"/>
            <w:tcBorders>
              <w:top w:val="single" w:sz="8" w:color="E5FFFF"/>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2,963</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05" w:right="239" w:bottom="360" w:gutter="0" w:footer="0" w:header="0"/>
          <w:type w:val="continuous"/>
        </w:sectPr>
      </w:pPr>
    </w:p>
    <w:p>
      <w:pPr>
        <w:ind w:left="420" w:hanging="412"/>
        <w:spacing w:after="0" w:line="629" w:lineRule="auto"/>
        <w:tabs>
          <w:tab w:leader="none" w:pos="28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Costs and Loss on Interest Rate Swaps </w:t>
      </w:r>
      <w:r>
        <w:rPr>
          <w:rFonts w:ascii="Arial" w:cs="Arial" w:eastAsia="Arial" w:hAnsi="Arial"/>
          <w:sz w:val="16"/>
          <w:szCs w:val="16"/>
          <w:color w:val="auto"/>
        </w:rPr>
        <w:t>An analysis of financial costs is as follows: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loan issuance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costs including bank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financial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For the three months ended</w:t>
            </w:r>
          </w:p>
        </w:tc>
        <w:tc>
          <w:tcPr>
            <w:tcW w:w="32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18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 2016</w:t>
            </w:r>
          </w:p>
        </w:tc>
        <w:tc>
          <w:tcPr>
            <w:tcW w:w="18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 2017</w:t>
            </w:r>
          </w:p>
        </w:tc>
        <w:tc>
          <w:tcPr>
            <w:tcW w:w="1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 2016</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June 30, 2017</w:t>
            </w:r>
          </w:p>
        </w:tc>
      </w:tr>
      <w:tr>
        <w:trPr>
          <w:trHeight w:val="195"/>
        </w:trPr>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(1,256)</w:t>
            </w:r>
          </w:p>
        </w:tc>
        <w:tc>
          <w:tcPr>
            <w:tcW w:w="46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(1,233)</w:t>
            </w:r>
          </w:p>
        </w:tc>
        <w:tc>
          <w:tcPr>
            <w:tcW w:w="46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(2,421)</w:t>
            </w:r>
          </w:p>
        </w:tc>
        <w:tc>
          <w:tcPr>
            <w:tcW w:w="44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(2,386)</w:t>
            </w:r>
          </w:p>
        </w:tc>
        <w:tc>
          <w:tcPr>
            <w:tcW w:w="60" w:type="dxa"/>
            <w:vAlign w:val="bottom"/>
            <w:gridSpan w:val="2"/>
          </w:tcPr>
          <w:p>
            <w:pPr>
              <w:spacing w:after="0"/>
              <w:rPr>
                <w:sz w:val="16"/>
                <w:szCs w:val="16"/>
                <w:color w:val="auto"/>
              </w:rPr>
            </w:pPr>
          </w:p>
        </w:tc>
      </w:tr>
      <w:tr>
        <w:trPr>
          <w:trHeight w:val="216"/>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(8,087)</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(9,383)</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(15,054)</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(18,108)</w:t>
            </w:r>
          </w:p>
        </w:tc>
      </w:tr>
      <w:tr>
        <w:trPr>
          <w:trHeight w:val="216"/>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(300)</w:t>
            </w:r>
          </w:p>
        </w:tc>
      </w:tr>
      <w:tr>
        <w:trPr>
          <w:trHeight w:val="244"/>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(9,576</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(10,782</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(17,913</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(20,931</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F-13</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-1002665</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-719455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-436880</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137160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020" w:space="460"/>
            <w:col w:w="6940"/>
          </w:cols>
          <w:pgMar w:left="240" w:top="405" w:right="239" w:bottom="360" w:gutter="0" w:footer="0" w:header="0"/>
          <w:type w:val="continuous"/>
        </w:sectPr>
      </w:pPr>
    </w:p>
    <w:bookmarkStart w:id="39" w:name="page40"/>
    <w:bookmarkEnd w:id="39"/>
    <w:p>
      <w:pPr>
        <w:ind w:left="420"/>
        <w:spacing w:after="0"/>
        <w:rPr>
          <w:sz w:val="20"/>
          <w:szCs w:val="20"/>
          <w:color w:val="auto"/>
        </w:rPr>
      </w:pPr>
      <w:r>
        <w:rPr>
          <w:rFonts w:ascii="Arial" w:cs="Arial" w:eastAsia="Arial" w:hAnsi="Arial"/>
          <w:sz w:val="16"/>
          <w:szCs w:val="16"/>
          <w:color w:val="auto"/>
        </w:rPr>
        <w:t>An analysis of loss on interest rate swaps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right="500" w:hanging="179"/>
        <w:spacing w:after="0" w:line="258" w:lineRule="auto"/>
        <w:rPr>
          <w:sz w:val="20"/>
          <w:szCs w:val="20"/>
          <w:color w:val="auto"/>
        </w:rPr>
      </w:pPr>
      <w:r>
        <w:rPr>
          <w:rFonts w:ascii="Arial" w:cs="Arial" w:eastAsia="Arial" w:hAnsi="Arial"/>
          <w:sz w:val="18"/>
          <w:szCs w:val="18"/>
          <w:color w:val="auto"/>
        </w:rPr>
        <w:t>Unrealized loss on interest rate swaps held for trading (Note 9)</w:t>
      </w:r>
    </w:p>
    <w:p>
      <w:pPr>
        <w:spacing w:after="0" w:line="1"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Realized loss on interest rate swaps held for trading Recycled loss of cash flow hedges reclassified to profit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loss on interest rate swaps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Non-cash Items on Statements of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For the three months ended</w:t>
            </w:r>
          </w:p>
        </w:tc>
        <w:tc>
          <w:tcPr>
            <w:tcW w:w="32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30, 2016</w:t>
            </w:r>
          </w:p>
        </w:tc>
        <w:tc>
          <w:tcPr>
            <w:tcW w:w="460" w:type="dxa"/>
            <w:vAlign w:val="bottom"/>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46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2016</w:t>
            </w:r>
          </w:p>
        </w:tc>
        <w:tc>
          <w:tcPr>
            <w:tcW w:w="44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2017</w:t>
            </w:r>
          </w:p>
        </w:tc>
        <w:tc>
          <w:tcPr>
            <w:tcW w:w="60" w:type="dxa"/>
            <w:vAlign w:val="bottom"/>
            <w:gridSpan w:val="2"/>
          </w:tcPr>
          <w:p>
            <w:pPr>
              <w:spacing w:after="0"/>
              <w:rPr>
                <w:sz w:val="20"/>
                <w:szCs w:val="20"/>
                <w:color w:val="auto"/>
              </w:rPr>
            </w:pPr>
          </w:p>
        </w:tc>
      </w:tr>
      <w:tr>
        <w:trPr>
          <w:trHeight w:val="398"/>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(382)</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(1,857)</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(2,617)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(1,209)</w:t>
            </w:r>
          </w:p>
        </w:tc>
      </w:tr>
      <w:tr>
        <w:trPr>
          <w:trHeight w:val="230"/>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(465)</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(479)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(988)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(1,104)</w:t>
            </w:r>
          </w:p>
        </w:tc>
      </w:tr>
      <w:tr>
        <w:trPr>
          <w:trHeight w:val="446"/>
        </w:trPr>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(3,892</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(2,313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-874395</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-462280</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380" w:space="100"/>
            <w:col w:w="6940"/>
          </w:cols>
          <w:pgMar w:left="240" w:top="409" w:right="239" w:bottom="1440" w:gutter="0" w:footer="0" w:header="0"/>
        </w:sectPr>
      </w:pPr>
    </w:p>
    <w:p>
      <w:pPr>
        <w:spacing w:after="0" w:line="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June 30, 2017, there were capital expenditures of $2,488 which had not been paid during the period ended June 30, 2017 and were included in current liabilities (December 31, 2016: $21).</w:t>
      </w:r>
    </w:p>
    <w:p>
      <w:pPr>
        <w:spacing w:after="0" w:line="17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June 30, 2017, there were offering costs of $955 which had not been paid during the period ended June 30, 2017 and were included in current liabilities (December 31, 2016: $5).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2016, there were capital expenditures for vessels before dropdown of $10,395 paid through capital contributions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$10,050).</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2016, there were capital expenditures for vessels paid through related parties of $291 (December 31, 2015: $1,303).</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 of June 30, 2016, there were capital expenditures of $900 which had not been paid during the period ended June 30, 2016 and were included in current liabilities (December 31, 2015: $822).</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June 30, 2016, there were financing costs of $143 which had not been paid during the period ended June 30, 2016 and were included in liabilities (December 31, 2015: $45).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Distributions</w:t>
      </w:r>
    </w:p>
    <w:p>
      <w:pPr>
        <w:spacing w:after="0" w:line="229" w:lineRule="exact"/>
        <w:rPr>
          <w:sz w:val="20"/>
          <w:szCs w:val="20"/>
          <w:color w:val="auto"/>
        </w:rPr>
      </w:pPr>
    </w:p>
    <w:p>
      <w:pPr>
        <w:ind w:right="400" w:firstLine="383"/>
        <w:spacing w:after="0" w:line="342" w:lineRule="auto"/>
        <w:rPr>
          <w:sz w:val="20"/>
          <w:szCs w:val="20"/>
          <w:color w:val="auto"/>
        </w:rPr>
      </w:pPr>
      <w:r>
        <w:rPr>
          <w:rFonts w:ascii="Arial" w:cs="Arial" w:eastAsia="Arial" w:hAnsi="Arial"/>
          <w:sz w:val="16"/>
          <w:szCs w:val="16"/>
          <w:color w:val="auto"/>
        </w:rPr>
        <w:t>On January 26, 2017, the board of directors of the Partnership approved and declared a quarterly cash distribution, with respect to the quarter ended December 31, 2016, of $0.49 per common unit. The cash distribution was paid on February 10, 2017 to all unitholders of record as of February 6, 2017.</w:t>
      </w:r>
    </w:p>
    <w:p>
      <w:pPr>
        <w:spacing w:after="0" w:line="124" w:lineRule="exact"/>
        <w:rPr>
          <w:sz w:val="20"/>
          <w:szCs w:val="20"/>
          <w:color w:val="auto"/>
        </w:rPr>
      </w:pPr>
    </w:p>
    <w:p>
      <w:pPr>
        <w:ind w:right="60" w:firstLine="383"/>
        <w:spacing w:after="0" w:line="308" w:lineRule="auto"/>
        <w:rPr>
          <w:sz w:val="20"/>
          <w:szCs w:val="20"/>
          <w:color w:val="auto"/>
        </w:rPr>
      </w:pPr>
      <w:r>
        <w:rPr>
          <w:rFonts w:ascii="Arial" w:cs="Arial" w:eastAsia="Arial" w:hAnsi="Arial"/>
          <w:sz w:val="17"/>
          <w:szCs w:val="17"/>
          <w:color w:val="auto"/>
        </w:rPr>
        <w:t>On April 26, 2017, the board of directors of the Partnership approved and declared a quarterly cash distribution, with respect to the quarter ended March 31, 2017, of $0.50 per common unit. The cash distribution was paid on May 12, 2017 to all unitholders of record as of May 8,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Unit (“EPU”)</w:t>
      </w:r>
    </w:p>
    <w:p>
      <w:pPr>
        <w:spacing w:after="0" w:line="229" w:lineRule="exact"/>
        <w:rPr>
          <w:sz w:val="20"/>
          <w:szCs w:val="20"/>
          <w:color w:val="auto"/>
        </w:rPr>
      </w:pPr>
    </w:p>
    <w:p>
      <w:pPr>
        <w:ind w:right="80" w:firstLine="396"/>
        <w:spacing w:after="0" w:line="277" w:lineRule="auto"/>
        <w:rPr>
          <w:sz w:val="20"/>
          <w:szCs w:val="20"/>
          <w:color w:val="auto"/>
        </w:rPr>
      </w:pPr>
      <w:r>
        <w:rPr>
          <w:rFonts w:ascii="Arial" w:cs="Arial" w:eastAsia="Arial" w:hAnsi="Arial"/>
          <w:sz w:val="18"/>
          <w:szCs w:val="18"/>
          <w:color w:val="auto"/>
        </w:rPr>
        <w:t>The Partnership calculates earnings per unit by allocating reported profit for each period after deducting accrued dividends on preference units, whether or not declared, to each class of units based on the distribution policy for available cash stated in the Partnership Agreement.</w:t>
      </w:r>
    </w:p>
    <w:p>
      <w:pPr>
        <w:spacing w:after="0" w:line="170" w:lineRule="exact"/>
        <w:rPr>
          <w:sz w:val="20"/>
          <w:szCs w:val="20"/>
          <w:color w:val="auto"/>
        </w:rPr>
      </w:pPr>
    </w:p>
    <w:p>
      <w:pPr>
        <w:jc w:val="both"/>
        <w:ind w:right="220" w:firstLine="396"/>
        <w:spacing w:after="0" w:line="312" w:lineRule="auto"/>
        <w:rPr>
          <w:sz w:val="20"/>
          <w:szCs w:val="20"/>
          <w:color w:val="auto"/>
        </w:rPr>
      </w:pPr>
      <w:r>
        <w:rPr>
          <w:rFonts w:ascii="Arial" w:cs="Arial" w:eastAsia="Arial" w:hAnsi="Arial"/>
          <w:sz w:val="16"/>
          <w:szCs w:val="16"/>
          <w:color w:val="auto"/>
        </w:rPr>
        <w:t>Basic earnings per unit is determined by dividing profit for the period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per unit is presented for the period in which the units were outstanding, with earnings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368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For the three months ended</w:t>
            </w:r>
          </w:p>
        </w:tc>
        <w:tc>
          <w:tcPr>
            <w:tcW w:w="32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2016</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 2017</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 2016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10"/>
        </w:trPr>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22,529</w:t>
            </w:r>
          </w:p>
        </w:tc>
        <w:tc>
          <w:tcPr>
            <w:tcW w:w="46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20,561</w:t>
            </w:r>
          </w:p>
        </w:tc>
        <w:tc>
          <w:tcPr>
            <w:tcW w:w="4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38,395</w:t>
            </w:r>
          </w:p>
        </w:tc>
        <w:tc>
          <w:tcPr>
            <w:tcW w:w="4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44,906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Less:</w:t>
            </w: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Profit attributable to GasLog’s operations*</w:t>
            </w:r>
          </w:p>
        </w:tc>
        <w:tc>
          <w:tcPr>
            <w:tcW w:w="18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(5,146)</w:t>
            </w:r>
          </w:p>
        </w:tc>
        <w:tc>
          <w:tcPr>
            <w:tcW w:w="18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(1,203)</w:t>
            </w:r>
          </w:p>
        </w:tc>
        <w:tc>
          <w:tcPr>
            <w:tcW w:w="18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(4,821)</w:t>
            </w:r>
          </w:p>
        </w:tc>
        <w:tc>
          <w:tcPr>
            <w:tcW w:w="14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Partnership’s profit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17,383</w:t>
            </w:r>
          </w:p>
        </w:tc>
        <w:tc>
          <w:tcPr>
            <w:tcW w:w="4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4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33,574</w:t>
            </w:r>
          </w:p>
        </w:tc>
        <w:tc>
          <w:tcPr>
            <w:tcW w:w="4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Adjustment for:</w:t>
            </w:r>
          </w:p>
        </w:tc>
        <w:tc>
          <w:tcPr>
            <w:tcW w:w="13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Accrued preferred equity distributions</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(1,549)</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3"/>
        </w:trPr>
        <w:tc>
          <w:tcPr>
            <w:tcW w:w="44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17,383</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17,809</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33,574</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38,831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Common unitholders</w:t>
            </w: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11,295</w:t>
            </w:r>
          </w:p>
        </w:tc>
        <w:tc>
          <w:tcPr>
            <w:tcW w:w="4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17,349</w:t>
            </w:r>
          </w:p>
        </w:tc>
        <w:tc>
          <w:tcPr>
            <w:tcW w:w="4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21,974</w:t>
            </w:r>
          </w:p>
        </w:tc>
        <w:tc>
          <w:tcPr>
            <w:tcW w:w="44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32,073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5,084</w:t>
            </w:r>
          </w:p>
        </w:tc>
        <w:tc>
          <w:tcPr>
            <w:tcW w:w="460" w:type="dxa"/>
            <w:vAlign w:val="bottom"/>
            <w:shd w:val="clear" w:color="auto" w:fill="E5FFFF"/>
          </w:tcPr>
          <w:p>
            <w:pPr>
              <w:spacing w:after="0"/>
              <w:rPr>
                <w:sz w:val="18"/>
                <w:szCs w:val="18"/>
                <w:color w:val="auto"/>
              </w:rPr>
            </w:pPr>
          </w:p>
        </w:tc>
        <w:tc>
          <w:tcPr>
            <w:tcW w:w="18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9,891</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General partner</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348</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357</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672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391"/>
        </w:trPr>
        <w:tc>
          <w:tcPr>
            <w:tcW w:w="4480" w:type="dxa"/>
            <w:vAlign w:val="bottom"/>
          </w:tcPr>
          <w:p>
            <w:pPr>
              <w:spacing w:after="0"/>
              <w:rPr>
                <w:sz w:val="24"/>
                <w:szCs w:val="2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F-14</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type w:val="continuous"/>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Incentive distribution rights***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656</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103</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1,037</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(basic)</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Common units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21,822,358</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38,324,669</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21,822,358</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32,814,957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Subordinated units**</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9,822,358</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9,822,358</w:t>
            </w:r>
          </w:p>
        </w:tc>
        <w:tc>
          <w:tcPr>
            <w:tcW w:w="1080" w:type="dxa"/>
            <w:vAlign w:val="bottom"/>
          </w:tcPr>
          <w:p>
            <w:pPr>
              <w:jc w:val="right"/>
              <w:spacing w:after="0"/>
              <w:rPr>
                <w:sz w:val="20"/>
                <w:szCs w:val="20"/>
                <w:color w:val="auto"/>
              </w:rPr>
            </w:pPr>
            <w:r>
              <w:rPr>
                <w:rFonts w:ascii="Arial" w:cs="Arial" w:eastAsia="Arial" w:hAnsi="Arial"/>
                <w:sz w:val="18"/>
                <w:szCs w:val="18"/>
                <w:color w:val="auto"/>
              </w:rPr>
              <w:t>9,822,358</w:t>
            </w: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 units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645,811</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781,005</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645,811</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768,799</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Earnings per unit (basic)</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Common unitholders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0.52</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0.45</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1.01</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0.98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0.52</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0.54</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0.46</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1.04</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(diluted)</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Common units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21,836,417</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38,376,044</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21,825,695</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32,863,163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Subordinated units**</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9,822,358</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9,822,358</w:t>
            </w:r>
          </w:p>
        </w:tc>
        <w:tc>
          <w:tcPr>
            <w:tcW w:w="1080" w:type="dxa"/>
            <w:vAlign w:val="bottom"/>
          </w:tcPr>
          <w:p>
            <w:pPr>
              <w:jc w:val="right"/>
              <w:spacing w:after="0"/>
              <w:rPr>
                <w:sz w:val="20"/>
                <w:szCs w:val="20"/>
                <w:color w:val="auto"/>
              </w:rPr>
            </w:pPr>
            <w:r>
              <w:rPr>
                <w:rFonts w:ascii="Arial" w:cs="Arial" w:eastAsia="Arial" w:hAnsi="Arial"/>
                <w:sz w:val="18"/>
                <w:szCs w:val="18"/>
                <w:color w:val="auto"/>
              </w:rPr>
              <w:t>9,822,358</w:t>
            </w: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 units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645,811</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781,005</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645,811</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768,799</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Earnings per unit (diluted)</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Common unitholders</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0.52</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0.45</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1.01</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0.98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0.52</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w:t>
            </w:r>
          </w:p>
        </w:tc>
        <w:tc>
          <w:tcPr>
            <w:tcW w:w="210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0.54</w:t>
            </w:r>
          </w:p>
        </w:tc>
        <w:tc>
          <w:tcPr>
            <w:tcW w:w="14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0.46</w:t>
            </w:r>
          </w:p>
        </w:tc>
        <w:tc>
          <w:tcPr>
            <w:tcW w:w="142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1.04</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1.01</w:t>
            </w:r>
          </w:p>
        </w:tc>
      </w:tr>
    </w:tbl>
    <w:p>
      <w:pPr>
        <w:spacing w:after="0" w:line="130" w:lineRule="exact"/>
        <w:rPr>
          <w:sz w:val="20"/>
          <w:szCs w:val="20"/>
          <w:color w:val="auto"/>
        </w:rPr>
      </w:pPr>
    </w:p>
    <w:p>
      <w:pPr>
        <w:ind w:left="340" w:right="40" w:hanging="332"/>
        <w:spacing w:after="0" w:line="234"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aggregate profit of GAS-seven Ltd. and GAS-eleven Ltd. for the period prior to their transfers to the Partnership on November 1, 2016 and May 3, 2017, respectively. While such amounts are reflected in the Partnership’s financial statements because the transfers to the Partnership were accounted for as reorganizations of entities under common control (Note 1). GAS-seven Ltd. and GAS-eleven Ltd. were not owned by the Partnership prior to their transfers to the Partnership in November 2016 and May 2017 and accordingly the Partnership was not entitled to the cash or results generated in the period prior to such transfers.</w:t>
      </w:r>
    </w:p>
    <w:p>
      <w:pPr>
        <w:spacing w:after="0" w:line="115" w:lineRule="exact"/>
        <w:rPr>
          <w:sz w:val="20"/>
          <w:szCs w:val="20"/>
          <w:color w:val="auto"/>
        </w:rPr>
      </w:pPr>
    </w:p>
    <w:p>
      <w:pPr>
        <w:ind w:left="340" w:hanging="332"/>
        <w:spacing w:after="0" w:line="296"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May 16, 2017, all 9,822,358 subordinated units converted into common units on a one-for-one basis. As of June 30, 2017, they participated pro rata with all other outstanding common units in distributions of available cash for the three months ended June 30,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83" w:lineRule="exact"/>
        <w:rPr>
          <w:rFonts w:ascii="Arial" w:cs="Arial" w:eastAsia="Arial" w:hAnsi="Arial"/>
          <w:sz w:val="12"/>
          <w:szCs w:val="12"/>
          <w:color w:val="auto"/>
        </w:rPr>
      </w:pPr>
    </w:p>
    <w:p>
      <w:pPr>
        <w:jc w:val="both"/>
        <w:ind w:left="340" w:right="240" w:hanging="332"/>
        <w:spacing w:after="0" w:line="264"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initial public offering. The IDRs may be transferred separately from any other interests, subject to restrictions in the Partnership Agreement. Based on the nature of such right, earnings attributable to IDRs cannot be allocated on a per unit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terms of the 2015 Long-Term Incentive Plan (the “2015 Plan”) and the assumptions for the valuation of Restricted Common Units (“RCUs”) and Performance Common Units (“PCUs”) have been disclosed in Note 19 “Share-Based Compensation” in the annual audited consolidated financial statements for the year ended December 31, 2016.</w:t>
      </w:r>
    </w:p>
    <w:p>
      <w:pPr>
        <w:spacing w:after="0" w:line="1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April 3, 2017, the Partnership granted to its executives 26,097 RCUs and 26,097 PCUs in accordance with its 2015 Plan. The RCUs and PCUs will vest on April 3, 2020. The holders are entitled to cash distributions that will be accrued and settled on vesting.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Awards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grant date</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RCUs</w:t>
            </w:r>
          </w:p>
        </w:tc>
        <w:tc>
          <w:tcPr>
            <w:tcW w:w="280" w:type="dxa"/>
            <w:vAlign w:val="bottom"/>
            <w:tcBorders>
              <w:top w:val="single" w:sz="8" w:color="E5FFFF"/>
            </w:tcBorders>
            <w:shd w:val="clear" w:color="auto" w:fill="E5FFFF"/>
          </w:tcPr>
          <w:p>
            <w:pPr>
              <w:spacing w:after="0"/>
              <w:rPr>
                <w:sz w:val="18"/>
                <w:szCs w:val="18"/>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26,097</w:t>
            </w:r>
          </w:p>
        </w:tc>
        <w:tc>
          <w:tcPr>
            <w:tcW w:w="280" w:type="dxa"/>
            <w:vAlign w:val="bottom"/>
            <w:tcBorders>
              <w:top w:val="single" w:sz="8" w:color="E5FFFF"/>
            </w:tcBorders>
            <w:shd w:val="clear" w:color="auto" w:fill="E5FFFF"/>
          </w:tcPr>
          <w:p>
            <w:pPr>
              <w:spacing w:after="0"/>
              <w:rPr>
                <w:sz w:val="18"/>
                <w:szCs w:val="18"/>
                <w:color w:val="auto"/>
              </w:rPr>
            </w:pPr>
          </w:p>
        </w:tc>
        <w:tc>
          <w:tcPr>
            <w:tcW w:w="2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April 3, 2017</w:t>
            </w:r>
          </w:p>
        </w:tc>
        <w:tc>
          <w:tcPr>
            <w:tcW w:w="28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$23.85</w:t>
            </w:r>
          </w:p>
        </w:tc>
      </w:tr>
      <w:tr>
        <w:trPr>
          <w:trHeight w:val="230"/>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PCUs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26,097</w:t>
            </w:r>
          </w:p>
        </w:tc>
        <w:tc>
          <w:tcPr>
            <w:tcW w:w="280" w:type="dxa"/>
            <w:vAlign w:val="bottom"/>
          </w:tcPr>
          <w:p>
            <w:pPr>
              <w:spacing w:after="0"/>
              <w:rPr>
                <w:sz w:val="20"/>
                <w:szCs w:val="20"/>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April 3, 2017</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$23.85</w:t>
            </w:r>
          </w:p>
        </w:tc>
      </w:tr>
    </w:tbl>
    <w:p>
      <w:pPr>
        <w:spacing w:after="0" w:line="18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fair value of the RCUs and PCUs in accordance with the Plan was determined by using the grant date closing price of $23.85 per common unit and was not further adjusted since the holders are entitled to cash distributions.</w:t>
      </w:r>
    </w:p>
    <w:p>
      <w:pPr>
        <w:sectPr>
          <w:pgSz w:w="11900" w:h="16838" w:orient="portrait"/>
          <w:cols w:equalWidth="0" w:num="1">
            <w:col w:w="11420"/>
          </w:cols>
          <w:pgMar w:left="240" w:top="423"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period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summary of RCUs and PCUs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RCUs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Outstanding as of January 1, 2017</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 during the period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Outstanding as of June 30, 2017</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PCUs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Outstanding as of January 1, 2017</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 during the period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Outstanding as of June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r>
      <w:tr>
        <w:trPr>
          <w:trHeight w:val="230"/>
        </w:trPr>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awards</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contractual life</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420" w:type="dxa"/>
            <w:vAlign w:val="bottom"/>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4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26,097</w:t>
            </w:r>
          </w:p>
        </w:tc>
        <w:tc>
          <w:tcPr>
            <w:tcW w:w="420" w:type="dxa"/>
            <w:vAlign w:val="bottom"/>
          </w:tcPr>
          <w:p>
            <w:pPr>
              <w:spacing w:after="0"/>
              <w:rPr>
                <w:sz w:val="20"/>
                <w:szCs w:val="20"/>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4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41,924</w:t>
            </w: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820</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26,097</w:t>
            </w:r>
          </w:p>
        </w:tc>
        <w:tc>
          <w:tcPr>
            <w:tcW w:w="420" w:type="dxa"/>
            <w:vAlign w:val="bottom"/>
          </w:tcPr>
          <w:p>
            <w:pPr>
              <w:spacing w:after="0"/>
              <w:rPr>
                <w:sz w:val="20"/>
                <w:szCs w:val="20"/>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4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-1208405</wp:posOffset>
            </wp:positionV>
            <wp:extent cx="65176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-925830</wp:posOffset>
            </wp:positionV>
            <wp:extent cx="65176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-616585</wp:posOffset>
            </wp:positionV>
            <wp:extent cx="651764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-325120</wp:posOffset>
            </wp:positionV>
            <wp:extent cx="65176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820" w:space="720"/>
            <w:col w:w="5880"/>
          </w:cols>
          <w:pgMar w:left="240" w:top="423" w:right="239" w:bottom="1440" w:gutter="0" w:footer="0" w:header="0"/>
          <w:type w:val="continuous"/>
        </w:sectPr>
      </w:pPr>
    </w:p>
    <w:bookmarkStart w:id="41" w:name="page42"/>
    <w:bookmarkEnd w:id="41"/>
    <w:p>
      <w:pPr>
        <w:ind w:right="120" w:firstLine="405"/>
        <w:spacing w:after="0" w:line="264" w:lineRule="auto"/>
        <w:rPr>
          <w:sz w:val="20"/>
          <w:szCs w:val="20"/>
          <w:color w:val="auto"/>
        </w:rPr>
      </w:pPr>
      <w:r>
        <w:rPr>
          <w:rFonts w:ascii="Arial" w:cs="Arial" w:eastAsia="Arial" w:hAnsi="Arial"/>
          <w:sz w:val="18"/>
          <w:szCs w:val="18"/>
          <w:color w:val="auto"/>
        </w:rPr>
        <w:t>The total expense recognized in respect of equity-settled employee benefits for the three and six months ended June 30, 2017 was $236 and $371, respectively (for the three and six months ended June 30, 2016: $136 and $204, respectively). The total accrued cash distribution as of June 30, 2017 is $290 (December 31, 2016: $182) and is included under “Other non-current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Future gross minimum revenues receivable upon collection of hire under non-cancellable time charter agreements for vessels in operation as of June 30,</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20" w:type="dxa"/>
            <w:vAlign w:val="bottom"/>
          </w:tcPr>
          <w:p>
            <w:pPr>
              <w:spacing w:after="0"/>
              <w:rPr>
                <w:sz w:val="20"/>
                <w:szCs w:val="20"/>
                <w:color w:val="auto"/>
              </w:rPr>
            </w:pPr>
            <w:r>
              <w:rPr>
                <w:rFonts w:ascii="Arial" w:cs="Arial" w:eastAsia="Arial" w:hAnsi="Arial"/>
                <w:sz w:val="18"/>
                <w:szCs w:val="18"/>
                <w:b w:val="1"/>
                <w:bCs w:val="1"/>
                <w:i w:val="1"/>
                <w:iCs w:val="1"/>
                <w:color w:val="auto"/>
              </w:rPr>
              <w:t>Period</w:t>
            </w: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9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253,654</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323,352</w:t>
            </w:r>
          </w:p>
        </w:tc>
      </w:tr>
      <w:tr>
        <w:trPr>
          <w:trHeight w:val="216"/>
        </w:trPr>
        <w:tc>
          <w:tcPr>
            <w:tcW w:w="9620" w:type="dxa"/>
            <w:vAlign w:val="bottom"/>
            <w:shd w:val="clear" w:color="auto" w:fill="E5FF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81,553</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More than five years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115,055</w:t>
            </w:r>
          </w:p>
        </w:tc>
      </w:tr>
      <w:tr>
        <w:trPr>
          <w:trHeight w:val="223"/>
        </w:trPr>
        <w:tc>
          <w:tcPr>
            <w:tcW w:w="9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773,614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April and May 2017, GasLog LNG Services entered into agreements in relation to investments in some of the Partnership and GasLog’s vessels, with the aim of enhancing their operational performance. Commitments relating to these agreements for the Partnership, without including additional estimated costs for which no agreement has been signed as of June 30, 2017 are as follows:</w:t>
      </w:r>
    </w:p>
    <w:p>
      <w:pPr>
        <w:sectPr>
          <w:pgSz w:w="11900" w:h="16838" w:orient="portrait"/>
          <w:cols w:equalWidth="0" w:num="1">
            <w:col w:w="11420"/>
          </w:cols>
          <w:pgMar w:left="240" w:top="40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Not later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2017</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1080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17,132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17145</wp:posOffset>
            </wp:positionV>
            <wp:extent cx="10807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34290</wp:posOffset>
            </wp:positionV>
            <wp:extent cx="1080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480"/>
          </w:cols>
          <w:pgMar w:left="240" w:top="409" w:right="239" w:bottom="1440" w:gutter="0" w:footer="0" w:header="0"/>
          <w:type w:val="continuous"/>
        </w:sectPr>
      </w:pPr>
    </w:p>
    <w:p>
      <w:pPr>
        <w:spacing w:after="0" w:line="70"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 xml:space="preserve">On June 2, 2017, GasLog Partners signed an agreement to acquire 100% of the shares in the entity that owns and charters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from GasLog.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is a 174,000 cbm tri-fuel diesel electric (“TFDE”) LNG carrier built in 2016 which is chartered to Royal Dutch Shell plc (“Shell”) through September 2023. The aggregate purchase price for the acquisition was $211,000, which included $1,000 for positive net working capital balances transferred with the vessel. The acquisition was completed on July 3, 2017 (Note 16).</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plc of 83.33% of depot spares with an aggregate value of $6,000, of which $660 have been purchased and paid as of June 30, 2017 by GasLog. These spares are expected to be acquired before the end of the initial term of the charter party agreements.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xml:space="preserve">On July 3, 2017, GasLog Partners completed the acquisition from GasLog of 100% of the shares in the entity that owns and charters the </w:t>
      </w:r>
      <w:r>
        <w:rPr>
          <w:rFonts w:ascii="Arial" w:cs="Arial" w:eastAsia="Arial" w:hAnsi="Arial"/>
          <w:sz w:val="17"/>
          <w:szCs w:val="17"/>
          <w:i w:val="1"/>
          <w:iCs w:val="1"/>
          <w:color w:val="auto"/>
        </w:rPr>
        <w:t>GasLog</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 xml:space="preserve">Geneva, </w:t>
      </w:r>
      <w:r>
        <w:rPr>
          <w:rFonts w:ascii="Arial" w:cs="Arial" w:eastAsia="Arial" w:hAnsi="Arial"/>
          <w:sz w:val="16"/>
          <w:szCs w:val="16"/>
          <w:color w:val="auto"/>
        </w:rPr>
        <w:t>a 174,000 cbm TFDE LNG carrier built in 2016 which is chartered to Shell through September 2023, for an aggregate purchase price of $211,000.</w:t>
      </w:r>
    </w:p>
    <w:p>
      <w:pPr>
        <w:spacing w:after="0" w:line="23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the period from July 1, 2017 through July 6, 2017, GasLog Partners issued and received payment for an additional 94,367 common units at a weighted average price of $22.91 per unit for total net proceeds of $2,135 through its ATM Programme. The issuance of these units fulfilled contractual commitments entered into on or before June 30, 2017. In connection with the issuance of common units during this subsequent period, the Partnership also issued 1,926 general partner units to its general partner in order for GasLog to retain its 2.0% general partner interest. The net proceeds from this issuance of general partner units were $44.</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July 12, 2017, GasLog Partners entered into a new interest rate swap agreement with GasLog with a notional value of $80,000, maturing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July 26, 2017, the board of directors of GasLog Partners approved and declared a quarterly cash distribution of $0.51 per common unit for the quarter ended June 30, 2017. The cash distribution is payable on August 11, 2017, to all unitholders of record as of August 7, 2017. The aggregate amount of the declared distribution will be $20,853 based on the number of units issued and outstanding as of June 30,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Non-GAAP Partnership Performance Information and Reconciliation Tables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Our IFRS Common Control Reported Results are derived from the consolidated financial statements of the Partnership. The non-GAAP Partnership Performance Results presented below exclude amounts related to GAS-seven Ltd., the owner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GAS-eleven Ltd., the owner of the </w:t>
      </w:r>
      <w:r>
        <w:rPr>
          <w:rFonts w:ascii="Arial" w:cs="Arial" w:eastAsia="Arial" w:hAnsi="Arial"/>
          <w:sz w:val="16"/>
          <w:szCs w:val="16"/>
          <w:i w:val="1"/>
          <w:iCs w:val="1"/>
          <w:color w:val="auto"/>
        </w:rPr>
        <w:t>GasLog Greece</w:t>
      </w:r>
      <w:r>
        <w:rPr>
          <w:rFonts w:ascii="Arial" w:cs="Arial" w:eastAsia="Arial" w:hAnsi="Arial"/>
          <w:sz w:val="16"/>
          <w:szCs w:val="16"/>
          <w:color w:val="auto"/>
        </w:rPr>
        <w:t>, for the period prior to their transfers to the Partnership on November 1, 2016 and May 3, 2017, respectively. While such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the Partnership’s unaudited condensed consolidated financial statements because the transfers to the Partnership were accounted for as reorganizations of entities under common control under IFRS. GAS-seven Ltd. and GAS-eleven Ltd. were not owned by the Partnership prior to their respective transfers to the Partnership in November 2016 and May 2017,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7"/>
              </w:rPr>
              <w:t>Partnership Performance Results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c>
          <w:tcPr>
            <w:tcW w:w="31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 amounts expressed in thousands of U.S. dollars)</w:t>
            </w: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 2016</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 2017</w:t>
            </w:r>
          </w:p>
        </w:tc>
        <w:tc>
          <w:tcPr>
            <w:tcW w:w="1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30, 2016</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48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49,636</w:t>
            </w:r>
          </w:p>
        </w:tc>
        <w:tc>
          <w:tcPr>
            <w:tcW w:w="34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62,582</w:t>
            </w: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98,994</w:t>
            </w:r>
          </w:p>
        </w:tc>
        <w:tc>
          <w:tcPr>
            <w:tcW w:w="3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119,575</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(10,418)</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(13,309)</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(21,812)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(24,477)</w:t>
            </w:r>
          </w:p>
        </w:tc>
      </w:tr>
      <w:tr>
        <w:trPr>
          <w:trHeight w:val="216"/>
        </w:trPr>
        <w:tc>
          <w:tcPr>
            <w:tcW w:w="4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7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(777)</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(786)</w:t>
            </w:r>
          </w:p>
        </w:tc>
        <w:tc>
          <w:tcPr>
            <w:tcW w:w="16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(1,491)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(1,501)</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(10,949)</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(13,466)</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(22,052)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(25,828)</w:t>
            </w:r>
          </w:p>
        </w:tc>
      </w:tr>
      <w:tr>
        <w:trPr>
          <w:trHeight w:val="230"/>
        </w:trPr>
        <w:tc>
          <w:tcPr>
            <w:tcW w:w="4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(2,881)</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(3,267)</w:t>
            </w:r>
          </w:p>
        </w:tc>
        <w:tc>
          <w:tcPr>
            <w:tcW w:w="16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(5,674)</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(6,351)</w:t>
            </w:r>
          </w:p>
        </w:tc>
      </w:tr>
      <w:tr>
        <w:trPr>
          <w:trHeight w:val="210"/>
        </w:trPr>
        <w:tc>
          <w:tcPr>
            <w:tcW w:w="482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24,611</w:t>
            </w:r>
          </w:p>
        </w:tc>
        <w:tc>
          <w:tcPr>
            <w:tcW w:w="34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36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47,965</w:t>
            </w:r>
          </w:p>
        </w:tc>
        <w:tc>
          <w:tcPr>
            <w:tcW w:w="32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61,418</w:t>
            </w:r>
          </w:p>
        </w:tc>
        <w:tc>
          <w:tcPr>
            <w:tcW w:w="100" w:type="dxa"/>
            <w:vAlign w:val="bottom"/>
            <w:tcBorders>
              <w:bottom w:val="single" w:sz="8" w:color="E5FFFF"/>
            </w:tcBorders>
          </w:tcPr>
          <w:p>
            <w:pPr>
              <w:spacing w:after="0"/>
              <w:rPr>
                <w:sz w:val="18"/>
                <w:szCs w:val="18"/>
                <w:color w:val="auto"/>
              </w:rPr>
            </w:pPr>
          </w:p>
        </w:tc>
      </w:tr>
      <w:tr>
        <w:trPr>
          <w:trHeight w:val="210"/>
        </w:trPr>
        <w:tc>
          <w:tcPr>
            <w:tcW w:w="4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(7,252)</w:t>
            </w:r>
          </w:p>
        </w:tc>
        <w:tc>
          <w:tcPr>
            <w:tcW w:w="34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(10,288)</w:t>
            </w:r>
          </w:p>
        </w:tc>
        <w:tc>
          <w:tcPr>
            <w:tcW w:w="3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(14,433)</w:t>
            </w:r>
          </w:p>
        </w:tc>
        <w:tc>
          <w:tcPr>
            <w:tcW w:w="32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(19,070)</w:t>
            </w:r>
          </w:p>
        </w:tc>
        <w:tc>
          <w:tcPr>
            <w:tcW w:w="100" w:type="dxa"/>
            <w:vAlign w:val="bottom"/>
            <w:shd w:val="clear" w:color="auto" w:fill="E5FF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r>
      <w:tr>
        <w:trPr>
          <w:trHeight w:val="230"/>
        </w:trPr>
        <w:tc>
          <w:tcPr>
            <w:tcW w:w="48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7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(2,336)</w:t>
            </w:r>
          </w:p>
        </w:tc>
        <w:tc>
          <w:tcPr>
            <w:tcW w:w="16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(2,313)</w:t>
            </w:r>
          </w:p>
        </w:tc>
      </w:tr>
      <w:tr>
        <w:trPr>
          <w:trHeight w:val="210"/>
        </w:trPr>
        <w:tc>
          <w:tcPr>
            <w:tcW w:w="482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(7,228</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360" w:type="dxa"/>
            <w:vAlign w:val="bottom"/>
            <w:tcBorders>
              <w:bottom w:val="single" w:sz="8" w:color="E5FFFF"/>
            </w:tcBorders>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(14,391</w:t>
            </w:r>
          </w:p>
        </w:tc>
        <w:tc>
          <w:tcPr>
            <w:tcW w:w="320" w:type="dxa"/>
            <w:vAlign w:val="bottom"/>
            <w:tcBorders>
              <w:bottom w:val="single" w:sz="8" w:color="E5FF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(21,038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482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Partnership’s profit for the period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17,383</w:t>
            </w:r>
          </w:p>
        </w:tc>
        <w:tc>
          <w:tcPr>
            <w:tcW w:w="340" w:type="dxa"/>
            <w:vAlign w:val="bottom"/>
            <w:tcBorders>
              <w:bottom w:val="single" w:sz="8" w:color="E5FFFF"/>
            </w:tcBorders>
            <w:shd w:val="clear" w:color="auto" w:fill="E5FFFF"/>
          </w:tcPr>
          <w:p>
            <w:pPr>
              <w:spacing w:after="0"/>
              <w:rPr>
                <w:sz w:val="19"/>
                <w:szCs w:val="19"/>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19,358</w:t>
            </w:r>
          </w:p>
        </w:tc>
        <w:tc>
          <w:tcPr>
            <w:tcW w:w="36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33,574</w:t>
            </w:r>
          </w:p>
        </w:tc>
        <w:tc>
          <w:tcPr>
            <w:tcW w:w="32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40,380</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160" w:type="dxa"/>
            <w:vAlign w:val="bottom"/>
            <w:tcBorders>
              <w:bottom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Reconciliation of Partnership Performance Results to IFRS Common Control Reported Results in our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For the three months ended June 30, 2016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4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3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Results attributable</w:t>
            </w:r>
          </w:p>
        </w:tc>
        <w:tc>
          <w:tcPr>
            <w:tcW w:w="200" w:type="dxa"/>
            <w:vAlign w:val="bottom"/>
          </w:tcPr>
          <w:p>
            <w:pPr>
              <w:spacing w:after="0"/>
              <w:rPr>
                <w:sz w:val="18"/>
                <w:szCs w:val="18"/>
                <w:color w:val="auto"/>
              </w:rPr>
            </w:pPr>
          </w:p>
        </w:tc>
        <w:tc>
          <w:tcPr>
            <w:tcW w:w="2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Partnership</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Control Reported</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 GasLog</w:t>
            </w:r>
          </w:p>
        </w:tc>
        <w:tc>
          <w:tcPr>
            <w:tcW w:w="2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Performance Results</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10"/>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14,413</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49,636</w:t>
            </w:r>
          </w:p>
        </w:tc>
        <w:tc>
          <w:tcPr>
            <w:tcW w:w="4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64,049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(2,624)</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16"/>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(180)</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(777)</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(2,912)</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(10,949)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(237)</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(2,881)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8,460</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24,611</w:t>
            </w:r>
          </w:p>
        </w:tc>
        <w:tc>
          <w:tcPr>
            <w:tcW w:w="44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33,071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(2,324)</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(7,252)</w:t>
            </w:r>
          </w:p>
        </w:tc>
        <w:tc>
          <w:tcPr>
            <w:tcW w:w="44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E5FFFF"/>
          </w:tcPr>
          <w:p>
            <w:pPr>
              <w:spacing w:after="0"/>
              <w:rPr>
                <w:sz w:val="19"/>
                <w:szCs w:val="19"/>
                <w:color w:val="auto"/>
              </w:rPr>
            </w:pPr>
          </w:p>
        </w:tc>
        <w:tc>
          <w:tcPr>
            <w:tcW w:w="20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w:t>
            </w:r>
          </w:p>
        </w:tc>
        <w:tc>
          <w:tcPr>
            <w:tcW w:w="240" w:type="dxa"/>
            <w:vAlign w:val="bottom"/>
            <w:tcBorders>
              <w:bottom w:val="single" w:sz="8" w:color="E5FF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(7,228</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5,146</w:t>
            </w:r>
          </w:p>
        </w:tc>
        <w:tc>
          <w:tcPr>
            <w:tcW w:w="24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17,383</w:t>
            </w:r>
          </w:p>
        </w:tc>
        <w:tc>
          <w:tcPr>
            <w:tcW w:w="44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22,529</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40" w:type="dxa"/>
            <w:vAlign w:val="bottom"/>
          </w:tcPr>
          <w:p>
            <w:pPr>
              <w:spacing w:after="0"/>
              <w:rPr>
                <w:sz w:val="24"/>
                <w:szCs w:val="24"/>
                <w:color w:val="auto"/>
              </w:rPr>
            </w:pPr>
          </w:p>
        </w:tc>
        <w:tc>
          <w:tcPr>
            <w:tcW w:w="3000" w:type="dxa"/>
            <w:vAlign w:val="bottom"/>
            <w:gridSpan w:val="3"/>
          </w:tcPr>
          <w:p>
            <w:pPr>
              <w:jc w:val="right"/>
              <w:ind w:right="1800"/>
              <w:spacing w:after="0"/>
              <w:rPr>
                <w:sz w:val="20"/>
                <w:szCs w:val="20"/>
                <w:color w:val="auto"/>
              </w:rPr>
            </w:pPr>
            <w:r>
              <w:rPr>
                <w:rFonts w:ascii="Arial" w:cs="Arial" w:eastAsia="Arial" w:hAnsi="Arial"/>
                <w:sz w:val="18"/>
                <w:szCs w:val="18"/>
                <w:color w:val="auto"/>
              </w:rPr>
              <w:t>A-1</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For the three months ended June 30, 2017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4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300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Results attributable</w:t>
            </w:r>
          </w:p>
        </w:tc>
        <w:tc>
          <w:tcPr>
            <w:tcW w:w="20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Partnership</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Control Reported</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GasLog</w:t>
            </w:r>
          </w:p>
        </w:tc>
        <w:tc>
          <w:tcPr>
            <w:tcW w:w="2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Performance Results</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10"/>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2,688</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62,582</w:t>
            </w:r>
          </w:p>
        </w:tc>
        <w:tc>
          <w:tcPr>
            <w:tcW w:w="4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65,270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(401)</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(13,309)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16"/>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(33)</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(786)</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(525)</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(13,466)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(34)</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(3,267)</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44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(10,288)</w:t>
            </w:r>
          </w:p>
        </w:tc>
        <w:tc>
          <w:tcPr>
            <w:tcW w:w="44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income</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228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260" w:type="dxa"/>
            <w:vAlign w:val="bottom"/>
            <w:shd w:val="clear" w:color="auto" w:fill="E5FFFF"/>
          </w:tcPr>
          <w:p>
            <w:pPr>
              <w:spacing w:after="0"/>
              <w:rPr>
                <w:sz w:val="19"/>
                <w:szCs w:val="19"/>
                <w:color w:val="auto"/>
              </w:rPr>
            </w:pP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(2,336)</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240" w:type="dxa"/>
            <w:vAlign w:val="bottom"/>
            <w:tcBorders>
              <w:bottom w:val="single" w:sz="8" w:color="E5FF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1,203</w:t>
            </w:r>
          </w:p>
        </w:tc>
        <w:tc>
          <w:tcPr>
            <w:tcW w:w="24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19,358</w:t>
            </w:r>
          </w:p>
        </w:tc>
        <w:tc>
          <w:tcPr>
            <w:tcW w:w="44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20,561</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2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rPr>
              <w:t>For the six months ended June 30, 2016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4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300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Results attributable</w:t>
            </w:r>
          </w:p>
        </w:tc>
        <w:tc>
          <w:tcPr>
            <w:tcW w:w="20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Partnership</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Control Reported</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GasLog</w:t>
            </w:r>
          </w:p>
        </w:tc>
        <w:tc>
          <w:tcPr>
            <w:tcW w:w="2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Performance Results</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10"/>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21,360</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98,994</w:t>
            </w:r>
          </w:p>
        </w:tc>
        <w:tc>
          <w:tcPr>
            <w:tcW w:w="4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120,354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(4,073)</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(21,812)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6"/>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(290)</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(1,491)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(4,388)</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(22,052)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(26,440)</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(416)</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(5,674)</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12,193</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47,965</w:t>
            </w:r>
          </w:p>
        </w:tc>
        <w:tc>
          <w:tcPr>
            <w:tcW w:w="44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60,158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(3,480)</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(14,433)</w:t>
            </w:r>
          </w:p>
        </w:tc>
        <w:tc>
          <w:tcPr>
            <w:tcW w:w="44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(3,892)</w:t>
            </w:r>
          </w:p>
        </w:tc>
        <w:tc>
          <w:tcPr>
            <w:tcW w:w="200" w:type="dxa"/>
            <w:vAlign w:val="bottom"/>
            <w:shd w:val="clear" w:color="auto" w:fill="E5FFFF"/>
          </w:tcPr>
          <w:p>
            <w:pPr>
              <w:spacing w:after="0"/>
              <w:rPr>
                <w:sz w:val="19"/>
                <w:szCs w:val="19"/>
                <w:color w:val="auto"/>
              </w:rPr>
            </w:pPr>
          </w:p>
        </w:tc>
        <w:tc>
          <w:tcPr>
            <w:tcW w:w="20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(7,372</w:t>
            </w:r>
          </w:p>
        </w:tc>
        <w:tc>
          <w:tcPr>
            <w:tcW w:w="240" w:type="dxa"/>
            <w:vAlign w:val="bottom"/>
            <w:tcBorders>
              <w:bottom w:val="single" w:sz="8" w:color="E5FF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(14,391</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(21,763</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4,821</w:t>
            </w:r>
          </w:p>
        </w:tc>
        <w:tc>
          <w:tcPr>
            <w:tcW w:w="24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33,574</w:t>
            </w:r>
          </w:p>
        </w:tc>
        <w:tc>
          <w:tcPr>
            <w:tcW w:w="44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38,395</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2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rPr>
              <w:t>For the six months ended June 30, 2017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IFRS Common</w:t>
            </w:r>
          </w:p>
        </w:tc>
        <w:tc>
          <w:tcPr>
            <w:tcW w:w="0" w:type="dxa"/>
            <w:vAlign w:val="bottom"/>
          </w:tcPr>
          <w:p>
            <w:pPr>
              <w:spacing w:after="0"/>
              <w:rPr>
                <w:sz w:val="1"/>
                <w:szCs w:val="1"/>
                <w:color w:val="auto"/>
              </w:rPr>
            </w:pPr>
          </w:p>
        </w:tc>
      </w:tr>
      <w:tr>
        <w:trPr>
          <w:trHeight w:val="216"/>
        </w:trPr>
        <w:tc>
          <w:tcPr>
            <w:tcW w:w="474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300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Results attributable</w:t>
            </w:r>
          </w:p>
        </w:tc>
        <w:tc>
          <w:tcPr>
            <w:tcW w:w="20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Partnership</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Control Reported</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GasLog</w:t>
            </w:r>
          </w:p>
        </w:tc>
        <w:tc>
          <w:tcPr>
            <w:tcW w:w="2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Performance Results</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10"/>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10,248</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119,575</w:t>
            </w:r>
          </w:p>
        </w:tc>
        <w:tc>
          <w:tcPr>
            <w:tcW w:w="4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129,823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(1,608)</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(24,477)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6"/>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(128)</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(1,501)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(25,828)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(130)</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(6,351)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6,382</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61,418</w:t>
            </w:r>
          </w:p>
        </w:tc>
        <w:tc>
          <w:tcPr>
            <w:tcW w:w="44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spacing w:after="0"/>
              <w:rPr>
                <w:sz w:val="18"/>
                <w:szCs w:val="18"/>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(1,861)</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(19,070)</w:t>
            </w:r>
          </w:p>
        </w:tc>
        <w:tc>
          <w:tcPr>
            <w:tcW w:w="44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(20,931)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income</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345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260" w:type="dxa"/>
            <w:vAlign w:val="bottom"/>
            <w:shd w:val="clear" w:color="auto" w:fill="E5FFFF"/>
          </w:tcPr>
          <w:p>
            <w:pPr>
              <w:spacing w:after="0"/>
              <w:rPr>
                <w:sz w:val="19"/>
                <w:szCs w:val="19"/>
                <w:color w:val="auto"/>
              </w:rPr>
            </w:pP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(2,313)</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w:t>
            </w:r>
          </w:p>
        </w:tc>
        <w:tc>
          <w:tcPr>
            <w:tcW w:w="240" w:type="dxa"/>
            <w:vAlign w:val="bottom"/>
            <w:tcBorders>
              <w:bottom w:val="single" w:sz="8" w:color="E5FF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(21,038</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(22,894</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4,526</w:t>
            </w:r>
          </w:p>
        </w:tc>
        <w:tc>
          <w:tcPr>
            <w:tcW w:w="24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40,380</w:t>
            </w:r>
          </w:p>
        </w:tc>
        <w:tc>
          <w:tcPr>
            <w:tcW w:w="44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44,906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40" w:type="dxa"/>
            <w:vAlign w:val="bottom"/>
          </w:tcPr>
          <w:p>
            <w:pPr>
              <w:spacing w:after="0"/>
              <w:rPr>
                <w:sz w:val="24"/>
                <w:szCs w:val="24"/>
                <w:color w:val="auto"/>
              </w:rPr>
            </w:pPr>
          </w:p>
        </w:tc>
        <w:tc>
          <w:tcPr>
            <w:tcW w:w="3000" w:type="dxa"/>
            <w:vAlign w:val="bottom"/>
            <w:gridSpan w:val="3"/>
          </w:tcPr>
          <w:p>
            <w:pPr>
              <w:jc w:val="right"/>
              <w:ind w:right="1800"/>
              <w:spacing w:after="0"/>
              <w:rPr>
                <w:sz w:val="20"/>
                <w:szCs w:val="20"/>
                <w:color w:val="auto"/>
              </w:rPr>
            </w:pPr>
            <w:r>
              <w:rPr>
                <w:rFonts w:ascii="Arial" w:cs="Arial" w:eastAsia="Arial" w:hAnsi="Arial"/>
                <w:sz w:val="18"/>
                <w:szCs w:val="18"/>
                <w:color w:val="auto"/>
              </w:rPr>
              <w:t>A-2</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decimal"/>
      <w:start w:val="1"/>
    </w:lvl>
    <w:lvl w:ilvl="1">
      <w:lvlJc w:val="left"/>
      <w:lvlText w:val="(%2)"/>
      <w:numFmt w:val="lowerRoman"/>
      <w:start w:val="3"/>
    </w:lvl>
  </w:abstractNum>
  <w:abstractNum w:abstractNumId="22">
    <w:nsid w:val="B03E0C6"/>
    <w:multiLevelType w:val="hybridMultilevel"/>
    <w:lvl w:ilvl="0">
      <w:lvlJc w:val="left"/>
      <w:lvlText w:val="%1."/>
      <w:numFmt w:val="decimal"/>
      <w:start w:val="4"/>
    </w:lvl>
    <w:lvl w:ilvl="1">
      <w:lvlJc w:val="left"/>
      <w:lvlText w:val="%2"/>
      <w:numFmt w:val="lowerRoman"/>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2019-12-07T22:43:10Z</dcterms:created>
  <dcterms:modified xsi:type="dcterms:W3CDTF">2019-12-07T22:43:10Z</dcterms:modified>
</cp:coreProperties>
</file>