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80645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20-F</w:t>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260" w:right="460" w:hanging="8"/>
        <w:spacing w:after="0" w:line="207" w:lineRule="exact"/>
        <w:tabs>
          <w:tab w:leader="none" w:pos="65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REGISTRATION STATEMENT PURSUANT TO SECTION 12(b) OR (g) OF THE SECURITIES EXCHANGE ACT OF 1934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ANNUAL REPORT PURSUANT TO SECTION 13 OR 15(d) OF THE SECURITIES EXCHANGE ACT OF 1934 FOR THE</w:t>
      </w:r>
    </w:p>
    <w:p>
      <w:pPr>
        <w:spacing w:after="0" w:line="1" w:lineRule="exact"/>
        <w:rPr>
          <w:rFonts w:ascii="MS PGothic" w:cs="MS PGothic" w:eastAsia="MS PGothic" w:hAnsi="MS PGothic"/>
          <w:sz w:val="16"/>
          <w:szCs w:val="16"/>
          <w:color w:val="auto"/>
        </w:rPr>
      </w:pPr>
    </w:p>
    <w:p>
      <w:pPr>
        <w:ind w:left="6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FISCAL YEAR ENDED DECEMBER 31, 2021</w:t>
      </w:r>
    </w:p>
    <w:p>
      <w:pPr>
        <w:spacing w:after="0" w:line="8" w:lineRule="exact"/>
        <w:rPr>
          <w:rFonts w:ascii="MS PGothic" w:cs="MS PGothic" w:eastAsia="MS PGothic" w:hAnsi="MS PGothic"/>
          <w:sz w:val="16"/>
          <w:szCs w:val="16"/>
          <w:color w:val="auto"/>
        </w:rPr>
      </w:pPr>
    </w:p>
    <w:p>
      <w:pPr>
        <w:ind w:left="640" w:hanging="388"/>
        <w:spacing w:after="0"/>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8" w:lineRule="exact"/>
        <w:rPr>
          <w:rFonts w:ascii="MS PGothic" w:cs="MS PGothic" w:eastAsia="MS PGothic" w:hAnsi="MS PGothic"/>
          <w:sz w:val="16"/>
          <w:szCs w:val="16"/>
          <w:color w:val="auto"/>
        </w:rPr>
      </w:pPr>
    </w:p>
    <w:p>
      <w:pPr>
        <w:ind w:left="640" w:hanging="388"/>
        <w:spacing w:after="0"/>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197485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GasLog Partners LP</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Republic of the Marshall Islands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(Jurisdiction of incorporation or organization)</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 GasLog LNG Services Ltd 69 Akti Miaouli 18537 Piraeus Greece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Alexandros Laios, General Counsel</w:t>
      </w:r>
    </w:p>
    <w:p>
      <w:pPr>
        <w:spacing w:after="0" w:line="22" w:lineRule="exact"/>
        <w:rPr>
          <w:sz w:val="24"/>
          <w:szCs w:val="24"/>
          <w:color w:val="auto"/>
        </w:rPr>
      </w:pPr>
    </w:p>
    <w:p>
      <w:pPr>
        <w:ind w:left="3960"/>
        <w:spacing w:after="0"/>
        <w:rPr>
          <w:sz w:val="20"/>
          <w:szCs w:val="20"/>
          <w:color w:val="auto"/>
        </w:rPr>
      </w:pPr>
      <w:r>
        <w:rPr>
          <w:rFonts w:ascii="Arial" w:cs="Arial" w:eastAsia="Arial" w:hAnsi="Arial"/>
          <w:sz w:val="16"/>
          <w:szCs w:val="16"/>
          <w:color w:val="auto"/>
        </w:rPr>
        <w:t>c/o GasLog LNG Services Ltd,</w:t>
      </w:r>
    </w:p>
    <w:p>
      <w:pPr>
        <w:spacing w:after="0" w:line="19" w:lineRule="exact"/>
        <w:rPr>
          <w:sz w:val="24"/>
          <w:szCs w:val="24"/>
          <w:color w:val="auto"/>
        </w:rPr>
      </w:pPr>
    </w:p>
    <w:p>
      <w:pPr>
        <w:ind w:left="4380"/>
        <w:spacing w:after="0"/>
        <w:rPr>
          <w:sz w:val="20"/>
          <w:szCs w:val="20"/>
          <w:color w:val="auto"/>
        </w:rPr>
      </w:pPr>
      <w:r>
        <w:rPr>
          <w:rFonts w:ascii="Arial" w:cs="Arial" w:eastAsia="Arial" w:hAnsi="Arial"/>
          <w:sz w:val="16"/>
          <w:szCs w:val="16"/>
          <w:color w:val="auto"/>
        </w:rPr>
        <w:t>69 Akti Miaouli 18537</w:t>
      </w:r>
    </w:p>
    <w:p>
      <w:pPr>
        <w:spacing w:after="0" w:line="19"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Piraeus, Greece</w:t>
      </w:r>
    </w:p>
    <w:p>
      <w:pPr>
        <w:spacing w:after="0" w:line="19" w:lineRule="exact"/>
        <w:rPr>
          <w:sz w:val="24"/>
          <w:szCs w:val="24"/>
          <w:color w:val="auto"/>
        </w:rPr>
      </w:pPr>
    </w:p>
    <w:p>
      <w:pPr>
        <w:ind w:left="4140"/>
        <w:spacing w:after="0"/>
        <w:rPr>
          <w:sz w:val="20"/>
          <w:szCs w:val="20"/>
          <w:color w:val="auto"/>
        </w:rPr>
      </w:pPr>
      <w:r>
        <w:rPr>
          <w:rFonts w:ascii="Arial" w:cs="Arial" w:eastAsia="Arial" w:hAnsi="Arial"/>
          <w:sz w:val="16"/>
          <w:szCs w:val="16"/>
          <w:color w:val="auto"/>
        </w:rPr>
        <w:t>Telephone: +30 210 459 1000</w:t>
      </w:r>
    </w:p>
    <w:p>
      <w:pPr>
        <w:spacing w:after="0" w:line="19"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Fax: +30 210 459 1242</w:t>
      </w:r>
    </w:p>
    <w:p>
      <w:pPr>
        <w:spacing w:after="0" w:line="19"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(Name, Telephone, E-mail and/or Facsimile number and Address of Company Contact Person)</w:t>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OR TO BE REGISTERED PURSUANT TO SECTION 12(b) OF THE ACT:</w:t>
      </w:r>
    </w:p>
    <w:p>
      <w:pPr>
        <w:spacing w:after="0" w:line="200" w:lineRule="exact"/>
        <w:rPr>
          <w:sz w:val="24"/>
          <w:szCs w:val="24"/>
          <w:color w:val="auto"/>
        </w:rPr>
      </w:pP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Title of Each Class</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Trading Symbols</w:t>
            </w:r>
          </w:p>
        </w:tc>
        <w:tc>
          <w:tcPr>
            <w:tcW w:w="382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186"/>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Common Units representing limited partner interests</w:t>
            </w:r>
          </w:p>
        </w:tc>
        <w:tc>
          <w:tcPr>
            <w:tcW w:w="180" w:type="dxa"/>
            <w:vAlign w:val="bottom"/>
          </w:tcPr>
          <w:p>
            <w:pPr>
              <w:spacing w:after="0"/>
              <w:rPr>
                <w:sz w:val="16"/>
                <w:szCs w:val="16"/>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GLOP</w:t>
            </w:r>
          </w:p>
        </w:tc>
        <w:tc>
          <w:tcPr>
            <w:tcW w:w="200" w:type="dxa"/>
            <w:vAlign w:val="bottom"/>
          </w:tcPr>
          <w:p>
            <w:pPr>
              <w:spacing w:after="0"/>
              <w:rPr>
                <w:sz w:val="16"/>
                <w:szCs w:val="16"/>
                <w:color w:val="auto"/>
              </w:rPr>
            </w:pPr>
          </w:p>
        </w:tc>
        <w:tc>
          <w:tcPr>
            <w:tcW w:w="3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203"/>
        </w:trPr>
        <w:tc>
          <w:tcPr>
            <w:tcW w:w="43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Series A Preference Units</w:t>
            </w:r>
          </w:p>
        </w:tc>
        <w:tc>
          <w:tcPr>
            <w:tcW w:w="178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GLOP PR A</w:t>
            </w:r>
          </w:p>
        </w:tc>
        <w:tc>
          <w:tcPr>
            <w:tcW w:w="38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203"/>
        </w:trPr>
        <w:tc>
          <w:tcPr>
            <w:tcW w:w="43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Series B Preference Units</w:t>
            </w:r>
          </w:p>
        </w:tc>
        <w:tc>
          <w:tcPr>
            <w:tcW w:w="178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GLOP PR B</w:t>
            </w:r>
          </w:p>
        </w:tc>
        <w:tc>
          <w:tcPr>
            <w:tcW w:w="38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206"/>
        </w:trPr>
        <w:tc>
          <w:tcPr>
            <w:tcW w:w="432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Series C Preference Units</w:t>
            </w:r>
          </w:p>
        </w:tc>
        <w:tc>
          <w:tcPr>
            <w:tcW w:w="178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GLOP PR C</w:t>
            </w:r>
          </w:p>
        </w:tc>
        <w:tc>
          <w:tcPr>
            <w:tcW w:w="38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1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SECURITIES FOR WHICH THERE IS A REPORTING OBLIGATION PURSUANT TO SECTION 15(d) OF THE ACT: </w:t>
      </w:r>
      <w:r>
        <w:rPr>
          <w:rFonts w:ascii="Arial" w:cs="Arial" w:eastAsia="Arial" w:hAnsi="Arial"/>
          <w:sz w:val="16"/>
          <w:szCs w:val="16"/>
          <w:color w:val="auto"/>
        </w:rPr>
        <w:t>None</w:t>
      </w:r>
    </w:p>
    <w:p>
      <w:pPr>
        <w:spacing w:after="0" w:line="225" w:lineRule="exact"/>
        <w:rPr>
          <w:sz w:val="24"/>
          <w:szCs w:val="24"/>
          <w:color w:val="auto"/>
        </w:rPr>
      </w:pPr>
    </w:p>
    <w:p>
      <w:pPr>
        <w:ind w:right="140"/>
        <w:spacing w:after="0" w:line="293" w:lineRule="auto"/>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158" w:lineRule="exact"/>
        <w:rPr>
          <w:sz w:val="24"/>
          <w:szCs w:val="24"/>
          <w:color w:val="auto"/>
        </w:rPr>
      </w:pPr>
    </w:p>
    <w:p>
      <w:pPr>
        <w:ind w:right="140"/>
        <w:spacing w:after="0" w:line="293" w:lineRule="auto"/>
        <w:rPr>
          <w:sz w:val="20"/>
          <w:szCs w:val="20"/>
          <w:color w:val="auto"/>
        </w:rPr>
      </w:pPr>
      <w:r>
        <w:rPr>
          <w:rFonts w:ascii="Arial" w:cs="Arial" w:eastAsia="Arial" w:hAnsi="Arial"/>
          <w:sz w:val="16"/>
          <w:szCs w:val="16"/>
          <w:color w:val="auto"/>
        </w:rPr>
        <w:t>As of December 31, 2021, there were 51,137,201 Partnership common units, 1,660,000 Class B Units, 5,750,000 Series A Preference Units, 4,135,571 Series B Preference Units and 3,730,451 Series C Preference Units outstanding.</w:t>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Company is a well-known seasoned issuer, as defined in Rule 405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772160</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ind w:left="9020"/>
        <w:spacing w:after="0" w:line="215" w:lineRule="exact"/>
        <w:rPr>
          <w:sz w:val="20"/>
          <w:szCs w:val="20"/>
          <w:color w:val="auto"/>
        </w:rPr>
      </w:pP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If this report is an annual or transition report, indicate by check mark if the Company is not required to file reports pursuant to Section 13 or 15(d) of the Securities Exchange Act of 1934.</w:t>
      </w:r>
    </w:p>
    <w:p>
      <w:pPr>
        <w:spacing w:after="0" w:line="1" w:lineRule="exact"/>
        <w:rPr>
          <w:sz w:val="20"/>
          <w:szCs w:val="20"/>
          <w:color w:val="auto"/>
        </w:rPr>
      </w:pPr>
    </w:p>
    <w:p>
      <w:pPr>
        <w:ind w:left="9020"/>
        <w:spacing w:after="0" w:line="215" w:lineRule="exact"/>
        <w:rPr>
          <w:sz w:val="20"/>
          <w:szCs w:val="20"/>
          <w:color w:val="auto"/>
        </w:rPr>
      </w:pP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8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Indicate by check mark whether the Company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9020"/>
        <w:spacing w:after="0" w:line="215" w:lineRule="exact"/>
        <w:rPr>
          <w:sz w:val="20"/>
          <w:szCs w:val="20"/>
          <w:color w:val="auto"/>
        </w:rPr>
      </w:pP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8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Indicate by check mark whether the Company has submitted electronically every Interactive Data File required to be submitted pursuant to Rule 405 of Regulation S-T (§232.405 of this chapter) during the preceding 12 months (or for such shorter period that the Company was required to submit such files).</w:t>
      </w:r>
    </w:p>
    <w:p>
      <w:pPr>
        <w:spacing w:after="0" w:line="2" w:lineRule="exact"/>
        <w:rPr>
          <w:sz w:val="20"/>
          <w:szCs w:val="20"/>
          <w:color w:val="auto"/>
        </w:rPr>
      </w:pPr>
    </w:p>
    <w:p>
      <w:pPr>
        <w:ind w:left="9020"/>
        <w:spacing w:after="0" w:line="215" w:lineRule="exact"/>
        <w:rPr>
          <w:sz w:val="20"/>
          <w:szCs w:val="20"/>
          <w:color w:val="auto"/>
        </w:rPr>
      </w:pP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See the definitions of “large accelerated filer,” “accelerated filer,” and “emerging growth company” in Rule 12b-2 of the Exchange Act.</w:t>
      </w:r>
    </w:p>
    <w:p>
      <w:pPr>
        <w:spacing w:after="0" w:line="187" w:lineRule="exact"/>
        <w:rPr>
          <w:sz w:val="20"/>
          <w:szCs w:val="20"/>
          <w:color w:val="auto"/>
        </w:rPr>
      </w:pPr>
    </w:p>
    <w:p>
      <w:pPr>
        <w:ind w:left="420"/>
        <w:spacing w:after="0" w:line="215" w:lineRule="exact"/>
        <w:tabs>
          <w:tab w:leader="none" w:pos="3060" w:val="left"/>
          <w:tab w:leader="none" w:pos="5420" w:val="left"/>
          <w:tab w:leader="none" w:pos="7680" w:val="left"/>
        </w:tabs>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pacing w:after="0" w:line="302" w:lineRule="exact"/>
        <w:rPr>
          <w:sz w:val="20"/>
          <w:szCs w:val="20"/>
          <w:color w:val="auto"/>
        </w:rPr>
      </w:pPr>
    </w:p>
    <w:p>
      <w:pPr>
        <w:spacing w:after="0" w:line="209" w:lineRule="exact"/>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4"/>
          <w:szCs w:val="24"/>
          <w:color w:val="auto"/>
          <w:vertAlign w:val="superscript"/>
        </w:rPr>
        <w:t>†</w:t>
      </w:r>
      <w:r>
        <w:rPr>
          <w:rFonts w:ascii="Arial" w:cs="Arial" w:eastAsia="Arial" w:hAnsi="Arial"/>
          <w:sz w:val="16"/>
          <w:szCs w:val="16"/>
          <w:color w:val="auto"/>
        </w:rPr>
        <w:t xml:space="preserve"> provided pursuant to Section 13(a) of the Exchange Act. </w:t>
      </w:r>
      <w:r>
        <w:rPr>
          <w:rFonts w:ascii="Arial Unicode MS" w:cs="Arial Unicode MS" w:eastAsia="Arial Unicode MS" w:hAnsi="Arial Unicode MS"/>
          <w:sz w:val="16"/>
          <w:szCs w:val="16"/>
          <w:color w:val="auto"/>
        </w:rPr>
        <w:t>☐</w:t>
      </w:r>
    </w:p>
    <w:p>
      <w:pPr>
        <w:spacing w:after="0" w:line="183"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158"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 w:lineRule="exact"/>
        <w:rPr>
          <w:sz w:val="20"/>
          <w:szCs w:val="20"/>
          <w:color w:val="auto"/>
        </w:rPr>
      </w:pPr>
    </w:p>
    <w:p>
      <w:pPr>
        <w:ind w:left="9020"/>
        <w:spacing w:after="0" w:line="215" w:lineRule="exact"/>
        <w:rPr>
          <w:sz w:val="20"/>
          <w:szCs w:val="20"/>
          <w:color w:val="auto"/>
        </w:rPr>
      </w:pP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which basis of accounting the Company has used to prepare the financial statements included in this filing.</w:t>
      </w:r>
    </w:p>
    <w:p>
      <w:pPr>
        <w:sectPr>
          <w:pgSz w:w="11900" w:h="16838" w:orient="portrait"/>
          <w:cols w:equalWidth="0" w:num="1">
            <w:col w:w="9920"/>
          </w:cols>
          <w:pgMar w:left="980" w:top="517" w:right="999" w:bottom="1440" w:gutter="0" w:footer="0" w:header="0"/>
        </w:sectPr>
      </w:pPr>
    </w:p>
    <w:p>
      <w:pPr>
        <w:spacing w:after="0" w:line="191" w:lineRule="exact"/>
        <w:rPr>
          <w:sz w:val="20"/>
          <w:szCs w:val="20"/>
          <w:color w:val="auto"/>
        </w:rPr>
      </w:pPr>
    </w:p>
    <w:p>
      <w:pPr>
        <w:ind w:left="860"/>
        <w:spacing w:after="0" w:line="201" w:lineRule="exact"/>
        <w:rPr>
          <w:sz w:val="20"/>
          <w:szCs w:val="20"/>
          <w:color w:val="auto"/>
        </w:rPr>
      </w:pPr>
      <w:r>
        <w:rPr>
          <w:rFonts w:ascii="Arial" w:cs="Arial" w:eastAsia="Arial" w:hAnsi="Arial"/>
          <w:sz w:val="15"/>
          <w:szCs w:val="15"/>
          <w:color w:val="auto"/>
        </w:rPr>
        <w:t xml:space="preserve">U.S. GAAP </w:t>
      </w:r>
      <w:r>
        <w:rPr>
          <w:rFonts w:ascii="Arial Unicode MS" w:cs="Arial Unicode MS" w:eastAsia="Arial Unicode MS" w:hAnsi="Arial Unicode MS"/>
          <w:sz w:val="15"/>
          <w:szCs w:val="15"/>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880" w:hanging="24"/>
        <w:spacing w:after="0" w:line="213" w:lineRule="exact"/>
        <w:rPr>
          <w:sz w:val="20"/>
          <w:szCs w:val="20"/>
          <w:color w:val="auto"/>
        </w:rPr>
      </w:pPr>
      <w:r>
        <w:rPr>
          <w:rFonts w:ascii="Arial" w:cs="Arial" w:eastAsia="Arial" w:hAnsi="Arial"/>
          <w:sz w:val="14"/>
          <w:szCs w:val="14"/>
          <w:color w:val="auto"/>
        </w:rPr>
        <w:t xml:space="preserve">International Financial Reporting Standards as issued by the International Accounting Standards Board </w:t>
      </w:r>
      <w:r>
        <w:rPr>
          <w:rFonts w:ascii="Arial Unicode MS" w:cs="Arial Unicode MS" w:eastAsia="Arial Unicode MS" w:hAnsi="Arial Unicode MS"/>
          <w:sz w:val="14"/>
          <w:szCs w:val="14"/>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01" w:lineRule="exact"/>
        <w:rPr>
          <w:sz w:val="20"/>
          <w:szCs w:val="20"/>
          <w:color w:val="auto"/>
        </w:rPr>
      </w:pPr>
      <w:r>
        <w:rPr>
          <w:rFonts w:ascii="Arial" w:cs="Arial" w:eastAsia="Arial" w:hAnsi="Arial"/>
          <w:sz w:val="15"/>
          <w:szCs w:val="15"/>
          <w:color w:val="auto"/>
        </w:rPr>
        <w:t xml:space="preserve">Other </w:t>
      </w:r>
      <w:r>
        <w:rPr>
          <w:rFonts w:ascii="Arial Unicode MS" w:cs="Arial Unicode MS" w:eastAsia="Arial Unicode MS" w:hAnsi="Arial Unicode MS"/>
          <w:sz w:val="15"/>
          <w:szCs w:val="15"/>
          <w:color w:val="auto"/>
        </w:rPr>
        <w:t>☐</w:t>
      </w:r>
    </w:p>
    <w:p>
      <w:pPr>
        <w:spacing w:after="0" w:line="436" w:lineRule="exact"/>
        <w:rPr>
          <w:sz w:val="20"/>
          <w:szCs w:val="20"/>
          <w:color w:val="auto"/>
        </w:rPr>
      </w:pPr>
    </w:p>
    <w:p>
      <w:pPr>
        <w:sectPr>
          <w:pgSz w:w="11900" w:h="16838" w:orient="portrait"/>
          <w:cols w:equalWidth="0" w:num="3">
            <w:col w:w="2540" w:space="720"/>
            <w:col w:w="4320" w:space="720"/>
            <w:col w:w="1620"/>
          </w:cols>
          <w:pgMar w:left="980" w:top="517" w:right="999" w:bottom="1440" w:gutter="0" w:footer="0" w:header="0"/>
          <w:type w:val="continuous"/>
        </w:sectPr>
      </w:pPr>
    </w:p>
    <w:p>
      <w:pPr>
        <w:ind w:right="260"/>
        <w:spacing w:after="0" w:line="266" w:lineRule="auto"/>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Company has elected to follow.</w:t>
      </w:r>
    </w:p>
    <w:p>
      <w:pPr>
        <w:spacing w:after="0" w:line="1" w:lineRule="exact"/>
        <w:rPr>
          <w:sz w:val="20"/>
          <w:szCs w:val="20"/>
          <w:color w:val="auto"/>
        </w:rPr>
      </w:pPr>
    </w:p>
    <w:p>
      <w:pPr>
        <w:ind w:left="8500"/>
        <w:spacing w:after="0" w:line="201" w:lineRule="exact"/>
        <w:rPr>
          <w:sz w:val="20"/>
          <w:szCs w:val="20"/>
          <w:color w:val="auto"/>
        </w:rPr>
      </w:pPr>
      <w:r>
        <w:rPr>
          <w:rFonts w:ascii="Arial" w:cs="Arial" w:eastAsia="Arial" w:hAnsi="Arial"/>
          <w:sz w:val="15"/>
          <w:szCs w:val="15"/>
          <w:color w:val="auto"/>
        </w:rPr>
        <w:t xml:space="preserve">Item 17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Item 18 </w:t>
      </w:r>
      <w:r>
        <w:rPr>
          <w:rFonts w:ascii="Arial Unicode MS" w:cs="Arial Unicode MS" w:eastAsia="Arial Unicode MS" w:hAnsi="Arial Unicode MS"/>
          <w:sz w:val="15"/>
          <w:szCs w:val="15"/>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If this is an annual report, indicate by check mark whether the Company is a shell company (as defined in Rule 12b-2 of the Exchange Act).</w:t>
      </w:r>
    </w:p>
    <w:p>
      <w:pPr>
        <w:spacing w:after="0" w:line="22" w:lineRule="exact"/>
        <w:rPr>
          <w:sz w:val="20"/>
          <w:szCs w:val="20"/>
          <w:color w:val="auto"/>
        </w:rPr>
      </w:pPr>
    </w:p>
    <w:p>
      <w:pPr>
        <w:ind w:left="9020"/>
        <w:spacing w:after="0" w:line="215" w:lineRule="exact"/>
        <w:rPr>
          <w:sz w:val="20"/>
          <w:szCs w:val="20"/>
          <w:color w:val="auto"/>
        </w:rPr>
      </w:pP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1110615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142240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184785</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Table of Contents</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gridSpan w:val="15"/>
          </w:tcPr>
          <w:p>
            <w:pPr>
              <w:ind w:left="20"/>
              <w:spacing w:after="0"/>
              <w:rPr>
                <w:sz w:val="20"/>
                <w:szCs w:val="20"/>
                <w:color w:val="auto"/>
              </w:rPr>
            </w:pPr>
            <w:r>
              <w:rPr>
                <w:rFonts w:ascii="Arial" w:cs="Arial" w:eastAsia="Arial" w:hAnsi="Arial"/>
                <w:sz w:val="18"/>
                <w:szCs w:val="18"/>
                <w:b w:val="1"/>
                <w:bCs w:val="1"/>
                <w:color w:val="231F20"/>
              </w:rPr>
              <w:t>TABLE OF CONTENTS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0" w:type="dxa"/>
            <w:vAlign w:val="bottom"/>
          </w:tcPr>
          <w:p>
            <w:pPr>
              <w:spacing w:after="0"/>
              <w:rPr>
                <w:sz w:val="24"/>
                <w:szCs w:val="24"/>
                <w:color w:val="auto"/>
              </w:rPr>
            </w:pPr>
          </w:p>
        </w:tc>
        <w:tc>
          <w:tcPr>
            <w:tcW w:w="8920" w:type="dxa"/>
            <w:vAlign w:val="bottom"/>
            <w:gridSpan w:val="3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REPORT</w:t>
              </w:r>
            </w:hyperlink>
          </w:p>
        </w:tc>
        <w:tc>
          <w:tcPr>
            <w:tcW w:w="4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8920" w:type="dxa"/>
            <w:vAlign w:val="bottom"/>
            <w:gridSpan w:val="36"/>
            <w:vMerge w:val="continue"/>
          </w:tcPr>
          <w:p>
            <w:pPr>
              <w:spacing w:after="0"/>
              <w:rPr>
                <w:sz w:val="13"/>
                <w:szCs w:val="13"/>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8920" w:type="dxa"/>
            <w:vAlign w:val="bottom"/>
            <w:gridSpan w:val="3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PART I</w:t>
              </w:r>
            </w:hyperlink>
          </w:p>
        </w:tc>
        <w:tc>
          <w:tcPr>
            <w:tcW w:w="440" w:type="dxa"/>
            <w:vAlign w:val="bottom"/>
            <w:tcBorders>
              <w:top w:val="single" w:sz="8" w:color="0000EE"/>
            </w:tcBorders>
            <w:gridSpan w:val="5"/>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ITEM 1.</w:t>
              </w:r>
            </w:hyperlink>
          </w:p>
        </w:tc>
        <w:tc>
          <w:tcPr>
            <w:tcW w:w="3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IDENTITY OF DIRECTORS, SENIOR MANAGEMENT AND ADVISERS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ITEM 2.</w:t>
              </w:r>
            </w:hyperlink>
          </w:p>
        </w:tc>
        <w:tc>
          <w:tcPr>
            <w:tcW w:w="3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OFFER STATISTICS AND EXPECTED TIMETABLE</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ITEM 3.</w:t>
              </w:r>
            </w:hyperlink>
          </w:p>
        </w:tc>
        <w:tc>
          <w:tcPr>
            <w:tcW w:w="3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KEY INFORMATION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ITEM 4.</w:t>
              </w:r>
            </w:hyperlink>
          </w:p>
        </w:tc>
        <w:tc>
          <w:tcPr>
            <w:tcW w:w="3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INFORMATION ON THE PARTNERSHIP</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80" w:type="dxa"/>
            <w:vAlign w:val="bottom"/>
            <w:gridSpan w:val="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4.A.</w:t>
              </w:r>
            </w:hyperlink>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UNRESOLVED STAFF COMMENTS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ITEM 5.</w:t>
              </w:r>
            </w:hyperlink>
          </w:p>
        </w:tc>
        <w:tc>
          <w:tcPr>
            <w:tcW w:w="16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OPERATING AND FINANCIAL REVIEW AND PROSPECTS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ITEM 6.</w:t>
              </w:r>
            </w:hyperlink>
          </w:p>
        </w:tc>
        <w:tc>
          <w:tcPr>
            <w:tcW w:w="3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DIRECTORS, SENIOR MANAGEMENT AND EMPLOYEES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ITEM 7.</w:t>
              </w:r>
            </w:hyperlink>
          </w:p>
        </w:tc>
        <w:tc>
          <w:tcPr>
            <w:tcW w:w="3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MAJOR UNITHOLDERS AND RELATED PARTY TRANSACTIONS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ITEM 8.</w:t>
              </w:r>
            </w:hyperlink>
          </w:p>
        </w:tc>
        <w:tc>
          <w:tcPr>
            <w:tcW w:w="3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FINANCIAL INFORMATION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ITEM 9.</w:t>
              </w:r>
            </w:hyperlink>
          </w:p>
        </w:tc>
        <w:tc>
          <w:tcPr>
            <w:tcW w:w="3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THE OFFER AND LISTING</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80" w:type="dxa"/>
            <w:vAlign w:val="bottom"/>
            <w:gridSpan w:val="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ITEM 10.</w:t>
              </w:r>
            </w:hyperlink>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ADDITIONAL INFORMATION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00" w:type="dxa"/>
            <w:vAlign w:val="bottom"/>
            <w:gridSpan w:val="3"/>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ITEM 11.</w:t>
              </w:r>
            </w:hyperlink>
          </w:p>
        </w:tc>
        <w:tc>
          <w:tcPr>
            <w:tcW w:w="2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QUANTITATIVE AND QUALITATIVE DISCLOSURES ABOUT MARKET RISK</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80" w:type="dxa"/>
            <w:vAlign w:val="bottom"/>
            <w:gridSpan w:val="6"/>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 12.</w:t>
              </w:r>
            </w:hyperlink>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DESCRIPTION OF SECURITIES OTHER THAN EQUITY SECURITIES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12">
              <w:r>
                <w:rPr>
                  <w:rFonts w:ascii="Arial" w:cs="Arial" w:eastAsia="Arial" w:hAnsi="Arial"/>
                  <w:sz w:val="18"/>
                  <w:szCs w:val="18"/>
                  <w:color w:val="0000EE"/>
                  <w:w w:val="91"/>
                </w:rPr>
                <w:t>PART II</w:t>
              </w:r>
            </w:hyperlink>
          </w:p>
        </w:tc>
        <w:tc>
          <w:tcPr>
            <w:tcW w:w="80" w:type="dxa"/>
            <w:vAlign w:val="bottom"/>
            <w:tcBorders>
              <w:top w:val="single" w:sz="8" w:color="0000EE"/>
            </w:tcBorders>
          </w:tcPr>
          <w:p>
            <w:pPr>
              <w:spacing w:after="0"/>
              <w:rPr>
                <w:sz w:val="17"/>
                <w:szCs w:val="17"/>
                <w:color w:val="auto"/>
              </w:rPr>
            </w:pPr>
          </w:p>
        </w:tc>
        <w:tc>
          <w:tcPr>
            <w:tcW w:w="2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980" w:type="dxa"/>
            <w:vAlign w:val="bottom"/>
            <w:gridSpan w:val="6"/>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ITEM 13.</w:t>
              </w:r>
            </w:hyperlink>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DEFAULTS, DIVIDEND ARREARAGES AND DELINQUENCIES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MATERIAL MODIFICATIONS TO THE RIGHTS OF SECURITY HOLDERS AND USE OF</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980" w:type="dxa"/>
            <w:vAlign w:val="bottom"/>
            <w:gridSpan w:val="6"/>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ITEM 14.</w:t>
              </w:r>
            </w:hyperlink>
          </w:p>
        </w:tc>
        <w:tc>
          <w:tcPr>
            <w:tcW w:w="100" w:type="dxa"/>
            <w:vAlign w:val="bottom"/>
          </w:tcPr>
          <w:p>
            <w:pPr>
              <w:spacing w:after="0"/>
              <w:rPr>
                <w:sz w:val="17"/>
                <w:szCs w:val="17"/>
                <w:color w:val="auto"/>
              </w:rPr>
            </w:pPr>
          </w:p>
        </w:tc>
        <w:tc>
          <w:tcPr>
            <w:tcW w:w="69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PROCEEDS</w:t>
              </w:r>
            </w:hyperlink>
          </w:p>
        </w:tc>
        <w:tc>
          <w:tcPr>
            <w:tcW w:w="94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80" w:type="dxa"/>
            <w:vAlign w:val="bottom"/>
            <w:gridSpan w:val="6"/>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ITEM 15.</w:t>
              </w:r>
            </w:hyperlink>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CONTROLS AND PROCEDURES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80" w:type="dxa"/>
            <w:vAlign w:val="bottom"/>
            <w:gridSpan w:val="6"/>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ITEM 16.</w:t>
              </w:r>
            </w:hyperlink>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[RESERVED]</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ITEM 16.A.</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AUDIT COMMITTEE FINANCIAL EXPERT</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ITEM 16.B.</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CODE OF ETHICS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w w:val="87"/>
              </w:rPr>
            </w:pPr>
            <w:hyperlink w:anchor="page115">
              <w:r>
                <w:rPr>
                  <w:rFonts w:ascii="Arial" w:cs="Arial" w:eastAsia="Arial" w:hAnsi="Arial"/>
                  <w:sz w:val="18"/>
                  <w:szCs w:val="18"/>
                  <w:color w:val="0000EE"/>
                  <w:w w:val="87"/>
                </w:rPr>
                <w:t>ITEM 16.C.</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PRINCIPAL ACCOUNTANT FEES AND SERVICES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w w:val="87"/>
              </w:rPr>
            </w:pPr>
            <w:hyperlink w:anchor="page116">
              <w:r>
                <w:rPr>
                  <w:rFonts w:ascii="Arial" w:cs="Arial" w:eastAsia="Arial" w:hAnsi="Arial"/>
                  <w:sz w:val="18"/>
                  <w:szCs w:val="18"/>
                  <w:color w:val="0000EE"/>
                  <w:w w:val="87"/>
                </w:rPr>
                <w:t>ITEM 16.D.</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EXEMPTIONS FROM THE LISTING STANDARDS FOR AUDIT COMMITTEES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40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ITEM 16.E.</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PURCHASES OF EQUITY SECURITIES BY THE ISSUER AND AFFILIATED PURCHASERS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400" w:type="dxa"/>
            <w:vAlign w:val="bottom"/>
            <w:tcBorders>
              <w:left w:val="single" w:sz="8" w:color="0000EE"/>
            </w:tcBorders>
            <w:gridSpan w:val="3"/>
            <w:shd w:val="clear" w:color="auto" w:fill="0000EE"/>
          </w:tcPr>
          <w:p>
            <w:pPr>
              <w:spacing w:after="0" w:line="20" w:lineRule="exact"/>
              <w:rPr>
                <w:sz w:val="1"/>
                <w:szCs w:val="1"/>
                <w:color w:val="auto"/>
              </w:rPr>
            </w:pPr>
          </w:p>
        </w:tc>
        <w:tc>
          <w:tcPr>
            <w:tcW w:w="2400" w:type="dxa"/>
            <w:vAlign w:val="bottom"/>
            <w:gridSpan w:val="8"/>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ITEM 16.F.</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CHANGE IN PARTNERSHIP’S CERTIFYING ACCOUNTANT</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400" w:type="dxa"/>
            <w:vAlign w:val="bottom"/>
            <w:tcBorders>
              <w:left w:val="single" w:sz="8" w:color="0000EE"/>
            </w:tcBorders>
            <w:gridSpan w:val="3"/>
            <w:shd w:val="clear" w:color="auto" w:fill="0000EE"/>
          </w:tcPr>
          <w:p>
            <w:pPr>
              <w:spacing w:after="0" w:line="20" w:lineRule="exact"/>
              <w:rPr>
                <w:sz w:val="1"/>
                <w:szCs w:val="1"/>
                <w:color w:val="auto"/>
              </w:rPr>
            </w:pPr>
          </w:p>
        </w:tc>
        <w:tc>
          <w:tcPr>
            <w:tcW w:w="3080" w:type="dxa"/>
            <w:vAlign w:val="bottom"/>
            <w:gridSpan w:val="9"/>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w w:val="86"/>
              </w:rPr>
            </w:pPr>
            <w:hyperlink w:anchor="page117">
              <w:r>
                <w:rPr>
                  <w:rFonts w:ascii="Arial" w:cs="Arial" w:eastAsia="Arial" w:hAnsi="Arial"/>
                  <w:sz w:val="18"/>
                  <w:szCs w:val="18"/>
                  <w:color w:val="0000EE"/>
                  <w:w w:val="86"/>
                </w:rPr>
                <w:t>ITEM 16.G.</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CORPORATE GOVERNANCE</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w w:val="87"/>
              </w:rPr>
            </w:pPr>
            <w:hyperlink w:anchor="page117">
              <w:r>
                <w:rPr>
                  <w:rFonts w:ascii="Arial" w:cs="Arial" w:eastAsia="Arial" w:hAnsi="Arial"/>
                  <w:sz w:val="18"/>
                  <w:szCs w:val="18"/>
                  <w:color w:val="0000EE"/>
                  <w:w w:val="87"/>
                </w:rPr>
                <w:t>ITEM 16.H.</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MINE SAFETY DISCLOSURE</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PART III</w:t>
              </w:r>
            </w:hyperlink>
          </w:p>
        </w:tc>
        <w:tc>
          <w:tcPr>
            <w:tcW w:w="140" w:type="dxa"/>
            <w:vAlign w:val="bottom"/>
            <w:tcBorders>
              <w:top w:val="single" w:sz="8" w:color="0000EE"/>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980" w:type="dxa"/>
            <w:vAlign w:val="bottom"/>
            <w:gridSpan w:val="6"/>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ITEM 17.</w:t>
              </w:r>
            </w:hyperlink>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FINANCIAL STATEMENTS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80" w:type="dxa"/>
            <w:vAlign w:val="bottom"/>
            <w:gridSpan w:val="6"/>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ITEM 18.</w:t>
              </w:r>
            </w:hyperlink>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FINANCIAL STATEMENTS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80" w:type="dxa"/>
            <w:vAlign w:val="bottom"/>
            <w:gridSpan w:val="6"/>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ITEM 19.</w:t>
              </w:r>
            </w:hyperlink>
          </w:p>
        </w:tc>
        <w:tc>
          <w:tcPr>
            <w:tcW w:w="100" w:type="dxa"/>
            <w:vAlign w:val="bottom"/>
          </w:tcPr>
          <w:p>
            <w:pPr>
              <w:spacing w:after="0"/>
              <w:rPr>
                <w:sz w:val="17"/>
                <w:szCs w:val="17"/>
                <w:color w:val="auto"/>
              </w:rPr>
            </w:pPr>
          </w:p>
        </w:tc>
        <w:tc>
          <w:tcPr>
            <w:tcW w:w="7840" w:type="dxa"/>
            <w:vAlign w:val="bottom"/>
            <w:gridSpan w:val="29"/>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EXHIBITS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540" w:type="dxa"/>
            <w:vAlign w:val="bottom"/>
            <w:gridSpan w:val="14"/>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920" w:type="dxa"/>
            <w:vAlign w:val="bottom"/>
            <w:gridSpan w:val="36"/>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INDEX TO CONSOLIDATED FINANCIAL STATEMENTS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40"/>
          </w:cols>
          <w:pgMar w:left="980" w:top="500" w:right="1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ABOUT THIS REPORT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In this annual report, unless otherwise indicated:</w:t>
      </w:r>
    </w:p>
    <w:p>
      <w:pPr>
        <w:spacing w:after="0" w:line="225" w:lineRule="exact"/>
        <w:rPr>
          <w:sz w:val="20"/>
          <w:szCs w:val="20"/>
          <w:color w:val="auto"/>
        </w:rPr>
      </w:pPr>
    </w:p>
    <w:p>
      <w:pPr>
        <w:ind w:left="980" w:right="100" w:hanging="324"/>
        <w:spacing w:after="0" w:line="277" w:lineRule="auto"/>
        <w:tabs>
          <w:tab w:leader="none" w:pos="872"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“GasLog Partners”, the “Partnership”, “we”, “our”, “us” or similar terms refer to GasLog Partners LP or any one or more of its subsidiaries, or to all such entities unless the context otherwise indicates;</w:t>
      </w:r>
    </w:p>
    <w:p>
      <w:pPr>
        <w:spacing w:after="0" w:line="170" w:lineRule="exact"/>
        <w:rPr>
          <w:rFonts w:ascii="Arial" w:cs="Arial" w:eastAsia="Arial" w:hAnsi="Arial"/>
          <w:sz w:val="18"/>
          <w:szCs w:val="18"/>
          <w:color w:val="231F20"/>
        </w:rPr>
      </w:pPr>
    </w:p>
    <w:p>
      <w:pPr>
        <w:ind w:left="980" w:right="340" w:hanging="324"/>
        <w:spacing w:after="0" w:line="277" w:lineRule="auto"/>
        <w:tabs>
          <w:tab w:leader="none" w:pos="872"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“GasLog”, depending on the context, refers to GasLog Ltd. and to any one or more of its direct and indirect subsidiaries, other than GasLog Partners;</w:t>
      </w:r>
    </w:p>
    <w:p>
      <w:pPr>
        <w:spacing w:after="0" w:line="170" w:lineRule="exact"/>
        <w:rPr>
          <w:rFonts w:ascii="Arial" w:cs="Arial" w:eastAsia="Arial" w:hAnsi="Arial"/>
          <w:sz w:val="18"/>
          <w:szCs w:val="18"/>
          <w:color w:val="231F20"/>
        </w:rPr>
      </w:pPr>
    </w:p>
    <w:p>
      <w:pPr>
        <w:ind w:left="980" w:right="400" w:hanging="324"/>
        <w:spacing w:after="0" w:line="277" w:lineRule="auto"/>
        <w:tabs>
          <w:tab w:leader="none" w:pos="872"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“GasLog Group”, refers to GasLog Ltd. and to any one or more of its direct and indirect subsidiaries, including GasLog Partners;</w:t>
      </w:r>
    </w:p>
    <w:p>
      <w:pPr>
        <w:spacing w:after="0" w:line="170" w:lineRule="exact"/>
        <w:rPr>
          <w:rFonts w:ascii="Arial" w:cs="Arial" w:eastAsia="Arial" w:hAnsi="Arial"/>
          <w:sz w:val="18"/>
          <w:szCs w:val="18"/>
          <w:color w:val="231F20"/>
        </w:rPr>
      </w:pPr>
    </w:p>
    <w:p>
      <w:pPr>
        <w:ind w:left="980" w:right="560" w:hanging="324"/>
        <w:spacing w:after="0" w:line="277" w:lineRule="auto"/>
        <w:tabs>
          <w:tab w:leader="none" w:pos="872"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“our general partner” refers to GasLog Partners GP LLC, the general partner of GasLog Partners and a wholly owned subsidiary of GasLog;</w:t>
      </w:r>
    </w:p>
    <w:p>
      <w:pPr>
        <w:spacing w:after="0" w:line="170"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“GasLog LNG Services” refers to GasLog LNG Services Ltd., a wholly owned subsidiary of GasLog;</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“GasLog Carriers” refers to GasLog Carriers Ltd., a wholly owned subsidiary of GasLog;</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7"/>
          <w:szCs w:val="17"/>
          <w:color w:val="231F20"/>
        </w:rPr>
      </w:pPr>
      <w:r>
        <w:rPr>
          <w:rFonts w:ascii="Arial" w:cs="Arial" w:eastAsia="Arial" w:hAnsi="Arial"/>
          <w:sz w:val="17"/>
          <w:szCs w:val="17"/>
          <w:color w:val="231F20"/>
        </w:rPr>
        <w:t>“GasLog Partners Holdings” refers to GasLog Partners Holdings LLC, a wholly owned subsidiary of GasLog Partners;</w:t>
      </w:r>
    </w:p>
    <w:p>
      <w:pPr>
        <w:spacing w:after="0" w:line="236" w:lineRule="exact"/>
        <w:rPr>
          <w:rFonts w:ascii="Arial" w:cs="Arial" w:eastAsia="Arial" w:hAnsi="Arial"/>
          <w:sz w:val="17"/>
          <w:szCs w:val="17"/>
          <w:color w:val="231F20"/>
        </w:rPr>
      </w:pPr>
    </w:p>
    <w:p>
      <w:pPr>
        <w:ind w:left="980" w:hanging="324"/>
        <w:spacing w:after="0" w:line="254" w:lineRule="auto"/>
        <w:tabs>
          <w:tab w:leader="none" w:pos="872"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“Merger Agreement” refers to the agreement and plan of merger dated as of February 21, 2021, and as subsequently amended on April 20, 2021, with BlackRock’s Global Energy and Power Infrastructure Team (collectively, “GEPIF”), pursuant to which GEPIF acquired all of the outstanding common shares of GasLog Ltd. that were not held by certain existing shareholders for a purchase price of $5.80 in cash per share (the “Transaction”). Following the consummation of the Transaction in June 2021, certain existing shareholders including Blenheim Holdings Ltd. (“Blenheim Holdings”), which is wholly owned by the Livanos family, and a wholly owned affiliate of the Onassis Foundation (collectively, the “Rolling Shareholders”) continue to hold approximately 55% of the outstanding common shares of GasLog Ltd. and GEPIF holds approximately 45%;</w:t>
      </w:r>
    </w:p>
    <w:p>
      <w:pPr>
        <w:spacing w:after="0" w:line="191"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“Shell” refers to Royal Dutch Shell plc or any one or more of its subsidiaries;</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“MSL” refers to Methane Services Limited, a subsidiary of Shell;</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“DSME” refers to Daewoo Shipbuilding and Marine Engineering Co., Ltd.;</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“TotalEnergies” refers to TotalEnergies Gas &amp; Power Limited, a wholly owned subsidiary of TotalEnergies SE;</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“Cheniere” refers to Cheniere Marketing International LLP, a wholly owned subsidiary of Cheniere Energy, Inc.;</w:t>
      </w:r>
    </w:p>
    <w:p>
      <w:pPr>
        <w:spacing w:after="0" w:line="225" w:lineRule="exact"/>
        <w:rPr>
          <w:rFonts w:ascii="Arial" w:cs="Arial" w:eastAsia="Arial" w:hAnsi="Arial"/>
          <w:sz w:val="18"/>
          <w:szCs w:val="18"/>
          <w:color w:val="231F20"/>
        </w:rPr>
      </w:pPr>
    </w:p>
    <w:p>
      <w:pPr>
        <w:ind w:left="980" w:right="260" w:hanging="324"/>
        <w:spacing w:after="0" w:line="277" w:lineRule="auto"/>
        <w:tabs>
          <w:tab w:leader="none" w:pos="872"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“CDBL” refers to CL Gas Three Limited, a wholly owned subsidiary of China Development Bank Financial Leasing Co., Ltd.;</w:t>
      </w:r>
    </w:p>
    <w:p>
      <w:pPr>
        <w:spacing w:after="0" w:line="170"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“Trafigura” refers to Trafigura Maritime Logistics PTE Ltd.;</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“Gunvor” refers to Clearlake Shipping Pte. Ltd., a wholly owned subsidiary of Gunvor Group Ltd.;</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“JOVO” refers to Singapore Carbon Hydrogen Energy Pte. Ltd., a wholly owned subsidiary of JOVO Group;</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“CNTIC VPower” refers to CNTIC VPower Energy Ltd., an independent Chinese energy company;</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2"/>
        </w:numPr>
        <w:rPr>
          <w:rFonts w:ascii="Arial" w:cs="Arial" w:eastAsia="Arial" w:hAnsi="Arial"/>
          <w:sz w:val="17"/>
          <w:szCs w:val="17"/>
          <w:color w:val="231F20"/>
        </w:rPr>
      </w:pPr>
      <w:r>
        <w:rPr>
          <w:rFonts w:ascii="Arial" w:cs="Arial" w:eastAsia="Arial" w:hAnsi="Arial"/>
          <w:sz w:val="17"/>
          <w:szCs w:val="17"/>
          <w:color w:val="231F20"/>
        </w:rPr>
        <w:t>“ATM Programme” refers to our at-the-market common equity offering programme which commenced in May 2017;</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20" w:hanging="324"/>
        <w:spacing w:after="0" w:line="342" w:lineRule="auto"/>
        <w:tabs>
          <w:tab w:leader="none" w:pos="872"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“Class B Units” refers collectively to the 1,660,000 Class B units issued on June 30, 2019 which remain outstanding, of which 415,000 are Class B-3 units, 415,000 are Class B-4 units, 415,000 are Class B-5 units and 415,000 are Class B-6;</w:t>
      </w:r>
    </w:p>
    <w:p>
      <w:pPr>
        <w:spacing w:after="0" w:line="123" w:lineRule="exact"/>
        <w:rPr>
          <w:rFonts w:ascii="Arial" w:cs="Arial" w:eastAsia="Arial" w:hAnsi="Arial"/>
          <w:sz w:val="16"/>
          <w:szCs w:val="16"/>
          <w:color w:val="231F20"/>
        </w:rPr>
      </w:pPr>
    </w:p>
    <w:p>
      <w:pPr>
        <w:ind w:left="980" w:right="560" w:hanging="324"/>
        <w:spacing w:after="0" w:line="277" w:lineRule="auto"/>
        <w:tabs>
          <w:tab w:leader="none" w:pos="872"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“Series A Preference Units” refers to our 8.625% Series A Cumulative Redeemable Perpetual Fixed to Floating Rate Preference Units;</w:t>
      </w:r>
    </w:p>
    <w:p>
      <w:pPr>
        <w:spacing w:after="0" w:line="170" w:lineRule="exact"/>
        <w:rPr>
          <w:rFonts w:ascii="Arial" w:cs="Arial" w:eastAsia="Arial" w:hAnsi="Arial"/>
          <w:sz w:val="18"/>
          <w:szCs w:val="18"/>
          <w:color w:val="231F20"/>
        </w:rPr>
      </w:pPr>
    </w:p>
    <w:p>
      <w:pPr>
        <w:ind w:left="980" w:right="580" w:hanging="324"/>
        <w:spacing w:after="0" w:line="277" w:lineRule="auto"/>
        <w:tabs>
          <w:tab w:leader="none" w:pos="872"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“Series B Preference Units” refers to our 8.200% Series B Cumulative Redeemable Perpetual Fixed to Floating Rate Preference Units;</w:t>
      </w:r>
    </w:p>
    <w:p>
      <w:pPr>
        <w:spacing w:after="0" w:line="170" w:lineRule="exact"/>
        <w:rPr>
          <w:rFonts w:ascii="Arial" w:cs="Arial" w:eastAsia="Arial" w:hAnsi="Arial"/>
          <w:sz w:val="18"/>
          <w:szCs w:val="18"/>
          <w:color w:val="231F20"/>
        </w:rPr>
      </w:pPr>
    </w:p>
    <w:p>
      <w:pPr>
        <w:ind w:left="980" w:right="580" w:hanging="324"/>
        <w:spacing w:after="0" w:line="277" w:lineRule="auto"/>
        <w:tabs>
          <w:tab w:leader="none" w:pos="872"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“Series C Preference Units” refers to our 8.500% Series C Cumulative Redeemable Perpetual Fixed to Floating Rate Preference Units;</w:t>
      </w:r>
    </w:p>
    <w:p>
      <w:pPr>
        <w:spacing w:after="0" w:line="170"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“Preference Units” refers to our Series A Preference Units, our Series B Preference Units and our Series C Preference Units;</w:t>
      </w:r>
    </w:p>
    <w:p>
      <w:pPr>
        <w:spacing w:after="0" w:line="248" w:lineRule="exact"/>
        <w:rPr>
          <w:rFonts w:ascii="Arial" w:cs="Arial" w:eastAsia="Arial" w:hAnsi="Arial"/>
          <w:sz w:val="16"/>
          <w:szCs w:val="16"/>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“LNG” refers to liquefied natural gas;</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“FSRUs” refers to Floating Storage and Regasification Units;</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“FSUs” refers to Floating Storage Units;</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“NYSE” refers to the New York Stock Exchange;</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“SEC” refers to the U.S. Securities and Exchange Commission;</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“IPO” refers to the initial public offering of GasLog Partners on May 12, 2014;</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“IFRS” refers to International Financial Reporting Standards;</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“IASB” refers to International Accounting Standards Board;</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“dollars” and “$” refer to, and amounts are presented in, U.S. dollars;</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“TFDE” refers to tri-fuel diesel electric engine propulsion;</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“Steam” refers to steam turbine propulsion;</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“cbm” refers to cubic meters; and</w:t>
      </w:r>
    </w:p>
    <w:p>
      <w:pPr>
        <w:spacing w:after="0" w:line="225" w:lineRule="exact"/>
        <w:rPr>
          <w:rFonts w:ascii="Arial" w:cs="Arial" w:eastAsia="Arial" w:hAnsi="Arial"/>
          <w:sz w:val="18"/>
          <w:szCs w:val="18"/>
          <w:color w:val="231F20"/>
        </w:rPr>
      </w:pPr>
    </w:p>
    <w:p>
      <w:pPr>
        <w:ind w:left="880" w:hanging="224"/>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“mtpa” refers to million tonnes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80" w:right="100" w:hanging="321"/>
        <w:spacing w:after="0" w:line="26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fluctuations in charter hire rates, vessel utilization and vessel values;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our ability to secure new multi-year charters at economically attractive rates;</w:t>
      </w:r>
    </w:p>
    <w:p>
      <w:pPr>
        <w:spacing w:after="0" w:line="225" w:lineRule="exact"/>
        <w:rPr>
          <w:rFonts w:ascii="Arial" w:cs="Arial" w:eastAsia="Arial" w:hAnsi="Arial"/>
          <w:sz w:val="18"/>
          <w:szCs w:val="18"/>
          <w:color w:val="auto"/>
        </w:rPr>
      </w:pPr>
    </w:p>
    <w:p>
      <w:pPr>
        <w:jc w:val="both"/>
        <w:ind w:left="680" w:right="140" w:hanging="321"/>
        <w:spacing w:after="0" w:line="311"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231F20"/>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48" w:lineRule="exact"/>
        <w:rPr>
          <w:rFonts w:ascii="Arial" w:cs="Arial" w:eastAsia="Arial" w:hAnsi="Arial"/>
          <w:sz w:val="16"/>
          <w:szCs w:val="16"/>
          <w:color w:val="auto"/>
        </w:rPr>
      </w:pPr>
    </w:p>
    <w:p>
      <w:pPr>
        <w:ind w:left="680" w:hanging="321"/>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231F20"/>
        </w:rPr>
        <w:t>changes in our operating expenses, including crew wages, maintenance, dry-docking and insurance costs and bunker prices;</w:t>
      </w:r>
    </w:p>
    <w:p>
      <w:pPr>
        <w:spacing w:after="0" w:line="248" w:lineRule="exact"/>
        <w:rPr>
          <w:rFonts w:ascii="Arial" w:cs="Arial" w:eastAsia="Arial" w:hAnsi="Arial"/>
          <w:sz w:val="16"/>
          <w:szCs w:val="16"/>
          <w:color w:val="auto"/>
        </w:rPr>
      </w:pPr>
    </w:p>
    <w:p>
      <w:pPr>
        <w:ind w:left="680" w:right="16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number of off-hire days and dry-docking requirements including our ability to complete scheduled dry-dockings on time and within budget;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planned capital expenditures and availability of capital resources to fund capital expenditures;</w:t>
      </w:r>
    </w:p>
    <w:p>
      <w:pPr>
        <w:spacing w:after="0" w:line="225"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business disruptions resulting from measures taken to reduce the spread of COVID-19, including possible delays due to the quarantine of vessels and crew, as well as government-imposed shutdowns;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fluctuations in prices for crude oil, petroleum products and natural gas, including LNG;</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fluctuations in exchange rates, especially the U.S. dollar and Euro;</w:t>
      </w:r>
    </w:p>
    <w:p>
      <w:pPr>
        <w:spacing w:after="0" w:line="225"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our ability to expand our portfolio by acquiring vessels through our drop-down pipeline with GasLog or by acquiring other assets from third parties;</w:t>
      </w:r>
    </w:p>
    <w:p>
      <w:pPr>
        <w:spacing w:after="0" w:line="170" w:lineRule="exact"/>
        <w:rPr>
          <w:rFonts w:ascii="Arial" w:cs="Arial" w:eastAsia="Arial" w:hAnsi="Arial"/>
          <w:sz w:val="18"/>
          <w:szCs w:val="18"/>
          <w:color w:val="auto"/>
        </w:rPr>
      </w:pPr>
    </w:p>
    <w:p>
      <w:pPr>
        <w:ind w:left="680" w:right="280" w:hanging="321"/>
        <w:spacing w:after="0" w:line="26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7" w:right="10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GasLog’s relationships with its employees and ship crews, its ability to retain key employees and provide services to us, and the availability of skilled labor, ship crews and management;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changes in the ownership of our charterers;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our future operating performance, financial condition, liquidity and cash available for distributions;</w:t>
      </w:r>
    </w:p>
    <w:p>
      <w:pPr>
        <w:spacing w:after="0" w:line="225"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our distribution policy and our ability to make cash distributions on our units or the impact of changes to cash distributions on our financial position;</w:t>
      </w:r>
    </w:p>
    <w:p>
      <w:pPr>
        <w:spacing w:after="0" w:line="170" w:lineRule="exact"/>
        <w:rPr>
          <w:rFonts w:ascii="Arial" w:cs="Arial" w:eastAsia="Arial" w:hAnsi="Arial"/>
          <w:sz w:val="18"/>
          <w:szCs w:val="18"/>
          <w:color w:val="auto"/>
        </w:rPr>
      </w:pPr>
    </w:p>
    <w:p>
      <w:pPr>
        <w:ind w:left="680" w:hanging="321"/>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83" w:lineRule="exact"/>
        <w:rPr>
          <w:rFonts w:ascii="Arial" w:cs="Arial" w:eastAsia="Arial" w:hAnsi="Arial"/>
          <w:sz w:val="18"/>
          <w:szCs w:val="18"/>
          <w:color w:val="auto"/>
        </w:rPr>
      </w:pPr>
    </w:p>
    <w:p>
      <w:pPr>
        <w:ind w:left="680" w:right="50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future, pending or recent acquisitions of ships or other assets, business strategy, areas of possible expansion and expected capital spending;</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risks inherent in ship operation, including the discharge of pollutants;</w:t>
      </w:r>
    </w:p>
    <w:p>
      <w:pPr>
        <w:spacing w:after="0" w:line="225"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any malfunction or disruption of information technology systems and networks that our operations rely on or any impact of a possible cybersecurity event;</w:t>
      </w:r>
    </w:p>
    <w:p>
      <w:pPr>
        <w:spacing w:after="0" w:line="170" w:lineRule="exact"/>
        <w:rPr>
          <w:rFonts w:ascii="Arial" w:cs="Arial" w:eastAsia="Arial" w:hAnsi="Arial"/>
          <w:sz w:val="18"/>
          <w:szCs w:val="18"/>
          <w:color w:val="auto"/>
        </w:rPr>
      </w:pPr>
    </w:p>
    <w:p>
      <w:pPr>
        <w:ind w:left="680" w:right="4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the expected cost of and our ability to comply with environmental and regulatory requirements related to climate change, including regulatory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86"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231F20"/>
        </w:rPr>
        <w:t>potential disruption of shipping routes due to accidents, diseases, pandemics, political events, piracy or acts by terrorists;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potential liability from future litigation;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other factors discussed in “Item 3. Key Information—D. Risk Factors” of this annual report.</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tab/>
        <w:t>OFFER STATISTICS AND EXPECTED TIMETABLE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KEY INFORMATION</w:t>
      </w:r>
    </w:p>
    <w:p>
      <w:pPr>
        <w:spacing w:after="0" w:line="22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left="340" w:right="7040" w:hanging="332"/>
        <w:spacing w:after="0" w:line="500"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right="6360" w:hanging="332"/>
        <w:spacing w:after="0" w:line="500" w:lineRule="auto"/>
        <w:tabs>
          <w:tab w:leader="none" w:pos="27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An investment in our common units or preference units is subject to a number of risks, including risks related to our business and corporate structure. The following summarizes some, but not all, of these risks. Please carefully consider all of the information discussed in “Item 3. Key Information—D. Risk Factors” in this annual report for a more thorough description of these and other risks.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LNG Carrier Business</w:t>
      </w:r>
    </w:p>
    <w:p>
      <w:pPr>
        <w:spacing w:after="0" w:line="229" w:lineRule="exact"/>
        <w:rPr>
          <w:sz w:val="20"/>
          <w:szCs w:val="20"/>
          <w:color w:val="auto"/>
        </w:rPr>
      </w:pPr>
    </w:p>
    <w:p>
      <w:pPr>
        <w:ind w:left="680" w:right="100" w:hanging="321"/>
        <w:spacing w:after="0" w:line="271"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owned and bareboat fleet of 15 LNG carriers includes 10 TFDE vessels and five Steam vessels. Six of our ships currently operate under long-term time charters (defined as charters with initial duration of more than five years) and nine ships trade in the short-term spot market (defined as vessels under contracts with initial duration of less than five years). On redelivery, the vessels will operate in the short-term spot market unless we are able to secure new long-term time charters. Furthermore, advances in LNG carrier technology may negatively impact our ability to recharter the Steam or TFDE vessels on attractive rates and may result in lower levels of utilization. Operating vessels in the spot market, or being unable to recharter the Steam vessels on term charters with similar or better rates, means our revenues and cash flows from these vessels will decline following expiration of our current long-term charter arrangements.</w:t>
      </w:r>
    </w:p>
    <w:p>
      <w:pPr>
        <w:spacing w:after="0" w:line="178" w:lineRule="exact"/>
        <w:rPr>
          <w:rFonts w:ascii="Arial" w:cs="Arial" w:eastAsia="Arial" w:hAnsi="Arial"/>
          <w:sz w:val="17"/>
          <w:szCs w:val="17"/>
          <w:color w:val="auto"/>
        </w:rPr>
      </w:pPr>
    </w:p>
    <w:p>
      <w:pPr>
        <w:ind w:left="680" w:right="20" w:hanging="321"/>
        <w:spacing w:after="0" w:line="286"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w:t>
      </w:r>
    </w:p>
    <w:p>
      <w:pPr>
        <w:spacing w:after="0" w:line="165" w:lineRule="exact"/>
        <w:rPr>
          <w:rFonts w:ascii="Arial" w:cs="Arial" w:eastAsia="Arial" w:hAnsi="Arial"/>
          <w:sz w:val="17"/>
          <w:szCs w:val="17"/>
          <w:color w:val="auto"/>
        </w:rPr>
      </w:pPr>
    </w:p>
    <w:p>
      <w:pPr>
        <w:ind w:left="680" w:right="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continuing COVID-19 pandemic and the spread of new variants may have further negative effects on the global economy, energy demand and our business.</w:t>
      </w:r>
    </w:p>
    <w:p>
      <w:pPr>
        <w:spacing w:after="0" w:line="170" w:lineRule="exact"/>
        <w:rPr>
          <w:rFonts w:ascii="Arial" w:cs="Arial" w:eastAsia="Arial" w:hAnsi="Arial"/>
          <w:sz w:val="18"/>
          <w:szCs w:val="18"/>
          <w:color w:val="auto"/>
        </w:rPr>
      </w:pPr>
    </w:p>
    <w:p>
      <w:pPr>
        <w:ind w:left="680" w:right="280" w:hanging="321"/>
        <w:spacing w:after="0" w:line="286"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right="240" w:hanging="321"/>
        <w:spacing w:after="0" w:line="311"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spacing w:after="0" w:line="148" w:lineRule="exact"/>
        <w:rPr>
          <w:rFonts w:ascii="Arial" w:cs="Arial" w:eastAsia="Arial" w:hAnsi="Arial"/>
          <w:sz w:val="16"/>
          <w:szCs w:val="16"/>
          <w:color w:val="auto"/>
        </w:rPr>
      </w:pPr>
    </w:p>
    <w:p>
      <w:pPr>
        <w:ind w:left="680" w:right="60" w:hanging="321"/>
        <w:spacing w:after="0" w:line="259"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Ship values may fluctuate substantially, and such fluctuation has, as at December 31, 2021 in relation to our Steam vessels, and could again in the future, resulted in a non-cash impairment charge. A further decline in ship values could impact our compliance with the covenants in our loan agreements and, if the values are lower at a time when we are attempting to dispose of ships, cause us to incur a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Us</w:t>
      </w:r>
    </w:p>
    <w:p>
      <w:pPr>
        <w:spacing w:after="0" w:line="229" w:lineRule="exact"/>
        <w:rPr>
          <w:sz w:val="20"/>
          <w:szCs w:val="20"/>
          <w:color w:val="auto"/>
        </w:rPr>
      </w:pPr>
    </w:p>
    <w:p>
      <w:pPr>
        <w:ind w:left="680" w:right="180" w:hanging="321"/>
        <w:spacing w:after="0" w:line="279"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231F20"/>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spacing w:after="0" w:line="171" w:lineRule="exact"/>
        <w:rPr>
          <w:rFonts w:ascii="Arial" w:cs="Arial" w:eastAsia="Arial" w:hAnsi="Arial"/>
          <w:sz w:val="17"/>
          <w:szCs w:val="17"/>
          <w:color w:val="auto"/>
        </w:rPr>
      </w:pPr>
    </w:p>
    <w:p>
      <w:pPr>
        <w:ind w:left="680" w:right="160" w:hanging="321"/>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We derive a substantial majority of our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83" w:lineRule="exact"/>
        <w:rPr>
          <w:rFonts w:ascii="Arial" w:cs="Arial" w:eastAsia="Arial" w:hAnsi="Arial"/>
          <w:sz w:val="18"/>
          <w:szCs w:val="18"/>
          <w:color w:val="auto"/>
        </w:rPr>
      </w:pPr>
    </w:p>
    <w:p>
      <w:pPr>
        <w:ind w:left="680" w:right="240" w:hanging="321"/>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83" w:lineRule="exact"/>
        <w:rPr>
          <w:rFonts w:ascii="Arial" w:cs="Arial" w:eastAsia="Arial" w:hAnsi="Arial"/>
          <w:sz w:val="18"/>
          <w:szCs w:val="18"/>
          <w:color w:val="auto"/>
        </w:rPr>
      </w:pPr>
    </w:p>
    <w:p>
      <w:pPr>
        <w:ind w:left="680" w:right="40" w:hanging="321"/>
        <w:spacing w:after="0" w:line="25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We are subject to certain risks with respect to our relationship with GasLog, and failure of GasLog to comply with certain of its financial covenants under its debt instruments could, among other things, result in a default under the loan facilities related to four of our vessels, which could have a material adverse effect on our business, financial condition, results of operations and cash flows.</w:t>
      </w:r>
    </w:p>
    <w:p>
      <w:pPr>
        <w:spacing w:after="0" w:line="186"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GasLog and its affiliates may compete with us.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The price of our common units has declined significantly in recent years and may continue to be volatile.</w:t>
      </w:r>
    </w:p>
    <w:p>
      <w:pPr>
        <w:spacing w:after="0" w:line="225"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Common unitholders have limited voting rights, and our partnership agreement restricts the voting rights of unitholders owning more than 4.9% of our common units.</w:t>
      </w:r>
    </w:p>
    <w:p>
      <w:pPr>
        <w:spacing w:after="0" w:line="170" w:lineRule="exact"/>
        <w:rPr>
          <w:rFonts w:ascii="Arial" w:cs="Arial" w:eastAsia="Arial" w:hAnsi="Arial"/>
          <w:sz w:val="18"/>
          <w:szCs w:val="18"/>
          <w:color w:val="auto"/>
        </w:rPr>
      </w:pPr>
    </w:p>
    <w:p>
      <w:pPr>
        <w:ind w:left="680" w:right="660" w:hanging="321"/>
        <w:spacing w:after="0" w:line="342"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231F20"/>
        </w:rPr>
        <w:t>GasLog and our general partner own a controlling interest in us and have conflicts of interest and limited fiduciary and contractual duties to us and our unitholders, which may permit them to favor their own interests to your detriment.</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Our officers face conflicts in the allocation of their time to our business.</w:t>
      </w:r>
    </w:p>
    <w:p>
      <w:pPr>
        <w:spacing w:after="0" w:line="225"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Our partnership agreement limits our general partner’s and our directors’ fiduciary duties to our unitholders and restricts the remedies available to unitholders for actions taken by our general partner or our directors.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We may issue additional equity securities, including securities senior to the common units, without the approval of our common unitholders, which would dilute the ownership interests of the common unitholders.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231F20"/>
        </w:rPr>
        <w:t>Our general partner has a limited call right that may require you to sell your common units at an undesirable time or price.</w:t>
      </w:r>
    </w:p>
    <w:p>
      <w:pPr>
        <w:spacing w:after="0" w:line="236" w:lineRule="exact"/>
        <w:rPr>
          <w:rFonts w:ascii="Arial" w:cs="Arial" w:eastAsia="Arial" w:hAnsi="Arial"/>
          <w:sz w:val="17"/>
          <w:szCs w:val="17"/>
          <w:color w:val="auto"/>
        </w:rPr>
      </w:pPr>
    </w:p>
    <w:p>
      <w:pPr>
        <w:ind w:left="680" w:right="320" w:hanging="321"/>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We are a “foreign private issuer” under NYSE rules, and as such we are entitled to exemption from certain NYSE corporate governance standards, and you may not have the same protections afforded to unitholders of similarly organized limited partnerships that are subject to all of the NYSE corporate governance requirements.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Preference Units</w:t>
      </w:r>
    </w:p>
    <w:p>
      <w:pPr>
        <w:spacing w:after="0" w:line="229" w:lineRule="exact"/>
        <w:rPr>
          <w:sz w:val="20"/>
          <w:szCs w:val="20"/>
          <w:color w:val="auto"/>
        </w:rPr>
      </w:pPr>
    </w:p>
    <w:p>
      <w:pPr>
        <w:ind w:left="680" w:right="48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Our Preference Units are subordinated to our debt obligations, and investors’ interests could be diluted by the issuance of additional preference units and by other transactions.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Holders of our Preference Units have extremely limited voting rights.</w:t>
      </w:r>
    </w:p>
    <w:p>
      <w:pPr>
        <w:spacing w:after="0" w:line="225"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The Preference Units represent perpetual equity interests, and holders have no right to receive any greater payment than the liquidation preference regardless of the circumstances.</w:t>
      </w:r>
    </w:p>
    <w:p>
      <w:pPr>
        <w:spacing w:after="0" w:line="170" w:lineRule="exact"/>
        <w:rPr>
          <w:rFonts w:ascii="Arial" w:cs="Arial" w:eastAsia="Arial" w:hAnsi="Arial"/>
          <w:sz w:val="18"/>
          <w:szCs w:val="18"/>
          <w:color w:val="auto"/>
        </w:rPr>
      </w:pPr>
    </w:p>
    <w:p>
      <w:pPr>
        <w:ind w:left="680" w:right="260" w:hanging="321"/>
        <w:spacing w:after="0" w:line="26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2020, we reduced our quarterly cash distribution rate on our common units to $0.01 per common unit with effect from the third quarter 2020 and onwards. We maintained this distribution rate throughout 2021 and may continue to do so for the foreseeable future.</w:t>
      </w:r>
    </w:p>
    <w:p>
      <w:pPr>
        <w:spacing w:after="0" w:line="183" w:lineRule="exact"/>
        <w:rPr>
          <w:rFonts w:ascii="Arial" w:cs="Arial" w:eastAsia="Arial" w:hAnsi="Arial"/>
          <w:sz w:val="18"/>
          <w:szCs w:val="18"/>
          <w:color w:val="auto"/>
        </w:rPr>
      </w:pPr>
    </w:p>
    <w:p>
      <w:pPr>
        <w:ind w:left="680" w:right="74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The Preference Units have not been rated, and ratings of any other of our securities may affect the trading price of the Preference Units.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Market interest rates may adversely affect the value of our Preference Units.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The Preference Units are redeemable at our option.</w:t>
      </w:r>
    </w:p>
    <w:p>
      <w:pPr>
        <w:spacing w:after="0" w:line="225" w:lineRule="exact"/>
        <w:rPr>
          <w:rFonts w:ascii="Arial" w:cs="Arial" w:eastAsia="Arial" w:hAnsi="Arial"/>
          <w:sz w:val="18"/>
          <w:szCs w:val="18"/>
          <w:color w:val="auto"/>
        </w:rPr>
      </w:pPr>
    </w:p>
    <w:p>
      <w:pPr>
        <w:ind w:left="680" w:right="180" w:hanging="321"/>
        <w:spacing w:after="0" w:line="26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The historical levels of three-month U.S. dollar London Interbank Offered Rate (“LIBOR”) are not an indication of the future levels of three-month LIBOR, and the phasing out of LIBOR after 2023 may adversely affect the value of and return on our Preference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the LNG Carriers Business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Our owned and bareboat fleet of 15 LNG carriers includes 10 TFDE vessels and five Steam vessels. Nine of our vessels operate in the short-term spot market (defined as vessels under contracts with initial duration of less than five years). The long-term charter (defined as charters with initial duration of more than five years) on one of our TFDE vessels expires in 2022. On redelivery, the vessel will operate in the short-term spot market unless we are able to secure a new long-term time charter. Furthermore, advances in LNG carrier technology and increasing environmental regulations may negatively impact our ability to recharter the Steam or TFDE vessels on attractive rates and may result in lower levels of utilization. Operating vessels in the spot market, or being unable to recharter the Steam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the value of our assets, and could significantly reduce or eliminate our ability to pay distributions on our common or Preference Units.</w:t>
      </w:r>
    </w:p>
    <w:p>
      <w:pPr>
        <w:spacing w:after="0" w:line="16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is due to come off its long-term charter in March 2022 while seven of the vessels operating in the spot market are due to come off charter between March 2022 and December 2022. Typically the charter rates for vessels trading in the spot market are significantly lower than the charter rates earned under previous multi-year charters. Our Steam vessels are less efficient and have higher emissions than larger, more technologically advanced modern LNG carriers and it may be more challenging to find spot and/or term employment for these vessels in the future. Unless we are able to secure longer term charters at attractive rates we will have exposure to the spot market which is highly competitive and subject to significant price fluctuations. In addition, there may be extended periods of idle time between charters. Moreover, any longer term charters we are able to secure for on-the-water vessels may not be as long in duration as the multi-year charters we have enjoyed in the past and are likely to be at lower charter rates. In recent years, as a result of more LNG being traded on a short-term basis and greater liquidity in the LNG shipping market than was historically the case, there has been a decrease in the duration of term charters for on-the-water vessels with such charters now generally being anywhere between six months and three years in duration. If we are unable to secure employment for a vessel, we will not receive any revenues from that vessel but we will be required to pay expenses necessary to maintain the vessel in proper operating condition, as well as servicing the debt attached to the vessel.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Failure to secure new term charters could adversely affect our future liquidity, results of operations and cash flows, including cash available for distribution to unitholders, as well as our ability to meet certain of our debt obligations and covenants.</w:t>
      </w:r>
    </w:p>
    <w:p>
      <w:pPr>
        <w:spacing w:after="0" w:line="14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February 6, 2020, in light of reduced expectations for Steam vessel utilization and earnings due to these risks, we announced that GasLog Partners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 A decline in expected long-term charter rates and employment opportunities, together with uncertainty about the environmental regulations, especially for older technology vessels, could adversely affect the market value of our vessels, on which certain of the ratios and financial covenants with which we are required to comply are based</w:t>
      </w:r>
      <w:r>
        <w:rPr>
          <w:rFonts w:ascii="Arial" w:cs="Arial" w:eastAsia="Arial" w:hAnsi="Arial"/>
          <w:sz w:val="16"/>
          <w:szCs w:val="16"/>
          <w:i w:val="1"/>
          <w:iCs w:val="1"/>
          <w:color w:val="auto"/>
        </w:rPr>
        <w:t>.</w:t>
      </w:r>
      <w:r>
        <w:rPr>
          <w:rFonts w:ascii="Arial" w:cs="Arial" w:eastAsia="Arial" w:hAnsi="Arial"/>
          <w:sz w:val="16"/>
          <w:szCs w:val="16"/>
          <w:color w:val="auto"/>
        </w:rPr>
        <w:t xml:space="preserve"> A significant decline in the market value of our vessels could impact our compliance with these covenants in our loan agreements and, if the values are lower at a time when we are attempting to dispose of vessels, could cause us to incur a loss. These declines caused the Partnership to recognize a total non-cash impairment loss of $104.0 million during the year ended December 31, 2021 for its five Steam vessels built in 2006 and 2007.</w:t>
      </w:r>
    </w:p>
    <w:p>
      <w:pPr>
        <w:spacing w:after="0" w:line="16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w:t>
      </w:r>
    </w:p>
    <w:p>
      <w:pPr>
        <w:spacing w:after="0" w:line="16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These requirements may introduce regulations which affect the operation profile of our vessels and could impact our existing charters.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under, such laws and regulations. The higher emissions of our Steam vessels relative to more modern vessels could make it more difficult to secure employment for these vessels and reduce the rates at which we can charter these vessels to our customers.</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these requirements can affect the resale value or useful lives of our ships, require a reduction in cargo capacity, operating speed,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192"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greenhouse gases and other pollutants) as well as ballast water treatment and ballast water handling may be adopted. For example, the United States has enacted legislation, and more recently a convention adopted by the International Maritime Organisation (the “IMO”) has become effective, governing ballast water management systems on oceangoing ships. The IMO has also established progressive standards limiting emissions from ships (ratified in the MEPC75) starting from 2023 towards 2030 and 2050 goals. The EU is trying to incorporate shipping within the carbon Emission Trading Scheme already existing for other sectors. These and other laws or regulations may require additional capital expenditures or operating expenses (such as increased costs for low sulfur fuel or pollution controls) in order for us to maintain our ships’ compliance with international and/or national regulations. We may also become subject to additional laws and regulations if we enter new markets or trades.</w:t>
      </w:r>
    </w:p>
    <w:p>
      <w:pPr>
        <w:spacing w:after="0" w:line="16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EU’s Taxonomy Regulation establishes an EU framework for the classification of sustainable economic activities with the aim of providing transparency to investors and business as the EU moves towards its 2050 climate neutrality goal. In February 2022, proposed new rules announced by the EU named natural gas and nuclear power generation as “transitional technologies” (provided they meet certain criteria, such as replacing coal plants, and subject to certain limits and phase put periods) and set out new disclosure rules for companies regarding annul reporting about compliance with green criteria. The proposed rules remain subject to EU approval during 2022.</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also believe that the heightened environmental, quality and security concerns of insurance underwriters, regulators and charterers will generally lead to additional regulatory requirements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192"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Some environmental laws and regulations, such as the U.S. Oil Pollution Act of 1990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(the “London Convention”).</w:t>
      </w:r>
    </w:p>
    <w:p>
      <w:pPr>
        <w:spacing w:after="0" w:line="166"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49"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Compliance with OPA and other environmental laws and regulations also may result in ship owners and operators incurring increased costs for additional maintenance and inspection requirements, the development of contingency arrangements for potential spills, obtaining mandated insurance coverage and meeting financial responsibility requirements.</w:t>
      </w:r>
    </w:p>
    <w:p>
      <w:pPr>
        <w:spacing w:after="0" w:line="16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Increased concern over climate change could lead to a more negative perception of the oil and gas industry which could impact our ability to attract investors, access financing in the bank and capital markets and attract and retain talent.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greenhouse gas restrictions may adversely impact our operations and markets.</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Due to concern over the risks of climate change, a number of countries and the IMO, have adopted, or are considering the adoption of, regulatory frameworks to reduce greenhouse gas emission from ships. These regulatory measures may include adoption of cap and trade regimes, carbon taxes, increased efficiency standards and incentives or mandates for renewable energy. Although emissions of greenhouse gases, or “GHG”, from international shipping currently are not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Revenue generation and strategic growth opportunities may also be adversely affected.</w:t>
      </w:r>
    </w:p>
    <w:p>
      <w:pPr>
        <w:spacing w:after="0" w:line="168"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There is increasing focus on the environmental footprint of the energy and transportation sectors from governments, regulators, shareholders, customers, environmental pressure groups and other stakeholders. This has been manifested recently by Shell’s commitment to base executive remuneration in part on the achievement of specific carbon emissions targets, covering all of its activities and products and those of its suppliers. GasLog’s vessels on charter to Shell and other energy companies form part of their supply chain and maybe captured within these targets. In addition, many large financial institutions are under pressure both to reduce their own environmental footprints and to monitor the environmental footprints of the companies and projects to which they lend. While LNG is among the cleanest marine transportation fuels, the focus and pressure on the environmental footprint of the marine transportation sector is likely to remain high and may increase. For example, in June 2021, the IMO adopted amendments to MARPOL Annex VI that are expected to enter into force on November 1, 2022 and will require ships to reduce GHG emissions using technological and operational approaches to improve energy efficiency and that provide important building blocks for future GHG reduction measures.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our ability to pay distributions to our unitholders.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continuing COVID-19 pandemic and the spread of new variants may have further negative effects on the global economy, energy demand and our business.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COVID-19 pandemic introduced uncertainty in a number of areas of our business, including operational, commercial, administrative and financial activities. Initially, it negatively impacted global economic activity and demand for energy, including LNG. As a result of significantly lower demand for oil and refined products and the failure of the principal producers of oil to reduce production in line with the fall in demand, oil prices were pressured downward in 2020. Oil prices had recovered by the end of 2020 and continued to recover during 2021 due to oil production cuts, as well as a more favourable economic outlook following the distribution of several COVID-19 vaccines around the world which helped to balance the market. Similarly global natural gas prices were impacted by lower industrial demand at the start of the COVID-19 pandemic, particularly during the second and third quarters 2020, as well as increasing gas production in export markets such as the United States. Although the LNG market improved throughout 2021 and remains on a positive trend, this improvement may not be sustainable in the long-term. In the financial markets, the virus, and the responses of governments around the world to manage the impact of the virus, led to lower interest rates and extreme volatility in the prices of equities, bonds, commodities and their respective derivatives.</w:t>
      </w:r>
    </w:p>
    <w:p>
      <w:pPr>
        <w:spacing w:after="0" w:line="18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ongoing spread of the COVID-19 virus, and emergence of new variants, may negatively affect our business and operations, the health of our crews and the availability of our fleet, particularly if crew members contract COVID-19, as well as our financial position and prospects. Any future reduction in LNG demand and further closure of, or restricted access to, ports and terminals in regions affected by the virus may lead to reduced chartering activity and, in the extreme, an inability of our charterers to meet their obligations under the terms of their term charters. If this were to occur, we may be unable to secure charters for our vessels at rates that are sufficient to meet our financial obligations. With nine of our vessels currently trading in the short-term spot market, any additional exposure to the spot market or extended periods of idle time between charters could adversely affect our future liquidity, results of operations and cash flows.</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Additionally, if the COVID-19 pandemic again causes declines in the LNG market this could negatively impact our estimates regarding future charter rates for non-contracted revenue days and the discount rate in our future impairment assessments. This would negatively affect the future carrying values of our vessels, which could cause significant negative impacts on our liquidity and financial condition.</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Although we have taken extensive measures to limit the impact of COVID-19 on business continuity, including implementation of a “work from home” policy for shore-based employees, as required depending on each location, and the commencement of select rotations of offshore personnel where possible, giving effect to local restrictions on the movement of offshore staff, these measures may not be sufficient to protect our business against the impact of COVID-19.</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8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Most shipping requirements for new LNG projects continue to be secured on a multi-year basis, although the level of spot voyages and short-term time charters of less than 12 months in duration has grown in recent years. As vessels currently operating under multi-year charters redeliver,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In addition, an active short-term or spot charter market may require us to enter into charters on variable rates depending on market prices at the time, as opposed to fixed rates, and may result in extended periods of idle time between charters. These factors could result in a decrease in our revenues and cash flows, including cash available for distribution to unitholders.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spacing w:after="0" w:line="16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While we currently believe that the global LNG carrier fleet may experience high levels of utilization over the next one to two years, the supply of LNG carriers has been increasing as a result of the ordering and delivery of new ships. Ordering increased significantly in 2018 and 2019, driven by cyclically low shipyard prices for newbuild vessels, the then strengthening of charter rates and increasing expectations for long-term LNG supply and demand. Whilst ordering of newbuildings declined in 2020, with only 35 LNG carriers ordered, 2021 saw a record 82 orders for LNG carriers. According to Poten, as of January 13, 2022, the global trading fleet of conventional LNG carriers (&gt;100,000 cbm) consisted of 582 vessels, with another 151 LNG carriers on order, of which 122 have multi-year charters. Any future expansion of the global LNG carrier fleet in excess of the demand for LNG shipping may have a negative impact on charter hire rates, vessel utilization and vessel values. If charter hire rates are lower when we are seeking new time charters, or if we are unable to secure employment for our vessels trading in the spot and short-term markets, as a result of increased competition from modern vessels, our revenues and cash flows, including cash available for distribution to unitholders, may further decline.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cyber-attack could materially disrupt the Partnership’s business.</w:t>
      </w:r>
    </w:p>
    <w:p>
      <w:pPr>
        <w:spacing w:after="0" w:line="225"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The Partnership relies on information technology systems and networks, the majority of which are hosted by GasLog, in its operations and the administration of its business. The Partnership’s business operations, or those of GasLog, could be targeted by individuals or groups seeking to sabotage or disrupt the Partnership’s or GasLog’s information and operational technology systems and networks, or to steal data. A successful cyber-attack could materially disrupt the Partnership’s operations, including the safety and integrity of its operations, or lead to unauthorized release of information or alteration of information on its systems. Any such attack or other breach of the Partnership’s information technology systems could have a material adverse effect on the Partnership’s business and results of operations. While we have insurance policies in place to cover losses in the event of a cyber related event, there can be no assurance that any specific event would be covered by these policies or that the losses would be covered in full.</w:t>
      </w:r>
    </w:p>
    <w:p>
      <w:pPr>
        <w:spacing w:after="0" w:line="16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General Data Protection Regulation (“GDPR”), which regulates the use of personally identifiable information, went into effect in the European Union (“EU”) on May 25, 2018 and applies globally to all of our activities conducted from an establishment in the EU, to related products and services that we offer to EU customers and to non-EU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18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Furthermore, any changes to industry standards and regulations require additional expenses to ensure compliance. However, the impact of such regulations is hard to predict at this time.</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Additionally, any changes in the nature of cyber threats might require us to adopt additional procedures for monitoring cybersecurity, which could require additional expenses and/or capital expenditures. Most recently, the escalation in conflict between Russia and Ukraine has been accompanied by cyber-attacks against the Ukrainian government and other countries in the region. It is possible that these attacks could have collateral effects on additional critical infrastructure and financial institutions globally, which could adversely affect the Partnership’s operations. It is difficult to assess the likelihood of such threat and any potential impact at this time.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cannot guarantee that we will be able to refinance our credit facilities in full or on similar or more favourable terms as they become due in the future. Our ability to refinance our existing debt or to obtain incremental debt financing for future acquisitions of ships may depend on the creditworthiness of our charterers, the terms of our future charters and the performance of our vessels operating in the spot market.</w:t>
      </w:r>
    </w:p>
    <w:p>
      <w:pPr>
        <w:spacing w:after="0" w:line="18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Securing access to replacement funds in advance of the maturity of our current debt facilities in 2024 and 2025 cannot be assured in the same amount or on the same or similar terms. Debt financing, if available, may involve covenants restricting our operations or our ability to incur additional debt or to pay distributions to unitholders. Any future debt or equity financing raised may contain unfavorable terms to us or our unitholders. If we are unable to raise adequate funds, we may have to liquidate some or all of our assets, or delay, reduce the scope of, or eliminate some or all of our investment plans, including potential fleet growth. Any of these factors could have a material adverse effect on our business, financial condition, results of operations and cash flows, including cash available for distributions to our unitholders.</w:t>
      </w:r>
    </w:p>
    <w:p>
      <w:pPr>
        <w:spacing w:after="0" w:line="19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Furthermore, our ability to borrow against the ships in our existing fleet and any ships we may acquire in the future largely depends on the value of the ships, which in turn depends in part on charter hire rates, charter lengths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Reduced expectations for the utilization and earnings of our vessels operating in the short-term spot market may also impact our ability to access additional capital resources. Our inability to obtain additional financing or having to commit to financing on unattractive terms could have a material adverse effect on our business, financial condition, results of operations and cash flows, including cash available for distributions to our unitholders.</w:t>
      </w:r>
    </w:p>
    <w:p>
      <w:pPr>
        <w:spacing w:after="0" w:line="16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Our future ability to raise capital to repay or refinance our debt obligations or to fund our maintenance or capital expenditures will depend on certain financial, business and other factors, many of which are beyond our control. The COVID-19 virus has had a significant impact on all financial markets, including the prices and the volatility of equities, bonds, commodities, interest rates and foreign exchange rates and their associated derivatives, and the availability and cost of liquidity in the bank credit markets. To the extent that we are unable to finance these obligations and expenditures with cash from operations or incremental bank loans or by issuing debt or equity securities, our ability to make cash distributions may be diminished, or our financial leverage may increase, or our unitholders may be diluted. Our business may be adversely affected if we need to access sources of funding which are more expensive and/or more restrictive.</w:t>
      </w:r>
    </w:p>
    <w:p>
      <w:pPr>
        <w:spacing w:after="0" w:line="16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To fund our existing and future debt obligations and capital expenditures and any future growth, we will be required to use cash from operations, incur borrowings, and/or seek to access other financing sources including the capital markets. Our access to potential funding sources and our future financial and operating performance will be affected by prevailing economic conditions and financial, business, regulatory and other factors, many of which are beyond our control. The COVID-19 virus has had a significant negative impact on global financial markets. If we are unable to access the capital markets </w:t>
      </w:r>
      <w:r>
        <w:rPr>
          <w:rFonts w:ascii="Arial" w:cs="Arial" w:eastAsia="Arial" w:hAnsi="Arial"/>
          <w:sz w:val="16"/>
          <w:szCs w:val="16"/>
          <w:color w:val="231F20"/>
        </w:rPr>
        <w:t>or raise additional bank financing or generate sufficient cash flow to</w:t>
      </w:r>
      <w:r>
        <w:rPr>
          <w:rFonts w:ascii="Arial" w:cs="Arial" w:eastAsia="Arial" w:hAnsi="Arial"/>
          <w:sz w:val="16"/>
          <w:szCs w:val="16"/>
          <w:color w:val="auto"/>
        </w:rPr>
        <w:t xml:space="preserve"> </w:t>
      </w:r>
      <w:r>
        <w:rPr>
          <w:rFonts w:ascii="Arial" w:cs="Arial" w:eastAsia="Arial" w:hAnsi="Arial"/>
          <w:sz w:val="16"/>
          <w:szCs w:val="16"/>
          <w:color w:val="231F20"/>
        </w:rPr>
        <w:t>meet our debt, capital expenditure and other business requirements, we may be forced to take actions such as:</w:t>
      </w:r>
    </w:p>
    <w:p>
      <w:pPr>
        <w:spacing w:after="0" w:line="164"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seeking waivers or consents from our creditors;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restructuring our debt;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seeking additional debt or equity capital;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selling assets;</w:t>
      </w:r>
    </w:p>
    <w:p>
      <w:pPr>
        <w:spacing w:after="0" w:line="225" w:lineRule="exact"/>
        <w:rPr>
          <w:rFonts w:ascii="Arial" w:cs="Arial" w:eastAsia="Arial" w:hAnsi="Arial"/>
          <w:sz w:val="18"/>
          <w:szCs w:val="18"/>
          <w:color w:val="231F20"/>
        </w:rPr>
      </w:pPr>
    </w:p>
    <w:p>
      <w:pPr>
        <w:ind w:left="680" w:hanging="321"/>
        <w:spacing w:after="0"/>
        <w:tabs>
          <w:tab w:leader="none" w:pos="6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reducing, delaying or cancelling our business activities, acquisitions, investments or capital expenditures; or</w:t>
      </w:r>
    </w:p>
    <w:p>
      <w:pPr>
        <w:spacing w:after="0" w:line="225" w:lineRule="exact"/>
        <w:rPr>
          <w:rFonts w:ascii="Arial" w:cs="Arial" w:eastAsia="Arial" w:hAnsi="Arial"/>
          <w:sz w:val="18"/>
          <w:szCs w:val="18"/>
          <w:color w:val="231F20"/>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seeking bankruptcy protection.</w:t>
      </w:r>
    </w:p>
    <w:p>
      <w:pPr>
        <w:spacing w:after="0" w:line="22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Such measures might not be successful, available on acceptable terms or enable us to meet our debt, capital expenditure and other obligations. Some of these measures may adversely affect our business and reputation. In addition, our financing agreements may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restrict our ability to implement some of these measures. Use of cash from operations and possible future sale of certain assets will reduce cash available for distribution to unitholders. Our ability to obtain bank financing or to access the capital markets may be limited by our financial condition at the time of any such financing or offering as well as by adverse market conditions. Following the recent significant fall in the value of our common units, we may not be able to access the equity or equity-linked capital markets. Even if we are successful in obtaining the necessary funds, the terms of such financings could limit our ability to pay cash distributions to unitholders or operate our business as currently conducted. In addition, incurring additional debt may significantly increase our interest expense and financial leverage, and issuing additional equity securities may result in significant unitholder dilution and would increase the aggregate amount of cash required to maintain our quarterly distributions to unitholders. Despite the refinancing of the Partnership’s debt maturities due in 2021, our liquidity position could be challenged in the future, and we may need to raise equity in order to remain in compliance with the financial covenants within our loan facilities.</w:t>
      </w:r>
    </w:p>
    <w:p>
      <w:pPr>
        <w:spacing w:after="0" w:line="18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may not have sufficient cash from operations following the establishment of cash reserves and payment of fees and expenses to enable us to pay the quarterly distributions on our common units, Preference Units and general partner units, or to redeem our Preference Units.</w:t>
      </w:r>
    </w:p>
    <w:p>
      <w:pPr>
        <w:spacing w:after="0" w:line="18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Our board of directors makes determinations regarding the payment of distributions in its sole discretion and in accordance with our partnership agreement and applicable law. On February 6, 2020, in light of reduced expectations for Steam vessel utilization and earnings, as well as our increased exposure to the spot market, we announced that GasLog Partners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 On January 27, 2022 we announced that our capital allocation strategy remains unchanged with a focus on deleveraging, reducing of our break evens and repurchasing our Preference Units on an opportunistic basis (subject to Preference Unit prices). There is no guarantee that we will continue to make distributions to our unitholders in the future (including cumulative distributions payable with respect to our Preference Units). The markets in which we operate our vessels are volatile and we cannot predict with certainty the amount of cash, if any, that will be available for distribution in any period. We may not have sufficient cash from operations to pay quarterly distributions on our common units and general partner units or to pay the quarterly preference distributions on our Preference Units. The amount of cash we can distribute on our units depends upon the amount of cash we generate from our operations, which may fluctuate from quarter to quarter based on the risks described in this section, including, among other things:</w:t>
      </w:r>
    </w:p>
    <w:p>
      <w:pPr>
        <w:spacing w:after="0" w:line="184" w:lineRule="exact"/>
        <w:rPr>
          <w:sz w:val="20"/>
          <w:szCs w:val="20"/>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utilization levels of our vessels trading in the spot or short-term market;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rates we obtain from our charters and the performance by our charterers of their obligations under the charters;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expiration of charter contracts;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charterers’ options to terminate charter contracts;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number of off-hire days for our fleet and the timing of, and number of days required for, dry-docking of vessels;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level of our operating costs, such as the cost of crews, vessel maintenance and insurance;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supply of LNG carriers;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prevailing global and regional economic and political conditions; and</w:t>
      </w:r>
    </w:p>
    <w:p>
      <w:pPr>
        <w:spacing w:after="0" w:line="225" w:lineRule="exact"/>
        <w:rPr>
          <w:rFonts w:ascii="Arial" w:cs="Arial" w:eastAsia="Arial" w:hAnsi="Arial"/>
          <w:sz w:val="18"/>
          <w:szCs w:val="18"/>
          <w:color w:val="auto"/>
        </w:rPr>
      </w:pPr>
    </w:p>
    <w:p>
      <w:pPr>
        <w:ind w:left="340" w:right="420" w:firstLine="19"/>
        <w:spacing w:after="0" w:line="530" w:lineRule="auto"/>
        <w:tabs>
          <w:tab w:leader="none" w:pos="691" w:val="left"/>
        </w:tabs>
        <w:numPr>
          <w:ilvl w:val="0"/>
          <w:numId w:val="12"/>
        </w:numPr>
        <w:rPr>
          <w:rFonts w:ascii="Arial" w:cs="Arial" w:eastAsia="Arial" w:hAnsi="Arial"/>
          <w:sz w:val="17"/>
          <w:szCs w:val="17"/>
          <w:color w:val="auto"/>
        </w:rPr>
      </w:pPr>
      <w:r>
        <w:rPr>
          <w:rFonts w:ascii="Arial" w:cs="Arial" w:eastAsia="Arial" w:hAnsi="Arial"/>
          <w:sz w:val="17"/>
          <w:szCs w:val="17"/>
          <w:color w:val="231F20"/>
        </w:rPr>
        <w:t>the effect of governmental regulations and maritime self-regulatory organization standards on the conduct of our business. In addition, the actual amount of cash available for distribution will depend on other factors, including:</w:t>
      </w:r>
    </w:p>
    <w:p>
      <w:pPr>
        <w:ind w:left="680" w:right="20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level of capital expenditures we make, including for maintaining or replacing vessels and complying with regulations and customer requirements;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6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our debt service requirements, including fluctuations in interest rates, and restrictions on distributions contained in our debt instruments;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our financial covenants, especially as concerns the minimum liquidity that we are required to maintain at all times;</w:t>
      </w:r>
    </w:p>
    <w:p>
      <w:pPr>
        <w:spacing w:after="0" w:line="225" w:lineRule="exact"/>
        <w:rPr>
          <w:rFonts w:ascii="Arial" w:cs="Arial" w:eastAsia="Arial" w:hAnsi="Arial"/>
          <w:sz w:val="18"/>
          <w:szCs w:val="18"/>
          <w:color w:val="auto"/>
        </w:rPr>
      </w:pPr>
    </w:p>
    <w:p>
      <w:pPr>
        <w:ind w:left="680" w:right="42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the level of debt we will incur to fund future acquisitions, including if we exercise our options to purchase any additional vessels from GasLog;</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fluctuations in our working capital needs;</w:t>
      </w:r>
    </w:p>
    <w:p>
      <w:pPr>
        <w:spacing w:after="0" w:line="225" w:lineRule="exact"/>
        <w:rPr>
          <w:rFonts w:ascii="Arial" w:cs="Arial" w:eastAsia="Arial" w:hAnsi="Arial"/>
          <w:sz w:val="18"/>
          <w:szCs w:val="18"/>
          <w:color w:val="231F20"/>
        </w:rPr>
      </w:pPr>
    </w:p>
    <w:p>
      <w:pPr>
        <w:ind w:left="680" w:hanging="321"/>
        <w:spacing w:after="0"/>
        <w:tabs>
          <w:tab w:leader="none" w:pos="68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our ability to make, and the level of, working capital borrowings; and</w:t>
      </w:r>
    </w:p>
    <w:p>
      <w:pPr>
        <w:spacing w:after="0" w:line="225" w:lineRule="exact"/>
        <w:rPr>
          <w:rFonts w:ascii="Arial" w:cs="Arial" w:eastAsia="Arial" w:hAnsi="Arial"/>
          <w:sz w:val="18"/>
          <w:szCs w:val="18"/>
          <w:color w:val="231F20"/>
        </w:rPr>
      </w:pPr>
    </w:p>
    <w:p>
      <w:pPr>
        <w:ind w:left="680" w:right="60" w:hanging="321"/>
        <w:spacing w:after="0" w:line="263"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18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amount of cash we generate from our operations may differ materially from our profit or loss for a specified period, which will be affected by non-cash items. As a result of this and the other factors mentioned above, we may make cash distributions during periods in which we record losses and may not make cash distributions during periods when we record a profit.</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65"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Our owned and bareboat fleet consists of 15 LNG carriers that are in operation. 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Furthermore, the operation of ocean-going ships carries inherent risks. These risks include the possibility of:</w:t>
      </w:r>
    </w:p>
    <w:p>
      <w:pPr>
        <w:spacing w:after="0" w:line="225"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marine disaster;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piracy;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cyber attacks or other failures of operational and information technology systems;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environmental accidents;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adverse weather conditions;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grounding, fire, explosions and collisions;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cargo and property loss or damage;</w:t>
      </w:r>
    </w:p>
    <w:p>
      <w:pPr>
        <w:spacing w:after="0" w:line="225"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business interruptions caused by mechanical failure, human error, war, terrorism, disease (such as the outbreak of the COVID-19 virus) and quarantine, or political action in various countries;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231F20"/>
        </w:rPr>
        <w:t>declining operational performance due to physical degradation as a result of extensive idle time or other factors; and</w:t>
      </w:r>
    </w:p>
    <w:p>
      <w:pPr>
        <w:spacing w:after="0" w:line="236" w:lineRule="exact"/>
        <w:rPr>
          <w:rFonts w:ascii="Arial" w:cs="Arial" w:eastAsia="Arial" w:hAnsi="Arial"/>
          <w:sz w:val="17"/>
          <w:szCs w:val="17"/>
          <w:color w:val="auto"/>
        </w:rPr>
      </w:pPr>
    </w:p>
    <w:p>
      <w:pPr>
        <w:ind w:left="680" w:right="32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work stoppages or other labor problems with crew members serving on our ships. An accident involving any of our owned ships could result in any of the following:</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7" w:right="10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death or injury to persons, damage to our ships, loss of property or environmental damage;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delays in the delivery of cargo;</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loss of revenues from termination of charter contracts;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governmental fines, penalties or restrictions on conducting business;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litigation with our employees, customers or third parties;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higher insurance rates;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damage to our reputation and customer relationships generally.</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distribution to unitholders, could be materially and adversely affected. The impact of any limitation in the operation of our ships or any early charter termination would be amplified, as a substantial portion of our cash flows and income is dependent on the revenues earned by the chartering of our 15 LNG carriers in operation. In addition, the costs of ship repairs are unpredictable and can be substantial. In the event of repair costs that are not covered by our insurance policies, we may have to pay for such costs, which would decrease our earnings and cash flows. Any of these results could harm our business, financial condition, results of operations and our ability to make cash distributions to our unitholders.</w:t>
      </w:r>
    </w:p>
    <w:p>
      <w:pPr>
        <w:spacing w:after="0" w:line="165" w:lineRule="exact"/>
        <w:rPr>
          <w:sz w:val="20"/>
          <w:szCs w:val="20"/>
          <w:color w:val="auto"/>
        </w:rPr>
      </w:pPr>
    </w:p>
    <w:p>
      <w:pPr>
        <w:ind w:right="80"/>
        <w:spacing w:after="0" w:line="327" w:lineRule="auto"/>
        <w:rPr>
          <w:sz w:val="20"/>
          <w:szCs w:val="20"/>
          <w:color w:val="auto"/>
        </w:rPr>
      </w:pPr>
      <w:r>
        <w:rPr>
          <w:rFonts w:ascii="Arial" w:cs="Arial" w:eastAsia="Arial" w:hAnsi="Arial"/>
          <w:sz w:val="15"/>
          <w:szCs w:val="15"/>
          <w:b w:val="1"/>
          <w:bCs w:val="1"/>
          <w:i w:val="1"/>
          <w:iCs w:val="1"/>
          <w:color w:val="auto"/>
        </w:rPr>
        <w:t>All vessels in our fleet are required to be dry-docked at least once every five years for inspection and repairs. The dry-docking of our vessels may be longer and more costly than normal as a result of required repairs or regulatory requirements at the time of the dry-docking. Any delay or cost overrun of the dry-docking could have a material adverse effect on our business, results of operations and financial condition and could significantly reduce or eliminate our ability to pay distributions on our common or Preference Units.</w:t>
      </w:r>
    </w:p>
    <w:p>
      <w:pPr>
        <w:spacing w:after="0" w:line="14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is greater than budgeted, our results of operations and our cash flows, including cash available for distribution to unitholders, could be adversely affected. The upcoming dry-dockings of our vessels are expected to be carried out in 2023 (four vessels) and 2024 (one vessel).</w:t>
      </w:r>
    </w:p>
    <w:p>
      <w:pPr>
        <w:spacing w:after="0" w:line="19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spacing w:after="0" w:line="1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One of our principal objectives is to enter into additional multi-year, fixed rate charters. The process of obtaining multi-year, fixed rate charters for LNG carriers is highly competitive and generally involves an intensive screening process by potential customers and the submission of competitive bids. The process is lengthy and the LNG carrier time charters are awarded based upon a variety of factors relating to the ship and the ship operator, including:</w:t>
      </w:r>
    </w:p>
    <w:p>
      <w:pPr>
        <w:spacing w:after="0" w:line="187"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size, age, technical specifications and condition of the ship;</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LNG shipping experience and quality and efficiency of ship operations, including level of emissions;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shipping industry relationships and reputation for customer service;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technical ability and reputation for operation of highly specialized ships;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quality and experience of officers and crew;</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safety record;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the ability to finance ships at competitive rates and financial stability generally;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relationships with shipyards and the ability to get suitable berths;</w:t>
      </w:r>
    </w:p>
    <w:p>
      <w:pPr>
        <w:spacing w:after="0" w:line="225"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construction and dry-docking management experience, including the ability to obtain on-time delivery of new ships according to customer specifications;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competitiveness of the bid in terms of charter rate and other economic and commercial terms.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expect substantial competition from a number of experienced companies and recent and potential future new entrants to the LNG shipping market. Competitors may include other independent ship owners, state sponsored entities and major energy companies that own and operate LNG carriers, all of whom may compete with independent owners by using their own fleets to carry LNG for third parties.</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Some of these competitors have significantly greater financial resources and larger fleets than we or GasLog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distribution to unitholders.</w:t>
      </w:r>
    </w:p>
    <w:p>
      <w:pPr>
        <w:spacing w:after="0" w:line="18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84"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For the year ended December 31, 2021, 55.7% of our revenues derived from wholly owned subsidiaries of Shell. We could lose a customer or the benefits of our time charter arrangements for many different reasons. The customer may be unable or unwilling to make charter hire or other payments to us because of a deterioration in its financial condition, commercial disputes with us, long- term force majeure events or otherwise. If a customer terminates its charters, chooses not to re-charter our ships or is unable to perform under its charters and we are not able to find replacement charters on similar or more favourable terms, we will suffer a loss of revenues.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charterer has the right to terminate a ship’s time charter in certain circumstances, such as:</w:t>
      </w:r>
    </w:p>
    <w:p>
      <w:pPr>
        <w:spacing w:after="0" w:line="225" w:lineRule="exact"/>
        <w:rPr>
          <w:sz w:val="20"/>
          <w:szCs w:val="20"/>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loss of the ship or damage to it beyond repair;</w:t>
      </w:r>
    </w:p>
    <w:p>
      <w:pPr>
        <w:spacing w:after="0" w:line="225"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if the ship is off-hire for any reason other than scheduled dry-docking for a period exceeding 90 consecutive days, or for more than 90 days in any one year period;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defaults by us in our obligations under the charter; or</w:t>
      </w:r>
    </w:p>
    <w:p>
      <w:pPr>
        <w:spacing w:after="0" w:line="225" w:lineRule="exact"/>
        <w:rPr>
          <w:rFonts w:ascii="Arial" w:cs="Arial" w:eastAsia="Arial" w:hAnsi="Arial"/>
          <w:sz w:val="18"/>
          <w:szCs w:val="18"/>
          <w:color w:val="auto"/>
        </w:rPr>
      </w:pPr>
    </w:p>
    <w:p>
      <w:pPr>
        <w:ind w:left="680" w:right="280" w:hanging="321"/>
        <w:spacing w:after="0" w:line="308" w:lineRule="auto"/>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231F20"/>
        </w:rPr>
        <w:t>the outbreak of war or hostilities involving two or more major nations, such as the United States or the People’s Republic of China, that would materially and adversely affect the trading of the ship for a period of at least 30 days.</w:t>
      </w:r>
    </w:p>
    <w:p>
      <w:pPr>
        <w:spacing w:after="0" w:line="146"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LNG shipping industry, and in some circumstances the event giving rise to the termination right could potentially impact multiple charters.</w:t>
      </w:r>
    </w:p>
    <w:p>
      <w:pPr>
        <w:spacing w:after="0" w:line="170"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Accordingly, the existence of any right of termination or the loss of any customer, charter or vessel could have a material adverse effect on our business, financial condition, results of operations and cash flows, including cash available for distribution to unitholders.</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Ship values may fluctuate substantially, which has resulted in a non-cash impairment charges on our Steam vessels in previous years. A further decline in ship values could impact our compliance with the covenants in our loan agreements and, if the values are lower at a time when we are attempting to dispose of ships, cause us to incur a loss.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Values for ships can fluctuate substantially over time due to a number of different factors, including:</w:t>
      </w:r>
    </w:p>
    <w:p>
      <w:pPr>
        <w:spacing w:after="0" w:line="225" w:lineRule="exact"/>
        <w:rPr>
          <w:sz w:val="20"/>
          <w:szCs w:val="20"/>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prevailing economic conditions in the natural gas and energy markets;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a substantial or extended decline in demand for LNG;</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level of worldwide LNG production and exports;</w:t>
      </w:r>
    </w:p>
    <w:p>
      <w:pPr>
        <w:spacing w:after="0" w:line="225" w:lineRule="exact"/>
        <w:rPr>
          <w:rFonts w:ascii="Arial" w:cs="Arial" w:eastAsia="Arial" w:hAnsi="Arial"/>
          <w:sz w:val="18"/>
          <w:szCs w:val="18"/>
          <w:color w:val="auto"/>
        </w:rPr>
      </w:pPr>
    </w:p>
    <w:p>
      <w:pPr>
        <w:ind w:left="680" w:right="18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changes in the supply and demand balance of the global LNG carrier fleet and the size and contract profile of the LNG carrier orderbook;</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changes in prevailing charter hire rates;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declines in levels of utilization of the global LNG carrier fleet and of our vessels;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physical condition of the ship;</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size, age and technical specifications of the ship; and</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cost of retrofitting or modifying existing ships, as a result of technological advances in ship design or equipment, changes in applicable environmental or other regulations or standards, customer requirements or otherwise.</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If the market values of our ships decline, we may be required to record additional impairment charges in our financial statements, in addition to the impairment charge of $104.0 million recorded in the year ended December 31, 2021, which could adversely affect our results of operations. See “Item 5. Operating and Financial Review and Prospects—E. Critical Accounting Estimates—Impairment of Vessels”. Deterioration in the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distribution to unitholders.</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spacing w:after="0" w:line="184"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Customers, and in particular those in the LNG industry, have a high and increasing focus on quality, emissions and compliance standards with their suppliers across the entire value chain, including the shipping and transportation segment. There is also increasing focus on the environmental footprint of marine transportation. Our continuous compliance with existing and new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carriers occurring over time. </w:t>
      </w:r>
      <w:r>
        <w:rPr>
          <w:rFonts w:ascii="Arial" w:cs="Arial" w:eastAsia="Arial" w:hAnsi="Arial"/>
          <w:sz w:val="17"/>
          <w:szCs w:val="17"/>
          <w:color w:val="231F20"/>
        </w:rPr>
        <w:t>Moreover, continuously increasing requirements from LNG industry constituents can further complicate our</w:t>
      </w:r>
      <w:r>
        <w:rPr>
          <w:rFonts w:ascii="Arial" w:cs="Arial" w:eastAsia="Arial" w:hAnsi="Arial"/>
          <w:sz w:val="17"/>
          <w:szCs w:val="17"/>
          <w:color w:val="auto"/>
        </w:rPr>
        <w:t xml:space="preserve"> </w:t>
      </w:r>
      <w:r>
        <w:rPr>
          <w:rFonts w:ascii="Arial" w:cs="Arial" w:eastAsia="Arial" w:hAnsi="Arial"/>
          <w:sz w:val="17"/>
          <w:szCs w:val="17"/>
          <w:color w:val="231F20"/>
        </w:rPr>
        <w:t>ability to meet the standards. We are largely dependent on GasLog for our compliance with the requirements of our customers. Any non-compliance by us, either suddenly or over a period of time, on one or more LNG carriers, or an increase in requirements by our charterers above and beyond what we deliver, may have a material adverse effect on our future performance, results of operations, cash flows, financial position and our ability to make cash distributions to our unitholders.</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future performance and ability to secure future employment for our vessels depends on continued growth in LNG production and demand for LNG and LNG shipping.</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future performance, including our ability to strengthen our balance sheet and to profitably employ and expand our fleet, will depend on continued growth in LNG supply and demand, and the demand for shipping. A complete LNG project includes natural gas 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81" w:lineRule="exact"/>
        <w:rPr>
          <w:sz w:val="20"/>
          <w:szCs w:val="20"/>
          <w:color w:val="auto"/>
        </w:rPr>
      </w:pPr>
    </w:p>
    <w:p>
      <w:pPr>
        <w:ind w:left="680" w:hanging="321"/>
        <w:spacing w:after="0" w:line="308" w:lineRule="auto"/>
        <w:tabs>
          <w:tab w:leader="none" w:pos="680" w:val="left"/>
        </w:tabs>
        <w:numPr>
          <w:ilvl w:val="0"/>
          <w:numId w:val="20"/>
        </w:numPr>
        <w:rPr>
          <w:rFonts w:ascii="Arial" w:cs="Arial" w:eastAsia="Arial" w:hAnsi="Arial"/>
          <w:sz w:val="17"/>
          <w:szCs w:val="17"/>
          <w:color w:val="auto"/>
        </w:rPr>
      </w:pPr>
      <w:r>
        <w:rPr>
          <w:rFonts w:ascii="Arial" w:cs="Arial" w:eastAsia="Arial" w:hAnsi="Arial"/>
          <w:sz w:val="17"/>
          <w:szCs w:val="17"/>
          <w:color w:val="231F20"/>
        </w:rPr>
        <w:t>prices for crude oil, petroleum products and natural gas. A return to low natural gas prices globally may limit the willingness and ability of developers of new LNG infrastructure projects to approve the development of such new projects;</w:t>
      </w:r>
    </w:p>
    <w:p>
      <w:pPr>
        <w:spacing w:after="0" w:line="146" w:lineRule="exact"/>
        <w:rPr>
          <w:rFonts w:ascii="Arial" w:cs="Arial" w:eastAsia="Arial" w:hAnsi="Arial"/>
          <w:sz w:val="17"/>
          <w:szCs w:val="17"/>
          <w:color w:val="auto"/>
        </w:rPr>
      </w:pPr>
    </w:p>
    <w:p>
      <w:pPr>
        <w:ind w:left="680" w:right="400" w:hanging="321"/>
        <w:spacing w:after="0" w:line="263"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cost of natural gas derived from LNG relative to the cost of natural gas generally and to the cost of alternative fuels, including renewables and coal, and the impact of increases in the cost of natural gas derived from LNG on consumption of LNG;</w:t>
      </w:r>
    </w:p>
    <w:p>
      <w:pPr>
        <w:spacing w:after="0" w:line="183"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increases in the production levels of lower cost domestic natural gas in natural gas consuming markets, which could further depress prices for natural gas in those markets and make LNG uneconomical;</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increases in the production of natural gas in areas linked by pipelines to consuming areas, the extension of existing pipelines, or the development of new pipeline systems in markets we may serve;</w:t>
      </w:r>
    </w:p>
    <w:p>
      <w:pPr>
        <w:spacing w:after="0" w:line="170" w:lineRule="exact"/>
        <w:rPr>
          <w:rFonts w:ascii="Arial" w:cs="Arial" w:eastAsia="Arial" w:hAnsi="Arial"/>
          <w:sz w:val="18"/>
          <w:szCs w:val="18"/>
          <w:color w:val="auto"/>
        </w:rPr>
      </w:pPr>
    </w:p>
    <w:p>
      <w:pPr>
        <w:ind w:left="680" w:right="120" w:hanging="321"/>
        <w:spacing w:after="0" w:line="263"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infrastructure constraints such as delays in the construction of liquefaction or regasification facilities, the inability of project owners or operators to obtain governmental approvals to construct or operate LNG facilities, as well as community or political action group resistance to new LNG infrastructure due to concerns about the environment;</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concerns regarding the spread of disease, for example, the COVID-19 virus, safety and terrorism;</w:t>
      </w:r>
    </w:p>
    <w:p>
      <w:pPr>
        <w:spacing w:after="0" w:line="225"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changes in weather patterns leading to warmer winters in the northern hemisphere and lower gas demand in the traditional peak heating season;</w:t>
      </w:r>
    </w:p>
    <w:p>
      <w:pPr>
        <w:spacing w:after="0" w:line="170"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availability and allocation of capital by developers to new LNG projects, especially the major oil and gas companies and other leading participants in the LNG industry;</w:t>
      </w:r>
    </w:p>
    <w:p>
      <w:pPr>
        <w:spacing w:after="0" w:line="170" w:lineRule="exact"/>
        <w:rPr>
          <w:rFonts w:ascii="Arial" w:cs="Arial" w:eastAsia="Arial" w:hAnsi="Arial"/>
          <w:sz w:val="18"/>
          <w:szCs w:val="18"/>
          <w:color w:val="auto"/>
        </w:rPr>
      </w:pPr>
    </w:p>
    <w:p>
      <w:pPr>
        <w:ind w:left="680" w:right="18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interest rates, capital market volatility, changes in bank regulations or other events that may affect the availability of sufficient financing for LNG projects on commercially reasonable terms;</w:t>
      </w:r>
    </w:p>
    <w:p>
      <w:pPr>
        <w:spacing w:after="0" w:line="170" w:lineRule="exact"/>
        <w:rPr>
          <w:rFonts w:ascii="Arial" w:cs="Arial" w:eastAsia="Arial" w:hAnsi="Arial"/>
          <w:sz w:val="18"/>
          <w:szCs w:val="18"/>
          <w:color w:val="auto"/>
        </w:rPr>
      </w:pPr>
    </w:p>
    <w:p>
      <w:pPr>
        <w:ind w:left="680" w:right="50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negative global or regional economic or political conditions, particularly in LNG consuming regions, which could reduce energy consumption or its growth;</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new taxes or regulations affecting LNG production or liquefaction that make LNG production less attractive;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labor or political unrest or military conflicts affecting existing or proposed areas of LNG production or regasification;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any significant explosion, spill or other incident involving an LNG facility or carrier; or</w:t>
      </w:r>
    </w:p>
    <w:p>
      <w:pPr>
        <w:spacing w:after="0" w:line="225" w:lineRule="exact"/>
        <w:rPr>
          <w:rFonts w:ascii="Arial" w:cs="Arial" w:eastAsia="Arial" w:hAnsi="Arial"/>
          <w:sz w:val="18"/>
          <w:szCs w:val="18"/>
          <w:color w:val="auto"/>
        </w:rPr>
      </w:pPr>
    </w:p>
    <w:p>
      <w:pPr>
        <w:ind w:left="680" w:right="48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regional, national or international energy policies that constrain the production or consumption of hydrocarbons including natural gas.</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 term charter rates for charters which commence in the near future.</w:t>
      </w:r>
    </w:p>
    <w:p>
      <w:pPr>
        <w:spacing w:after="0" w:line="14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A continuation of the recent volatility in natural gas and oil prices may adversely affect our growth prospects and results of operations.</w:t>
      </w:r>
    </w:p>
    <w:p>
      <w:pPr>
        <w:spacing w:after="0" w:line="170"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Natural gas prices are volatile, as demonstrated by the multi-year lows in 2020 and record highs seen in 2021 in many parts of the world. Natural gas prices are affected by numerous factors beyond our control, including but not limited to the following:</w:t>
      </w:r>
    </w:p>
    <w:p>
      <w:pPr>
        <w:spacing w:after="0" w:line="146" w:lineRule="exact"/>
        <w:rPr>
          <w:sz w:val="20"/>
          <w:szCs w:val="20"/>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price and availability of crude oil and petroleum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worldwide and regional supply of, demand for and price of natural gas;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costs of exploration, development, production, transportation and distribution of natural gas;</w:t>
      </w:r>
    </w:p>
    <w:p>
      <w:pPr>
        <w:spacing w:after="0" w:line="225" w:lineRule="exact"/>
        <w:rPr>
          <w:rFonts w:ascii="Arial" w:cs="Arial" w:eastAsia="Arial" w:hAnsi="Arial"/>
          <w:sz w:val="18"/>
          <w:szCs w:val="18"/>
          <w:color w:val="auto"/>
        </w:rPr>
      </w:pPr>
    </w:p>
    <w:p>
      <w:pPr>
        <w:ind w:left="680" w:right="56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expectations regarding future energy prices for both natural gas and other sources of energy, including renewable energy sources;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level of worldwide LNG production and exports;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government laws and regulations, including but not limited to environmental protection laws and regulations;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local and international political, economic and weather conditions;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political and military conflicts; and</w:t>
      </w:r>
    </w:p>
    <w:p>
      <w:pPr>
        <w:spacing w:after="0" w:line="225" w:lineRule="exact"/>
        <w:rPr>
          <w:rFonts w:ascii="Arial" w:cs="Arial" w:eastAsia="Arial" w:hAnsi="Arial"/>
          <w:sz w:val="18"/>
          <w:szCs w:val="18"/>
          <w:color w:val="auto"/>
        </w:rPr>
      </w:pPr>
    </w:p>
    <w:p>
      <w:pPr>
        <w:ind w:left="680" w:right="84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availability and cost of alternative energy sources, including alternate sources of natural gas in gas importing and consuming countries as well as alternate sources of primary energy such as renewables.</w:t>
      </w:r>
    </w:p>
    <w:p>
      <w:pPr>
        <w:spacing w:after="0" w:line="17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With nine vessels operating in the short-term spot market (defined as vessels under contracts of less than five years) the significant global natural gas and crude oil price volatility referenced above may adversely affect our future business, results of operations and financial condition and our ability to make cash distributions, as a result of, among other things:</w:t>
      </w:r>
    </w:p>
    <w:p>
      <w:pPr>
        <w:spacing w:after="0" w:line="184" w:lineRule="exact"/>
        <w:rPr>
          <w:sz w:val="20"/>
          <w:szCs w:val="20"/>
          <w:color w:val="auto"/>
        </w:rPr>
      </w:pPr>
    </w:p>
    <w:p>
      <w:pPr>
        <w:ind w:left="680" w:right="280" w:hanging="321"/>
        <w:spacing w:after="0" w:line="342"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231F20"/>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123" w:lineRule="exact"/>
        <w:rPr>
          <w:rFonts w:ascii="Arial" w:cs="Arial" w:eastAsia="Arial" w:hAnsi="Arial"/>
          <w:sz w:val="16"/>
          <w:szCs w:val="16"/>
          <w:color w:val="auto"/>
        </w:rPr>
      </w:pPr>
    </w:p>
    <w:p>
      <w:pPr>
        <w:ind w:left="680" w:right="140" w:hanging="321"/>
        <w:spacing w:after="0" w:line="263"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volatile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83"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high oil prices negatively affecting the competitiveness of natural gas to the extent that natural gas prices are benchmarked to the price of crude oil;</w:t>
      </w:r>
    </w:p>
    <w:p>
      <w:pPr>
        <w:spacing w:after="0" w:line="170"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low gas prices globally and/or weak differentials between prices in the Atlantic Basin and the Pacific Basin leading to reduced inter-basin trading of LNG and reduced demand for LNG shipping;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20" w:hanging="321"/>
        <w:spacing w:after="0" w:line="342"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231F20"/>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123" w:lineRule="exact"/>
        <w:rPr>
          <w:rFonts w:ascii="Arial" w:cs="Arial" w:eastAsia="Arial" w:hAnsi="Arial"/>
          <w:sz w:val="16"/>
          <w:szCs w:val="16"/>
          <w:color w:val="auto"/>
        </w:rPr>
      </w:pPr>
    </w:p>
    <w:p>
      <w:pPr>
        <w:ind w:left="680" w:right="12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customers potentially seeking to renegotiate or terminate existing vessel contracts, or failing to extend or renew contracts upon expiration;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inability or refusal of customers to make charter payments to us due to financial constraints or otherwise; or</w:t>
      </w:r>
    </w:p>
    <w:p>
      <w:pPr>
        <w:spacing w:after="0" w:line="225"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declines in vessel values, which may result in losses to us upon vessel sales or impairment charges against our earnings and could impact our compliance with the covenants in our loan agreements.</w:t>
      </w:r>
    </w:p>
    <w:p>
      <w:pPr>
        <w:spacing w:after="0" w:line="170"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0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rely exclusively on the cash flow generated from charters for our LNG vessels, either spot/short-term or long-term.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7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Weak global or regional economic conditions may negatively impact our business, financial condition, results of operations and cash flows in ways that we cannot predict. Our ability to expand our fleet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such as the continuing COVID-19 pandemic and high inflation experienced in 2021.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 in activity owing to such conditions or failure by our customers, suppliers or lenders to meet their contractual obligations to us could adversely affect our business, financial position, results of operations and ability to make cash distributions to our unitholders.</w:t>
      </w:r>
    </w:p>
    <w:p>
      <w:pPr>
        <w:spacing w:after="0" w:line="18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In 2020, we reduced our quarterly cash distribution rate on our common shares to $0.01 per unit. We have maintained this distribution rate throughout 2021 and may continue to do so for the foreseeable future; future distributions may remain at this level for an indefinite period or be eliminated entirely, which could impact our ability to raise capital.</w:t>
      </w:r>
    </w:p>
    <w:p>
      <w:pPr>
        <w:spacing w:after="0" w:line="16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In light of the continued COVID-19 related uncertainty in the near term LNG and LNG shipping markets, our board of directors and management have been proactive in optimizing our corporate structure, prioritizing preserving liquidity and deleveraging the balance sheet. As a result, starting in the third quarter of 2020, we reduced our quarterly cash distributions on our common units to $0.01 per unit. While we believe that this action will allow us to preserve liquidity during this continuing period of </w:t>
      </w:r>
      <w:r>
        <w:rPr>
          <w:rFonts w:ascii="Arial" w:cs="Arial" w:eastAsia="Arial" w:hAnsi="Arial"/>
          <w:sz w:val="16"/>
          <w:szCs w:val="16"/>
          <w:color w:val="231F20"/>
        </w:rPr>
        <w:t>COVID-19 uncertainty, there is some</w:t>
      </w:r>
      <w:r>
        <w:rPr>
          <w:rFonts w:ascii="Arial" w:cs="Arial" w:eastAsia="Arial" w:hAnsi="Arial"/>
          <w:sz w:val="16"/>
          <w:szCs w:val="16"/>
          <w:color w:val="auto"/>
        </w:rPr>
        <w:t xml:space="preserve"> </w:t>
      </w:r>
      <w:r>
        <w:rPr>
          <w:rFonts w:ascii="Arial" w:cs="Arial" w:eastAsia="Arial" w:hAnsi="Arial"/>
          <w:sz w:val="16"/>
          <w:szCs w:val="16"/>
          <w:color w:val="231F20"/>
        </w:rPr>
        <w:t>risk that we may not be able to substantially increase the amount of distribution in coming periods, which could have a negative impact on our unit price. Any negative impact on our unit price could ultimately impact our ability to raise capital.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must make substantial capital expenditures to maintain and replace our fleet, which will reduce cash available for distribution. In addition, each quarter we are required to deduct estimated maintenance and replacement capital expenditures from operating surplus, which may result in less cash available to unitholders than if actual maintenance and replacement capital expenditures were deducted.</w:t>
      </w:r>
    </w:p>
    <w:p>
      <w:pPr>
        <w:spacing w:after="0" w:line="18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must make substantial capital expenditures to maintain and replace, over the long-term, the operating capacity of our fleet. Maintenance and replacement capital expenditures include capital expenditures associated with (i) the removal of a vessel from the water for inspection, maintenance and/or repair of submerged parts (or dry-docking) and (ii) modifying an existing vessel or acquiring a new vessel, to the extent these expenditures are incurred to maintain, enhance or replace the operating capacity of our fleet. These expenditures could vary significantly from quarter to quarter and could increase as a result of changes in:</w:t>
      </w:r>
    </w:p>
    <w:p>
      <w:pPr>
        <w:spacing w:after="0" w:line="176" w:lineRule="exact"/>
        <w:rPr>
          <w:sz w:val="20"/>
          <w:szCs w:val="20"/>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cost of labor and materials;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time required to carry out any investments;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customer requirements;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size of our fleet;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cost of replacement vessels;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length and terms of our charters;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231F20"/>
        </w:rPr>
        <w:t>governmental regulations and maritime self-regulatory organization standards relating to safety, security or the environment;</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competitive standards;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age of our ships.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Significant capital expenditures, including to maintain and replace, over the long-term, the operating capacity of our fleet, may reduce or eliminate the amount of cash available for distribution to our unitholders. Our partnership agreement requires our board of directors to deduct estimated, rather than actual, maintenance and replacement capital expenditures from operating surplus each quarter in an effort to reduce fluctuations in operating surplus (as defined in our partnership agreement). The amount of estimated maintenance and replacement capital expenditures deducted from operating surplus is subject to review and change by our conflicts committee at least once a year.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 from operating surplus. If our board of directors underestimates the appropriate level of estimated maintenance and replacement capital expenditures, we may have less cash available for distribution in future periods when actual capital expenditures exceed our previous estimates.</w:t>
      </w:r>
    </w:p>
    <w:p>
      <w:pPr>
        <w:spacing w:after="0" w:line="1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derivative contracts used to hedge our exposure to fluctuations in interest rates and foreign exchange rates could result in reductions in our partners’ equity as well as charges against our profit.</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enter into derivative contracts from time to time for purposes of managing our exposure to fluctuations in interest rates applicable to floating rate indebtedness and in foreign exchange rates relating to our operating expenditures that are denominated in currencies other than the U.S. dollar. As of December 31, 2021, there were no foreign exchange derivatives outstanding. Nonetheless, we had two interest rate swaps with GasLog in place with a notional amount of $210.0 million and four interest rate swaps with an aggregate notional amount of $133.3 million with DNB Bank ASA, London Branch and ING Bank N.V., London Branch. None of the existing derivative contracts were designated as a cash flow hedging instrument. The changes in their fair value are recognized in our statement of profit or loss. Changes in the fair value of any derivative contracts that do not qualify for treatment as cash flow hedges for financial reporting purposes would affect, among other things, our profit and earnings per unit.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There is no assurance that our derivative contracts will provide adequate protection against adverse changes in interest rates or foreign exchange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business are subject to the credit risk associated with our contractual counterparties.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will enter into, among other things, time charters and other contracts with our customers, credit facilities and commitment letters with banks, insurance contracts and interest rate swaps and foreign exchange forward contracts. Such agreements subject us to counterparty credit risk. For example, for the year ended December 31, 2021, 55.7% of our revenues derived from subsidiaries of Shell. We also have vessels on charter to Trafigura, Cheniere, Gunvor JOVO, VPOWER CNTIC and TotalEnergies.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spacing w:after="0" w:line="164"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distribution to unitholders.</w:t>
      </w:r>
    </w:p>
    <w:p>
      <w:pPr>
        <w:spacing w:after="0" w:line="17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Our debt levels may limit our flexibility in obtaining additional financing, pursuing other business opportunities and paying distributions to unitholders.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level of debt could have important consequences to us, including the following:</w:t>
      </w:r>
    </w:p>
    <w:p>
      <w:pPr>
        <w:spacing w:after="0" w:line="225" w:lineRule="exact"/>
        <w:rPr>
          <w:sz w:val="20"/>
          <w:szCs w:val="20"/>
          <w:color w:val="auto"/>
        </w:rPr>
      </w:pPr>
    </w:p>
    <w:p>
      <w:pPr>
        <w:ind w:left="680" w:right="2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our ability to obtain additional financing, if necessary, for working capital, capital expenditures, ship acquisitions or other purposes may be impaired or such financing may not be available on favorable terms;</w:t>
      </w:r>
    </w:p>
    <w:p>
      <w:pPr>
        <w:spacing w:after="0" w:line="170" w:lineRule="exact"/>
        <w:rPr>
          <w:rFonts w:ascii="Arial" w:cs="Arial" w:eastAsia="Arial" w:hAnsi="Arial"/>
          <w:sz w:val="18"/>
          <w:szCs w:val="18"/>
          <w:color w:val="auto"/>
        </w:rPr>
      </w:pPr>
    </w:p>
    <w:p>
      <w:pPr>
        <w:ind w:left="680" w:right="60" w:hanging="321"/>
        <w:spacing w:after="0" w:line="308"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231F20"/>
        </w:rPr>
        <w:t>we will need a substantial portion of our cash flow to make principal and interest payments on our debt, reducing the funds that would otherwise be available for operations, future business opportunities and distributions to unitholders;</w:t>
      </w:r>
    </w:p>
    <w:p>
      <w:pPr>
        <w:spacing w:after="0" w:line="146" w:lineRule="exact"/>
        <w:rPr>
          <w:rFonts w:ascii="Arial" w:cs="Arial" w:eastAsia="Arial" w:hAnsi="Arial"/>
          <w:sz w:val="17"/>
          <w:szCs w:val="17"/>
          <w:color w:val="auto"/>
        </w:rPr>
      </w:pPr>
    </w:p>
    <w:p>
      <w:pPr>
        <w:ind w:left="680" w:right="62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requirement on us to maintain minimum levels of liquidity, reducing the funds that would otherwise be available for operations, future business opportunities and distributions to unitholders;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our debt level may make us more vulnerable than our competitors with less debt to competitive pressures, changes in financial market conditions or a downturn in our industry or the economy generally;</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our debt level may limit our flexibility in responding to changing business and economic conditions; and</w:t>
      </w:r>
    </w:p>
    <w:p>
      <w:pPr>
        <w:spacing w:after="0" w:line="225" w:lineRule="exact"/>
        <w:rPr>
          <w:rFonts w:ascii="Arial" w:cs="Arial" w:eastAsia="Arial" w:hAnsi="Arial"/>
          <w:sz w:val="18"/>
          <w:szCs w:val="18"/>
          <w:color w:val="auto"/>
        </w:rPr>
      </w:pPr>
    </w:p>
    <w:p>
      <w:pPr>
        <w:jc w:val="both"/>
        <w:ind w:left="680" w:right="160" w:hanging="321"/>
        <w:spacing w:after="0" w:line="263"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if we are unable to satisfy the restrictions included in any of our financing agreements or are otherwise in default under any of those agreements, as a result of our debt levels or otherwise, we will not be able to make cash distributions to our unitholders, notwithstanding our stated cash distribution policy.</w:t>
      </w:r>
    </w:p>
    <w:p>
      <w:pPr>
        <w:spacing w:after="0" w:line="18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As of December 31, 2021, we had an aggregate of $1,085.8 million of indebtedness outstanding under our credit facilities, of which $99.3 million is repayable within one year. See “Item 5. Operating and Financial Review and Prospects—B. Liquidity and Capital Resources”.</w:t>
      </w:r>
    </w:p>
    <w:p>
      <w:pPr>
        <w:spacing w:after="0" w:line="188" w:lineRule="exact"/>
        <w:rPr>
          <w:sz w:val="20"/>
          <w:szCs w:val="20"/>
          <w:color w:val="auto"/>
        </w:rPr>
      </w:pPr>
    </w:p>
    <w:p>
      <w:pPr>
        <w:jc w:val="both"/>
        <w:ind w:right="460" w:firstLine="324"/>
        <w:spacing w:after="0" w:line="342" w:lineRule="auto"/>
        <w:rPr>
          <w:sz w:val="20"/>
          <w:szCs w:val="20"/>
          <w:color w:val="auto"/>
        </w:rPr>
      </w:pPr>
      <w:r>
        <w:rPr>
          <w:rFonts w:ascii="Arial" w:cs="Arial" w:eastAsia="Arial" w:hAnsi="Arial"/>
          <w:sz w:val="16"/>
          <w:szCs w:val="16"/>
          <w:color w:val="auto"/>
        </w:rPr>
        <w:t>If our operating results are not sufficient to service our current or future indebtedness, we will be forced to take actions such as reducing distributions, reducing or delaying our business activities, acquisitions, investments or capital expenditures, selling assets,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restructuring or refinancing our debt, or seeking additional equity capital or bankruptcy protection. We may not be able to effect any of these remedies on satisfactory terms, or at all.</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Financing agreements containing operating and financial restrictions may restrict our business and financing activities. A failure by us to meet our obligations under our financing agreements would result in an event of default under such credit facilities which could lead to foreclosure on our ships.</w:t>
      </w:r>
    </w:p>
    <w:p>
      <w:pPr>
        <w:spacing w:after="0" w:line="184"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operating and financial restrictions and covenants in our credit facilities and any future financing agreements could adversely affect our ability to finance future operations or capital needs or to engage, expand or pursue our business activities. For example, the financing agreements may restrict the ability of us and our subsidiaries to:</w:t>
      </w:r>
    </w:p>
    <w:p>
      <w:pPr>
        <w:spacing w:after="0" w:line="184" w:lineRule="exact"/>
        <w:rPr>
          <w:sz w:val="20"/>
          <w:szCs w:val="20"/>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incur or guarantee indebtedness;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change ownership or structure, including mergers, consolidations, liquidations and dissolutions;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pay dividends or distributions;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make certain negative pledges and grant certain liens;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sell, transfer, assign or convey assets;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make certain investments;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enter into a new line of business.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such financing agreements may require us to comply with certain financial ratios and tests, including, among others, maintaining a minimum liquidity, and a minimum collateral value. Our ability to comply with the restrictions and covenants, including financial ratios and tests, contained in such financing agreements is dependent on future performance and may be affected by events beyond our control, including prevailing economic, financial and industry conditions. If market or other economic conditions deteriorate, our ability to comply with these covenants may be impaired.</w:t>
      </w:r>
    </w:p>
    <w:p>
      <w:pPr>
        <w:spacing w:after="0" w:line="18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If we are unable to comply with the restrictions and covenants in the agreements governing our indebtedness or in current or future debt financing agreements, there could be a default under the terms of those agreements. If a default occurs under these agreements, lenders could terminate their commitments to lend and/or accelerate the outstanding loans and declare all amounts borrowed due and payable. We have pledged our vessels as security for our outstanding indebtedness. If our lenders were to foreclose on our vessels in the event of a default, this may adversely affect our ability to finance future operations or capital needs or to engage, expand or pursue our business activities. If any of these events occur, we cannot guarantee that our assets will be sufficient to repay in full all of our outstanding indebtedness, and we may be unable to find alternative financing. Even if we could obtain alternative financing, that financing might not be on terms that are favorable or acceptable. Any of these events would adversely affect our ability to make distributions to our unitholders and could cause a decline in the market price of our common units and Preference Units. See “Item 5. Operating and Financial Review and Prospects—B. Liquidity and Capital Resources—Credit Facilities”.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or our subsidiaries from paying distributions.</w:t>
      </w:r>
    </w:p>
    <w:p>
      <w:pPr>
        <w:spacing w:after="0" w:line="22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payment of principal and interest on our debt reduces cash available for distribution to our unitholders. In addition, our credit facilities prohibit the payment of distributions to our unitholders upon the occurrence of the following events, among others:</w:t>
      </w:r>
    </w:p>
    <w:p>
      <w:pPr>
        <w:spacing w:after="0" w:line="124" w:lineRule="exact"/>
        <w:rPr>
          <w:sz w:val="20"/>
          <w:szCs w:val="20"/>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failure to pay any principal, interest, fees, expenses or other amounts when due;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breach or lapse of any insurance with respect to vessels securing the facilities;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breach of certain financial covenants;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36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failure to observe any other agreement, security instrument, obligation or covenant beyond specified cure periods in certain cases;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default under other indebtedness;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bankruptcy or insolvency events;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failure of any representation or warranty to be correct;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a change of ownership of the borrowers or GasLog Partners Holdings;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a material adverse effect.</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Furthermore, we expect that our future financing agreements will contain similar provisions. For more information regarding these financing agreements, see “Item 5. Operating and Financial Review and Prospects—B. Liquidity and Capital Resources—Credit Facilities”.</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failure to consummate or integrate acquisitions in a timely and cost-effective manner could have an adverse effect on our financial condition and results of operations.</w:t>
      </w:r>
    </w:p>
    <w:p>
      <w:pPr>
        <w:spacing w:after="0" w:line="1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Under the terms of the omnibus agreement, we have the right to purchase Five-Year Vessels within 30 days following receipt of notice from GasLog. In each case, our option to purchase is at fair market value as determined pursuant to the omnibus agreement. See “Item 7. Major Unitholders and Related Party Transactions—B. Related Party Transactions—Omnibus Agreement—Noncompetition” for the definitions of “Five-Year Vessel”.</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not be obligated to purchase any of these vessels and, accordingly, we may not complete the purchase of any of such vessels. Furthermore, even if we are able to agree on a price with GasLog, there are no assurances that we will be able to obtain adequate financing on terms that are acceptable to us. In light of recent master limited partnership (“MLP”) market volatility and the fall in the value of our common and Preference units, it may be more difficult for us to complete an accretive acquisition.</w:t>
      </w:r>
    </w:p>
    <w:p>
      <w:pPr>
        <w:spacing w:after="0" w:line="1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believe that other acquisition opportunities may arise from time to time, and any such acquisition could be significant. Any acquisition of a vessel or other asset or business may not be profitable at or after the time of acquisition and may not generate cash flow sufficient to justify the investment. In addition, any acquisition exposes us to risks that may harm our business, financial condition, results of operations and ability to make cash distributions to our unitholders, including risks that we may:</w:t>
      </w:r>
    </w:p>
    <w:p>
      <w:pPr>
        <w:spacing w:after="0" w:line="171" w:lineRule="exact"/>
        <w:rPr>
          <w:sz w:val="20"/>
          <w:szCs w:val="20"/>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fail to realize anticipated benefits, such as new customer relationships, cost-savings or cash flow enhancements;</w:t>
      </w:r>
    </w:p>
    <w:p>
      <w:pPr>
        <w:spacing w:after="0" w:line="225"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be unable to attract, hire, train or retain qualified shore and seafaring personnel to manage and operate our growing business and fleet;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decrease our liquidity by using a significant portion of available cash or borrowing capacity to finance acquisitions;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significantly increase our interest expense or financial leverage if we incur additional debt to finance acquisitions;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incur or assume unanticipated liabilities, losses or costs associated with the business or vessels acquired; or</w:t>
      </w:r>
    </w:p>
    <w:p>
      <w:pPr>
        <w:spacing w:after="0" w:line="225"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incur other significant charges, such as impairment of goodwill or other intangible assets, asset devaluation or restructuring charges.</w:t>
      </w:r>
    </w:p>
    <w:p>
      <w:pPr>
        <w:spacing w:after="0" w:line="170"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In addition, unlike newbuildings, existing vessels typically do not carry warranties as to their condition. While we generally inspect existing vessels prior to purchase, such an inspection would normally not provide us with as much knowledge of a vessel’s condition as we would possess if it had been built for us and operated by us during its life. Repairs and maintenance costs for existing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vessels are difficult to predict and may be substantially higher than for vessels we have operated since they were built. These costs could decrease our cash flow and reduce our liquidity.</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Certain acquisition and investment opportunities may not result in the consummation of a transaction. In addition, we may not be able to obtain acceptable terms for the required financing for any such acquisition or investment that arises. We cannot predict the effect, if any, that any announcement or consummation of an acquisition would have on the trading price of our common units or Preference Units. Our future acquisitions could present a number of risks, including the risk of failing to integrate successfully and on a timely basis the operations or management of any acquired vessels or businesses and the risk of diverting management’s attention from existing operations or other priorities. We may also be subject to additional costs related to compliance with various international laws in connection with such acquisition. If we fail to consummate and integrate our acquisitions in a timely and cost-effective manner, our business, financial condition, results of operations and cash available for distribution could be adversely affected.</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requirements imposed by classification societies may be very costly and may adversely affect our business.</w:t>
      </w:r>
    </w:p>
    <w:p>
      <w:pPr>
        <w:spacing w:after="0" w:line="170"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The hull and machinery of every commercial LNG carrier must be classed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any ship does not maintain its class, it will lose its insurance coverage and be unable to trade, and the ship’s owner will be in breach of relevant covenants under its financing arrangements. Failure to maintain the class of one or more of our ships could have a material adverse effect on our business, financial condition, results of operations and cash flows, including cash available for distribution to unitholders.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operate our ships worldwide, which could expose us to political, governmental and economic instability that could harm our business.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distribution to unitholders. In particular, our ships frequent LNG terminals in countries including Egypt, Nigeria, Equatorial Guinea and Trinidad, as well as transit through the Gulf of Aden and the Strait of Hormuz. Future hostilities or other political instability in the geographic regions where we operate or may operate could have a material adverse effect on our business, financial condition, results of operations and cash flows, including cash available for distribution to unitholders. General trade tensions between the U.S. and China escalated in 2018, with three rounds of U.S. tariffs on Chinese goods taking effect in 2018 and a further round taking effect in September 2019, each followed by a round of retaliatory Chinese tariffs on U.S. goods. Despite a phase one trade deal being signed in January 2020, tensions continue to exist. The recent hostilities between Russia and Ukraine, in addition to sanctions announced on February 22, 2022 by President Biden and several European leaders against Russia and any forthcoming sanctions, may also adversely impact our business, given Russia’s role as a major global exporter of crude oil and natural gas. Our business could be harmed by trade tariffs, as well as any trade embargoes or other economic sanctions by the United States or other countries against countries in the Russia, Middle East, Asia or elsewhere as a result of terrorist attacks, hostilities or diplomatic or political pressures that limit trading activities with those countries.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7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231F20"/>
        </w:rPr>
        <w:t xml:space="preserve">Terrorist attacks, piracy and the current conflicts in Ukraine, the Middle East and elsewhere, as well as other current and future conflicts </w:t>
      </w:r>
      <w:r>
        <w:rPr>
          <w:rFonts w:ascii="Arial" w:cs="Arial" w:eastAsia="Arial" w:hAnsi="Arial"/>
          <w:sz w:val="18"/>
          <w:szCs w:val="18"/>
          <w:color w:val="000000"/>
        </w:rPr>
        <w:t>and political change, may adversely affect our business, financial condition, results of operations and cash flows, including cash</w:t>
      </w:r>
      <w:r>
        <w:rPr>
          <w:rFonts w:ascii="Arial" w:cs="Arial" w:eastAsia="Arial" w:hAnsi="Arial"/>
          <w:sz w:val="18"/>
          <w:szCs w:val="18"/>
          <w:color w:val="231F20"/>
        </w:rPr>
        <w:t xml:space="preserve"> </w:t>
      </w:r>
      <w:r>
        <w:rPr>
          <w:rFonts w:ascii="Arial" w:cs="Arial" w:eastAsia="Arial" w:hAnsi="Arial"/>
          <w:sz w:val="18"/>
          <w:szCs w:val="18"/>
          <w:color w:val="000000"/>
        </w:rPr>
        <w:t>available for distribution to unitholders.</w:t>
      </w:r>
    </w:p>
    <w:p>
      <w:pPr>
        <w:spacing w:after="0" w:line="184"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The recent escalation of conflicts between Russia and Ukraine may lead to further regional and international conflicts or armed action. It is possible that such conflict could disrupt supply chains and cause instability in the global economy. Additionally,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ongoing conflict could result in the imposition of further economic sanctions by the United States and the European Union against Russia. While much uncertainty remains regarding the global impact of the conflict in Ukraine, it is possible that such tensions could adversely affect our business, financial condition, results of operation and cash flows. Furthermore, it is possible that third parties with whom we have charter contracts may be impacted by events in Russia and Ukraine, which could adversely affect our operations.</w:t>
      </w:r>
    </w:p>
    <w:p>
      <w:pPr>
        <w:spacing w:after="0" w:line="15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187"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In the past, political conflicts have also resulted in attacks on ships, mining of waterways and other efforts to disrupt international shipping, particularly in the Arabian Gulf region. Acts of terrorism and piracy have also affected ships trading in regions such as the South China Sea, West Africa and the Gulf of Aden. Any terrorist attacks targeted at ships may in the future have a material negative effect on our business, financial condition, results of operations and cash flows and could directly impact our ships or our customers.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8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 xml:space="preserve">We may not be adequately </w:t>
      </w:r>
      <w:r>
        <w:rPr>
          <w:rFonts w:ascii="Arial" w:cs="Arial" w:eastAsia="Arial" w:hAnsi="Arial"/>
          <w:sz w:val="18"/>
          <w:szCs w:val="18"/>
          <w:color w:val="231F20"/>
        </w:rPr>
        <w:t>insured to cover losses from acts of terrorism, piracy, regional conflicts and other armed actions,</w:t>
      </w:r>
      <w:r>
        <w:rPr>
          <w:rFonts w:ascii="Arial" w:cs="Arial" w:eastAsia="Arial" w:hAnsi="Arial"/>
          <w:sz w:val="18"/>
          <w:szCs w:val="18"/>
          <w:color w:val="auto"/>
        </w:rPr>
        <w:t xml:space="preserve"> </w:t>
      </w:r>
      <w:r>
        <w:rPr>
          <w:rFonts w:ascii="Arial" w:cs="Arial" w:eastAsia="Arial" w:hAnsi="Arial"/>
          <w:sz w:val="18"/>
          <w:szCs w:val="18"/>
          <w:color w:val="231F20"/>
        </w:rPr>
        <w:t>including losses relating to the employment of armed guards.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19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 the future, the ships we own could be required to call on ports located in countries that are subject to restrictions imposed by the United States and other governments.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(“CISADA”), which expanded the scope of the former Iran Sanctions Act. Among other things, CISADA expanded the application of the prohibitions imposed by the U.S. government to non-U.S. companies, such as us, and limits the ability of companies and persons to do business or trade with Iran when such activities relate to the investment, supply or export of refined petroleum or petroleum products, as well as LNG.</w:t>
      </w:r>
    </w:p>
    <w:p>
      <w:pPr>
        <w:spacing w:after="0" w:line="17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w:t>
      </w:r>
    </w:p>
    <w:p>
      <w:pPr>
        <w:sectPr>
          <w:pgSz w:w="11900" w:h="16838" w:orient="portrait"/>
          <w:cols w:equalWidth="0" w:num="1">
            <w:col w:w="9900"/>
          </w:cols>
          <w:pgMar w:left="980" w:top="517" w:right="1019"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beneficial owner of, or otherwise owns, operates, or controls or insures a vessel that was used to transport crude oil from Iran to another country and (1) if the person is a controlling beneficial owner of the vessel, the person had actual knowledge the vessel was so used or</w:t>
      </w:r>
    </w:p>
    <w:p>
      <w:pPr>
        <w:ind w:firstLine="8"/>
        <w:spacing w:after="0" w:line="251"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9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However, in May 2018, the United States announced its withdrawal of the U.S. from the Joint Comprehensive Plan of Action, and almost all of the U.S. sanctions waived and lifted in January 2016 were reinstated in August 2018 and November 2018, respectively. These sanctions also encompass significant transactions to sell, supply or transfer to Iran goods or services related to the aforementioned sanctioned sections.</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Although the ships we own have not called on ports in countries subject to sanctions or embargoes or in countries identified as state sponsors of terrorism, including Iran, North Korea and Syria, we cannot assure you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78"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2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 and in full compliance with the U.S. Foreign Corrupt Practices Act of 1977, (the “FCPA”), and the Bribery Act 2010 of the United Kingdom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and evolving reporting requirements could have an adverse effect on our business.</w:t>
      </w:r>
    </w:p>
    <w:p>
      <w:pPr>
        <w:spacing w:after="0" w:line="22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84" w:lineRule="exact"/>
        <w:rPr>
          <w:sz w:val="20"/>
          <w:szCs w:val="20"/>
          <w:color w:val="auto"/>
        </w:rPr>
      </w:pPr>
    </w:p>
    <w:p>
      <w:pPr>
        <w:jc w:val="both"/>
        <w:ind w:right="300" w:firstLine="324"/>
        <w:spacing w:after="0" w:line="301" w:lineRule="auto"/>
        <w:rPr>
          <w:sz w:val="20"/>
          <w:szCs w:val="20"/>
          <w:color w:val="auto"/>
        </w:rPr>
      </w:pPr>
      <w:r>
        <w:rPr>
          <w:rFonts w:ascii="Arial" w:cs="Arial" w:eastAsia="Arial" w:hAnsi="Arial"/>
          <w:sz w:val="16"/>
          <w:szCs w:val="16"/>
          <w:color w:val="auto"/>
        </w:rPr>
        <w:t>The European Union Code of Conduct Group has assessed the tax policies of a range of countries including Bermuda, where our vessel owning entities are incorporated and the Marshall Islands where we also have affiliated entities incorporated. Bermuda and the Marshall Islands committed to comply with the European Union Code of Conduct Group’s requirements on economic substance and passed legislation in the form of the Bermuda Economic Substance Act of 2018 and the Marshall Islands Substance Regulations.</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GasLog has filed the required returns confirming we have appropriate economic substance in Bermuda and the Marshall Islands. However, it is not possible to accurately predict the outcome of any review by the authorities as to whether or not GasLog and its business has accurately interpreted the requirements. Whilst we believe we have taken appropriate advice and counsel from the relevant authorities and external legal advisors; the requirements may increase the complexity and costs of carrying on GasLog’s business with entities incorporated in Bermuda and the Marshall Islands.</w:t>
      </w:r>
    </w:p>
    <w:p>
      <w:pPr>
        <w:spacing w:after="0" w:line="18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Increased regulatory oversight, uncertainty relating to the nature and timing of the potential phasing out of LIBOR, and agreement on any new alternative reference rates may adversely impact our ability to manage our exposure to fluctuations in interest rates and borrowing costs.</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a result of the majority of our debt being primarily based on LIBOR and certain other interest rate benchmarks, fluctuations in interest rates could have a material effect on our interest expense and borrowing costs. LIBOR and certain other interest rate benchmarks may be subject to regulatory guidance and/or reform that could cause interest rates under our current or future debt agreements to perform differently than in the past or cause other unanticipated consequences. On March 5, 2021, the U.K. Financial Conduct Authority announced the future cessation or loss of representativeness of LIBOR benchmark as currently published by the ICE Benchmark Administration with a target date immediately after June 30, 2023. While there is no consensus on what interest rate may become accepted as alternatives to LIBOR, the Alternative Reference Rates Committee, a steering committee comprised of U.S. financial market participants, has selected the Secured Overnight Finance Rate (“SOFR”) as published by the Federal Reserve Bank of New York since May 2018. SOFR is a broad measure of the cost of borrowing cash in the overnight U.S. treasury repo market. At this time, it is impossible to predict whether SOFR or another reference rate will become an accepted alternative to LIBOR. The manner and impact of this transition may materially adversely affect the trading market for LIBOR based agreements, including our credit facilities, interest rate swaps and Preference Units. We will need to negotiate the replacement benchmark rate on our credit facilities and interest rate swaps and the use of an alternative rate or benchmark, may negatively impact our interest rate expense. Any other contracts entered into in the ordinary course of business which currently refer to, use or include LIBOR may also be impacted.</w:t>
      </w:r>
    </w:p>
    <w:p>
      <w:pPr>
        <w:spacing w:after="0" w:line="17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Further, if a LIBOR rate is not available on a determination date during the floating rate period for any of our LIBOR based agreements, the terms of such agreements will require alternative determination procedures which may result in interest or distribution payments differing from expectations and could affect our profit and the market value of our Preference Units.</w:t>
      </w:r>
    </w:p>
    <w:p>
      <w:pPr>
        <w:spacing w:after="0" w:line="16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interest or distribution payments during the floating rate period for our LIBOR based agreements would be affected and could affect our profit or the market value of our Preference Units.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The operation of any ship includes risks such as mechanical failure, personal injury, collision, fire, contact with floating objects, property loss or damage, cargo loss or damage, failure of or disruption to information and operational technology systems and business interruption due to a number of reasons, including political circumstances in foreign countries, hostilities, cyber attacks and labor strikes. In addition, there is always an inherent possibility of a marine disaster, including collision, explosion, spills and other environmental mishaps, and other liabilities arising from owning, operating or managing </w:t>
      </w:r>
      <w:r>
        <w:rPr>
          <w:rFonts w:ascii="Arial" w:cs="Arial" w:eastAsia="Arial" w:hAnsi="Arial"/>
          <w:sz w:val="16"/>
          <w:szCs w:val="16"/>
          <w:color w:val="231F20"/>
        </w:rPr>
        <w:t>ships in international trade. Although we carry protection and</w:t>
      </w:r>
      <w:r>
        <w:rPr>
          <w:rFonts w:ascii="Arial" w:cs="Arial" w:eastAsia="Arial" w:hAnsi="Arial"/>
          <w:sz w:val="16"/>
          <w:szCs w:val="16"/>
          <w:color w:val="auto"/>
        </w:rPr>
        <w:t xml:space="preserve"> </w:t>
      </w:r>
      <w:r>
        <w:rPr>
          <w:rFonts w:ascii="Arial" w:cs="Arial" w:eastAsia="Arial" w:hAnsi="Arial"/>
          <w:sz w:val="16"/>
          <w:szCs w:val="16"/>
          <w:color w:val="231F20"/>
        </w:rPr>
        <w:t>indemnity, hull and machinery and loss of hire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distribution to unitholders.</w:t>
      </w:r>
    </w:p>
    <w:p>
      <w:pPr>
        <w:spacing w:after="0" w:line="17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Reliability of suppliers may limit our ability to obtain supplies and services when needed.</w:t>
      </w:r>
    </w:p>
    <w:p>
      <w:pPr>
        <w:spacing w:after="0" w:line="225"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ships during a period of war or emergency, resulting in loss of earnings.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may cause us to breach covenants in certain of our credit facilities and could have a material adverse effect on our business, financial condition, results of operations and cash flows, including cash available for distribution to unitholders.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ships, which could interrupt our cash flows.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distribution to unitholders.</w:t>
      </w:r>
    </w:p>
    <w:p>
      <w:pPr>
        <w:spacing w:after="0" w:line="19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 that could have an adverse effect on us.</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GasLog and its affiliates may compete with us.</w:t>
      </w:r>
    </w:p>
    <w:p>
      <w:pPr>
        <w:spacing w:after="0" w:line="225"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Pursuant to the omnibus agreement between us and GasLog, GasLog and its controlled affiliates (other than us, our general partner and our subsidiaries) generally have agreed not to acquire, own, operate or charter certain LNG carriers operating under charters of five full years or more. The omnibus agreement, however, contains significant exceptions that may allow GasLog or any of its controlled affiliates to compete with us, which could harm our business. For example, these exceptions result in GasLog not being restricted from: acquiring, owning, operating or chartering Non-Five-Year Vessels; acquiring a non-controlling equity ownership,</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voting or profit participation interest in any company, business or pool of assets; acquiring, owning, operating or chartering a Five-Year Vessel that GasLog would otherwise be restricted from owning if we are not willing or able to acquire such vessel from GasLog within the periods set forth in the omnibus agreement; or owning or operating any Five-Year Vessel that GasLog owns on the closing date of the IPO and that was not part of our fleet as of such date. See “Item 7. Major Unitholders and Related Party Transactions—B. Related Party Transactions—Omnibus Agreement—Noncompetition” for a detailed description of those exceptions and the definitions of “Five-Year Vessel” and “Non-Five-Year Vessel”.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units has declined significantly in recent years and may continue to be volatile.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price of our common units may be volatile and may fluctuate due to factors including:</w:t>
      </w:r>
    </w:p>
    <w:p>
      <w:pPr>
        <w:spacing w:after="0" w:line="225" w:lineRule="exact"/>
        <w:rPr>
          <w:sz w:val="20"/>
          <w:szCs w:val="20"/>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our payment of cash distributions to our unitholders;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amount of cash distributions paid to our unitholders;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repurchases by us of our common units pursuant to our unit repurchase programme;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actual or anticipated fluctuations in quarterly and annual results;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fluctuations in oil and natural gas prices;</w:t>
      </w:r>
    </w:p>
    <w:p>
      <w:pPr>
        <w:spacing w:after="0" w:line="225"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fluctuations in the seaborne transportation industry, including fluctuations in the charter rates and utilization of vessels in the LNG carrier market;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fluctuations in supply of and demand for LNG;</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mergers and strategic alliances in the shipping industry;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changes in governmental regulations or maritime self-regulatory organizations standards;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shortfalls in our operating results from levels forecasted by securities analysts;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announcements concerning us or our competitors or other MLPs;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231F20"/>
        </w:rPr>
        <w:t>the failure of securities analysts to publish research about us, or analysts making changes in their financial estimates;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general economic conditions including fluctuations in interest rates;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terrorist acts;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future sales of our units or other securities, including sales under our ATM Programme;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investors’ perceptions of us, the LNG market, the LNG shipping industry and the energy industry more broadly;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significant cash redemptions from funds invested in the MLP sector;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inclusion or exclusion of our units in equity market indices and exchange traded funds;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general state of the securities markets;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other developments affecting us, our industry or our competitors.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Securities markets worldwide are experiencing price and volume fluctuations. The market price for our common units may also be volatile. This market volatility, as well as general economic, market or political conditions, could reduce the market price of our common units despite our operating performance.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Common unitholders have limited voting rights, and our partnership agreement restricts the voting rights of unitholders owning more than 4.9% of our common units.</w:t>
      </w:r>
    </w:p>
    <w:p>
      <w:pPr>
        <w:spacing w:after="0" w:line="170"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Unlike the holders of common stock in a corporation, holders of common units have only limited voting rights on matters affecting our business. We will hold a meeting of the limited partners every year to elect one or more members of our board of directors and to vote on any other matters that are properly brought before the meeting. Our general partner has appointed three of our five directors and the common unitholders elected the remaining two directors. Four of our directors meet the independence standards of the NYSE, and two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 See “Item 4. Information on the Partnership—B. Business Overview—Taxation of the Partnership”.</w:t>
      </w:r>
    </w:p>
    <w:p>
      <w:pPr>
        <w:spacing w:after="0" w:line="185"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The partnership agreement also contains provisions limiting the ability of common unitholders to call meetings or to acquire information about our operations, as well as other provisions limiting the common unitholders’ ability to influence the manner or direction of management. Unitholders have no right to elect our general partner, and our general partner may not be removed except by a vote of the holders of at least 66</w:t>
      </w:r>
      <w:r>
        <w:rPr>
          <w:rFonts w:ascii="Arial" w:cs="Arial" w:eastAsia="Arial" w:hAnsi="Arial"/>
          <w:sz w:val="26"/>
          <w:szCs w:val="26"/>
          <w:color w:val="auto"/>
          <w:vertAlign w:val="superscript"/>
        </w:rPr>
        <w:t>2</w:t>
      </w:r>
      <w:r>
        <w:rPr>
          <w:rFonts w:ascii="Arial" w:cs="Arial" w:eastAsia="Arial" w:hAnsi="Arial"/>
          <w:sz w:val="26"/>
          <w:szCs w:val="26"/>
          <w:color w:val="auto"/>
          <w:vertAlign w:val="subscript"/>
        </w:rPr>
        <w:t>⁄3</w:t>
      </w:r>
      <w:r>
        <w:rPr>
          <w:rFonts w:ascii="Arial" w:cs="Arial" w:eastAsia="Arial" w:hAnsi="Arial"/>
          <w:sz w:val="18"/>
          <w:szCs w:val="18"/>
          <w:color w:val="auto"/>
        </w:rPr>
        <w:t>% of the outstanding common units, including any units owned by our general partner and its affiliates, voting together as a single class.</w:t>
      </w:r>
    </w:p>
    <w:p>
      <w:pPr>
        <w:spacing w:after="0" w:line="206"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partnership agreement further restricts unitholders’ voting rights by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unless required by law.</w:t>
      </w:r>
    </w:p>
    <w:p>
      <w:pPr>
        <w:spacing w:after="0" w:line="1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Effectively, this means that the voting rights of any common unitholders not entitled to vote on a specific matter will be redistributed pro rata among the other common unitholders. Our general partner, its affiliates and persons who acquired common units with the prior approval of our board of directors will not be subject to the 4.9% limitation, except with respect to voting their common units in the election of the elected directors.</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GasLog and our general partner own a controlling interest in us and have conflicts of interest and limited fiduciary and contractual duties to us and our unitholders, which may permit them to favor their own interests to your detriment.</w:t>
      </w:r>
    </w:p>
    <w:p>
      <w:pPr>
        <w:spacing w:after="0" w:line="14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GasLog currently owns partnership units representing a 33.3% partnership interest, including a 2.0% general partner interest in us, and owns and controls our general partner. In addition, our general partner has the right to appoint three of five, or a majority, of our directors. Certain of our directors and officers are directors and officers of GasLog or its affiliates, and, as such, they have fiduciary duties to GasLog or its affiliates that may cause them to pursue business strategies that disproportionately benefit GasLog or its 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See “—Our partnership agreement limits our general partner’s and our directors’ fiduciary duties to our unitholders and restricts the remedies available to unitholders for actions taken by our general partner or our directors”. These conflicts include, among others, the following situations:</w:t>
      </w:r>
    </w:p>
    <w:p>
      <w:pPr>
        <w:spacing w:after="0" w:line="166" w:lineRule="exact"/>
        <w:rPr>
          <w:sz w:val="20"/>
          <w:szCs w:val="20"/>
          <w:color w:val="auto"/>
        </w:rPr>
      </w:pPr>
    </w:p>
    <w:p>
      <w:pPr>
        <w:ind w:left="680" w:right="240" w:hanging="321"/>
        <w:spacing w:after="0" w:line="286"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231F20"/>
        </w:rPr>
        <w:t>neither our partnership agreement nor any other agreement requires our general partner or GasLog or its affiliates to pursue a business strategy that favors us or utilizes our assets, and GasLog’s officers and directors have a fiduciary duty to make decisions in the best interests of the shareholders of GasLog, which may be contrary to our interests;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40" w:hanging="321"/>
        <w:spacing w:after="0" w:line="272" w:lineRule="auto"/>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231F20"/>
        </w:rPr>
        <w:t>our partnership agreement permits our general partner to make a number of decisions in its individual capacity, as opposed to in its capacity as our general partner.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177" w:lineRule="exact"/>
        <w:rPr>
          <w:rFonts w:ascii="Arial" w:cs="Arial" w:eastAsia="Arial" w:hAnsi="Arial"/>
          <w:sz w:val="17"/>
          <w:szCs w:val="17"/>
          <w:color w:val="auto"/>
        </w:rPr>
      </w:pPr>
    </w:p>
    <w:p>
      <w:pPr>
        <w:jc w:val="both"/>
        <w:ind w:left="680" w:right="280" w:hanging="321"/>
        <w:spacing w:after="0" w:line="279" w:lineRule="auto"/>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231F20"/>
        </w:rPr>
        <w:t>under our partnership agreement, as permitted under Marshall Islands law, our general partner and our directors have limited fiduciary duties. The partnership agreement also restricts the remedies available to our unitholders; as a result of purchasing units, unitholders are treated as having agreed to the modified standard of fiduciary duties and to certain actions that may be taken by our general partner and our directors, all as set forth in the partnership agreement;</w:t>
      </w:r>
    </w:p>
    <w:p>
      <w:pPr>
        <w:spacing w:after="0" w:line="171" w:lineRule="exact"/>
        <w:rPr>
          <w:rFonts w:ascii="Arial" w:cs="Arial" w:eastAsia="Arial" w:hAnsi="Arial"/>
          <w:sz w:val="17"/>
          <w:szCs w:val="17"/>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our general partner is entitled to reimbursement of all reasonable costs incurred by it and its affiliates for our benefit;</w:t>
      </w:r>
    </w:p>
    <w:p>
      <w:pPr>
        <w:spacing w:after="0" w:line="225" w:lineRule="exact"/>
        <w:rPr>
          <w:rFonts w:ascii="Arial" w:cs="Arial" w:eastAsia="Arial" w:hAnsi="Arial"/>
          <w:sz w:val="18"/>
          <w:szCs w:val="18"/>
          <w:color w:val="auto"/>
        </w:rPr>
      </w:pPr>
    </w:p>
    <w:p>
      <w:pPr>
        <w:ind w:left="680" w:right="60" w:hanging="321"/>
        <w:spacing w:after="0" w:line="342" w:lineRule="auto"/>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231F20"/>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123" w:lineRule="exact"/>
        <w:rPr>
          <w:rFonts w:ascii="Arial" w:cs="Arial" w:eastAsia="Arial" w:hAnsi="Arial"/>
          <w:sz w:val="16"/>
          <w:szCs w:val="16"/>
          <w:color w:val="auto"/>
        </w:rPr>
      </w:pPr>
    </w:p>
    <w:p>
      <w:pPr>
        <w:ind w:left="680" w:right="26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our general partner may exercise its right to call and purchase our common units if it and its affiliates own more than 80% of our common units; and</w:t>
      </w:r>
    </w:p>
    <w:p>
      <w:pPr>
        <w:spacing w:after="0" w:line="170"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our general partner is not obligated to obtain a fairness opinion regarding the value of the common units to be repurchased by it upon the exercise of its limited call right.</w:t>
      </w:r>
    </w:p>
    <w:p>
      <w:pPr>
        <w:spacing w:after="0" w:line="17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Even if our general partner relinquishes the power to elect one director to the common unitholders, so that they will elect a majority of our directors, our general partner will have substantial influence on decisions made by our board of directors. See “Item 7. Major Unitholders and Related Party Transactions—B. Related Party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officers face conflicts in the allocation of their time to our business.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Our officers are all employed by GasLog or its applicable affiliate and are performing executive officer functions for us pursuant to the administrative services agreement. Our officers are not required to work full-time on our affairs and also perform services for affiliates of our general partner (including GasLog). As a result, there could be material competition for the time and effort of our officers who also provide services to our general partner’s affiliates, which could have a material adverse effect on our business, results of operations and financial condition. See “Item 6. Directors, Senior Management and Employees”.</w:t>
      </w:r>
    </w:p>
    <w:p>
      <w:pPr>
        <w:spacing w:after="0" w:line="176"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The Merger between GasLog and GEPIF, completed in June 2021, could create uncertainty over the future management and direction of the Partnership and could adversely impact the Partnership and our unitholders.</w:t>
      </w:r>
    </w:p>
    <w:p>
      <w:pPr>
        <w:spacing w:after="0" w:line="14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There could be disagreement among major shareholders of GasLog, including the Rolling Shareholders and GEPIF, with respect to the short- and long-term management, direction and strategy of the Partnership. GasLog has the right to appoint three of five, or a majority, of our directors and officers, therefore any such disagreements with respect to the Partnership’s strategic direction may have an adverse effect on our business, operations, financial results and unit price.</w:t>
      </w:r>
    </w:p>
    <w:p>
      <w:pPr>
        <w:spacing w:after="0" w:line="18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Furthermore, since GasLog completed its merger with GEPIF, GasLog has limited public reporting obligations, which could adversely impact our unitholders’ ability to assess the management and direction of the Partnership, which may have a negative effect on our unit price.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7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Under the partnership agreement, our general partner has delegated to our board of directors the authority to oversee and direct our operations, management and policies on an exclusive basis, and such delegation will be binding on any successor general partner of the partnership. Our partnership agreement also contains provisions that reduce the standards to which our general partner and directors would otherwise be held by Marshall Islands law. For example, our partnership agreement:</w:t>
      </w:r>
    </w:p>
    <w:p>
      <w:pPr>
        <w:spacing w:after="0" w:line="171" w:lineRule="exact"/>
        <w:rPr>
          <w:sz w:val="20"/>
          <w:szCs w:val="20"/>
          <w:color w:val="auto"/>
        </w:rPr>
      </w:pPr>
    </w:p>
    <w:p>
      <w:pPr>
        <w:ind w:left="680" w:right="20" w:hanging="321"/>
        <w:spacing w:after="0" w:line="288"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231F20"/>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Decisions made by our general partner in its individual capacity will be made by its sole owner, GasLog.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168" w:lineRule="exact"/>
        <w:rPr>
          <w:rFonts w:ascii="Arial" w:cs="Arial" w:eastAsia="Arial" w:hAnsi="Arial"/>
          <w:sz w:val="16"/>
          <w:szCs w:val="16"/>
          <w:color w:val="auto"/>
        </w:rPr>
      </w:pPr>
    </w:p>
    <w:p>
      <w:pPr>
        <w:ind w:left="680" w:hanging="321"/>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provides that our general partner and our directors are entitled to make other decisions in “good faith” if they reasonably believe that the decision is in our best interests;</w:t>
      </w:r>
    </w:p>
    <w:p>
      <w:pPr>
        <w:spacing w:after="0" w:line="170" w:lineRule="exact"/>
        <w:rPr>
          <w:rFonts w:ascii="Arial" w:cs="Arial" w:eastAsia="Arial" w:hAnsi="Arial"/>
          <w:sz w:val="18"/>
          <w:szCs w:val="18"/>
          <w:color w:val="auto"/>
        </w:rPr>
      </w:pPr>
    </w:p>
    <w:p>
      <w:pPr>
        <w:ind w:left="680" w:right="100" w:hanging="321"/>
        <w:spacing w:after="0" w:line="296"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161" w:lineRule="exact"/>
        <w:rPr>
          <w:rFonts w:ascii="Arial" w:cs="Arial" w:eastAsia="Arial" w:hAnsi="Arial"/>
          <w:sz w:val="16"/>
          <w:szCs w:val="16"/>
          <w:color w:val="auto"/>
        </w:rPr>
      </w:pPr>
    </w:p>
    <w:p>
      <w:pPr>
        <w:ind w:left="680" w:right="80" w:hanging="321"/>
        <w:spacing w:after="0" w:line="259"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18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 order to become a limited partner of our partnership, a unitholder is required to agree to be bound by the provisions in the partnership agreement, including the provisions discussed above.</w:t>
      </w:r>
    </w:p>
    <w:p>
      <w:pPr>
        <w:spacing w:after="0" w:line="170"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b w:val="1"/>
          <w:bCs w:val="1"/>
          <w:i w:val="1"/>
          <w:iCs w:val="1"/>
          <w:color w:val="auto"/>
        </w:rPr>
        <w:t>Fees and cost reimbursements, which GasLog or its applicable affiliate will determine for services provided to us and our subsidiaries, will be substantial, may be higher for future periods than reflected in our results of operations for the year ended December 31, 2021, will be payable regardless of our profitability and will reduce our cash available for distribution to our unitholders.</w:t>
      </w:r>
    </w:p>
    <w:p>
      <w:pPr>
        <w:spacing w:after="0" w:line="18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Pursuant to the ship management agreements, our subsidiaries pay fees for technical and vessel management services provided to them by GasLog LNG Services, and reimburse GasLog LNG Services for all expenses incurred on their behalf. These fees and expenses include all costs and expenses incurred in providing the crew and technical management of the vessels in our fleet to our subsidiaries. In addition, our operating subsidiaries pay GasLog LNG Services a fixed management fee for costs and expenses incurred in connection with providing these services to our operating subsidiaries.</w:t>
      </w:r>
    </w:p>
    <w:p>
      <w:pPr>
        <w:spacing w:after="0" w:line="17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Pursuant to an administrative services agreement, GasLog provides us with certain administrative services. We pay a fixed fee to GasLog for its reasonable costs and expenses incurred in connection with the provision of the services under the administrative services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Pursuant to the commercial management agreements, GasLog LNG Services provides us with commercial management services. Effective January 1, 2022, we pay to GasLog a fixed commission of 1.25% on gross charter revenues in U.S. dollars for costs and expenses incurred in connection with providing services.</w:t>
      </w:r>
    </w:p>
    <w:p>
      <w:pPr>
        <w:spacing w:after="0" w:line="18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For a description of the ship management agreements, commercial management agreements and the administrative services agreement, see “Item 7. Major Unitholders and Related Party Transactions—B. Related Party Transactions”. The aggregate fees and expenses payable for services under the ship management agreements, commercial management agreements and administrative services agreement for the year ended December 31, 2021 were $7.7 million, $5.4 million and $4.7 million, respectively. Additionally, these fees and expenses will be payable without regard to our business, results of operation and financial condition. The payment of fees to and the reimbursement of expenses of GasLog or its applicable affiliate, including GasLog LNG Services, could adversely affect our ability to pay cash distributions to our unitholders.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it will be difficult for them to remove our general partner without GasLog’s consent, all of which could diminish the trading price of our common units and Preference Units.</w:t>
      </w:r>
    </w:p>
    <w:p>
      <w:pPr>
        <w:spacing w:after="0" w:line="187"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74" w:lineRule="exact"/>
        <w:rPr>
          <w:sz w:val="20"/>
          <w:szCs w:val="20"/>
          <w:color w:val="auto"/>
        </w:rPr>
      </w:pPr>
    </w:p>
    <w:p>
      <w:pPr>
        <w:jc w:val="both"/>
        <w:ind w:left="680" w:right="140" w:hanging="321"/>
        <w:spacing w:after="0" w:line="292" w:lineRule="auto"/>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231F20"/>
        </w:rPr>
        <w:t>It is difficult for unitholders to remove our general partner without its consent. The vote of the holders of at least 66</w:t>
      </w:r>
      <w:r>
        <w:rPr>
          <w:rFonts w:ascii="Arial" w:cs="Arial" w:eastAsia="Arial" w:hAnsi="Arial"/>
          <w:sz w:val="23"/>
          <w:szCs w:val="23"/>
          <w:color w:val="231F20"/>
          <w:vertAlign w:val="superscript"/>
        </w:rPr>
        <w:t>2</w:t>
      </w:r>
      <w:r>
        <w:rPr>
          <w:rFonts w:ascii="Arial" w:cs="Arial" w:eastAsia="Arial" w:hAnsi="Arial"/>
          <w:sz w:val="16"/>
          <w:szCs w:val="16"/>
          <w:color w:val="231F20"/>
        </w:rPr>
        <w:t>⁄</w:t>
      </w:r>
      <w:r>
        <w:rPr>
          <w:rFonts w:ascii="Arial" w:cs="Arial" w:eastAsia="Arial" w:hAnsi="Arial"/>
          <w:sz w:val="23"/>
          <w:szCs w:val="23"/>
          <w:color w:val="231F20"/>
          <w:vertAlign w:val="subscript"/>
        </w:rPr>
        <w:t>3</w:t>
      </w:r>
      <w:r>
        <w:rPr>
          <w:rFonts w:ascii="Arial" w:cs="Arial" w:eastAsia="Arial" w:hAnsi="Arial"/>
          <w:sz w:val="16"/>
          <w:szCs w:val="16"/>
          <w:color w:val="231F20"/>
        </w:rPr>
        <w:t xml:space="preserve">% </w:t>
      </w:r>
      <w:r>
        <w:rPr>
          <w:rFonts w:ascii="Arial" w:cs="Arial" w:eastAsia="Arial" w:hAnsi="Arial"/>
          <w:sz w:val="16"/>
          <w:szCs w:val="16"/>
          <w:color w:val="000000"/>
        </w:rPr>
        <w:t>of all</w:t>
      </w:r>
      <w:r>
        <w:rPr>
          <w:rFonts w:ascii="Arial" w:cs="Arial" w:eastAsia="Arial" w:hAnsi="Arial"/>
          <w:sz w:val="16"/>
          <w:szCs w:val="16"/>
          <w:color w:val="231F20"/>
        </w:rPr>
        <w:t xml:space="preserve"> </w:t>
      </w:r>
      <w:r>
        <w:rPr>
          <w:rFonts w:ascii="Arial" w:cs="Arial" w:eastAsia="Arial" w:hAnsi="Arial"/>
          <w:sz w:val="16"/>
          <w:szCs w:val="16"/>
          <w:color w:val="000000"/>
        </w:rPr>
        <w:t>outstanding common units, including any units owned by our general partner and its affiliates, voting together as a single class is required to remove the general partner. As of February 24, 2022, GasLog owns 29.7% of our outstanding common units.</w:t>
      </w:r>
    </w:p>
    <w:p>
      <w:pPr>
        <w:spacing w:after="0" w:line="2" w:lineRule="exact"/>
        <w:rPr>
          <w:rFonts w:ascii="Arial" w:cs="Arial" w:eastAsia="Arial" w:hAnsi="Arial"/>
          <w:sz w:val="16"/>
          <w:szCs w:val="16"/>
          <w:color w:val="auto"/>
        </w:rPr>
      </w:pPr>
    </w:p>
    <w:p>
      <w:pPr>
        <w:jc w:val="both"/>
        <w:ind w:left="680" w:right="100"/>
        <w:spacing w:after="0" w:line="255" w:lineRule="auto"/>
        <w:rPr>
          <w:rFonts w:ascii="Arial" w:cs="Arial" w:eastAsia="Arial" w:hAnsi="Arial"/>
          <w:sz w:val="16"/>
          <w:szCs w:val="16"/>
          <w:color w:val="auto"/>
        </w:rPr>
      </w:pPr>
      <w:r>
        <w:rPr>
          <w:rFonts w:ascii="Arial" w:cs="Arial" w:eastAsia="Arial" w:hAnsi="Arial"/>
          <w:sz w:val="18"/>
          <w:szCs w:val="18"/>
          <w:color w:val="auto"/>
        </w:rPr>
        <w:t>Common unitholders are entitled to elect only two of the five members of our board of directors. Our general partner, by virtue of its general partner interest, in its sole discretion, appoints the remaining directors (subject to its right to transfer the power to elect a majority of our directors to the common unitholders).</w:t>
      </w:r>
    </w:p>
    <w:p>
      <w:pPr>
        <w:spacing w:after="0" w:line="189" w:lineRule="exact"/>
        <w:rPr>
          <w:rFonts w:ascii="Arial" w:cs="Arial" w:eastAsia="Arial" w:hAnsi="Arial"/>
          <w:sz w:val="16"/>
          <w:szCs w:val="16"/>
          <w:color w:val="auto"/>
        </w:rPr>
      </w:pPr>
    </w:p>
    <w:p>
      <w:pPr>
        <w:ind w:left="680" w:right="160" w:hanging="321"/>
        <w:spacing w:after="0" w:line="263"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 election of the directors by common unitholders is staggered, meaning that the members of only one of two classes of our elected directors will be selected each year. In addition, the directors appointed by our general partner will serve for terms determined by our general partner.</w:t>
      </w:r>
    </w:p>
    <w:p>
      <w:pPr>
        <w:spacing w:after="0" w:line="183" w:lineRule="exact"/>
        <w:rPr>
          <w:rFonts w:ascii="Arial" w:cs="Arial" w:eastAsia="Arial" w:hAnsi="Arial"/>
          <w:sz w:val="18"/>
          <w:szCs w:val="18"/>
          <w:color w:val="auto"/>
        </w:rPr>
      </w:pPr>
    </w:p>
    <w:p>
      <w:pPr>
        <w:ind w:left="680" w:right="160" w:hanging="321"/>
        <w:spacing w:after="0" w:line="263"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Our partnership agreement contains provisions limiting the ability of common unitholders to call meetings of unitholders, to nominate directors and to acquire information about our operations as well as other provisions limiting the unitholders’ ability to influence the manner or direction of management.</w:t>
      </w:r>
    </w:p>
    <w:p>
      <w:pPr>
        <w:spacing w:after="0" w:line="183" w:lineRule="exact"/>
        <w:rPr>
          <w:rFonts w:ascii="Arial" w:cs="Arial" w:eastAsia="Arial" w:hAnsi="Arial"/>
          <w:sz w:val="18"/>
          <w:szCs w:val="18"/>
          <w:color w:val="auto"/>
        </w:rPr>
      </w:pPr>
    </w:p>
    <w:p>
      <w:pPr>
        <w:ind w:left="680" w:right="80" w:hanging="321"/>
        <w:spacing w:after="0" w:line="253"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Unitholders’ voting rights are further restricted by the partnership agreement provision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unless required by law.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194"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There are no restrictions in our partnership agreement on our ability to issue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 of these provisions may be to diminish the price at which the common units and Preference Units will trade.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We are subject to certain risks with respect to our relationship with GasLog, and failure of GasLog to comply with certain of its financial covenants under its debt instruments could, among other things, result in a default under the loan facilities related to four of our vessels, which could have a material adverse effect on our business, financial condition, results of operations and cash flows.</w:t>
      </w:r>
    </w:p>
    <w:p>
      <w:pPr>
        <w:spacing w:after="0" w:line="13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Any default by GasLog under its corporate guarantees could result in a default under the loan facility related to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In the event of such a default, the lenders in the facility could terminate their commitments to lend and/or accelerate the outstanding loans and declare all amounts borrowed due and payable. If our lenders were to foreclose on our vessels in the event of such a default, this may adversely affect our ability to finance future operations or capital needs or to engage, expand or pursue our business activities. If any of these events occur, we cannot guarantee that our assets will be sufficient to repay in full all of our outstanding indebtedness, and we may be unable to find alternative financing. Even if we could obtain alternative financing, such financing might not be on terms that are favorable or acceptable. Any of these events would adversely affect our ability to make distributions to our unitholders and could cause a decline in the market price of our common units and Preference Units.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have difficulty obtaining consents that are necessary to acquire vessels with an existing charter or a financing agreement.</w:t>
      </w:r>
    </w:p>
    <w:p>
      <w:pPr>
        <w:spacing w:after="0" w:line="260"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Under the omnibus agreement, we have certain options to acquire vessels with existing charters from GasLog. The omnibus agreement provides that our ability to consummate the acquisition of any such vessels from GasLog will be subject to obtaining all relevant consents including the consent of the existing charterers, lenders, governmental authorities and other non-affiliated third parties to those agreements. While GasLog will be obligated to use reasonable efforts to obtain any such consents, we cannot assure you that in any particular case the necessary consent will be obtained from the required parties.</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225"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of our common units in the public market could cause the price of our common units to fall.</w:t>
      </w:r>
    </w:p>
    <w:p>
      <w:pPr>
        <w:spacing w:after="0" w:line="23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granted registration rights to GasLog and certain of its affiliates. These unitholders have the right, subject to some conditions, to require us to file registration statements covering any of our common or other equity securities owned by them or to include those securities in registration statements that we may file for ourselves or other unitholders. As of February 24, 2022, GasLog owns 15,206,602 common units and 1,660,000 Class B units (of which 415,000 are Class B-3 units, 415,000 are Class B-4 units, 415,000 are Class B-5 units and 415,000 are Class B-6 units). The Class B units will convert to common units at a rate of 415,000 per year between 2022 and 2025. Following their registration and sale under the applicable registration statement, those securities will become freely tradable. By exercising their registration rights and selling a large number of common units or other securities, these unitholders could cause the price of our common units to decline.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issue additional equity securities, including securities senior to the common units, without the approval of our common unitholders, which would dilute the ownership interests of the common unitholders.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without the approval of our common unitholders, issue an unlimited number of additional units or other equity securities. In addition, we may issue an unlimited number of units that are senior to the common units in right of distribution, liquidation and voting. For example on June 30, 2019, we issued 2,532,911 common units and 2,490,000 Class B units to GasLog in exchange for GasLog’s incentive distribution rights (“IDRs”). Refer to “Item 5. Operating and Financial Review and Prospects—B. Liquidity and Capital Resources”.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May 16, 2017, the Partnership commenced its ATM Programme under which we may, from time to time, raise equity through the issuance and sale of new common units. Following an increase in the size of the ATM Programme completed on November 3, 2017, and again on February 26, 2019, we can issue up to $250.0 million in new common units. As of February 24, 2022 8,486,705 common units have been issued through the ATM Programme.</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Since the commencement of the ATM Programme through December 31, 2021, GasLog Partners has issued and received payment for a total of 8,486,705 common units, with cumulative gross proceeds of $133.6 million at a weighted average price of $15.75 per unit and net proceeds of $132.4 million, after deducting commissions. In connection with the issuance of common units under the ATM Programme during this period, the Partnership also issued 164,145 general partner units to its general partner. The net proceeds from the issuance of the general partner units were $2.7 million. The issuance by us of additional common units or other equity securities of equal or senior rank will have the following effects:</w:t>
      </w:r>
    </w:p>
    <w:p>
      <w:pPr>
        <w:spacing w:after="0" w:line="192" w:lineRule="exact"/>
        <w:rPr>
          <w:sz w:val="20"/>
          <w:szCs w:val="20"/>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our common unitholders’ proportionate economic ownership interest in us will decrease;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amount of cash available for distribution on each common unit may decrease;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relative voting strength of each previously outstanding common unit may be diminished;</w:t>
      </w:r>
    </w:p>
    <w:p>
      <w:pPr>
        <w:spacing w:after="0" w:line="225"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we may not be able to pay our distributions to common unitholders if we have failed to pay the distributions on our Preference Units;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market price of the common units may decline.</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Preference Units are senior to the common units and as such receive priority over the common units in distributions and liquidation.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general partner has a limited call right that may require you to sell your common units at an undesirable time or price.</w:t>
      </w:r>
    </w:p>
    <w:p>
      <w:pPr>
        <w:spacing w:after="0" w:line="23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not less than the then-current market price of our common units. Our general partner is not obligated to obtain a fairness opinion regarding the value of the common units to be repurchased by it upon the exercise of this limited call right. As a result, you may be required to sell your common units at an undesirable time or price and may not receive any return on your investment. You may also incur a tax liability upon a sale of your common units. GasLog, which owns and controls our general partner, owns 29.7% of our outstanding common units as of February 24,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a limited partner in a partnership organized under the laws of the Marshall Islands, you could be held liable for our obligations to the same extent as a general partner if you participate in the “control” of our business. Our general partner generally has unlimited liability for the obligations of the partnership, such as its debts and environmental liabilities, except for those contractual obligations of the partnership that are expressly made without recourse to our general partner. In addition, the limitations on the liability of holders of limited partner interests for the obligations of a limited partnership have not been clearly established in some jurisdictions in which we do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 borrow money to pay distributions, which would reduce the amount of credit available to operate our business.</w:t>
      </w:r>
    </w:p>
    <w:p>
      <w:pPr>
        <w:spacing w:after="0" w:line="23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231F20"/>
        </w:rPr>
        <w:t>Our partnership agreement allows us to make working capital borrowings to pay distributions.</w:t>
      </w:r>
      <w:r>
        <w:rPr>
          <w:rFonts w:ascii="Arial" w:cs="Arial" w:eastAsia="Arial" w:hAnsi="Arial"/>
          <w:sz w:val="18"/>
          <w:szCs w:val="18"/>
          <w:color w:val="000000"/>
        </w:rPr>
        <w:t>Accordingly, if we have available</w:t>
      </w:r>
      <w:r>
        <w:rPr>
          <w:rFonts w:ascii="Arial" w:cs="Arial" w:eastAsia="Arial" w:hAnsi="Arial"/>
          <w:sz w:val="18"/>
          <w:szCs w:val="18"/>
          <w:color w:val="231F20"/>
        </w:rPr>
        <w:t xml:space="preserve"> </w:t>
      </w:r>
      <w:r>
        <w:rPr>
          <w:rFonts w:ascii="Arial" w:cs="Arial" w:eastAsia="Arial" w:hAnsi="Arial"/>
          <w:sz w:val="18"/>
          <w:szCs w:val="18"/>
          <w:color w:val="000000"/>
        </w:rPr>
        <w:t>borrowing capacity,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see “Item 5. Operating and Financial Review and Prospects—B. Liquidity and Capital Resources—Credit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common units to decline.</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An increase in interest rates may cause a corresponding decline in demand for equity investments in general, and in particular for yield-based equity investments such as our common units. Any such increase in interest rates or reduction in demand for our common units resulting from other relatively more attractive investment opportunities may cause the trading price of our common units to decline.</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are a “foreign private issuer” under NYSE rules, and as such we are entitled to exemption from certain NYSE corporate governance standards, and you may not have the same protections afforded to unitholders of similarly organized limited partnerships that are subject to all of the NYSE corporate governance requirements.</w:t>
      </w:r>
    </w:p>
    <w:p>
      <w:pPr>
        <w:spacing w:after="0" w:line="18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consists of independent directors and (ii) the requirement that a compensation committee to a nominating/corporate governance committee can be established.</w:t>
      </w:r>
    </w:p>
    <w:p>
      <w:pPr>
        <w:spacing w:after="0" w:line="19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Accordingly, in the future you may not have the same protections afforded to unitholders of similarly organized limited partnerships that are subject to all of the NYSE corporate governance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Under some circumstances, unitholders may have to repay amounts wrongfully returned or distributed to them. Under the Marshall Islands Limited Partnership Act, or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Preference Units are subordinated to our debt obligations and investors’ interests could be diluted by the issuance of additional preference units and by other transactions.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Preference Units are subordinated to all of our existing and future indebtedness. As of December 31, 2021, we had an aggregate of $1,085.8 million of outstanding indebtedness under our credit facilities. Our existing indebtedness restricts, and our future indebtedness may include restrictions on, our ability to pay distributions to unitholders. Our partnership agreement authorizes the issue of an unlimited number of preference units in one or more class of units. The issuance of additional preference units on a parity with or senior to our Preference Units would dilute the interests of the holders of our Preference Units, and any issuance of preference units senior to or on a parity with our Preference Units or of additional indebtedness could affect our ability to pay distributions on, redeem or pay the liquidation preference on our Preference Units. No provisions relating to our Preference Units protect the holders of our Preference Units in the event of a highly leveraged or other transaction, including the sale, lease or conveyance of all or substantially all our assets or business, which might adversely affect the holders of our Preference Units.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Each series of our Preference Units ranks pari passu with any other class or series of units established after the original issue date of such series that is not expressly subordinated or senior to the Preference Units as to the payment of distributions and amounts payable upon liquidation or reorganization. If less than all distributions payable with respect to a series of Preference Units and any parity securities are paid, any partial payment shall be made pro rata with respect to such Preference Units and any parity securities entitled to a distribution payment at such time in proportion to the aggregate amounts remaining due in respect of such units at such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Preference Units have extremely limited voting rights.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distributions on the applicable series of Preference Units have been paid in full.</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The Preference Units represent perpetual equity interests and holders have no right to receive any greater payment than the liquidation preference regardless of the circumstances.</w:t>
      </w:r>
    </w:p>
    <w:p>
      <w:pPr>
        <w:spacing w:after="0" w:line="170"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Preference Units represent perpetual equity interests in us and, unlike our indebtedness, will not give rise to a claim for payment of a principal amount at a particular date. As a result, holders of the Preference Units may be required to bear the financial risks of an investment in the Preference Units for an indefinite period of time. In addition, the Preference Units rank junior to all our indebtedness and other liabilities, and any other senior securities we may issue in the future with respect to assets available to satisfy claims against us.</w:t>
      </w:r>
    </w:p>
    <w:p>
      <w:pPr>
        <w:spacing w:after="0" w:line="157"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payment due to a holder of any of our Series A Preference Units, Series B Preference Units or Series C Preference Units upon a liquidation is fixed at the redemption preference of $25.00 per unit plus accumulated and unpaid distributions to the date of liquidation. If, in the case of our liquidation, there are remaining assets to be distributed after payment of this amount, holders of Preference Units will have no right to receive or to participate in these amounts. Furthermore, if the market price for Preference Units is greater than the liquidation preference, holders of Preference Units will have no right to receive the market price from us upon our liquidation.</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In 2020, we reduced our quarterly cash distribution rate on our common units to $0.01 per common unit with effect from the third quarter 2020 and onwards. We have maintained this distribution rate throughout 2021 and may continue to do so for the foreseeable future.</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Even though our partnership agreement states we distribute all available cash, since the third quarter 2020 we have only distributed $0.01 per common unit whilst we focus on preserving liquidity. “Available cash” is defined in our partnership agreement, and it generally means, for each fiscal quarter, all cash on hand at the end of the quarter (including our proportionate share of cash on hand of certain subsidiaries we do not wholly own):</w:t>
      </w:r>
    </w:p>
    <w:p>
      <w:pPr>
        <w:spacing w:after="0" w:line="187" w:lineRule="exact"/>
        <w:rPr>
          <w:sz w:val="20"/>
          <w:szCs w:val="20"/>
          <w:color w:val="auto"/>
        </w:rPr>
      </w:pPr>
    </w:p>
    <w:p>
      <w:pPr>
        <w:ind w:left="680" w:right="300" w:hanging="321"/>
        <w:spacing w:after="0" w:line="277"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less the amount of cash reserves (including our proportionate share of cash reserves of certain subsidiaries we do not wholly own) established by the board of directors to:</w:t>
      </w:r>
    </w:p>
    <w:p>
      <w:pPr>
        <w:spacing w:after="0" w:line="170" w:lineRule="exact"/>
        <w:rPr>
          <w:rFonts w:ascii="Arial" w:cs="Arial" w:eastAsia="Arial" w:hAnsi="Arial"/>
          <w:sz w:val="18"/>
          <w:szCs w:val="18"/>
          <w:color w:val="auto"/>
        </w:rPr>
      </w:pPr>
    </w:p>
    <w:p>
      <w:pPr>
        <w:ind w:left="1300" w:right="40" w:hanging="320"/>
        <w:spacing w:after="0" w:line="277" w:lineRule="auto"/>
        <w:tabs>
          <w:tab w:leader="none" w:pos="1228" w:val="left"/>
        </w:tabs>
        <w:numPr>
          <w:ilvl w:val="1"/>
          <w:numId w:val="38"/>
        </w:numPr>
        <w:rPr>
          <w:rFonts w:ascii="Arial" w:cs="Arial" w:eastAsia="Arial" w:hAnsi="Arial"/>
          <w:sz w:val="18"/>
          <w:szCs w:val="18"/>
          <w:color w:val="auto"/>
        </w:rPr>
      </w:pPr>
      <w:r>
        <w:rPr>
          <w:rFonts w:ascii="Arial" w:cs="Arial" w:eastAsia="Arial" w:hAnsi="Arial"/>
          <w:sz w:val="18"/>
          <w:szCs w:val="18"/>
          <w:color w:val="231F20"/>
        </w:rPr>
        <w:t>provide for the proper conduct of our business (including reserves for future capital expenditures and for our anticipated credit needs);</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1"/>
          <w:numId w:val="38"/>
        </w:numPr>
        <w:rPr>
          <w:rFonts w:ascii="Arial" w:cs="Arial" w:eastAsia="Arial" w:hAnsi="Arial"/>
          <w:sz w:val="18"/>
          <w:szCs w:val="18"/>
          <w:color w:val="auto"/>
        </w:rPr>
      </w:pPr>
      <w:r>
        <w:rPr>
          <w:rFonts w:ascii="Arial" w:cs="Arial" w:eastAsia="Arial" w:hAnsi="Arial"/>
          <w:sz w:val="18"/>
          <w:szCs w:val="18"/>
          <w:color w:val="231F20"/>
        </w:rPr>
        <w:t>comply with applicable law, any debt instruments, or other agreements;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38"/>
        </w:numPr>
        <w:rPr>
          <w:rFonts w:ascii="Arial" w:cs="Arial" w:eastAsia="Arial" w:hAnsi="Arial"/>
          <w:sz w:val="18"/>
          <w:szCs w:val="18"/>
          <w:color w:val="auto"/>
        </w:rPr>
      </w:pPr>
      <w:r>
        <w:rPr>
          <w:rFonts w:ascii="Arial" w:cs="Arial" w:eastAsia="Arial" w:hAnsi="Arial"/>
          <w:sz w:val="18"/>
          <w:szCs w:val="18"/>
          <w:color w:val="231F20"/>
        </w:rPr>
        <w:t>provide funds for payments to holders of Preference Units; and/or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260" w:hanging="320"/>
        <w:spacing w:after="0" w:line="277" w:lineRule="auto"/>
        <w:tabs>
          <w:tab w:leader="none" w:pos="1228" w:val="left"/>
        </w:tabs>
        <w:numPr>
          <w:ilvl w:val="1"/>
          <w:numId w:val="39"/>
        </w:numPr>
        <w:rPr>
          <w:rFonts w:ascii="Arial" w:cs="Arial" w:eastAsia="Arial" w:hAnsi="Arial"/>
          <w:sz w:val="18"/>
          <w:szCs w:val="18"/>
          <w:color w:val="auto"/>
        </w:rPr>
      </w:pPr>
      <w:r>
        <w:rPr>
          <w:rFonts w:ascii="Arial" w:cs="Arial" w:eastAsia="Arial" w:hAnsi="Arial"/>
          <w:sz w:val="18"/>
          <w:szCs w:val="18"/>
          <w:color w:val="231F20"/>
        </w:rPr>
        <w:t>provide funds for distributions to our limited partners and to our general partner for any one or more of the next four quarters;</w:t>
      </w:r>
    </w:p>
    <w:p>
      <w:pPr>
        <w:spacing w:after="0" w:line="170" w:lineRule="exact"/>
        <w:rPr>
          <w:rFonts w:ascii="Arial" w:cs="Arial" w:eastAsia="Arial" w:hAnsi="Arial"/>
          <w:sz w:val="18"/>
          <w:szCs w:val="18"/>
          <w:color w:val="auto"/>
        </w:rPr>
      </w:pPr>
    </w:p>
    <w:p>
      <w:pPr>
        <w:ind w:left="680" w:right="180" w:hanging="321"/>
        <w:spacing w:after="0" w:line="259"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plus all cash on hand (including our proportionate share of cash on hand of certain subsidiaries we do not wholly own)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18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As a result of the significantly reduced distributions since 2021, we may generate cash in the future but we currently expect to reserve that cash for use in the business instead of distributing that cash as distributions to our common unit holders. We may use such cash reserves for debt repayment, preference unit buybacks, future growth opportunities or other general partnership purposes. There is no guarantee, however, that our business will generate excess cash in the future.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Preference Units have not been rated, and ratings of any other of our securities may affect the trading price of the Preference Units.</w:t>
      </w:r>
    </w:p>
    <w:p>
      <w:pPr>
        <w:spacing w:after="0" w:line="170"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have not sought to obtain a rating for any series of Preference Units, and the units may never be rated. It is possible, however, that one or more rating agencies might independently determine to assign a rating to the Series A, Series B or Series C Preference Units or that we may elect to obtain a rating of our Series A, Series B or Series C Preference Units in the future. In addition, we may elect to issue other securities for which we may seek to obtain a rating. If any ratings are assigned to a series of Preference Units in the future or if we issue other securities with a rating, such ratings, if they are lower than market expectations or are subsequently lowered or withdrawn, or if ratings for such other securities would imply a lower relative value for the Preference Units, could adversely affect the market for, or the market value of, the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Preference Units. Ratings do not reflect market prices or suitability of a security for a particular investor and any future rating of either the Series A, Series B or Series C Preference Units may not reflect all risks related to us and our business, or the structure or market value of the Preference Units.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interest rates may adversely affect the value of our Preference Units.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One of the factors that will influence the price of our Preference Units will be the distribution yield on the Preference Units (as a percentage of the price of our Series A, Series B or Series C Preference Units, as applicable) relative to market interest rates. An increase in market interest rates may lead prospective purchasers of our Preference Units to expect higher distribution yields, and higher interest rates would likely increase our borrowing costs and potentially decrease funds available for distributions. Accordingly, higher market interest rates could cause the market price of our Preference Units to decrease.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Preference Units are redeemable at our option.</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may, at our option, redeem all or, from time to time, part of the Series A Preference Units on or after June 15, 2027, the Series B Preference Units on or after March 15, 2023 or the Series C Preference Units on or after March 15, 2024. If we redeem your Series A, Series B or Series C Preference Units, you will be entitled to receive a redemption price equal to $25.00 per unit plus accumulated and unpaid distributions to the date of redemption. We may elect to exercise our partial redemption right on multiple occasions.</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historical levels of three-month LIBOR are not an indication of the future levels of three-month LIBOR, and the phasing out of LIBOR after 2023 may adversely affect the value of and return on our Preference Units.</w:t>
      </w:r>
    </w:p>
    <w:p>
      <w:pPr>
        <w:spacing w:after="0" w:line="17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distribution rates for the Series B Preference Units and the Series C Preference Units will be determined based on three-month LIBOR, from and including March 15, 2023 and March 15, 2024, respectively. The distribution rate for the Series A Preference Units will be determined based on three- month LIBOR from and including June 15, 2027. In the past, the level of three-month LIBOR has experienced significant fluctuations. Historical levels, fluctuations and trends of three-month LIBOR are not necessarily indicative of future levels. Any historical upward or downward trend in three-month LIBOR is not an indication that three-month LIBOR is more or less likely to increase or decrease at any time during the floating rate period for a series of Preference Units, and you should not take the historical levels of three-month LIBOR as an indication of its future performance. Although the actual three-month LIBOR on a distribution payment date or at other times during a distribution period with respect to a series of Preference Units</w:t>
      </w:r>
    </w:p>
    <w:p>
      <w:pPr>
        <w:sectPr>
          <w:pgSz w:w="11900" w:h="16838" w:orient="portrait"/>
          <w:cols w:equalWidth="0" w:num="1">
            <w:col w:w="9880"/>
          </w:cols>
          <w:pgMar w:left="980" w:top="517" w:right="1039" w:bottom="1440" w:gutter="0" w:footer="0" w:header="0"/>
        </w:sect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may be higher than the three-month LIBOR on the applicable distribution determination date for such series, you will not benefit from the three-month LIBOR at any time other than on the distribution determination date for such distribution period. As a result, changes in the three-month LIBOR may not result in a comparable change in the market value of the Series B Preference Units on or after March 15, 2023, the Series C Preference Units on or after March 15, 2024 or the Series A Preference Units on or after June 15, 2027.</w:t>
      </w:r>
    </w:p>
    <w:p>
      <w:pPr>
        <w:spacing w:after="0" w:line="15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Upon discontinuance of the LIBOR base rate, the appointed calculation agent will use a substitute or successor base rate that it has determined in its discretion, after consultation with the Partnership, and which is most comparable to the LIBOR base rate. This may result in distribution payments differing from expectations and could materially affect the value of such Preference Units.</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been organized as a limited partnership under the laws of the Marshall Islands, which does not have a well-developed body of partnership law.</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a partnership formed in the Republic of the Marshall Islands, which does not have a well-developed body of case law or bankruptcy law and, as a result, unitholders have fewer rights and protections under Marshall Islands law than under a typical jurisdiction in the United States. As such, in the case of a bankruptcy of the Partnership, there may be a delay of bankruptcy proceedings and the ability of unitholders and creditors to receive recovery after a bankruptcy proceeding. 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similarly organized limited partnership in the United States.</w:t>
      </w:r>
    </w:p>
    <w:p>
      <w:pPr>
        <w:spacing w:after="0" w:line="18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are organized under the laws of the Marshall Islands and substantially all of our assets are located outside of the United States. In addition, our general partner is a Marshall Islands limited liability company, our directors and officers generally are or will be non-residents of the United States, and all or a substantial portion of the assets of these non-residents are located outside the United States. As a result, it may be difficult or impossible for you to bring an action against us or against these individuals in the United States if you believe that your rights have been infringed under securities laws or otherwise. Even if you are successful in bringing an action of this kind, the laws of the Marshall Islands and of other jurisdictions may prevent or restrict you from enforcing a judgment against our assets or the assets of our general partner or our directors or officers.</w:t>
      </w:r>
    </w:p>
    <w:p>
      <w:pPr>
        <w:spacing w:after="0" w:line="17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Our partnership agreement designates the Court of Chancery of the State of Delaware as the sole and exclusive forum, unless otherwise provided for by Marshall Islands law, for certain litigation that may be initiated by our unitholders, which could limit our unitholders’ ability to obtain a favorable judicial forum for disputes with our general partner.</w:t>
      </w:r>
    </w:p>
    <w:p>
      <w:pPr>
        <w:spacing w:after="0" w:line="16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partnership agreement provides that, unless otherwise provided for by Marshall Islands law, the Court of Chancery of the State of Delaware will be the sole and exclusive forum for any claims that:</w:t>
      </w:r>
    </w:p>
    <w:p>
      <w:pPr>
        <w:spacing w:after="0" w:line="170" w:lineRule="exact"/>
        <w:rPr>
          <w:sz w:val="20"/>
          <w:szCs w:val="20"/>
          <w:color w:val="auto"/>
        </w:rPr>
      </w:pPr>
    </w:p>
    <w:p>
      <w:pPr>
        <w:ind w:left="680" w:right="140" w:hanging="321"/>
        <w:spacing w:after="0" w:line="263"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arise out of or relate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are brought in a derivative manner on our behalf;</w:t>
      </w:r>
    </w:p>
    <w:p>
      <w:pPr>
        <w:spacing w:after="0" w:line="225" w:lineRule="exact"/>
        <w:rPr>
          <w:rFonts w:ascii="Arial" w:cs="Arial" w:eastAsia="Arial" w:hAnsi="Arial"/>
          <w:sz w:val="18"/>
          <w:szCs w:val="18"/>
          <w:color w:val="auto"/>
        </w:rPr>
      </w:pPr>
    </w:p>
    <w:p>
      <w:pPr>
        <w:ind w:left="680" w:right="440" w:hanging="321"/>
        <w:spacing w:after="0" w:line="277"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assert a claim of breach of a fiduciary duty owed by any director, officer or other employee of us or our general partner, or owed by our general partner, to us or the limited partners;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assert a claim arising pursuant to any provision of the Marshall Islands Act; or</w:t>
      </w:r>
    </w:p>
    <w:p>
      <w:pPr>
        <w:spacing w:after="0" w:line="225" w:lineRule="exact"/>
        <w:rPr>
          <w:rFonts w:ascii="Arial" w:cs="Arial" w:eastAsia="Arial" w:hAnsi="Arial"/>
          <w:sz w:val="18"/>
          <w:szCs w:val="18"/>
          <w:color w:val="auto"/>
        </w:rPr>
      </w:pPr>
    </w:p>
    <w:p>
      <w:pPr>
        <w:ind w:left="680" w:hanging="321"/>
        <w:spacing w:after="0" w:line="255"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assert a claim governed by the internal affairs doctrine regardless of whether such claims, suits, actions or proceedings sound in contract, tort, fraud or otherwise, are based on common law, statutory, equitable, legal or other grounds, or are derivative or direct claims. Any person or entity otherwise acquiring any interest in our common units or Preference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Risks</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addition to the following risk factors, you should read “Item 10. Additional Information—E. Tax Considerations” for a more complete discussion of the expected material U.S. federal and non-U.S. income tax considerations relating to us and the ownership and disposition of our common units and Preference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taxes, which may reduce our cash available for distribution to you.</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See “Item 4. Information on the Partnership—B. Business Overview— Taxation of the Partnership”.</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under certain circumstances, which would have adverse U.S. federal income tax consequences to U.S. unitholders.</w:t>
      </w:r>
    </w:p>
    <w:p>
      <w:pPr>
        <w:spacing w:after="0" w:line="17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6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Based on our past, current and projected methods of operation, and an opinion of our U.S. counsel, Cravath, Swaine &amp; Moore LLP, we believe that we will not be a PFIC for our current tax year and we expect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60" w:lineRule="auto"/>
        <w:rPr>
          <w:sz w:val="20"/>
          <w:szCs w:val="20"/>
          <w:color w:val="auto"/>
        </w:rPr>
      </w:pPr>
      <w:r>
        <w:rPr>
          <w:rFonts w:ascii="Arial" w:cs="Arial" w:eastAsia="Arial" w:hAnsi="Arial"/>
          <w:sz w:val="17"/>
          <w:szCs w:val="17"/>
          <w:color w:val="auto"/>
        </w:rPr>
        <w:t xml:space="preserve">Moreover, there are legal uncertainties involved in determining whether the income derived from time-chartering activities constitutes rental income or income derived from the performance of services. In </w:t>
      </w:r>
      <w:r>
        <w:rPr>
          <w:rFonts w:ascii="Arial" w:cs="Arial" w:eastAsia="Arial" w:hAnsi="Arial"/>
          <w:sz w:val="17"/>
          <w:szCs w:val="17"/>
          <w:i w:val="1"/>
          <w:iCs w:val="1"/>
          <w:color w:val="auto"/>
        </w:rPr>
        <w:t>Tidewater Inc. v. United States</w:t>
      </w:r>
      <w:r>
        <w:rPr>
          <w:rFonts w:ascii="Arial" w:cs="Arial" w:eastAsia="Arial" w:hAnsi="Arial"/>
          <w:sz w:val="17"/>
          <w:szCs w:val="17"/>
          <w:color w:val="auto"/>
        </w:rPr>
        <w:t>, 565 F.3d 299 (5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Cir. 2009), the United States Court of Appeals for the Fifth Circuit, or the “Fifth Circuit”, held that income derived from certain time-chartering activities should be treated as rental income rather than services income for purposes of a provision of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w:t>
      </w:r>
      <w:r>
        <w:rPr>
          <w:rFonts w:ascii="Arial" w:cs="Arial" w:eastAsia="Arial" w:hAnsi="Arial"/>
          <w:sz w:val="17"/>
          <w:szCs w:val="17"/>
          <w:i w:val="1"/>
          <w:iCs w:val="1"/>
          <w:color w:val="auto"/>
        </w:rPr>
        <w:t>Tidewater</w:t>
      </w:r>
      <w:r>
        <w:rPr>
          <w:rFonts w:ascii="Arial" w:cs="Arial" w:eastAsia="Arial" w:hAnsi="Arial"/>
          <w:sz w:val="17"/>
          <w:szCs w:val="17"/>
          <w:color w:val="auto"/>
        </w:rPr>
        <w:t>,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unitholders would face adverse U.S. federal income tax consequences. See “Item 10. Additional Information—E. Tax Considerations— Material U.S. Federal Income Tax Considerations—U.S. Federal Income Taxation of U.S. Holders—PFIC Status and Significant Tax Consequences” for a more detailed discussion of the U.S. federal income tax consequences to U.S. unitholders if we are treated as a PFIC.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U.S.-source income, which will reduce our cash flow.</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do not expect to qualify for an exemption from such U.S. federal income tax under a tax treaty nor do we expect to qualify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exemption under Section 883 of the Code during the 2022 tax year, unless our general partner exercises the “GasLog option”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described in “Item 4. Information on the Partnership—B. Business Overview—Taxation of the Partnership—U.S. Taxation of Shipping”.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 if we do not qualify for such an exemption, we do not currently expect any resulting U.S. federal income tax liability to be material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materially reduce the earnings available for distribution to our unitholders. For 2021, the U.S. source gross transportation tax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million. For a more detailed discussion, see the section entitled “Item 4. Information on the Partnership—B. Business Overview—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Taxation of the Partnership—United States”.</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You may be subject to income tax in one or more non-U.S. jurisdictions as a result of owning our common units or Preference Units if, under the laws of any such jurisdiction, we are considered to be carrying on business there. Such laws may require you to file a tax return with, and pay taxes to, those jurisdictions.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unitholders may be treated as having a permanent establishment or tax presence in a jurisdiction where we or our subsidiaries conduct activities simply by virtue of their ownership of our common units or Preference Units. However, because we are organized as a partnership, there is a risk in some jurisdictions that our activities or the activities of our subsidiaries may rise to the level of a tax presence that is attributed to our unitholders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INFORMATION ON THE PARTNERSHIP</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History and Development of the Partnership</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GasLog Partners was formed on January 23, 2014 as a Marshall Islands limited partnership. GasLog Partners and its subsidiaries are primarily engaged in the ownership, operation and acquisition of LNG carriers engaged in LNG transportation. The Partnership conducts its operations through its vessel-owning subsidiaries and, as of February 24, 2022, we have a fleet of 15 LNG carriers, including one vessel sold and leased back under a bareboat charter, comprised of ten vessels with modern TFDE propulsion technology and five Steam vessels.</w:t>
      </w:r>
    </w:p>
    <w:p>
      <w:pPr>
        <w:spacing w:after="0" w:line="188"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 xml:space="preserve">On May 12, 2014, we completed our IPO and our common units began trading on the NYSE on May 7, 2014 under the ticker symbol “GLOP”. A portion of the proceeds of our IPO was paid as partial consideration for GasLog’s contribution to us of the interests in its subsidiaries which owned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Since the IPO we have completed additional equity offerings as set forth below, the proceeds of which have been used (i) to partially fund the acquisition of GasLog vessel owning subsidiaries, (ii) to pay down debt or (iii) for general corporate purposes: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ind w:left="40"/>
              <w:spacing w:after="0"/>
              <w:rPr>
                <w:sz w:val="20"/>
                <w:szCs w:val="20"/>
                <w:color w:val="auto"/>
              </w:rPr>
            </w:pPr>
            <w:r>
              <w:rPr>
                <w:rFonts w:ascii="Arial" w:cs="Arial" w:eastAsia="Arial" w:hAnsi="Arial"/>
                <w:sz w:val="18"/>
                <w:szCs w:val="18"/>
                <w:b w:val="1"/>
                <w:bCs w:val="1"/>
                <w:color w:val="auto"/>
                <w:w w:val="88"/>
              </w:rPr>
              <w:t>Date Vessel Acquisition</w:t>
            </w:r>
          </w:p>
        </w:tc>
      </w:t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Date of Equity Offering</w:t>
            </w:r>
          </w:p>
        </w:tc>
        <w:tc>
          <w:tcPr>
            <w:tcW w:w="180" w:type="dxa"/>
            <w:vAlign w:val="bottom"/>
          </w:tcPr>
          <w:p>
            <w:pPr>
              <w:spacing w:after="0"/>
              <w:rPr>
                <w:sz w:val="20"/>
                <w:szCs w:val="20"/>
                <w:color w:val="auto"/>
              </w:rPr>
            </w:pPr>
          </w:p>
        </w:tc>
        <w:tc>
          <w:tcPr>
            <w:tcW w:w="1500" w:type="dxa"/>
            <w:vAlign w:val="bottom"/>
          </w:tcPr>
          <w:p>
            <w:pPr>
              <w:ind w:left="140"/>
              <w:spacing w:after="0"/>
              <w:rPr>
                <w:sz w:val="20"/>
                <w:szCs w:val="20"/>
                <w:color w:val="auto"/>
              </w:rPr>
            </w:pPr>
            <w:r>
              <w:rPr>
                <w:rFonts w:ascii="Arial" w:cs="Arial" w:eastAsia="Arial" w:hAnsi="Arial"/>
                <w:sz w:val="18"/>
                <w:szCs w:val="18"/>
                <w:b w:val="1"/>
                <w:bCs w:val="1"/>
                <w:color w:val="auto"/>
              </w:rPr>
              <w:t>Equity Offering</w:t>
            </w:r>
          </w:p>
        </w:tc>
        <w:tc>
          <w:tcPr>
            <w:tcW w:w="180" w:type="dxa"/>
            <w:vAlign w:val="bottom"/>
          </w:tcPr>
          <w:p>
            <w:pPr>
              <w:spacing w:after="0"/>
              <w:rPr>
                <w:sz w:val="20"/>
                <w:szCs w:val="20"/>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Principal Use of Proceeds</w:t>
            </w:r>
          </w:p>
        </w:tc>
        <w:tc>
          <w:tcPr>
            <w:tcW w:w="1860" w:type="dxa"/>
            <w:vAlign w:val="bottom"/>
          </w:tcPr>
          <w:p>
            <w:pPr>
              <w:ind w:left="520"/>
              <w:spacing w:after="0"/>
              <w:rPr>
                <w:sz w:val="20"/>
                <w:szCs w:val="20"/>
                <w:color w:val="auto"/>
              </w:rPr>
            </w:pPr>
            <w:r>
              <w:rPr>
                <w:rFonts w:ascii="Arial" w:cs="Arial" w:eastAsia="Arial" w:hAnsi="Arial"/>
                <w:sz w:val="18"/>
                <w:szCs w:val="18"/>
                <w:b w:val="1"/>
                <w:bCs w:val="1"/>
                <w:color w:val="auto"/>
              </w:rPr>
              <w:t>Completed</w:t>
            </w:r>
          </w:p>
        </w:tc>
      </w:tr>
      <w:tr>
        <w:trPr>
          <w:trHeight w:val="209"/>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15, 2018</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Preference equity</w:t>
            </w:r>
          </w:p>
        </w:tc>
        <w:tc>
          <w:tcPr>
            <w:tcW w:w="1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of the</w:t>
            </w:r>
          </w:p>
        </w:tc>
        <w:tc>
          <w:tcPr>
            <w:tcW w:w="1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1,2019</w:t>
            </w:r>
          </w:p>
        </w:tc>
      </w:tr>
      <w:tr>
        <w:trPr>
          <w:trHeight w:val="216"/>
        </w:trPr>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offering, Series C</w:t>
            </w: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1860" w:type="dxa"/>
            <w:vAlign w:val="bottom"/>
            <w:shd w:val="clear" w:color="auto" w:fill="CCEEFF"/>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Preference Units</w:t>
            </w: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January 17, 2018</w:t>
            </w:r>
          </w:p>
        </w:tc>
        <w:tc>
          <w:tcPr>
            <w:tcW w:w="180" w:type="dxa"/>
            <w:vAlign w:val="bottom"/>
          </w:tcPr>
          <w:p>
            <w:pPr>
              <w:spacing w:after="0"/>
              <w:rPr>
                <w:sz w:val="17"/>
                <w:szCs w:val="17"/>
                <w:color w:val="auto"/>
              </w:rPr>
            </w:pPr>
          </w:p>
        </w:tc>
        <w:tc>
          <w:tcPr>
            <w:tcW w:w="1500" w:type="dxa"/>
            <w:vAlign w:val="bottom"/>
          </w:tcPr>
          <w:p>
            <w:pPr>
              <w:spacing w:after="0" w:line="201" w:lineRule="exact"/>
              <w:rPr>
                <w:sz w:val="20"/>
                <w:szCs w:val="20"/>
                <w:color w:val="auto"/>
              </w:rPr>
            </w:pPr>
            <w:r>
              <w:rPr>
                <w:rFonts w:ascii="Arial" w:cs="Arial" w:eastAsia="Arial" w:hAnsi="Arial"/>
                <w:sz w:val="18"/>
                <w:szCs w:val="18"/>
                <w:color w:val="auto"/>
              </w:rPr>
              <w:t>Preference equity</w:t>
            </w:r>
          </w:p>
        </w:tc>
        <w:tc>
          <w:tcPr>
            <w:tcW w:w="180" w:type="dxa"/>
            <w:vAlign w:val="bottom"/>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Acquisition of the</w:t>
            </w:r>
          </w:p>
        </w:tc>
        <w:tc>
          <w:tcPr>
            <w:tcW w:w="1860" w:type="dxa"/>
            <w:vAlign w:val="bottom"/>
          </w:tcPr>
          <w:p>
            <w:pPr>
              <w:spacing w:after="0" w:line="201" w:lineRule="exact"/>
              <w:rPr>
                <w:sz w:val="20"/>
                <w:szCs w:val="20"/>
                <w:color w:val="auto"/>
              </w:rPr>
            </w:pPr>
            <w:r>
              <w:rPr>
                <w:rFonts w:ascii="Arial" w:cs="Arial" w:eastAsia="Arial" w:hAnsi="Arial"/>
                <w:sz w:val="18"/>
                <w:szCs w:val="18"/>
                <w:color w:val="auto"/>
              </w:rPr>
              <w:t>April 26,2018</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offering, Series B</w:t>
            </w:r>
          </w:p>
        </w:tc>
        <w:tc>
          <w:tcPr>
            <w:tcW w:w="18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186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Preference Units</w:t>
            </w: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May 16, 2017 onwards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Solaris</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October 20,2017</w:t>
            </w:r>
          </w:p>
        </w:tc>
      </w:tr>
      <w:tr>
        <w:trPr>
          <w:trHeight w:val="216"/>
        </w:trPr>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4"/>
              </w:rPr>
              <w:t>offering through our</w:t>
            </w: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the</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November 14,2018</w:t>
            </w:r>
          </w:p>
        </w:tc>
      </w:tr>
      <w:tr>
        <w:trPr>
          <w:trHeight w:val="216"/>
        </w:trPr>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ATM Programme</w:t>
            </w: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Becki Anne</w:t>
            </w:r>
          </w:p>
        </w:tc>
        <w:tc>
          <w:tcPr>
            <w:tcW w:w="1860" w:type="dxa"/>
            <w:vAlign w:val="bottom"/>
            <w:shd w:val="clear" w:color="auto" w:fill="CCEEFF"/>
          </w:tcPr>
          <w:p>
            <w:pPr>
              <w:spacing w:after="0"/>
              <w:rPr>
                <w:sz w:val="18"/>
                <w:szCs w:val="18"/>
                <w:color w:val="auto"/>
              </w:rPr>
            </w:pP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May 15, 2017</w:t>
            </w:r>
          </w:p>
        </w:tc>
        <w:tc>
          <w:tcPr>
            <w:tcW w:w="180" w:type="dxa"/>
            <w:vAlign w:val="bottom"/>
          </w:tcPr>
          <w:p>
            <w:pPr>
              <w:spacing w:after="0"/>
              <w:rPr>
                <w:sz w:val="17"/>
                <w:szCs w:val="17"/>
                <w:color w:val="auto"/>
              </w:rPr>
            </w:pPr>
          </w:p>
        </w:tc>
        <w:tc>
          <w:tcPr>
            <w:tcW w:w="1500" w:type="dxa"/>
            <w:vAlign w:val="bottom"/>
          </w:tcPr>
          <w:p>
            <w:pPr>
              <w:spacing w:after="0" w:line="201" w:lineRule="exact"/>
              <w:rPr>
                <w:sz w:val="20"/>
                <w:szCs w:val="20"/>
                <w:color w:val="auto"/>
              </w:rPr>
            </w:pPr>
            <w:r>
              <w:rPr>
                <w:rFonts w:ascii="Arial" w:cs="Arial" w:eastAsia="Arial" w:hAnsi="Arial"/>
                <w:sz w:val="18"/>
                <w:szCs w:val="18"/>
                <w:color w:val="auto"/>
              </w:rPr>
              <w:t>Preference equity</w:t>
            </w:r>
          </w:p>
        </w:tc>
        <w:tc>
          <w:tcPr>
            <w:tcW w:w="180" w:type="dxa"/>
            <w:vAlign w:val="bottom"/>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Acquisition of the</w:t>
            </w:r>
          </w:p>
        </w:tc>
        <w:tc>
          <w:tcPr>
            <w:tcW w:w="1860" w:type="dxa"/>
            <w:vAlign w:val="bottom"/>
          </w:tcPr>
          <w:p>
            <w:pPr>
              <w:spacing w:after="0" w:line="201" w:lineRule="exact"/>
              <w:rPr>
                <w:sz w:val="20"/>
                <w:szCs w:val="20"/>
                <w:color w:val="auto"/>
              </w:rPr>
            </w:pPr>
            <w:r>
              <w:rPr>
                <w:rFonts w:ascii="Arial" w:cs="Arial" w:eastAsia="Arial" w:hAnsi="Arial"/>
                <w:sz w:val="18"/>
                <w:szCs w:val="18"/>
                <w:color w:val="auto"/>
              </w:rPr>
              <w:t>July 3,2017</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offering, Series A</w:t>
            </w:r>
          </w:p>
        </w:tc>
        <w:tc>
          <w:tcPr>
            <w:tcW w:w="18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i w:val="1"/>
                <w:iCs w:val="1"/>
                <w:color w:val="auto"/>
              </w:rPr>
              <w:t>GasLog Geneva</w:t>
            </w:r>
          </w:p>
        </w:tc>
        <w:tc>
          <w:tcPr>
            <w:tcW w:w="186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Preference Units</w:t>
            </w: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January 27, 2017</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7"/>
              </w:rPr>
              <w:t>Follow-on common</w:t>
            </w: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the</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May 3,2017</w:t>
            </w:r>
          </w:p>
        </w:tc>
      </w:tr>
      <w:tr>
        <w:trPr>
          <w:trHeight w:val="216"/>
        </w:trPr>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equity offering</w:t>
            </w: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Greece</w:t>
            </w:r>
          </w:p>
        </w:tc>
        <w:tc>
          <w:tcPr>
            <w:tcW w:w="1860" w:type="dxa"/>
            <w:vAlign w:val="bottom"/>
            <w:shd w:val="clear" w:color="auto" w:fill="CCEEFF"/>
          </w:tcPr>
          <w:p>
            <w:pPr>
              <w:spacing w:after="0"/>
              <w:rPr>
                <w:sz w:val="18"/>
                <w:szCs w:val="18"/>
                <w:color w:val="auto"/>
              </w:rPr>
            </w:pP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August 5, 2016</w:t>
            </w:r>
          </w:p>
        </w:tc>
        <w:tc>
          <w:tcPr>
            <w:tcW w:w="180" w:type="dxa"/>
            <w:vAlign w:val="bottom"/>
          </w:tcPr>
          <w:p>
            <w:pPr>
              <w:spacing w:after="0"/>
              <w:rPr>
                <w:sz w:val="17"/>
                <w:szCs w:val="17"/>
                <w:color w:val="auto"/>
              </w:rPr>
            </w:pPr>
          </w:p>
        </w:tc>
        <w:tc>
          <w:tcPr>
            <w:tcW w:w="1500" w:type="dxa"/>
            <w:vAlign w:val="bottom"/>
          </w:tcPr>
          <w:p>
            <w:pPr>
              <w:spacing w:after="0" w:line="201" w:lineRule="exact"/>
              <w:rPr>
                <w:sz w:val="20"/>
                <w:szCs w:val="20"/>
                <w:color w:val="auto"/>
              </w:rPr>
            </w:pPr>
            <w:r>
              <w:rPr>
                <w:rFonts w:ascii="Arial" w:cs="Arial" w:eastAsia="Arial" w:hAnsi="Arial"/>
                <w:sz w:val="18"/>
                <w:szCs w:val="18"/>
                <w:color w:val="auto"/>
                <w:w w:val="97"/>
              </w:rPr>
              <w:t>Follow-on common</w:t>
            </w:r>
          </w:p>
        </w:tc>
        <w:tc>
          <w:tcPr>
            <w:tcW w:w="180" w:type="dxa"/>
            <w:vAlign w:val="bottom"/>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Acquisition of the</w:t>
            </w:r>
          </w:p>
        </w:tc>
        <w:tc>
          <w:tcPr>
            <w:tcW w:w="1860" w:type="dxa"/>
            <w:vAlign w:val="bottom"/>
          </w:tcPr>
          <w:p>
            <w:pPr>
              <w:spacing w:after="0" w:line="201" w:lineRule="exact"/>
              <w:rPr>
                <w:sz w:val="20"/>
                <w:szCs w:val="20"/>
                <w:color w:val="auto"/>
              </w:rPr>
            </w:pPr>
            <w:r>
              <w:rPr>
                <w:rFonts w:ascii="Arial" w:cs="Arial" w:eastAsia="Arial" w:hAnsi="Arial"/>
                <w:sz w:val="18"/>
                <w:szCs w:val="18"/>
                <w:color w:val="auto"/>
              </w:rPr>
              <w:t>November 1,2016</w:t>
            </w:r>
          </w:p>
        </w:tc>
      </w:tr>
      <w:tr>
        <w:trPr>
          <w:trHeight w:val="230"/>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equity offering</w:t>
            </w:r>
          </w:p>
        </w:tc>
        <w:tc>
          <w:tcPr>
            <w:tcW w:w="18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1860" w:type="dxa"/>
            <w:vAlign w:val="bottom"/>
          </w:tcPr>
          <w:p>
            <w:pPr>
              <w:spacing w:after="0"/>
              <w:rPr>
                <w:sz w:val="20"/>
                <w:szCs w:val="20"/>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June 26, 2015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7"/>
              </w:rPr>
              <w:t>Follow-on common</w:t>
            </w: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the</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July 1,2015</w:t>
            </w:r>
          </w:p>
        </w:tc>
      </w:tr>
      <w:tr>
        <w:trPr>
          <w:trHeight w:val="216"/>
        </w:trPr>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equity offering</w:t>
            </w: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Alison Victoria,</w:t>
            </w:r>
          </w:p>
        </w:tc>
        <w:tc>
          <w:tcPr>
            <w:tcW w:w="1860" w:type="dxa"/>
            <w:vAlign w:val="bottom"/>
            <w:shd w:val="clear" w:color="auto" w:fill="CCEEFF"/>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1860" w:type="dxa"/>
            <w:vAlign w:val="bottom"/>
            <w:shd w:val="clear" w:color="auto" w:fill="CCEEFF"/>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and Methane Heather</w:t>
            </w:r>
          </w:p>
        </w:tc>
        <w:tc>
          <w:tcPr>
            <w:tcW w:w="1860" w:type="dxa"/>
            <w:vAlign w:val="bottom"/>
            <w:shd w:val="clear" w:color="auto" w:fill="CCEEFF"/>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Sally</w:t>
            </w:r>
          </w:p>
        </w:tc>
        <w:tc>
          <w:tcPr>
            <w:tcW w:w="1860" w:type="dxa"/>
            <w:vAlign w:val="bottom"/>
            <w:shd w:val="clear" w:color="auto" w:fill="CCEEFF"/>
          </w:tcPr>
          <w:p>
            <w:pPr>
              <w:spacing w:after="0"/>
              <w:rPr>
                <w:sz w:val="18"/>
                <w:szCs w:val="18"/>
                <w:color w:val="auto"/>
              </w:rPr>
            </w:pP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September 29, 2014</w:t>
            </w:r>
          </w:p>
        </w:tc>
        <w:tc>
          <w:tcPr>
            <w:tcW w:w="180" w:type="dxa"/>
            <w:vAlign w:val="bottom"/>
          </w:tcPr>
          <w:p>
            <w:pPr>
              <w:spacing w:after="0"/>
              <w:rPr>
                <w:sz w:val="17"/>
                <w:szCs w:val="17"/>
                <w:color w:val="auto"/>
              </w:rPr>
            </w:pPr>
          </w:p>
        </w:tc>
        <w:tc>
          <w:tcPr>
            <w:tcW w:w="1500" w:type="dxa"/>
            <w:vAlign w:val="bottom"/>
          </w:tcPr>
          <w:p>
            <w:pPr>
              <w:spacing w:after="0" w:line="201" w:lineRule="exact"/>
              <w:rPr>
                <w:sz w:val="20"/>
                <w:szCs w:val="20"/>
                <w:color w:val="auto"/>
              </w:rPr>
            </w:pPr>
            <w:r>
              <w:rPr>
                <w:rFonts w:ascii="Arial" w:cs="Arial" w:eastAsia="Arial" w:hAnsi="Arial"/>
                <w:sz w:val="18"/>
                <w:szCs w:val="18"/>
                <w:color w:val="auto"/>
                <w:w w:val="97"/>
              </w:rPr>
              <w:t>Follow-on common</w:t>
            </w:r>
          </w:p>
        </w:tc>
        <w:tc>
          <w:tcPr>
            <w:tcW w:w="180" w:type="dxa"/>
            <w:vAlign w:val="bottom"/>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Acquisition of the</w:t>
            </w:r>
          </w:p>
        </w:tc>
        <w:tc>
          <w:tcPr>
            <w:tcW w:w="1860" w:type="dxa"/>
            <w:vAlign w:val="bottom"/>
          </w:tcPr>
          <w:p>
            <w:pPr>
              <w:spacing w:after="0" w:line="201" w:lineRule="exact"/>
              <w:rPr>
                <w:sz w:val="20"/>
                <w:szCs w:val="20"/>
                <w:color w:val="auto"/>
              </w:rPr>
            </w:pPr>
            <w:r>
              <w:rPr>
                <w:rFonts w:ascii="Arial" w:cs="Arial" w:eastAsia="Arial" w:hAnsi="Arial"/>
                <w:sz w:val="18"/>
                <w:szCs w:val="18"/>
                <w:color w:val="auto"/>
              </w:rPr>
              <w:t>September 29,2014</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equity offering</w:t>
            </w:r>
          </w:p>
        </w:tc>
        <w:tc>
          <w:tcPr>
            <w:tcW w:w="18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Methane Rita Andrea </w:t>
            </w:r>
            <w:r>
              <w:rPr>
                <w:rFonts w:ascii="Arial" w:cs="Arial" w:eastAsia="Arial" w:hAnsi="Arial"/>
                <w:sz w:val="18"/>
                <w:szCs w:val="18"/>
                <w:color w:val="auto"/>
              </w:rPr>
              <w:t>and</w:t>
            </w:r>
          </w:p>
        </w:tc>
        <w:tc>
          <w:tcPr>
            <w:tcW w:w="186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1860" w:type="dxa"/>
            <w:vAlign w:val="bottom"/>
          </w:tcPr>
          <w:p>
            <w:pPr>
              <w:spacing w:after="0"/>
              <w:rPr>
                <w:sz w:val="20"/>
                <w:szCs w:val="20"/>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maintain our principal executive offices at 69 Akti Miaouli, 18537 Piraeus, Greece. Our telephone number at that address is +30 210 459 1000.</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http://www.sec.gov. These documents and other important information on our governance are posted on our website and may be viewed at http://www.gaslogmlp.com.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Business Overview Overview</w:t>
      </w:r>
    </w:p>
    <w:p>
      <w:pPr>
        <w:spacing w:after="0" w:line="22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Since our IPO in May 2014, we have been a growth-oriented limited partnership focused on acquiring, owning and operating LNG carriers engaged in LNG transportation under multi-year charters, growing our wholly-owned fleet from three vessels at the time of our IPO to 14 today, nine vessels with modern TFDE propulsion technology and five Steam vessels. In addition, GasLog Partners has leased back under a bareboat charter for a period of five years one TFDE vessel sold to CBDL in October 2021. However, our cost of equity capital has remained elevated for a prolonged period and has prohibited us from raising, on acceptable terms, the capital required to continue growing our assets and our cash flows with the last vessel acquisition completed in April 2019. Since December 31, 2019, a number of increasingly strong negative indicators in the LNG shipping market, exacerbated by the COVID-19 pandemic caused us to record a non-cash impairment loss against four of our five Steam vessels in the year ended December 31, 2020 and all five Steam vessels in the year ended December 31, 2021. On February 6, 2020, in light of reduced expectations for Steam vessel utilization and earnings due to these risks, we announced that GasLog Partners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w:t>
      </w:r>
    </w:p>
    <w:p>
      <w:pPr>
        <w:spacing w:after="0" w:line="18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capital allocation priorities remain focused on reducing our leverage and improving the cash break-even of our fleet to reduce our cost of capital and further enhance the Partnership’s competitive positioning.</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All of our vessels were contributed to us by, or acquired by us from, GasLog, which controls us through its ownership of our general partner. All vessels have fixed charter terms, with an initial duration of more than six months, expiring between March 2022 and June 2026. Six of our vessels currently operate under long-term time charters (defined as charters with initial duration of more than five years) and nine vessels trade in the short-term spot market (defined as vessels under contracts with initial duration of less than five years). On redelivery, the vessels will operate in the short-term spot market unless we are able to secure new long-term time charters. One of our vessels is chartered to Gunvor under a term charter expiring in November 2022 with a variable rate of hire indexed to broker estimates of LNG shipping spot rates for vessels of the same class and subject to minimum and maximum rates of hire. The charters on three Steam vessels and four TFDE vessels will expire in 2022.</w:t>
      </w:r>
    </w:p>
    <w:p>
      <w:pPr>
        <w:spacing w:after="0" w:line="178"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While spot rates for LNG carriers improved in 2018 and 2019 compared to prior years, the term charter market for on-the-water vessels has not developed as expected, resulting in reduced expectations for future vessel utilization and earnings, in particular for our Steam vessels after the expiry of their multi-year charters with Shell. Furthermore, the difference between ship broker estimates of the fair market values and the carrying values of our Steam vessels has increased over time. These factors caused the Partnership to recognize a non-cash impairment loss of $23.9 million in the year ended December 31, 2020 for four of its five Steam vessels built in 2006 and 2007 and a non-cash impairment loss of $104.0 million in the year ended December 31, 2021 for its five Steam vessels.</w:t>
      </w:r>
    </w:p>
    <w:p>
      <w:pPr>
        <w:spacing w:after="0" w:line="164"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Since the formation of the Partnership and the contribution of the three initial vessels in our fleet, we have grown our fleet and our cash flows through the acquisition from GasLog of vessels with multi-year charters. However, as a result of the significant challenges facing the listed midstream energy MLP industry, our cost of equity capital has remained elevated for a prolonged period, making the funding of new acquisitions challenging. As a result, while we do have options and other rights under which we may acquire additional LNG carriers from GasLog and which provide us with significant built-in growth opportunities as described below, our high cost of capital is not currently conducive to the funding of such acquisitions on acceptable terms.</w:t>
      </w:r>
    </w:p>
    <w:p>
      <w:pPr>
        <w:spacing w:after="0" w:line="17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believe that the actions taken to prioritize balance sheet strength and to lower our cash break-evens, combined with our focus on securing new term employment for our vessels whose charters have expired or will expire in 2022 and 2023, will reduce our cost of capital over time. As a result, if we are able to raise new debt or equity capital on acceptable terms in the future, we intend to focus again on incremental acquisitions from GasLog or third parties in order to continue to grow our assets and cash flows. For further discussion of the risks that we face in growing our assets and cash flows, please read “Item 3. Key Information—D. Risk Factors”.</w:t>
      </w:r>
    </w:p>
    <w:p>
      <w:pPr>
        <w:spacing w:after="0" w:line="16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GasLog is, we believe, a leading independent international owner, operator and manager of LNG carriers which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ticker symbol “GLOG”. At the time of its initial public offering, GasLog’s wholly owned fleet consisted of ten LNG carriers, including eight newbuildings on order. Since its initial public offering, GasLog has increased by approximately 84% the total carrying capacity of its wholly owned fleet, which includes vessels on</w:t>
      </w:r>
    </w:p>
    <w:p>
      <w:pPr>
        <w:sectPr>
          <w:pgSz w:w="11900" w:h="16838" w:orient="portrait"/>
          <w:cols w:equalWidth="0" w:num="1">
            <w:col w:w="9900"/>
          </w:cols>
          <w:pgMar w:left="980" w:top="517"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water and newbuildings on order but excludes the vessels owned by the Partnership and the bareboat fleet. As of February 24, 2022, GasLog’s wholly owned and bareboat fleet includes 24 LNG carriers, including 20 ships on the water and four LNG carriers on order from DSME, as well as a 33.3% ownership in the Partnership. See “—Our Fleet”.</w:t>
      </w:r>
    </w:p>
    <w:p>
      <w:pPr>
        <w:spacing w:after="0" w:line="18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February 22, 2021, GasLog announced that it had entered into a Merger Agreement with GEPIF. Under the Merger Agreement, GEPIF would acquire all of the outstanding common shares of GasLog that are not held by the Rolling Shareholders of GasLog in exchange for $5.80 in cash per common share.</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GasLog announced on June 9, 2021, the completion of the transaction with GEPIF (the “Transaction”) following the special general meeting of GasLog’s shareholders held virtually on June 4, 2021, where the Transaction and the related agreements (i) the previously announced Merger Agreement, (ii) the merger and (iii) the statutory merger agreement contemplated by the Merger Agreement, received the requisite approval of GasLog’s shareholders required by the Agreement and Plan of Merger, dated as of February 21, 2021 (and subsequently amended on April 20, 2021).</w:t>
      </w:r>
    </w:p>
    <w:p>
      <w:pPr>
        <w:spacing w:after="0" w:line="188"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Trading in GasLog’s common shares on the New York Stock Exchange (“NYSE”), was suspended with immediate effect and the delisting of the common shares from the NYSE became effective on June 21, 2021. GasLog’s 8.75% Series A Cumulative Redeemable Perpetual Preference Shares remain outstanding and continue to trade in the NYSE.</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Following the consummation of the Transaction on June 9, 2021, certain existing shareholders, including Blenheim Holdings, which is wholly owned by the Livanos family, and a wholly owned affiliate of the Onassis Foundation, hold approximately 55.2% of the outstanding common shares of GasLog Ltd. and GEPIF holds approximately 44.8%.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our fleet as of February 24,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Cargo</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Charterer (for</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Charter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Year Built</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Capacity</w:t>
            </w: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contracts of more</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Propulsion</w:t>
            </w: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Optional Period</w:t>
            </w:r>
          </w:p>
        </w:tc>
        <w:tc>
          <w:tcPr>
            <w:tcW w:w="0" w:type="dxa"/>
            <w:vAlign w:val="bottom"/>
          </w:tcPr>
          <w:p>
            <w:pPr>
              <w:spacing w:after="0"/>
              <w:rPr>
                <w:sz w:val="1"/>
                <w:szCs w:val="1"/>
                <w:color w:val="auto"/>
              </w:rPr>
            </w:pPr>
          </w:p>
        </w:tc>
      </w:tr>
      <w:tr>
        <w:trPr>
          <w:trHeight w:val="171"/>
        </w:trPr>
        <w:tc>
          <w:tcPr>
            <w:tcW w:w="3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LNG Carrier</w:t>
            </w:r>
          </w:p>
        </w:tc>
        <w:tc>
          <w:tcPr>
            <w:tcW w:w="800" w:type="dxa"/>
            <w:vAlign w:val="bottom"/>
            <w:gridSpan w:val="2"/>
            <w:vMerge w:val="continue"/>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(cbm)</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than six months)</w:t>
            </w:r>
          </w:p>
        </w:tc>
        <w:tc>
          <w:tcPr>
            <w:tcW w:w="820" w:type="dxa"/>
            <w:vAlign w:val="bottom"/>
            <w:gridSpan w:val="2"/>
            <w:vMerge w:val="continue"/>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(Firm Period)</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Solaris</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155,000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TFDE</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2022</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i w:val="1"/>
                <w:iCs w:val="1"/>
                <w:color w:val="auto"/>
              </w:rPr>
              <w:t>Methane Heather Sally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Cheniere</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Steam</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2022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i w:val="1"/>
                <w:iCs w:val="1"/>
                <w:color w:val="auto"/>
              </w:rPr>
              <w:t>GasLog Sydney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155,000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TotalEnergies</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TFDE</w:t>
            </w:r>
          </w:p>
        </w:tc>
        <w:tc>
          <w:tcPr>
            <w:tcW w:w="1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June 2022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i w:val="1"/>
                <w:iCs w:val="1"/>
                <w:color w:val="auto"/>
              </w:rPr>
              <w:t>GasLog Seattle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TotalEnergies</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TFDE</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2022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i w:val="1"/>
                <w:iCs w:val="1"/>
                <w:color w:val="auto"/>
              </w:rPr>
              <w:t>Methane Shirley Elisabeth</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145,000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JOVO</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Steam</w:t>
            </w: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August 2022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i w:val="1"/>
                <w:iCs w:val="1"/>
                <w:color w:val="auto"/>
              </w:rPr>
              <w:t>Methane Rita Andrea</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Gunvor</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Steam</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September 2022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i w:val="1"/>
                <w:iCs w:val="1"/>
                <w:color w:val="auto"/>
              </w:rPr>
              <w:t>GasLog Santiago</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155,000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Trafigura</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TFDE</w:t>
            </w:r>
          </w:p>
        </w:tc>
        <w:tc>
          <w:tcPr>
            <w:tcW w:w="1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December 2022</w:t>
            </w:r>
          </w:p>
        </w:tc>
        <w:tc>
          <w:tcPr>
            <w:tcW w:w="102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92"/>
              </w:rPr>
              <w:t>2023-2028</w:t>
            </w:r>
            <w:r>
              <w:rPr>
                <w:rFonts w:ascii="Arial" w:cs="Arial" w:eastAsia="Arial" w:hAnsi="Arial"/>
                <w:sz w:val="25"/>
                <w:szCs w:val="25"/>
                <w:color w:val="auto"/>
                <w:w w:val="92"/>
                <w:vertAlign w:val="superscript"/>
              </w:rPr>
              <w:t>(1)</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i w:val="1"/>
                <w:iCs w:val="1"/>
                <w:color w:val="auto"/>
              </w:rPr>
              <w:t>Methane Jane Elizabeth</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Cheniere</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Steam</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March 2023</w:t>
            </w:r>
          </w:p>
        </w:tc>
        <w:tc>
          <w:tcPr>
            <w:tcW w:w="1020" w:type="dxa"/>
            <w:vAlign w:val="bottom"/>
          </w:tcPr>
          <w:p>
            <w:pPr>
              <w:jc w:val="center"/>
              <w:spacing w:after="0" w:line="216" w:lineRule="exact"/>
              <w:rPr>
                <w:sz w:val="20"/>
                <w:szCs w:val="20"/>
                <w:color w:val="auto"/>
              </w:rPr>
            </w:pPr>
            <w:r>
              <w:rPr>
                <w:rFonts w:ascii="Arial" w:cs="Arial" w:eastAsia="Arial" w:hAnsi="Arial"/>
                <w:sz w:val="17"/>
                <w:szCs w:val="17"/>
                <w:color w:val="auto"/>
                <w:w w:val="92"/>
              </w:rPr>
              <w:t>2024-2025</w:t>
            </w:r>
            <w:r>
              <w:rPr>
                <w:rFonts w:ascii="Arial" w:cs="Arial" w:eastAsia="Arial" w:hAnsi="Arial"/>
                <w:sz w:val="25"/>
                <w:szCs w:val="25"/>
                <w:color w:val="auto"/>
                <w:w w:val="92"/>
                <w:vertAlign w:val="superscript"/>
              </w:rPr>
              <w:t>(2)</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i w:val="1"/>
                <w:iCs w:val="1"/>
                <w:color w:val="auto"/>
              </w:rPr>
              <w:t>GasLog Geneva</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174,000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Shell</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TFDE</w:t>
            </w:r>
          </w:p>
        </w:tc>
        <w:tc>
          <w:tcPr>
            <w:tcW w:w="1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September 2023</w:t>
            </w:r>
          </w:p>
        </w:tc>
        <w:tc>
          <w:tcPr>
            <w:tcW w:w="102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92"/>
              </w:rPr>
              <w:t>2028-2031</w:t>
            </w:r>
            <w:r>
              <w:rPr>
                <w:rFonts w:ascii="Arial" w:cs="Arial" w:eastAsia="Arial" w:hAnsi="Arial"/>
                <w:sz w:val="25"/>
                <w:szCs w:val="25"/>
                <w:color w:val="auto"/>
                <w:w w:val="92"/>
                <w:vertAlign w:val="superscript"/>
              </w:rPr>
              <w:t>(3)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b w:val="1"/>
                <w:bCs w:val="1"/>
                <w:color w:val="auto"/>
                <w:w w:val="99"/>
              </w:rPr>
              <w:t>10</w:t>
            </w:r>
          </w:p>
        </w:tc>
        <w:tc>
          <w:tcPr>
            <w:tcW w:w="3600" w:type="dxa"/>
            <w:vAlign w:val="bottom"/>
            <w:gridSpan w:val="2"/>
          </w:tcPr>
          <w:p>
            <w:pPr>
              <w:ind w:left="20"/>
              <w:spacing w:after="0"/>
              <w:rPr>
                <w:sz w:val="20"/>
                <w:szCs w:val="20"/>
                <w:color w:val="auto"/>
              </w:rPr>
            </w:pPr>
            <w:r>
              <w:rPr>
                <w:rFonts w:ascii="Arial" w:cs="Arial" w:eastAsia="Arial" w:hAnsi="Arial"/>
                <w:sz w:val="18"/>
                <w:szCs w:val="18"/>
                <w:i w:val="1"/>
                <w:iCs w:val="1"/>
                <w:color w:val="auto"/>
              </w:rPr>
              <w:t>Methane Alison Victoria</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CNTIC VPower</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Steam</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October 2023</w:t>
            </w:r>
          </w:p>
        </w:tc>
        <w:tc>
          <w:tcPr>
            <w:tcW w:w="1020" w:type="dxa"/>
            <w:vAlign w:val="bottom"/>
          </w:tcPr>
          <w:p>
            <w:pPr>
              <w:jc w:val="center"/>
              <w:spacing w:after="0" w:line="216" w:lineRule="exact"/>
              <w:rPr>
                <w:sz w:val="20"/>
                <w:szCs w:val="20"/>
                <w:color w:val="auto"/>
              </w:rPr>
            </w:pPr>
            <w:r>
              <w:rPr>
                <w:rFonts w:ascii="Arial" w:cs="Arial" w:eastAsia="Arial" w:hAnsi="Arial"/>
                <w:sz w:val="17"/>
                <w:szCs w:val="17"/>
                <w:color w:val="auto"/>
                <w:w w:val="92"/>
              </w:rPr>
              <w:t>2024-2025</w:t>
            </w:r>
            <w:r>
              <w:rPr>
                <w:rFonts w:ascii="Arial" w:cs="Arial" w:eastAsia="Arial" w:hAnsi="Arial"/>
                <w:sz w:val="25"/>
                <w:szCs w:val="25"/>
                <w:color w:val="auto"/>
                <w:w w:val="92"/>
                <w:vertAlign w:val="superscript"/>
              </w:rPr>
              <w:t>(4)</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i w:val="1"/>
                <w:iCs w:val="1"/>
                <w:color w:val="auto"/>
              </w:rPr>
              <w:t>GasLog Gibraltar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174,000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Shell</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TFDE</w:t>
            </w:r>
          </w:p>
        </w:tc>
        <w:tc>
          <w:tcPr>
            <w:tcW w:w="1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October 2023</w:t>
            </w:r>
          </w:p>
        </w:tc>
        <w:tc>
          <w:tcPr>
            <w:tcW w:w="102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92"/>
              </w:rPr>
              <w:t>2028-2031</w:t>
            </w:r>
            <w:r>
              <w:rPr>
                <w:rFonts w:ascii="Arial" w:cs="Arial" w:eastAsia="Arial" w:hAnsi="Arial"/>
                <w:sz w:val="25"/>
                <w:szCs w:val="25"/>
                <w:color w:val="auto"/>
                <w:w w:val="92"/>
                <w:vertAlign w:val="superscript"/>
              </w:rPr>
              <w:t>(3)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b w:val="1"/>
                <w:bCs w:val="1"/>
                <w:color w:val="auto"/>
                <w:w w:val="99"/>
              </w:rPr>
              <w:t>12</w:t>
            </w:r>
          </w:p>
        </w:tc>
        <w:tc>
          <w:tcPr>
            <w:tcW w:w="3600" w:type="dxa"/>
            <w:vAlign w:val="bottom"/>
            <w:gridSpan w:val="2"/>
          </w:tcPr>
          <w:p>
            <w:pPr>
              <w:ind w:left="20"/>
              <w:spacing w:after="0"/>
              <w:rPr>
                <w:sz w:val="20"/>
                <w:szCs w:val="20"/>
                <w:color w:val="auto"/>
              </w:rPr>
            </w:pPr>
            <w:r>
              <w:rPr>
                <w:rFonts w:ascii="Arial" w:cs="Arial" w:eastAsia="Arial" w:hAnsi="Arial"/>
                <w:sz w:val="18"/>
                <w:szCs w:val="18"/>
                <w:i w:val="1"/>
                <w:iCs w:val="1"/>
                <w:color w:val="auto"/>
              </w:rPr>
              <w:t>Methane Becki Anne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170,000</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Shell</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TFDE</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March 2024</w:t>
            </w:r>
          </w:p>
        </w:tc>
        <w:tc>
          <w:tcPr>
            <w:tcW w:w="1020" w:type="dxa"/>
            <w:vAlign w:val="bottom"/>
          </w:tcPr>
          <w:p>
            <w:pPr>
              <w:jc w:val="center"/>
              <w:spacing w:after="0" w:line="216" w:lineRule="exact"/>
              <w:rPr>
                <w:sz w:val="20"/>
                <w:szCs w:val="20"/>
                <w:color w:val="auto"/>
              </w:rPr>
            </w:pPr>
            <w:r>
              <w:rPr>
                <w:rFonts w:ascii="Arial" w:cs="Arial" w:eastAsia="Arial" w:hAnsi="Arial"/>
                <w:sz w:val="17"/>
                <w:szCs w:val="17"/>
                <w:color w:val="auto"/>
                <w:w w:val="92"/>
              </w:rPr>
              <w:t>2027-2029</w:t>
            </w:r>
            <w:r>
              <w:rPr>
                <w:rFonts w:ascii="Arial" w:cs="Arial" w:eastAsia="Arial" w:hAnsi="Arial"/>
                <w:sz w:val="25"/>
                <w:szCs w:val="25"/>
                <w:color w:val="auto"/>
                <w:w w:val="92"/>
                <w:vertAlign w:val="superscript"/>
              </w:rPr>
              <w:t>(5)</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13</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GasLog Greece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174,000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Shell</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TFDE</w:t>
            </w: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March 2026</w:t>
            </w:r>
          </w:p>
        </w:tc>
        <w:tc>
          <w:tcPr>
            <w:tcW w:w="102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89"/>
              </w:rPr>
              <w:t>2031</w:t>
            </w:r>
            <w:r>
              <w:rPr>
                <w:rFonts w:ascii="Arial" w:cs="Arial" w:eastAsia="Arial" w:hAnsi="Arial"/>
                <w:sz w:val="25"/>
                <w:szCs w:val="25"/>
                <w:color w:val="auto"/>
                <w:w w:val="89"/>
                <w:vertAlign w:val="superscript"/>
              </w:rPr>
              <w:t>(6)</w:t>
            </w:r>
          </w:p>
        </w:tc>
        <w:tc>
          <w:tcPr>
            <w:tcW w:w="0" w:type="dxa"/>
            <w:vAlign w:val="bottom"/>
          </w:tcPr>
          <w:p>
            <w:pPr>
              <w:spacing w:after="0"/>
              <w:rPr>
                <w:sz w:val="1"/>
                <w:szCs w:val="1"/>
                <w:color w:val="auto"/>
              </w:rPr>
            </w:pPr>
          </w:p>
        </w:tc>
      </w:tr>
      <w:tr>
        <w:trPr>
          <w:trHeight w:val="353"/>
        </w:trPr>
        <w:tc>
          <w:tcPr>
            <w:tcW w:w="220" w:type="dxa"/>
            <w:vAlign w:val="bottom"/>
          </w:tcPr>
          <w:p>
            <w:pPr>
              <w:spacing w:after="0"/>
              <w:rPr>
                <w:sz w:val="20"/>
                <w:szCs w:val="20"/>
                <w:color w:val="auto"/>
              </w:rPr>
            </w:pPr>
            <w:r>
              <w:rPr>
                <w:rFonts w:ascii="Arial" w:cs="Arial" w:eastAsia="Arial" w:hAnsi="Arial"/>
                <w:sz w:val="18"/>
                <w:szCs w:val="18"/>
                <w:b w:val="1"/>
                <w:bCs w:val="1"/>
                <w:color w:val="auto"/>
                <w:w w:val="99"/>
              </w:rPr>
              <w:t>14</w:t>
            </w:r>
          </w:p>
        </w:tc>
        <w:tc>
          <w:tcPr>
            <w:tcW w:w="3600" w:type="dxa"/>
            <w:vAlign w:val="bottom"/>
            <w:gridSpan w:val="2"/>
          </w:tcPr>
          <w:p>
            <w:pPr>
              <w:ind w:left="20"/>
              <w:spacing w:after="0"/>
              <w:rPr>
                <w:sz w:val="20"/>
                <w:szCs w:val="20"/>
                <w:color w:val="auto"/>
              </w:rPr>
            </w:pPr>
            <w:r>
              <w:rPr>
                <w:rFonts w:ascii="Arial" w:cs="Arial" w:eastAsia="Arial" w:hAnsi="Arial"/>
                <w:sz w:val="18"/>
                <w:szCs w:val="18"/>
                <w:i w:val="1"/>
                <w:iCs w:val="1"/>
                <w:color w:val="auto"/>
              </w:rPr>
              <w:t>GasLog Glasgow</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60" w:type="dxa"/>
            <w:vAlign w:val="bottom"/>
          </w:tcPr>
          <w:p>
            <w:pPr>
              <w:spacing w:after="0"/>
              <w:rPr>
                <w:sz w:val="24"/>
                <w:szCs w:val="2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Shell</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TFDE</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2026</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2031</w:t>
            </w:r>
            <w:r>
              <w:rPr>
                <w:rFonts w:ascii="Arial" w:cs="Arial" w:eastAsia="Arial" w:hAnsi="Arial"/>
                <w:sz w:val="26"/>
                <w:szCs w:val="26"/>
                <w:color w:val="auto"/>
                <w:w w:val="84"/>
                <w:vertAlign w:val="superscript"/>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68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45" w:lineRule="exact"/>
        <w:rPr>
          <w:sz w:val="20"/>
          <w:szCs w:val="20"/>
          <w:color w:val="auto"/>
        </w:rPr>
      </w:pPr>
    </w:p>
    <w:p>
      <w:pPr>
        <w:ind w:left="340" w:right="140" w:hanging="332"/>
        <w:spacing w:after="0" w:line="219" w:lineRule="auto"/>
        <w:tabs>
          <w:tab w:leader="none" w:pos="34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231F20"/>
        </w:rPr>
        <w:t>Charterer may extend the term of this time charter for a period ranging from one to six years, provided that the charterer gives us advance notice of declaration. The period shown reflects the expiration of the minimum optional period and the maximum optional period.</w:t>
      </w:r>
    </w:p>
    <w:p>
      <w:pPr>
        <w:spacing w:after="0" w:line="202" w:lineRule="exact"/>
        <w:rPr>
          <w:rFonts w:ascii="Arial" w:cs="Arial" w:eastAsia="Arial" w:hAnsi="Arial"/>
          <w:sz w:val="27"/>
          <w:szCs w:val="27"/>
          <w:color w:val="auto"/>
          <w:vertAlign w:val="superscript"/>
        </w:rPr>
      </w:pPr>
    </w:p>
    <w:p>
      <w:pPr>
        <w:ind w:left="340" w:right="140" w:hanging="332"/>
        <w:spacing w:after="0" w:line="219" w:lineRule="auto"/>
        <w:tabs>
          <w:tab w:leader="none" w:pos="34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Charterers may extend the term of the time charters by two additional periods of one year, provided that the charterer gives us advance notice of declaration. The period shown reflects the expiration of the minimum optional period and the maximum optional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right="20" w:hanging="332"/>
        <w:spacing w:after="0" w:line="219" w:lineRule="auto"/>
        <w:tabs>
          <w:tab w:leader="none" w:pos="34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231F20"/>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202" w:lineRule="exact"/>
        <w:rPr>
          <w:rFonts w:ascii="Arial" w:cs="Arial" w:eastAsia="Arial" w:hAnsi="Arial"/>
          <w:sz w:val="27"/>
          <w:szCs w:val="27"/>
          <w:color w:val="auto"/>
          <w:vertAlign w:val="superscript"/>
        </w:rPr>
      </w:pPr>
    </w:p>
    <w:p>
      <w:pPr>
        <w:ind w:left="340" w:right="80" w:hanging="332"/>
        <w:spacing w:after="0" w:line="219" w:lineRule="auto"/>
        <w:tabs>
          <w:tab w:leader="none" w:pos="34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spacing w:after="0" w:line="202" w:lineRule="exact"/>
        <w:rPr>
          <w:rFonts w:ascii="Arial" w:cs="Arial" w:eastAsia="Arial" w:hAnsi="Arial"/>
          <w:sz w:val="27"/>
          <w:szCs w:val="27"/>
          <w:color w:val="auto"/>
          <w:vertAlign w:val="superscript"/>
        </w:rPr>
      </w:pPr>
    </w:p>
    <w:p>
      <w:pPr>
        <w:ind w:left="340" w:right="100" w:hanging="332"/>
        <w:spacing w:after="0" w:line="219" w:lineRule="auto"/>
        <w:tabs>
          <w:tab w:leader="none" w:pos="34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231F20"/>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spacing w:after="0" w:line="202" w:lineRule="exact"/>
        <w:rPr>
          <w:rFonts w:ascii="Arial" w:cs="Arial" w:eastAsia="Arial" w:hAnsi="Arial"/>
          <w:sz w:val="27"/>
          <w:szCs w:val="27"/>
          <w:color w:val="auto"/>
          <w:vertAlign w:val="superscript"/>
        </w:rPr>
      </w:pPr>
    </w:p>
    <w:p>
      <w:pPr>
        <w:ind w:left="340" w:right="40" w:hanging="332"/>
        <w:spacing w:after="0" w:line="207" w:lineRule="auto"/>
        <w:tabs>
          <w:tab w:leader="none" w:pos="34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231F20"/>
        </w:rPr>
        <w:t>Charterer may extend the term of these time charters for a period of five years, provided that the charterer gives us advance notice of declaration.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Bareboat Vessel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Cargo</w:t>
            </w: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Charterer (for</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Charter</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Year Built</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Capacity</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contracts of more</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Propulsion</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Optional Period</w:t>
            </w:r>
          </w:p>
        </w:tc>
        <w:tc>
          <w:tcPr>
            <w:tcW w:w="0" w:type="dxa"/>
            <w:vAlign w:val="bottom"/>
          </w:tcPr>
          <w:p>
            <w:pPr>
              <w:spacing w:after="0"/>
              <w:rPr>
                <w:sz w:val="1"/>
                <w:szCs w:val="1"/>
                <w:color w:val="auto"/>
              </w:rPr>
            </w:pPr>
          </w:p>
        </w:tc>
      </w:tr>
      <w:tr>
        <w:trPr>
          <w:trHeight w:val="171"/>
        </w:trPr>
        <w:tc>
          <w:tcPr>
            <w:tcW w:w="39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LNG Carrier</w:t>
            </w:r>
          </w:p>
        </w:tc>
        <w:tc>
          <w:tcPr>
            <w:tcW w:w="800" w:type="dxa"/>
            <w:vAlign w:val="bottom"/>
            <w:gridSpan w:val="2"/>
            <w:vMerge w:val="continue"/>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(cbm)</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than six months)</w:t>
            </w:r>
          </w:p>
        </w:tc>
        <w:tc>
          <w:tcPr>
            <w:tcW w:w="820" w:type="dxa"/>
            <w:vAlign w:val="bottom"/>
            <w:gridSpan w:val="2"/>
            <w:vMerge w:val="continue"/>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(Firm Period)</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 xml:space="preserve">1 </w:t>
            </w:r>
            <w:r>
              <w:rPr>
                <w:rFonts w:ascii="Arial" w:cs="Arial" w:eastAsia="Arial" w:hAnsi="Arial"/>
                <w:sz w:val="17"/>
                <w:szCs w:val="17"/>
                <w:i w:val="1"/>
                <w:iCs w:val="1"/>
                <w:color w:val="auto"/>
              </w:rPr>
              <w:t>GasLog Shanghai</w:t>
            </w:r>
            <w:r>
              <w:rPr>
                <w:rFonts w:ascii="Arial" w:cs="Arial" w:eastAsia="Arial" w:hAnsi="Arial"/>
                <w:sz w:val="17"/>
                <w:szCs w:val="17"/>
                <w:b w:val="1"/>
                <w:bCs w:val="1"/>
                <w:color w:val="auto"/>
              </w:rPr>
              <w:t xml:space="preserve"> </w:t>
            </w:r>
            <w:r>
              <w:rPr>
                <w:rFonts w:ascii="Arial" w:cs="Arial" w:eastAsia="Arial" w:hAnsi="Arial"/>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155,000</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Gunvor</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2022</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40" w:hanging="332"/>
        <w:spacing w:after="0" w:line="400" w:lineRule="auto"/>
        <w:tabs>
          <w:tab w:leader="none" w:pos="340" w:val="left"/>
        </w:tabs>
        <w:numPr>
          <w:ilvl w:val="0"/>
          <w:numId w:val="44"/>
        </w:numPr>
        <w:rPr>
          <w:rFonts w:ascii="Arial" w:cs="Arial" w:eastAsia="Arial" w:hAnsi="Arial"/>
          <w:sz w:val="27"/>
          <w:szCs w:val="27"/>
          <w:color w:val="auto"/>
          <w:vertAlign w:val="superscript"/>
        </w:rPr>
      </w:pPr>
      <w:r>
        <w:rPr>
          <w:rFonts w:ascii="Arial" w:cs="Arial" w:eastAsia="Arial" w:hAnsi="Arial"/>
          <w:sz w:val="18"/>
          <w:szCs w:val="18"/>
          <w:color w:val="auto"/>
        </w:rPr>
        <w:t>In October 2021, the vessel was sold and leased back from CDBL for a period of five years, with no repurchase option or obligation. The key characteristics of our current fleet include the following:</w:t>
      </w:r>
    </w:p>
    <w:p>
      <w:pPr>
        <w:spacing w:after="0" w:line="1" w:lineRule="exact"/>
        <w:rPr>
          <w:rFonts w:ascii="Arial" w:cs="Arial" w:eastAsia="Arial" w:hAnsi="Arial"/>
          <w:sz w:val="27"/>
          <w:szCs w:val="27"/>
          <w:color w:val="auto"/>
          <w:vertAlign w:val="superscript"/>
        </w:rPr>
      </w:pPr>
    </w:p>
    <w:p>
      <w:pPr>
        <w:jc w:val="both"/>
        <w:ind w:left="680" w:right="20" w:hanging="321"/>
        <w:spacing w:after="0" w:line="263" w:lineRule="auto"/>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231F20"/>
        </w:rPr>
        <w:t>each ship is sized at between approximately 145,000 cbm and 174,000 cbm capacity, which places our ships in the medium-size class of LNG carriers; we believe this size range maximizes their operational flexibility, as these ships are compatible with most existing LNG terminals around the world;</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231F20"/>
        </w:rPr>
        <w:t>each ship is double-hulled, which is standard in the LNG industry;</w:t>
      </w:r>
    </w:p>
    <w:p>
      <w:pPr>
        <w:spacing w:after="0" w:line="225" w:lineRule="exact"/>
        <w:rPr>
          <w:rFonts w:ascii="Arial" w:cs="Arial" w:eastAsia="Arial" w:hAnsi="Arial"/>
          <w:sz w:val="18"/>
          <w:szCs w:val="18"/>
          <w:color w:val="auto"/>
        </w:rPr>
      </w:pPr>
    </w:p>
    <w:p>
      <w:pPr>
        <w:jc w:val="both"/>
        <w:ind w:left="680" w:right="140" w:hanging="321"/>
        <w:spacing w:after="0" w:line="263" w:lineRule="auto"/>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231F20"/>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231F20"/>
        </w:rPr>
        <w:t>each of our ships is equipped with a steam turbine or TFDE propulsion technology;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231F20"/>
        </w:rPr>
        <w:t>Bermuda is the flag state of each ship;</w:t>
      </w:r>
    </w:p>
    <w:p>
      <w:pPr>
        <w:spacing w:after="0" w:line="225" w:lineRule="exact"/>
        <w:rPr>
          <w:rFonts w:ascii="Arial" w:cs="Arial" w:eastAsia="Arial" w:hAnsi="Arial"/>
          <w:sz w:val="18"/>
          <w:szCs w:val="18"/>
          <w:color w:val="auto"/>
        </w:rPr>
      </w:pPr>
    </w:p>
    <w:p>
      <w:pPr>
        <w:jc w:val="both"/>
        <w:ind w:left="680" w:right="560" w:hanging="321"/>
        <w:spacing w:after="0" w:line="263" w:lineRule="auto"/>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231F20"/>
        </w:rPr>
        <w:t>each of our ships has received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83" w:lineRule="exact"/>
        <w:rPr>
          <w:rFonts w:ascii="Arial" w:cs="Arial" w:eastAsia="Arial" w:hAnsi="Arial"/>
          <w:sz w:val="18"/>
          <w:szCs w:val="18"/>
          <w:color w:val="auto"/>
        </w:rPr>
      </w:pPr>
    </w:p>
    <w:p>
      <w:pPr>
        <w:ind w:left="680" w:right="160" w:hanging="321"/>
        <w:spacing w:after="0" w:line="263" w:lineRule="auto"/>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our owned and bareboat fleet has an average age of 10.0 years, making it one of the youngest in the industry, compared to a current average age of approximately 9.92 years for the global trading LNG carrier fleet including LNG carriers of all sizes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 xml:space="preserve">Eight of our vessels (three Steam and five TFDE vessels) are expected to come off-charter within 2022, while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is due to come off charter in December 2022 if the charterer determines not to exercise the option period.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By the end of 2020, all five of the Partnership’s Steam vessels had ended their initial multi-year time charters with subsidiaries of Shell, and three additional TFDE vessels also concluded their multi-year charters during 2021. Although we have been successful in finding longer-term employment for our available vessels, this has been concluded at current market rates, which are below those achieved during the initial charters.</w:t>
      </w:r>
    </w:p>
    <w:p>
      <w:pPr>
        <w:spacing w:after="0" w:line="18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GasLog Partners continues to pursue opportunities for new term charters with third parties, while trading in the spot market and pursuing the most advantageous redeployment depending on evolving market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Vessels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w:t>
      </w:r>
    </w:p>
    <w:p>
      <w:pPr>
        <w:spacing w:after="0" w:line="16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See “Item 7. Major Unitholders and Related Party Transactions—B. Related Party Transactions— Omnibus Agreement— Noncompetition” for additional information on the LNG carrier purchase options.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jc w:val="both"/>
        <w:ind w:right="500" w:firstLine="324"/>
        <w:spacing w:after="0" w:line="286" w:lineRule="auto"/>
        <w:rPr>
          <w:sz w:val="20"/>
          <w:szCs w:val="20"/>
          <w:color w:val="auto"/>
        </w:rPr>
      </w:pPr>
      <w:r>
        <w:rPr>
          <w:rFonts w:ascii="Arial" w:cs="Arial" w:eastAsia="Arial" w:hAnsi="Arial"/>
          <w:sz w:val="17"/>
          <w:szCs w:val="17"/>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annual report.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Vessel Acquisition Considerations</w:t>
      </w:r>
    </w:p>
    <w:p>
      <w:pPr>
        <w:spacing w:after="0" w:line="22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for a discussion of the risks we face in acquiring vessels. See also “Item 7. Major Unitholders and Related Party Transactions—B. Related Party Transactions—Omnibus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Time Charters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provide the services of all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and canal fees and LNG boil-off).</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time charters provide for redelivery of the ship to us at the expiration of the term, as such term may be extended upon the charterer’s exercise of its extension options, or upon earlier termination of the charter (as described below), plus (or in some cases) minus a specified number of days. Our charter contracts do not provide the charterers with options to purchase our ships during or upon expiration of the charter term.</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describes the material terms of the time and spot charters for our fleet.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 Extensions and Redelivery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Market (defined as vessels with charter parties with initial duration of more than five years)</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 xml:space="preserve">The initial terms of the time charters for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began upon delivery of the ships and will terminate in 2026, 2026, 2023 and 2023, respectively. For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Glasgow</w:t>
      </w:r>
      <w:r>
        <w:rPr>
          <w:rFonts w:ascii="Arial" w:cs="Arial" w:eastAsia="Arial" w:hAnsi="Arial"/>
          <w:sz w:val="16"/>
          <w:szCs w:val="16"/>
          <w:color w:val="auto"/>
        </w:rPr>
        <w:t>, MSL has the option to extend the term of the charter for up to five years and, for the</w:t>
      </w:r>
      <w:r>
        <w:rPr>
          <w:rFonts w:ascii="Arial" w:cs="Arial" w:eastAsia="Arial" w:hAnsi="Arial"/>
          <w:sz w:val="16"/>
          <w:szCs w:val="16"/>
          <w:i w:val="1"/>
          <w:iCs w:val="1"/>
          <w:color w:val="auto"/>
        </w:rPr>
        <w:t xml:space="preserve"> GasLog Geneva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w:t>
      </w:r>
      <w:r>
        <w:rPr>
          <w:rFonts w:ascii="Arial" w:cs="Arial" w:eastAsia="Arial" w:hAnsi="Arial"/>
          <w:sz w:val="16"/>
          <w:szCs w:val="16"/>
          <w:color w:val="auto"/>
        </w:rPr>
        <w:t>, MSL has the option to extend the term of the charter by two additional periods of five and three years, respectively. Each</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requires that the charterer provide the owner with advance notice of its exercise of any extension option.</w:t>
      </w:r>
    </w:p>
    <w:p>
      <w:pPr>
        <w:spacing w:after="0" w:line="16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The term of the time charter for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began upon delivery of the ship to GasLog in 2014 following an initial period during which the ship operated under a maiden voyage time charter, the purpose of which was to facilitate completion by Shell of an operational discharge inspection of the ship.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due to come off charter in March 2022.</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began upon its acquisition by GasLog in 2015 and will terminate in 2024. MSL has the option to extend the term of the time charter for an additional period of either three or five years beyond the initial charter expiration date.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Spot Market (defined as vessels with charter parties with initial duration of less than five years)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The term of the time charter of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began on its delivery to Trafigura in August 2018 and will terminate in December 2022 following Trafigura exercising the option to extend the term of the time charter for one year past its original termination date of December 2021. Trafigura retains various options to extend the term of the time charter for between one and six years at specified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commenced a 350-day charter with Total in June 2021 and will terminate in June 2022.</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commenced an 800-day charter with Cheniere in December 2020 and will terminate in March 2023. Cheniere has the option to extend this charter by one year following an additional year option at specified rates. The charter rate for this period is lower than the previous charter rate for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w:t>
      </w:r>
    </w:p>
    <w:p>
      <w:pPr>
        <w:spacing w:after="0" w:line="18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The term of the time charter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began upon its delivery to Gunvor in June 2019 and has a variable rate of hire within an agreed range during the charter period. The charter with Gunvor will terminate in November 2022. The vessel is now owned by a wholly-owned subsidiary of CDBL and leased back to GasLog Partners.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Methane Shirley Elisabeth</w:t>
      </w:r>
      <w:r>
        <w:rPr>
          <w:rFonts w:ascii="Arial" w:cs="Arial" w:eastAsia="Arial" w:hAnsi="Arial"/>
          <w:sz w:val="17"/>
          <w:szCs w:val="17"/>
          <w:color w:val="auto"/>
        </w:rPr>
        <w:t xml:space="preserve"> commenced a two-year charter with JOVO in July 2020 and will terminate in August 2022.</w:t>
      </w:r>
    </w:p>
    <w:p>
      <w:pPr>
        <w:spacing w:after="0" w:line="23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commenced a three-year time charter with CNTIC VPower in October 2020 and which will terminate in October 2023. The charterer may extend the term of the charter by two additional periods of one year, provided that the charterer gives advance notice.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commenced a one-year charter with Cheniere in June 2021 and will terminate in June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Rita Andrea’s</w:t>
      </w:r>
      <w:r>
        <w:rPr>
          <w:rFonts w:ascii="Arial" w:cs="Arial" w:eastAsia="Arial" w:hAnsi="Arial"/>
          <w:sz w:val="18"/>
          <w:szCs w:val="18"/>
          <w:color w:val="auto"/>
        </w:rPr>
        <w:t xml:space="preserve"> current time charter with Gunvor will terminate in September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Hire Rate Provisions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“Hire rate” refers to the basic payment from the customer for use of the ship. Under all of our time charters, the hire rate is payable to us monthly in advance in U.S. dollars.</w:t>
      </w:r>
    </w:p>
    <w:p>
      <w:pPr>
        <w:spacing w:after="0" w:line="170"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 xml:space="preserve">The hire rates provided for under the time charters for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Greece</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Glasgow</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Geneva</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Gibraltar</w:t>
      </w:r>
      <w:r>
        <w:rPr>
          <w:rFonts w:ascii="Arial" w:cs="Arial" w:eastAsia="Arial" w:hAnsi="Arial"/>
          <w:sz w:val="17"/>
          <w:szCs w:val="17"/>
          <w:color w:val="auto"/>
        </w:rPr>
        <w:t>, the</w:t>
      </w:r>
      <w:r>
        <w:rPr>
          <w:rFonts w:ascii="Arial" w:cs="Arial" w:eastAsia="Arial" w:hAnsi="Arial"/>
          <w:sz w:val="17"/>
          <w:szCs w:val="17"/>
          <w:i w:val="1"/>
          <w:iCs w:val="1"/>
          <w:color w:val="auto"/>
        </w:rPr>
        <w:t xml:space="preserve"> Methane Heather Sally</w:t>
      </w:r>
      <w:r>
        <w:rPr>
          <w:rFonts w:ascii="Arial" w:cs="Arial" w:eastAsia="Arial" w:hAnsi="Arial"/>
          <w:sz w:val="17"/>
          <w:szCs w:val="17"/>
          <w:color w:val="auto"/>
        </w:rPr>
        <w:t>, the</w:t>
      </w:r>
      <w:r>
        <w:rPr>
          <w:rFonts w:ascii="Arial" w:cs="Arial" w:eastAsia="Arial" w:hAnsi="Arial"/>
          <w:sz w:val="17"/>
          <w:szCs w:val="17"/>
          <w:i w:val="1"/>
          <w:iCs w:val="1"/>
          <w:color w:val="auto"/>
        </w:rPr>
        <w:t xml:space="preserve"> Methane Rita Andrea</w:t>
      </w:r>
      <w:r>
        <w:rPr>
          <w:rFonts w:ascii="Arial" w:cs="Arial" w:eastAsia="Arial" w:hAnsi="Arial"/>
          <w:sz w:val="17"/>
          <w:szCs w:val="17"/>
          <w:color w:val="auto"/>
        </w:rPr>
        <w:t>, the</w:t>
      </w:r>
      <w:r>
        <w:rPr>
          <w:rFonts w:ascii="Arial" w:cs="Arial" w:eastAsia="Arial" w:hAnsi="Arial"/>
          <w:sz w:val="17"/>
          <w:szCs w:val="17"/>
          <w:i w:val="1"/>
          <w:iCs w:val="1"/>
          <w:color w:val="auto"/>
        </w:rPr>
        <w:t xml:space="preserve"> Methane Shirley Elisabeth</w:t>
      </w:r>
      <w:r>
        <w:rPr>
          <w:rFonts w:ascii="Arial" w:cs="Arial" w:eastAsia="Arial" w:hAnsi="Arial"/>
          <w:sz w:val="17"/>
          <w:szCs w:val="17"/>
          <w:color w:val="auto"/>
        </w:rPr>
        <w:t>, the</w:t>
      </w:r>
      <w:r>
        <w:rPr>
          <w:rFonts w:ascii="Arial" w:cs="Arial" w:eastAsia="Arial" w:hAnsi="Arial"/>
          <w:sz w:val="17"/>
          <w:szCs w:val="17"/>
          <w:i w:val="1"/>
          <w:iCs w:val="1"/>
          <w:color w:val="auto"/>
        </w:rPr>
        <w:t xml:space="preserve"> Methane Jane Elizabeth</w:t>
      </w:r>
      <w:r>
        <w:rPr>
          <w:rFonts w:ascii="Arial" w:cs="Arial" w:eastAsia="Arial" w:hAnsi="Arial"/>
          <w:sz w:val="17"/>
          <w:szCs w:val="17"/>
          <w:color w:val="auto"/>
        </w:rPr>
        <w:t>, the</w:t>
      </w:r>
      <w:r>
        <w:rPr>
          <w:rFonts w:ascii="Arial" w:cs="Arial" w:eastAsia="Arial" w:hAnsi="Arial"/>
          <w:sz w:val="17"/>
          <w:szCs w:val="17"/>
          <w:i w:val="1"/>
          <w:iCs w:val="1"/>
          <w:color w:val="auto"/>
        </w:rPr>
        <w:t xml:space="preserve"> Methane Alison Victoria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Methane Becki Anne </w:t>
      </w:r>
      <w:r>
        <w:rPr>
          <w:rFonts w:ascii="Arial" w:cs="Arial" w:eastAsia="Arial" w:hAnsi="Arial"/>
          <w:sz w:val="17"/>
          <w:szCs w:val="17"/>
          <w:color w:val="auto"/>
        </w:rPr>
        <w:t>include only one</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that is a fixed daily amount that increases during any option period.</w:t>
      </w:r>
    </w:p>
    <w:p>
      <w:pPr>
        <w:sectPr>
          <w:pgSz w:w="11900" w:h="16838" w:orient="portrait"/>
          <w:cols w:equalWidth="0" w:num="1">
            <w:col w:w="9900"/>
          </w:cols>
          <w:pgMar w:left="980" w:top="517"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 xml:space="preserve">Under the time charter for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vessel is under a variable market-related structure calculated from the average of three broker reports. The rate is assessed based on each voyage the ship performs. This type of hire rate structure has a floor and a ceiling.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Under the time charter for the </w:t>
      </w:r>
      <w:r>
        <w:rPr>
          <w:rFonts w:ascii="Arial" w:cs="Arial" w:eastAsia="Arial" w:hAnsi="Arial"/>
          <w:sz w:val="17"/>
          <w:szCs w:val="17"/>
          <w:i w:val="1"/>
          <w:iCs w:val="1"/>
          <w:color w:val="auto"/>
        </w:rPr>
        <w:t>Solaris</w:t>
      </w:r>
      <w:r>
        <w:rPr>
          <w:rFonts w:ascii="Arial" w:cs="Arial" w:eastAsia="Arial" w:hAnsi="Arial"/>
          <w:sz w:val="17"/>
          <w:szCs w:val="17"/>
          <w:color w:val="auto"/>
        </w:rPr>
        <w:t>, the vessel is managed by a subsidiary of Shell and such entity covers operating costs.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the hire rate includes only one component that is a fixed daily amount equivalent to the capital cost component.</w:t>
      </w:r>
    </w:p>
    <w:p>
      <w:pPr>
        <w:spacing w:after="0" w:line="21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hire rates for each of our ships may be reduced if the ship does not perform to certain of its specifications or if we breach our obligations under the charter.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whilst for the spot ships we take advantage of (any) period between charters to perform the required maintenance. Our ships are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ships are dry-docked at least once every five years for a special survey as required by the ship’s classification society. Ships are considered to be on a scheduled off-hire under our time charters during such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22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 xml:space="preserve">Under our time charters, we are responsible for the technical management of the majority of our ships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is managed by Shell). Technical management includes the engagement and provision of qualified crews, employment of armed guards for transport in certain high-risk areas, maintaining the ship, arranging supply of stores and equipment, cleaning and painting and ensuring compliance with applicable regulations, including licensing and certification requirements, as well as for dry-docking expenses. We provide these management services through technical management agreements with GasLog LNG Services, a wholly-owned subsidiary of GasLog. See “Item 7. Major Unitholders and Related Party Transactions—B. Related Party Transactions—Ship Management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Cancellation</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charterers have the option to terminate a charter if the relevant ship is off-hire for any reason other than scheduled dry-docking. The number of off-hire days which trigger this option varies dependent on the terms of the individual charter parties.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Bareboat Charters</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 xml:space="preserve">On October 26, 2021, GasLog Partners’ subsidiary, GAS-three Ltd., completed the sale and leaseback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with CDBL. The vessel was sold and leased back under a bareboat charter for a period of five years, with no repurchase option or obligation. The vessel remains on its charter with Gunvor.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60" w:firstLine="324"/>
        <w:spacing w:after="0" w:line="308" w:lineRule="auto"/>
        <w:rPr>
          <w:sz w:val="20"/>
          <w:szCs w:val="20"/>
          <w:color w:val="auto"/>
        </w:rPr>
      </w:pPr>
      <w:r>
        <w:rPr>
          <w:rFonts w:ascii="Arial" w:cs="Arial" w:eastAsia="Arial" w:hAnsi="Arial"/>
          <w:sz w:val="17"/>
          <w:szCs w:val="17"/>
          <w:color w:val="auto"/>
        </w:rPr>
        <w:t>We operate in markets that are highly competitive and based primarily on supply and demand. Generally, competition for LNG time charters is based primarily on charter party terms including price, ship availability, size, age, technical specifications and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condition, LNG shipping experience, quality and efficiency of ship operations including level of emissions, shipping industry relationships and reputation for customer service, and technical ability and reputation for operation of highly specialized ships. Nine of our vessels (five Steam and four TFDE) operate in the spot charter market that covers short-term charters of less than five years. In the future, more of our vessels may operate in the more volatile spot charter market.</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Although we believe that the GasLog Group is one of a small number of large independent owners who focus primarily on newly-built,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w:t>
      </w:r>
    </w:p>
    <w:p>
      <w:pPr>
        <w:spacing w:after="0" w:line="18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231F20"/>
        </w:rPr>
        <w:t>In addition to independent owners, some of the major oil and gas producers own LNG carriers and, in the recent past, they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Seagoing and Shore-Based Employees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do not directly employ any on-shore or seagoing employees. The services of our executive officers and other employees are provided pursuant to the administrative services agreement, under which we pay an annual fee. As of December 31, 2021, GasLog employed (directly and through manning agents) approximately 2,247 seafaring staff who serve on GasLog’s owned and managed vessels (including our fleet) as well as 150 shore-based staff.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9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LNG marine transportation is a specialized area requiring technically skilled officers and personnel with specialized training. We and GasLog regard attracting and retaining motivated, well-qualified seagoing and shore-based personnel as a top priority, and GasLog offers its people competitive compensation packages. As a result, GasLog has historically enjoyed high retention rates. In 2021, GasLog’s retention rate was 95.6% for senior seagoing officers, 96.8% for other seagoing officers and 95.6% for shore staff.</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 trained crew are available to GasLog. However, we and GasLog expect that the impact of cost increases and increased competition would be mitigated to some extent by the continuous evolution and adjustment of the GasLog salary and benefit structure and by certain provisions in our time charters, including automatic periodic adjustment and cost review provisions.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Every large, commercial seagoing ship must be “classed” by a classification society. The classification society certifies that the ship is “in class”, signifying that the ship has been built and subsequently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66"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typically completed between the second and third years of every five-year cycle, and comprehensive special surveys (also known as class renewal surveys) that are completed at each fifth anniversary of the ship’s delivery. According to class, vessels 15 years of age or over will be subject to special consideration and approval by Class ABS based on the vessel’s survey status before being permitted to have an Intermediate underwater inspection in Lieu of dry-docking (UWILD) instead of out of water dry-docking survey. Basis our maintenance standards and the condition of the vessels we expect we will be able to retain the five year cycle of dry-docking and maintain this assumption for budgeting and operations planning.</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All areas subject to surveys as defined by the classification society are required to be surveyed at least once per five-year class cycle, unless shorter intervals between surveys are otherwise prescribed.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surveys. We expect that the dry-docking schedule for the vessels which we have the option to purchase from GasLog will, for the foreseeable future, follow the same schedule as our current fleet.</w:t>
      </w:r>
    </w:p>
    <w:p>
      <w:pPr>
        <w:spacing w:after="0" w:line="195"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Most insurance underwriters make it a condition for insurance coverage that a ship be certified as “in class” by a classification society that is a member of the International Association of Classification Societies. The vessels in our fleet are each certified by the American Bureau of Shipping. Each ship has been awarded International Safety Management certification and is currently “in class”.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lists the years in which we expect to carry out the next or initial dry-dockings and special surveys for our fleet:</w:t>
      </w:r>
    </w:p>
    <w:p>
      <w:pPr>
        <w:spacing w:after="0" w:line="24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Dry-docking</w:t>
            </w:r>
          </w:p>
        </w:tc>
        <w:tc>
          <w:tcPr>
            <w:tcW w:w="0" w:type="dxa"/>
            <w:vAlign w:val="bottom"/>
          </w:tcPr>
          <w:p>
            <w:pPr>
              <w:spacing w:after="0"/>
              <w:rPr>
                <w:sz w:val="1"/>
                <w:szCs w:val="1"/>
                <w:color w:val="auto"/>
              </w:rPr>
            </w:pPr>
          </w:p>
        </w:tc>
      </w:tr>
      <w:tr>
        <w:trPr>
          <w:trHeight w:val="148"/>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Ship Name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Special Survey</w:t>
            </w:r>
          </w:p>
        </w:tc>
        <w:tc>
          <w:tcPr>
            <w:tcW w:w="0" w:type="dxa"/>
            <w:vAlign w:val="bottom"/>
          </w:tcPr>
          <w:p>
            <w:pPr>
              <w:spacing w:after="0"/>
              <w:rPr>
                <w:sz w:val="1"/>
                <w:szCs w:val="1"/>
                <w:color w:val="auto"/>
              </w:rPr>
            </w:pPr>
          </w:p>
        </w:tc>
      </w:tr>
      <w:tr>
        <w:trPr>
          <w:trHeight w:val="209"/>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Santiago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GasLog Sydney</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Alison Victoria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Methane Shirley Elisabeth</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Heather Sally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Methane Becki Anne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Rita Andrea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Insurance and Risk Management</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cyber-attack, political circumstances in foreign countries, hostilities and labor strikes. In addition, there is always an inherent possibility of marine disaster, including collision, explosion, spills and other environmental mishaps, and the liabilities arising from owning and operating ships in international trade.</w:t>
      </w:r>
    </w:p>
    <w:p>
      <w:pPr>
        <w:spacing w:after="0" w:line="18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maintain hull and machinery insurance on all our ships against marine and war risks at a Total Loss limit amount determined by the most recent brokers’ valuation and our mortgage’s insurance covenants, as deemed to be prudent. In addition, we maintain protection and indemnity insurance on all our ships up to the maximum insurable limit available at any given time by the International Group of P&amp;I Clubs. We also maintain cyber insurance coverage on all of our ships. The insurance coverage is described in more detail below. While we believe that our insurance coverage will be adequate, not all risks can be insured, and there can be no</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guarantee that we will always be able to obtain adequate insurance coverage at reasonable rates or at all, or that any specific claim we may make under our insurance coverage will be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Marine Risks Insurance and Hull &amp; Machinery War Risks Insurance</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maintain hull and machinery marine risks insurance and hull and machinery war risks insurance on our ships, which cover loss of or damage to a ship due to marine perils such as collisions, fire or lightning, and the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Hire Insurance/Delay Insurance</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have obtained loss of hire insurance to protect us against loss of income as a result of the ship being off-hire or otherwise suffering a loss of operational time for events falling under the terms of our hull and machinery/war insurance. Under our loss of hire policy, our insurer will pay us the hire rate agreed in respect of each ship for each day, in excess of a certain number of deductible days, for the time that the ship is out of service as a result of damage, up to a maximum of 90 days. The number of deductible days for the ships in our fleet is 14 days per ship. In addition to the loss of hire insurance, we also place delay insurance which, like loss of hire, covers all owned vessels for time lost due to events falling under the terms of our hull and machinery insurance, plus additional protection and indemnity related incidents. The cover has a deductible of seven days with a maximum of seven days (which takes it up to the loss of hire deductible of 14 days) for H&amp;M losses, two days with a maximum of 12 days for ship-related perils, and a maximum of 5 days for shoreside perils. The hire rate is aligned with the loss of hire insurance daily sum insured. As of July 1, 2021, the delay insurers inserted a Communicable Disease Exclusion clause to exclude losses arising out of pandemia (i.e. COVID-19).</w:t>
      </w:r>
    </w:p>
    <w:p>
      <w:pPr>
        <w:spacing w:after="0" w:line="168"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Additionally, we buy war loss of hire and kidnap and ransom insurance when our ships are ordered to sail through West Africa, the Indian Ocean and Gulf of Aden to insure against potential losses relating to the hijacking of a ship and its crew by pirates.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Protection and indemnity insurance is typically provided by a protection and indemnity association, or “P&amp;I association”, and covers third-party liability, crew liability and other related expenses resulting from illness,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protection and indemnity insurance covering our ships is provided by a P&amp;I association that is a member of the International Group of Protection and Indemnity Clubs, or “International Group”. The thirteen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protection and indemnity insurance is currently subject to limits of $3 billion per ship per event in respect of liability to passengers and seamen, $2 billion per ship per event in respect of liability to passengers and $1 billion per ship per event in respect of liability for oil pollution.</w:t>
      </w:r>
    </w:p>
    <w:p>
      <w:pPr>
        <w:spacing w:after="0" w:line="184"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For claims falling in excess of the above figures, the General Excess of Loss Reinsurance Programme of the International Group purchase a ‘collective overspill reinsurance’ to provide protection in respect of claims exceeding the upper cover limit.</w:t>
      </w:r>
    </w:p>
    <w:p>
      <w:pPr>
        <w:spacing w:after="0" w:line="146"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Insurance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We have insurance coverage for cyber-related vessel hull &amp; machinery risks. Our policy covers physical damage to any of our vessels up to $50 million per vessel with a fleet aggregate limit of $150 million.</w:t>
      </w:r>
    </w:p>
    <w:p>
      <w:pPr>
        <w:spacing w:after="0" w:line="17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During 2021, we purchased an additional cyber product which compliments the existing vessel hull &amp; machinery cyber cover for losses in excess of $100,000 and up to $10 million and provides coverage irrespective of cause (malicious act, terror or negligence) for the core Enterprise risks including:</w:t>
      </w:r>
    </w:p>
    <w:p>
      <w:pPr>
        <w:spacing w:after="0" w:line="184" w:lineRule="exact"/>
        <w:rPr>
          <w:sz w:val="20"/>
          <w:szCs w:val="20"/>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Cyber Defense Costs and Remediation costs (including public relation costs as remediation costs)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for repair/replacement of Loss or Damage to IT Assets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Data Restoration costs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Personal Data Loss costs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Revenue (does not need to be caused by a Physical damage event)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Cyber Crime – Illegal/unlawful demands (ransom)</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Cyber Crime – E-theft financial Loss (instructions for transfer of money, credit, securities etc.)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provides pre-risk assessment and advice that may reduce GasLog’s cyber exposure and chance of claim.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Performance</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GasLog provides intensive onboard training for its officers and crews to instill a culture of the highest operational and safety standards. During 2021, GasLog’s fleet experienced 1 recordable injury and 6 first aid cases.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22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the cost of our doing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for our insurance coverage reduction.</w:t>
      </w:r>
    </w:p>
    <w:p>
      <w:pPr>
        <w:spacing w:after="0" w:line="18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We believe that our ships are operated in material compliance with applicable environmental laws and regulations and that our ships in operation have all material permits, licenses, certificates or other authorizations necessary for the conduct of our operations. In fact, each of our ships have received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predict accurately the ultimate cost of complying with these requirements or the impact of these requirements on the resale value or useful lives of our ships. </w:t>
      </w:r>
      <w:r>
        <w:rPr>
          <w:rFonts w:ascii="Arial" w:cs="Arial" w:eastAsia="Arial" w:hAnsi="Arial"/>
          <w:sz w:val="16"/>
          <w:szCs w:val="16"/>
          <w:color w:val="231F20"/>
        </w:rPr>
        <w:t>Moreover, additional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231F20"/>
        </w:rPr>
        <w:t>legislation or regulation applicable to the operation of our ships that may be implemented in the future, such as in response to a serious marine incident like the 2010 Deepwater Horizon oil spill in the Gulf of Mexico, could negatively affect our profitability.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Regulations</w:t>
      </w:r>
    </w:p>
    <w:p>
      <w:pPr>
        <w:spacing w:after="0" w:line="22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 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meets these requirements. GasLog LNG Services is also subject to the International Code for Construction and Equipment of Ships Carrying Liquefied Gases in Bulk (the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39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January 2022, SOLAS 1974 had 167 contracting states, which flag about 99.9% of merchant ships around the world in terms of gross tonnage. SOLAS in its successive forms is generally regarded as the most important of all international maritime laws concerning the safety of merchant ships.</w:t>
      </w:r>
    </w:p>
    <w:p>
      <w:pPr>
        <w:spacing w:after="0" w:line="19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STCW 1978 was adopted on July 7, 1978 and entered into force on April 28, 1984. The main purpose of the Convention is to promote safety of life and property at sea and the protection of the marine environment by establishing in common agreement international standards of training, certification and watchkeeping for seafarers. The Manila amendments to the STCW Convention and Code were adopted on June 25, 2010, marking a major revision of the STCW Convention and Code. The 2010 amendments were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19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(“MEPC”), of the IMO approved amendments to Annex VI regarding particulate matter, nitrogen oxide and sulfur oxide emissions standards. These amendments became effective in July 2010. These requirements establish a series of progressive standards to further limit the sulfur content in fuel oil, (which phased in between 2012 and 2020), as well as new tiers of nitrogen oxide emission standards for new marine diesel engines, depending on their date of installation. As of January 1, 2020, ships must either use low sulfur fuel (potentially including undertaking necessary fuel tank modification) to comply with a global sulfur cap of 0.5 percent m/m or be filled with exhaust gas scrubbers. Additionally, more stringent emission standards could apply in coastal areas designated as Emission Control Areas, or “ECAs”. For example, IMO “Tier III” emission standards for nitrous oxide apply in North American and U.S. Caribbean Sea ECAs to all marine diesel engines installed on a ship constructed after January 1, 2016. The European Union Directive 2005/33/EC, which became effective on January 1, 2010, parallels Annex VI and requires ships to use reduced sulfur content fuel for their main and auxiliary engines. Our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fleet complies with the relevant legislation and has the relevant certificates, including certificates evidencing compliance with Annex VI of the MARPOL Convention.</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Although the United States is not a party, many countries have ratified the International Convention on Civil Liability for Oil Pollution Damage, 1969, as amended,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IMO also has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ships that satisfies these requirements.</w:t>
      </w:r>
    </w:p>
    <w:p>
      <w:pPr>
        <w:spacing w:after="0" w:line="188"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Non-compliance with the ISM Code or with other IMO regulations may subject a ship owner or bareboat charterer to increased liability, may lead to decreases in available insurance coverage for affected ships and may result in the denial of access to, or detention in, some ports, including United States and European Union ports. Non-compliance with the ISM Code or other IMO regulations may subject a shipowner or bareboat charterer to increased liability, may lead to decreases in available insurance coverage for affected ships and may result in the denial of access to, or detention in, some ports, including ports in the United States and Europe.</w:t>
      </w:r>
    </w:p>
    <w:p>
      <w:pPr>
        <w:spacing w:after="0" w:line="151" w:lineRule="exact"/>
        <w:rPr>
          <w:sz w:val="20"/>
          <w:szCs w:val="20"/>
          <w:color w:val="auto"/>
        </w:rPr>
      </w:pPr>
    </w:p>
    <w:p>
      <w:pPr>
        <w:ind w:right="20" w:firstLine="324"/>
        <w:spacing w:after="0" w:line="246" w:lineRule="auto"/>
        <w:rPr>
          <w:sz w:val="20"/>
          <w:szCs w:val="20"/>
          <w:color w:val="auto"/>
        </w:rPr>
      </w:pPr>
      <w:r>
        <w:rPr>
          <w:rFonts w:ascii="Arial" w:cs="Arial" w:eastAsia="Arial" w:hAnsi="Arial"/>
          <w:sz w:val="16"/>
          <w:szCs w:val="16"/>
          <w:color w:val="auto"/>
        </w:rPr>
        <w:t>The Maritime Labour Convention (“MLC”) 2006 was adopted by the International Labour Conference at its 94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(Maritime) Session (2006), establishing minimum working and living conditions for seafarers. The convention entered into force August 20, 2013, whilst amendments were approved by the International Labour Conference at its 103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Session (2014). The convention establishes a single, coherent instrument embodying as far as possible all up-to-date standards of existing international maritime labour conventions and recommendations, as well as the fundamental principles to be found in other international labour conventions.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Oil Pollution Act and CERCLA</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operations are subject to the OPA, which establishes an extensive regulatory and liability regime for environmental protection and cleanup of oil spills, and the Comprehensive Environmental Response, Compensation and Liability Act, or “CERCLA”, which imposes liability on owners and operators of ships for cleanup and natural resource damage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As of February 22, 2021, OPA currently limits the liability of responsible parties with respect to ships over 3,000 gross tons to the greater of $2,300 per gross ton or $19,943,400 per double hull ship and permits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over 300 gross tons carrying a hazardous substance as cargo and the greater of $300 per gross ton or $0.5 million for any other ship over 300 gross tons.</w:t>
      </w:r>
    </w:p>
    <w:p>
      <w:pPr>
        <w:spacing w:after="0" w:line="17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such as the Deepwater Horizon oil spill, could result in amendments to these limitations or other regulatory changes in the future. We maintain the maximum pollution liability coverage amount of $1 billion per incident for our ships. We also believe that we will be in substantial compliance with OPA, CERCLA and all applicable state regulations in the ports where our ships will call.</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each of the vessels included in our fleet. We intend to obtain such certificates in the future for each of our vessels, if required to have them.</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Clean Water Act</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U.S. Clean Water Act of 1972, (the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7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United States Environmental Protection Agency, (the “EPA”), has enacted rules requiring ballast water discharges and other discharges incidental to the normal operation of certain ships within United States waters to be authorized under the Ship General Permit for Discharges Incidental to the Normal Operation of Ships, (the “VGP”). To be covered by the VGP, owners of certain ships must submit a Notice of Intent,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includes numeric effluent limits for ballast water expressed as the maximum concentration of living organisms in ballast water. The VGP also imposes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(“VIDA”), enacted on December 4, 2018, requires the EPA and Coast Guard to develop new performance standards and enforcement regulations and extends the 2013 VGP provisions until new regulations are final and enforceable. We have submitted NOIs for our fleet and intend to submit NOIs for our ships in the future, where required, and do not believe that the costs associated with obtaining and complying with the VGP will have a material impact on our operations.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Clean Air Act</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U.S. Clean Air Act of 1970, as amended by the Clean Air Act Amendments of 1977 and 1990, (the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w:t>
      </w:r>
    </w:p>
    <w:p>
      <w:pPr>
        <w:spacing w:after="0" w:line="19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CAA also requires states to adopt State Implementation Plans, or “SIPs”,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 (mass by mass)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Initiatives</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U.S. Coast Guard regulations adopted under the U.S. National Invasive Species Act,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(“BWMS”), became effective. The rule requires installation of Coast Guard approved BWMS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165"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At the international level, the IMO adopted an International Convention for the Control and Management of Ships’ Ballast Water and Sediments in February 2004, (the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dry-dock of all remaining ships. The programme and required funds have been included in our future planning to ensure the fleet remains compliant at all times.</w:t>
      </w:r>
    </w:p>
    <w:p>
      <w:pPr>
        <w:spacing w:after="0" w:line="17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vessels may also become subject to the International Convention on Liability and Compensation for Damage in Connection with the Carriage of Hazardous and Noxious Substances by Sea, 1996 as amended by the Protocol to the HNS Convention, adopted in April 2010, or “HNS Convention”, if it is entered into force. The HNS Convention creates a regime of liability and compensation for damage from hazardous and noxious substances, or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Greenhouse Gas Regulations</w:t>
      </w:r>
    </w:p>
    <w:p>
      <w:pPr>
        <w:spacing w:after="0" w:line="225"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2012 and have been implemented by the Partnership as well. The IMO is also considering the development of a market-based mechanism for greenhouse gas emissions from ships, but it is difficult to predict the likelihood that such a standard might be adopted or its potential impact on our operations at this time.</w:t>
      </w:r>
    </w:p>
    <w:p>
      <w:pPr>
        <w:spacing w:after="0" w:line="19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Meeting in a remote session in June 2021 (MEPC 76), MEPC finalized and adopted amendments to the International Convention for the Prevention of Pollution from Ships (“MARPOL”) Annex VI that will require ships to reduce their GHG emissions. These amendments combine technical and operational approaches to improve the energy efficiency of ships and provide important building blocks for future GHG reduction measures. These amendments are expected to enter into force on November 1, 2022 with the requirements for Energy Efficiency Existing Ships Index (“EEXI”) and Carbon Intensity Index (“CII”) certification coming into effect on January 1, 2023. The EEXI, which indicates the energy efficiency of a ship compared to a baseline, will be implemented for existing ships as technical measures to reduce CO2 emissions. The CII will be calculated annually and implemented as an operational carbon intensity measure to benchmark and improve efficiency. The regulations and framework will be reviewed by January 1, 2026.</w:t>
      </w:r>
    </w:p>
    <w:p>
      <w:pPr>
        <w:spacing w:after="0" w:line="16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European Union has indicated in the past that it intends to propose an expansion of the existing European Union emissions trading scheme to include emissions of greenhouse gases from marine ships. The EU MRV Regulation (Monitoring, Reporting, Verification), entered into force on July 1, 2015, requires large vessels entering European Union ports to monitor, report and verify their carbon dioxide emissions as of January 1, 2018. In the United States, the EPA has adopted regulations under the CAA to limit greenhouse gas emissions from certain mobile sources, although these requirements do not currently apply to greenhouse gas emissions from ships. In addition, the International Paris Agreement, which entered into force on November 4, 2016, establishes a framework for reducing global greenhouse gas emissions designed to take effect by 2020, with the goal of holding the increase in global average temperature to well below 2 degrees Celsius and pursuing efforts to limit the increase to 1.5 degrees Celsius. Although</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Paris Agreement does not specifically require controls </w:t>
      </w:r>
      <w:r>
        <w:rPr>
          <w:rFonts w:ascii="Arial" w:cs="Arial" w:eastAsia="Arial" w:hAnsi="Arial"/>
          <w:sz w:val="18"/>
          <w:szCs w:val="18"/>
          <w:color w:val="231F20"/>
        </w:rPr>
        <w:t>on shipping or other industries, it is possible that countries or groups of</w:t>
      </w:r>
      <w:r>
        <w:rPr>
          <w:rFonts w:ascii="Arial" w:cs="Arial" w:eastAsia="Arial" w:hAnsi="Arial"/>
          <w:sz w:val="18"/>
          <w:szCs w:val="18"/>
          <w:color w:val="auto"/>
        </w:rPr>
        <w:t xml:space="preserve"> </w:t>
      </w:r>
      <w:r>
        <w:rPr>
          <w:rFonts w:ascii="Arial" w:cs="Arial" w:eastAsia="Arial" w:hAnsi="Arial"/>
          <w:sz w:val="18"/>
          <w:szCs w:val="18"/>
          <w:color w:val="231F20"/>
        </w:rPr>
        <w:t>countries will seek to impose such controls in the future. Any passage of climate control legislation or other regulatory initiatives by the IMO, the European Union, the United States or other countries where we operate, or any treaty adopted or amended at the international level that restricts emissions of greenhouse gases could require us to make significant expenditures that we cannot predict with certainty at this time.</w:t>
      </w:r>
    </w:p>
    <w:p>
      <w:pPr>
        <w:spacing w:after="0" w:line="188"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believe that LNG carriers, which have the inherent ability to burn natural gas to power the ship, and in particular LNG carriers like certain of our vessels that utilize fuel-efficient diesel electric propulsion, can be considered among the cleanest of large ships in terms of emissions and very adaptable to the usage of newly developed lower and/or zero emission fuels.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Security Regulations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 number of initiatives have been introduced in recent years intended to enhance ship security. On November 25, 2002, the Maritime Transportation Security Act of 2002,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(“ISPS Code”). Among the various requirements are:</w:t>
      </w:r>
    </w:p>
    <w:p>
      <w:pPr>
        <w:spacing w:after="0" w:line="177" w:lineRule="exact"/>
        <w:rPr>
          <w:sz w:val="20"/>
          <w:szCs w:val="20"/>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on-board installation of automatic information systems to enhance ship-to-ship and ship-to-shore communications;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on-board installation of ship security alert systems;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development of ship security plans;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compliance with flag state security certification requirements.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The U.S. Coast Guard regulations, intended to align with international maritime security standards, exempt non-U.S. ships from MTSA ship security measures, provided such ships have on </w:t>
      </w:r>
      <w:r>
        <w:rPr>
          <w:rFonts w:ascii="Arial" w:cs="Arial" w:eastAsia="Arial" w:hAnsi="Arial"/>
          <w:sz w:val="18"/>
          <w:szCs w:val="18"/>
          <w:color w:val="231F20"/>
        </w:rPr>
        <w:t>board a valid “International Ship Security Certificate” that attests to the</w:t>
      </w:r>
      <w:r>
        <w:rPr>
          <w:rFonts w:ascii="Arial" w:cs="Arial" w:eastAsia="Arial" w:hAnsi="Arial"/>
          <w:sz w:val="18"/>
          <w:szCs w:val="18"/>
          <w:color w:val="auto"/>
        </w:rPr>
        <w:t xml:space="preserve"> </w:t>
      </w:r>
      <w:r>
        <w:rPr>
          <w:rFonts w:ascii="Arial" w:cs="Arial" w:eastAsia="Arial" w:hAnsi="Arial"/>
          <w:sz w:val="18"/>
          <w:szCs w:val="18"/>
          <w:color w:val="231F20"/>
        </w:rPr>
        <w:t>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 Islands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Because we and our subsidiaries do not and will not conduct business or operations in the Republic of the Marshall Islands, neither we nor our subsidiaries will be subject to income, capital gains, profits or other taxation in the Republic of the Marshall Islands under current Marshall Islands law, and we do not expect this to change in the future. As a result, distributions we receive from the operating subsidiaries are not expected to be subject to Marshall Islands taxation.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following discussion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units or Preference Units that may be applicable to you.</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In General</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have elected to be treated as a corporation for U.S. federal income tax purposes. As such, except as provided below, we will be subject to U.S. federal income tax on our income to the extent such income is from U.S. sources or is otherwise “effectively connected” with the conduct of a trade or business in the United States.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U.S. Taxation of Our Subsidiaries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U.S. Taxation of Shipping Income</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6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25" w:lineRule="exact"/>
        <w:rPr>
          <w:sz w:val="20"/>
          <w:szCs w:val="20"/>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use of ships;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hiring or leasing of ships for use on a time, operating or bareboat charter basis;</w:t>
      </w:r>
    </w:p>
    <w:p>
      <w:pPr>
        <w:spacing w:after="0" w:line="225" w:lineRule="exact"/>
        <w:rPr>
          <w:rFonts w:ascii="Arial" w:cs="Arial" w:eastAsia="Arial" w:hAnsi="Arial"/>
          <w:sz w:val="18"/>
          <w:szCs w:val="18"/>
          <w:color w:val="auto"/>
        </w:rPr>
      </w:pPr>
    </w:p>
    <w:p>
      <w:pPr>
        <w:ind w:left="1000" w:right="240" w:hanging="31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participation in a pool, partnership, strategic alliance, joint operating agreement or other joint venture we directly or indirectly own or participate in that generates such income; or</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performance of services directly related to those uses.</w:t>
      </w:r>
    </w:p>
    <w:p>
      <w:pPr>
        <w:spacing w:after="0" w:line="2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We do not expect to qualify for an exemption from such U.S. federal income tax under a tax treaty nor do we expect to qualify for the exemption under Section 883 of the Code during the 2022 tax year, unless our general partner exercises the “GasLog option”.</w:t>
      </w:r>
    </w:p>
    <w:p>
      <w:pPr>
        <w:spacing w:after="0" w:line="12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6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2021, our U.S. source gross transportation tax was $1.4 million. In addition, our U.S. Source International Transportation Income that is considered to be “effectively connected” with the conduct of a U.S. trade or business is subject to the U.S. corporate income tax currently imposed at rates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U.S. Source International Transportation Income would be considered “effectively connected” with the conduct of a U.S. trade or business only if:</w:t>
      </w:r>
    </w:p>
    <w:p>
      <w:pPr>
        <w:spacing w:after="0" w:line="170" w:lineRule="exact"/>
        <w:rPr>
          <w:sz w:val="20"/>
          <w:szCs w:val="20"/>
          <w:color w:val="auto"/>
        </w:rPr>
      </w:pPr>
    </w:p>
    <w:p>
      <w:pPr>
        <w:ind w:left="680" w:right="160" w:hanging="321"/>
        <w:spacing w:after="0" w:line="277"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we had, or were considered to have, a fixed place of business in the United States involved in the earning of U.S. source gross transportation income; and</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8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Taxation of Gain on Sale of Shipping Assets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Jurisdictions and Additional Information</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additional information regarding the taxation of our subsidiaries, see Note 22 to our audited consolidated financial statements included elsewhere in this annual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GasLog Partners is a publicly traded limited partnership formed in the Marshall Islands on January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151765</wp:posOffset>
            </wp:positionV>
            <wp:extent cx="3806190" cy="3077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0619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As of February 24, 2022, we have 16 subsidiaries, one is incorporated in the Marshall Islands and 15 are incorporated in Bermuda. Of our subsidiaries, 14 own vessels in our fleet. Our subsidiaries are wholly owned by us. A list of our subsidiaries is set forth in Exhibit 8.1 to this annual report.</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Other than our ships, we do not own any material property. Our vessels are subject to priority mortgages, which secure our obligations under our various credit facilities. For information on our vessels, see “Item 4. Information on the Partnership—B. Business Overview—Our Fleet”. For further details regarding our credit facilities, refer to “Item 5. Operating and Financial Review and Prospects —B. Liquidity and Capital Resources—Credit Facilities”.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OPERATING AND FINANCIAL REVIEW AND PROSPECTS</w:t>
      </w:r>
    </w:p>
    <w:p>
      <w:pPr>
        <w:spacing w:after="0" w:line="229"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i w:val="1"/>
          <w:iCs w:val="1"/>
          <w:color w:val="231F20"/>
        </w:rPr>
        <w:t xml:space="preserve">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w:t>
      </w:r>
      <w:r>
        <w:rPr>
          <w:rFonts w:ascii="Arial" w:cs="Arial" w:eastAsia="Arial" w:hAnsi="Arial"/>
          <w:sz w:val="17"/>
          <w:szCs w:val="17"/>
          <w:i w:val="1"/>
          <w:iCs w:val="1"/>
          <w:color w:val="000000"/>
        </w:rPr>
        <w:t>“</w:t>
      </w:r>
      <w:r>
        <w:rPr>
          <w:rFonts w:ascii="Arial" w:cs="Arial" w:eastAsia="Arial" w:hAnsi="Arial"/>
          <w:sz w:val="17"/>
          <w:szCs w:val="17"/>
          <w:i w:val="1"/>
          <w:iCs w:val="1"/>
          <w:color w:val="231F20"/>
        </w:rPr>
        <w:t>Item 3. Key Information—D. Risk Factors</w:t>
      </w:r>
      <w:r>
        <w:rPr>
          <w:rFonts w:ascii="Arial" w:cs="Arial" w:eastAsia="Arial" w:hAnsi="Arial"/>
          <w:sz w:val="17"/>
          <w:szCs w:val="17"/>
          <w:i w:val="1"/>
          <w:iCs w:val="1"/>
          <w:color w:val="000000"/>
        </w:rPr>
        <w:t>”</w:t>
      </w:r>
      <w:r>
        <w:rPr>
          <w:rFonts w:ascii="Arial" w:cs="Arial" w:eastAsia="Arial" w:hAnsi="Arial"/>
          <w:sz w:val="17"/>
          <w:szCs w:val="17"/>
          <w:i w:val="1"/>
          <w:iCs w:val="1"/>
          <w:color w:val="231F20"/>
        </w:rPr>
        <w:t xml:space="preserve"> and elsewhere in this annual report, our actual results may differ materially from those anticipated in these forward-looking statements. Please see the section </w:t>
      </w:r>
      <w:r>
        <w:rPr>
          <w:rFonts w:ascii="Arial" w:cs="Arial" w:eastAsia="Arial" w:hAnsi="Arial"/>
          <w:sz w:val="17"/>
          <w:szCs w:val="17"/>
          <w:i w:val="1"/>
          <w:iCs w:val="1"/>
          <w:color w:val="000000"/>
        </w:rPr>
        <w:t>“</w:t>
      </w:r>
      <w:r>
        <w:rPr>
          <w:rFonts w:ascii="Arial" w:cs="Arial" w:eastAsia="Arial" w:hAnsi="Arial"/>
          <w:sz w:val="17"/>
          <w:szCs w:val="17"/>
          <w:i w:val="1"/>
          <w:iCs w:val="1"/>
          <w:color w:val="231F20"/>
        </w:rPr>
        <w:t>Forward-Looking Statements</w:t>
      </w:r>
      <w:r>
        <w:rPr>
          <w:rFonts w:ascii="Arial" w:cs="Arial" w:eastAsia="Arial" w:hAnsi="Arial"/>
          <w:sz w:val="17"/>
          <w:szCs w:val="17"/>
          <w:i w:val="1"/>
          <w:iCs w:val="1"/>
          <w:color w:val="000000"/>
        </w:rPr>
        <w:t>”</w:t>
      </w:r>
      <w:r>
        <w:rPr>
          <w:rFonts w:ascii="Arial" w:cs="Arial" w:eastAsia="Arial" w:hAnsi="Arial"/>
          <w:sz w:val="17"/>
          <w:szCs w:val="17"/>
          <w:i w:val="1"/>
          <w:iCs w:val="1"/>
          <w:color w:val="231F20"/>
        </w:rPr>
        <w:t xml:space="preserve"> at the beginning of this annual report.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We manage our business and analyze and report our results of operations in a single segment.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231F20"/>
        </w:rPr>
        <w:t>Since our IPO in May 2014, we have been a growth-oriented limited partnership focused on acquiring, owning and operating LNG carriers engaged in LNG transportation under multi-year charters, growing our wholly-owned fleet from three vessels at the time of our IPO to 14 today, nine vessels with modern TFDE propulsion technology and five Steam vessels. In addition, GasLog Partners has leased back under a bareboat charter for a period of five years one TFDE vessel sold to CBDL in October 2021. However, our cost of equity capital has remained elevated for a prolonged period and has prohibited us from raising, on acceptable terms, the capital required to continue growing our assets and our cash flows with the last vessel acquisition completed in April 2019. Since December 31, 2019, a number of increasingly strong negative indicators in the LNG shipping market, exacerbated by the COVID-19 pandemic caused us to record a non-cash impairment loss against four of our five Steam vessels in the year ended December 31, 2020 and all five Steam vessels in the year ended December 31, 2021. On February 6, 2020, in light of reduced expectations for Steam vessel utilization and earnings due to these risks, we announced that GasLog Partners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w:t>
      </w:r>
    </w:p>
    <w:p>
      <w:pPr>
        <w:spacing w:after="0" w:line="18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231F20"/>
        </w:rPr>
        <w:t>Our capital allocation priorities remain focused on reducing our leverage and improving the cash break-even of our fleet to reduce our cost of capital and further enhance the Partnership’s competitive positioning.</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231F20"/>
        </w:rPr>
        <w:t>All of our vessels were contributed to us by, or acquired by us from, GasLog, which controls us through its ownership of our general partner. All vessels have fixed charter terms, with an initial duration of more than six months, expiring between March 2022 and June 2026. Six of our vessels currently operate under long-term time charters (defined as charters with initial duration of more than five years) and nine vessels trade in the short-term spot market (defined as vessels under contracts with initial duration of less than five years). On redelivery, the vessels will operate in the short-term spot market unless we are able to secure new long-term time charters. One of our vessels is chartered to Gunvor under a term charter expiring in November 2022 with a variable rate of hire indexed to broker estimates of LNG shipping spot rates for vessels of the same class and subject to minimum and maximum rates of hire. The charters on three Steam and five TFDE vessels will expire in 2022.</w:t>
      </w:r>
    </w:p>
    <w:p>
      <w:pPr>
        <w:spacing w:after="0" w:line="17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231F20"/>
        </w:rPr>
        <w:t>We intend to grow and/or renew our fleet over time through further acquisitions and/or disposals of LNG carriers and have options and other rights under which we may acquire additional LNG carriers from GasLog, as described below. We believe that such options and rights provide us with significant built-in growth opportunities. We may also consider whether to acquire vessels or other LNG infrastructure assets from shipyards or other owners. However, we cannot assure you that we will make any particular acquisition, renew our fleet or that, as a consequence, we will successfully grow our distributions per common unit. Among other things, our ability to acquire additional LNG carriers or other LNG infrastructure assets will be dependent upon our ability to raise additional equity and debt financing.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Items You Should Consider When Evaluating Our Historical Financial Performance and Assessing Our Future Prospects</w:t>
      </w:r>
    </w:p>
    <w:p>
      <w:pPr>
        <w:spacing w:after="0" w:line="24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231F20"/>
        </w:rPr>
        <w:t>Our results of operations, cash flows and financial position could differ from those that would have resulted if we operated autonomously or as an entity independent of GasLog in the years for which historical financial data is presented below, and such data may not be indicative of our future operating results or financial performance.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You should consider the following facts when evaluating our historical results of operations and assessing our future prospects:</w:t>
      </w:r>
    </w:p>
    <w:p>
      <w:pPr>
        <w:spacing w:after="0" w:line="237" w:lineRule="exact"/>
        <w:rPr>
          <w:sz w:val="20"/>
          <w:szCs w:val="20"/>
          <w:color w:val="auto"/>
        </w:rPr>
      </w:pPr>
    </w:p>
    <w:p>
      <w:pPr>
        <w:ind w:left="680" w:hanging="321"/>
        <w:spacing w:after="0" w:line="288" w:lineRule="auto"/>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231F20"/>
        </w:rPr>
        <w:t xml:space="preserve">Our owned and bareboat fleet consists of 15 LNG carriers. We have nine vessels operating in the short-term spot market (defined as vessels under contracts of an initial duration of less than five years). Furthermore, the long-term charters (defined as charters of an initial duration of more than five years) on one of our TFDE vessels will expire in 2022. </w:t>
      </w:r>
      <w:r>
        <w:rPr>
          <w:rFonts w:ascii="Arial" w:cs="Arial" w:eastAsia="Arial" w:hAnsi="Arial"/>
          <w:sz w:val="16"/>
          <w:szCs w:val="16"/>
          <w:color w:val="231F20"/>
        </w:rPr>
        <w:t>We</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continue to pursue opportunities for new multi-year charters with third parties for all these vessels, but we may have difficulty in securing new charters at attractive rates and durations. We currently expect these vessels to operate in the spot market for a potentially significant period of time. The spot market is highly competitive and subject to significant fluctuations in utilization and charter rates. Furthermore, advances in LNG carrier technology and the relatively large number of new, modern vessels ordered in the last recent years may negatively impact our ability to recharter our vessels trading in the spot and short-term market on attractive rates and may result in lower charter rates and lower levels of utilization for our Steam vessels in particular. If we are unable to secure employment for a vessel, we will not receive any revenues from that</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420"/>
        <w:spacing w:after="0" w:line="277" w:lineRule="auto"/>
        <w:rPr>
          <w:sz w:val="20"/>
          <w:szCs w:val="20"/>
          <w:color w:val="auto"/>
        </w:rPr>
      </w:pPr>
      <w:r>
        <w:rPr>
          <w:rFonts w:ascii="Arial" w:cs="Arial" w:eastAsia="Arial" w:hAnsi="Arial"/>
          <w:sz w:val="18"/>
          <w:szCs w:val="18"/>
          <w:color w:val="231F20"/>
        </w:rPr>
        <w:t>vessel and we will be required to pay expenses necessary to maintain the vessel in proper operating condition as well as to service the debt attached to that vessel.</w:t>
      </w:r>
    </w:p>
    <w:p>
      <w:pPr>
        <w:spacing w:after="0" w:line="170" w:lineRule="exact"/>
        <w:rPr>
          <w:sz w:val="20"/>
          <w:szCs w:val="20"/>
          <w:color w:val="auto"/>
        </w:rPr>
      </w:pPr>
    </w:p>
    <w:p>
      <w:pPr>
        <w:ind w:left="680" w:right="20" w:hanging="321"/>
        <w:spacing w:after="0" w:line="269" w:lineRule="auto"/>
        <w:tabs>
          <w:tab w:leader="none" w:pos="68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231F20"/>
        </w:rPr>
        <w:t xml:space="preserve">Our future capital needs are uncertain and we may need to raise additional funds in the future. </w:t>
      </w:r>
      <w:r>
        <w:rPr>
          <w:rFonts w:ascii="Arial" w:cs="Arial" w:eastAsia="Arial" w:hAnsi="Arial"/>
          <w:sz w:val="17"/>
          <w:szCs w:val="17"/>
          <w:color w:val="231F20"/>
        </w:rPr>
        <w:t>We may need to raise</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additional capital to maintain, replace and expand the operating capacity of our fleet, fund our operations, meet our debt service obligations and pay distributions to our common and preference unitholders. Our future funding requirements will depend on many factors, including the cost and timing of vessel acquisitions, the cost of maintaining our existing fleet, the cost of retrofitting or modifying existing ships as a result of technological advances, changes in applicable environmental or other regulations or standards, customer requirements or otherwise. Despite the fact that we currently have no debt maturities until 2024, our ability to obtain bank financing or to access the debt or equity capital markets may be limited by our financial condition at the time of any such financing or offering, as well as by adverse market conditions that are beyond our control. If we raise additional funds by issuing equity or equity- linked securities, our unitholders may experience dilution or reduced distributions per unit. Inability to secure bank financing or access the capital markets could have a material adverse effect on our business, or financial condition, results of operations and cash flows, including cash available for distributions to our unitholders.</w:t>
      </w:r>
    </w:p>
    <w:p>
      <w:pPr>
        <w:spacing w:after="0" w:line="178" w:lineRule="exact"/>
        <w:rPr>
          <w:rFonts w:ascii="Arial" w:cs="Arial" w:eastAsia="Arial" w:hAnsi="Arial"/>
          <w:sz w:val="17"/>
          <w:szCs w:val="17"/>
          <w:color w:val="auto"/>
        </w:rPr>
      </w:pPr>
    </w:p>
    <w:p>
      <w:pPr>
        <w:ind w:left="680" w:hanging="321"/>
        <w:spacing w:after="0" w:line="290" w:lineRule="auto"/>
        <w:tabs>
          <w:tab w:leader="none" w:pos="6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231F20"/>
        </w:rPr>
        <w:t xml:space="preserve">While our revenues are variable as a function of the utilization and earnings of our vessels trading in the spot and short-term market and under variable rate charters, our costs are largely of a fixed nature. </w:t>
      </w:r>
      <w:r>
        <w:rPr>
          <w:rFonts w:ascii="Arial" w:cs="Arial" w:eastAsia="Arial" w:hAnsi="Arial"/>
          <w:sz w:val="16"/>
          <w:szCs w:val="16"/>
          <w:color w:val="231F20"/>
        </w:rPr>
        <w:t>In 2021, 54% of our revenues were</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earned under long-term charters with an initial duration of more than five years. In 2022, this percentage will be 61%, assuming that we do not enter into any new long-term charters. Our revenues are likely to be more volatile than has historically been the case when substantially all of our fleet operated under such long-term charters. On the other hand, the majority of our costs, comprising vessel operating costs, general and administrative expenses and the costs of servicing our debt, are largely fixed in nature. Consequently, our results of operations and cash flows are likely to be increasingly volatile as a function of the growing share of our revenues which are exposed to the fluctuations of utilization and charter rates in the spot and short-term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Industry Overview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Energy Prices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referenced in “Item 3. Key Information—Risk Factors”, oil prices, as measured by the spot price of Brent crude oil, increased through much of the year, peaking at approximately $86 per barrel in October 2021. Rising oil prices were supported by a global economic recovery as COVID-19 vaccinations were introduced across the world. In addition, the Organization of Petroleum Exporting Countries (“OPEC”) reduced oil output to balance the market’s supply with demand. This combination of broad based economic recovery and oil production reductions led to oil prices ending 2021 at approximately $79 per barrel, an increase of 70% from the end of 2020. In early 2022, spot oil prices have continued to rise higher and as of February 22, 2022 Brent crude oil was quoted at approximately $97 per barrel compared to $78 per barrel at December 31, 2021 and $65 per barrel at the same time last year.</w:t>
      </w:r>
    </w:p>
    <w:p>
      <w:pPr>
        <w:spacing w:after="0" w:line="166"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Global natural gas prices set new record high levels in many parts of the world during 2021. Specifically, natural gas prices in the import regions of Europe, as measured by the Title Transfer Facility (“TTF”), peaked at approximately $60 per million British Thermal Units (“MMBtu”) in December and averaged approximately $16 per MMBtu during the year while in Asia, the Japan Korea Marker (“JKM”) set a new record of approximately $49 per MMBtu in December and averaged approximately $18 per MMBtu in 2021. Meanwhile, gas prices in the United States, as measured by the Henry Hub (“HH”) benchmark, remained relatively low by historical levels, averaging $3.70 per MMBtu although that is 74% higher than the multi-year low of $2.13 per MMBtu set in 2020. Gas prices in Europe and Asia were positively impacted by lower production in these regions and growing demand as economies around the world recovered from COVID-19 related shutdowns enacted in 2020. In addition, a colder than average 2020/21 winter in the Northern Hemisphere drew inventories in Europe and parts of Asia below their 5-year averages to start the year.</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International gas prices have moderated since the beginning of 2021 as procurement for the Northern Hemisphere winter wanes; however, import prices remain well above the levels observed during the same period in 2021. As of February 22, 2022, natural gas prices were quoted at approximately $26 per MMBtu for TTF compared to $6 per MMBtu at the same time last year and at approximately $26 per MMBtu for JKM compared to $6 per MMBtu at the same time last year. By contrast, the price recovery of spot Henry Hub in the U.S., has been less dramatic, quoted at </w:t>
      </w:r>
      <w:r>
        <w:rPr>
          <w:rFonts w:ascii="Arial" w:cs="Arial" w:eastAsia="Arial" w:hAnsi="Arial"/>
          <w:sz w:val="18"/>
          <w:szCs w:val="18"/>
          <w:color w:val="231F20"/>
        </w:rPr>
        <w:t>$4.20 per MMBtu as of February 22, 2022 compared to $2.73 at the same time</w:t>
      </w:r>
      <w:r>
        <w:rPr>
          <w:rFonts w:ascii="Arial" w:cs="Arial" w:eastAsia="Arial" w:hAnsi="Arial"/>
          <w:sz w:val="18"/>
          <w:szCs w:val="18"/>
          <w:color w:val="auto"/>
        </w:rPr>
        <w:t xml:space="preserve"> </w:t>
      </w:r>
      <w:r>
        <w:rPr>
          <w:rFonts w:ascii="Arial" w:cs="Arial" w:eastAsia="Arial" w:hAnsi="Arial"/>
          <w:sz w:val="18"/>
          <w:szCs w:val="18"/>
          <w:color w:val="231F20"/>
        </w:rPr>
        <w:t>last year.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While the majority of LNG volumes are sold under long-term contracts with prices linked to the price of crude oil, we believe that the difference in delivered gas prices between import markets in Asia and the Atlantic Basin and export costs from the U.S. is a significant driver of spot LNG trade, as the differential incentivizes natural gas marketers and buyers to ship LNG over longer distances. The recent rise in Asian and European gas prices referenced above have resulted in a differential currently wide enough to incentivize inter-basin trade and gas price futures imply that the inter-basin arbitrage opportunity may exist periodically in coming months and years, potentially leading to longer voyages for LNG cargoes and, all else equal, increasing the demand for spot LNG shipping.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Supply</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Supply for 2021 totaled 393 mt, an increase of 22 mt or approximately 6% over 2020, according to Poten &amp; Partners Group, Inc. (“Poten”). The U.S. led supply growth in 2021, up by approximately 25 mt or 51% year-over-year due to the ramp-up in supply from new liquefaction trains which came online in H2 20 and 2021 as well as significantly fewer cargo cancellations in 2021 relative to 2020. Meanwhile Nigeria, Trinidad and Norway each registered a decline of over 3 mt or 18%, 29% and 97%, respectively, due to supply issues and/or unplanned downtime. LNG supply is projected to rise 6% to approximately 400 mt in 2022, according to BloombergNEF (“BNEF”). This expected growth is driven by the ramp-up of new supply commissioned in 2021 and new capacity scheduled to come on stream in 2022.</w:t>
      </w:r>
    </w:p>
    <w:p>
      <w:pPr>
        <w:spacing w:after="0" w:line="19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During 2021, 2 new LNG liquefaction projects reached Final Investment Decision (“FID”), Qatar’s North Field Expansion Project which anticipates the construction of 4 new trains with a combined capacity of 33 mtpa as well as Woodside’s Pluto LNG Train 2 in Australia with a capacity of 5 mtpa.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Demand</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the full year 2021, LNG demand was 386 mt compared to approximately 363 mt for the full year 2020, an increase of 6%, according to Poten. Demand growth in 2021 was led by China where demand grew approximately 12 mt or 17% and South Korea where demand grew approximately 7 mt or 16%. This growth was balanced by declines in Europe, where demand declined by approximately 6 mt or 8% and India where demand declined by approximately 2 mt or approximately 7%.Wood Mackenzie forecasts global LNG demand growth of over 88 mt between 2021 and 2026, a compound annual growth of approximately 4%. This growth is expected to be broad-based, with South East Asia (excluding India) accounting for approximately 65% and China, Latin America and India expected to account for 26%, 5% and 9%,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Shipping Rates and Chartering Activity</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231F20"/>
        </w:rPr>
        <w:t>In the LNG shipping spot market, TFDE headline rates, as reported by Clarksons, averaged $89,000 per day in 2021, a 51% increase year-on-year. Wide gas price differentials allowed for arbitrage opportunities for transporting LNG between the Atlantic and Pacific basins for most of the year. Based on forward pricing for LNG in the US and Asia, this trend looks to continue into 2022. According to Poten, 113 term charters between 12 months and seven years were reported in 2021, an increase of 117% over 2020, of which 44 were for TFDE vessels and 18 were for Steam vessels. The term charter market for Steam vessels continues to be significantly less liquid than that for TFDEs.</w:t>
      </w:r>
    </w:p>
    <w:p>
      <w:pPr>
        <w:spacing w:after="0" w:line="19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231F20"/>
        </w:rPr>
        <w:t>Clarksons assesses headline spot rates for TFDE and Steam LNG carriers at $27,500 per day and $10,000 per day, respectively as of February 18, 2022. The COVID related outbreaks around the world continue to create uncertainty regarding near-term demand for LNG. In addition, spot rates may be prone to further periods of seasonality and volatility similar to those seen in recent years. Accordingly, there is no guarantee that LNG shipping spot rates will stay at or near current levels or return to the levels experienced in the fourth quarter of 2021, which could harm our business, financial condition, results of operations and cash flows, including cash available for distributions to unitholders.</w:t>
      </w:r>
    </w:p>
    <w:p>
      <w:pPr>
        <w:spacing w:after="0" w:line="192"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unitholders,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LNG Fleet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 xml:space="preserve">According to Poten, as of January 13, 2022, the global fleet of dedicated LNG carriers (&gt;100,000 cbm) consisted of 582 vessels with another 151 LNG carriers on order, of which 122 vessels (or 79%) have multi-year charters. Poten estimates that a total of 29 LNG carriers are due to be delivered in 2022. In 2021, a record 82 orders for LNG carriers were placed, as estimated by Poten. We believe that the growing global demand for natural gas, especially in Asia, increasing supply from the U.S. and other regions, and other LNG market trends, including </w:t>
      </w:r>
      <w:r>
        <w:rPr>
          <w:rFonts w:ascii="Arial" w:cs="Arial" w:eastAsia="Arial" w:hAnsi="Arial"/>
          <w:sz w:val="17"/>
          <w:szCs w:val="17"/>
          <w:color w:val="231F20"/>
        </w:rPr>
        <w:t>increased trading of LNG, should support the existing order backlog for vessels and should also drive a need for</w:t>
      </w:r>
      <w:r>
        <w:rPr>
          <w:rFonts w:ascii="Arial" w:cs="Arial" w:eastAsia="Arial" w:hAnsi="Arial"/>
          <w:sz w:val="17"/>
          <w:szCs w:val="17"/>
          <w:color w:val="auto"/>
        </w:rPr>
        <w:t xml:space="preserve"> </w:t>
      </w:r>
      <w:r>
        <w:rPr>
          <w:rFonts w:ascii="Arial" w:cs="Arial" w:eastAsia="Arial" w:hAnsi="Arial"/>
          <w:sz w:val="17"/>
          <w:szCs w:val="17"/>
          <w:color w:val="231F20"/>
        </w:rPr>
        <w:t>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spacing w:after="0" w:line="182"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31F20"/>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Our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factors that will affect our future results of operations include:</w:t>
      </w:r>
    </w:p>
    <w:p>
      <w:pPr>
        <w:spacing w:after="0" w:line="225" w:lineRule="exact"/>
        <w:rPr>
          <w:sz w:val="20"/>
          <w:szCs w:val="20"/>
          <w:color w:val="auto"/>
        </w:rPr>
      </w:pPr>
    </w:p>
    <w:p>
      <w:pPr>
        <w:ind w:left="680" w:right="30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supply and demand for LNG shipping services and the number of vessels available in the short-term or spot LNG carrier charter market;</w:t>
      </w:r>
    </w:p>
    <w:p>
      <w:pPr>
        <w:spacing w:after="0" w:line="170"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our ability to secure future employment, at economically attractive rates, for our nine vessels operating in the short term spot market and the one vessel with a long term charter expiring in 2022;</w:t>
      </w:r>
    </w:p>
    <w:p>
      <w:pPr>
        <w:spacing w:after="0" w:line="170" w:lineRule="exact"/>
        <w:rPr>
          <w:rFonts w:ascii="Arial" w:cs="Arial" w:eastAsia="Arial" w:hAnsi="Arial"/>
          <w:sz w:val="18"/>
          <w:szCs w:val="18"/>
          <w:color w:val="auto"/>
        </w:rPr>
      </w:pPr>
    </w:p>
    <w:p>
      <w:pPr>
        <w:ind w:left="680" w:right="500" w:hanging="321"/>
        <w:spacing w:after="0" w:line="342" w:lineRule="auto"/>
        <w:tabs>
          <w:tab w:leader="none" w:pos="680" w:val="left"/>
        </w:tabs>
        <w:numPr>
          <w:ilvl w:val="0"/>
          <w:numId w:val="52"/>
        </w:numPr>
        <w:rPr>
          <w:rFonts w:ascii="Arial" w:cs="Arial" w:eastAsia="Arial" w:hAnsi="Arial"/>
          <w:sz w:val="16"/>
          <w:szCs w:val="16"/>
          <w:color w:val="auto"/>
        </w:rPr>
      </w:pPr>
      <w:r>
        <w:rPr>
          <w:rFonts w:ascii="Arial" w:cs="Arial" w:eastAsia="Arial" w:hAnsi="Arial"/>
          <w:sz w:val="16"/>
          <w:szCs w:val="16"/>
          <w:color w:val="231F20"/>
        </w:rPr>
        <w:t>our ability to raise, on acceptable terms, the equity and debt financing required to fund the growth/renewal of our fleet by accessing the drop-down pipeline at GasLog and/or by acquiring LNG infrastructure assets from third parties;</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our ability to obtain acceptable financing in respect of our capital and refinancing commitments;</w:t>
      </w:r>
    </w:p>
    <w:p>
      <w:pPr>
        <w:spacing w:after="0" w:line="225"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our ability to maintain good working relationships with our customers and our ability to increase the number of our customers through the development of new working relationships;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performance of our charterers;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effective and efficient technical and operational management of our ships;</w:t>
      </w:r>
    </w:p>
    <w:p>
      <w:pPr>
        <w:spacing w:after="0" w:line="225" w:lineRule="exact"/>
        <w:rPr>
          <w:rFonts w:ascii="Arial" w:cs="Arial" w:eastAsia="Arial" w:hAnsi="Arial"/>
          <w:sz w:val="18"/>
          <w:szCs w:val="18"/>
          <w:color w:val="auto"/>
        </w:rPr>
      </w:pPr>
    </w:p>
    <w:p>
      <w:pPr>
        <w:ind w:left="680" w:right="34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our ability to obtain and maintain regulatory approvals and to satisfy technical, health, safety and compliance standards that meet our customers’ requirements;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20" w:hanging="321"/>
        <w:spacing w:after="0" w:line="263"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economic, regulatory, political and governmental conditions that affect the LNG and LNG shipping industries, which include geopolitical factors such as the imposition of trade tariffs and changes in the number of new LNG importing countries and regions, as well as structural LNG market changes impacting LNG supply and demand.</w:t>
      </w:r>
    </w:p>
    <w:p>
      <w:pPr>
        <w:spacing w:after="0" w:line="18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addition to the general factors discussed above, we believe certain specific factors have impacted, or will impact, our results of operations. These factors include:</w:t>
      </w:r>
    </w:p>
    <w:p>
      <w:pPr>
        <w:spacing w:after="0" w:line="170" w:lineRule="exact"/>
        <w:rPr>
          <w:sz w:val="20"/>
          <w:szCs w:val="20"/>
          <w:color w:val="auto"/>
        </w:rPr>
      </w:pPr>
    </w:p>
    <w:p>
      <w:pPr>
        <w:ind w:left="680" w:right="420" w:hanging="321"/>
        <w:spacing w:after="0" w:line="277"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the hire rate earned by our ships including any of our ships that may trade in the short-term spot market if we are unable to secure new long-term charters;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unscheduled off-hire days;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the level of our ship operating expenses, including the costs of crewing, insurance and maintenance;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our level of debt, the related interest expense and the timing of required payments of principal;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mark-to-market changes in derivative financial instruments and foreign currency fluctuations;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the level of our general and administrative expenses, including costs of consultants.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3. Key Information—D. Risk Factors” for a discussion of certain risks inherent in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Principal Components of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revenues are driven primarily by the number of LNG carriers in our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w:t>
      </w:r>
    </w:p>
    <w:p>
      <w:pPr>
        <w:spacing w:after="0" w:line="18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Our LNG carriers are employed through time charter contracts. Revenues under our time charters are recognized when services are performed, revenue is earned and the collection of the revenue is reasonably assured. The charter hire revenue is recognized on a straight-line basis over the term of the relevant time charter. We do not recognize revenue during days when the ship is </w:t>
      </w:r>
      <w:r>
        <w:rPr>
          <w:rFonts w:ascii="Arial" w:cs="Arial" w:eastAsia="Arial" w:hAnsi="Arial"/>
          <w:sz w:val="18"/>
          <w:szCs w:val="18"/>
          <w:color w:val="231F20"/>
        </w:rPr>
        <w:t>off-hire, unless it</w:t>
      </w:r>
      <w:r>
        <w:rPr>
          <w:rFonts w:ascii="Arial" w:cs="Arial" w:eastAsia="Arial" w:hAnsi="Arial"/>
          <w:sz w:val="18"/>
          <w:szCs w:val="18"/>
          <w:color w:val="auto"/>
        </w:rPr>
        <w:t xml:space="preserve"> </w:t>
      </w:r>
      <w:r>
        <w:rPr>
          <w:rFonts w:ascii="Arial" w:cs="Arial" w:eastAsia="Arial" w:hAnsi="Arial"/>
          <w:sz w:val="18"/>
          <w:szCs w:val="18"/>
          <w:color w:val="231F20"/>
        </w:rPr>
        <w:t>is recoverable from insurers. Advance payments under time charter contracts are classified as liabilities until such time as the criteria for recognizing the revenue are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our time charter arrangements, charterers bear substantially all voyage expenses, including bunker fuel, port charges and canal tolls, but not commissions. Commissions are recognized as expenses on a pro rata basis over the duration of a time charter. Bunkers’ consumption recognized under Voyage expenses and commissions represents bunkers consumed during vessels’ unemployment and off-hire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Costs</w:t>
      </w:r>
    </w:p>
    <w:p>
      <w:pPr>
        <w:spacing w:after="0" w:line="22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We are generally responsible for ship operating expenses, which include costs for crewing, insurance, repairs, modifications and maintenance, lubricants, spare parts and consumable stores, vessel surveys and inspections and other miscellaneous expenses, as well as the associated cost of providing these items and services. However, the charter on one vessel in our fleet contains provisions that are designed to reduce our exposure to increases in operating costs, including review provisions and cost pass-through provisions. Ship operating expenses are recognized as expenses when incurred.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Management estimates residual value of its vessels to be equal to the product of its lightweight tonnage (“LWT”) and an estimated scrap rate per LWT, which represents our estimate of the market value of the ship at the end of its useful life.</w:t>
      </w:r>
    </w:p>
    <w:p>
      <w:pPr>
        <w:spacing w:after="0" w:line="17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the case of new ships, and until the next dry-docking for secondhand ships, which is performed within five years from the vessel’s last dry-docking unless the Partnership determines to dry-dock the ships at an earlier date. In the event a ship is dry-docked at an earlier date, the unamortized dry-docking component is written off immediately. The LNG vessels are also required to undergo an underwater survey in lieu of dry-docking (“intermediate survey”) in order to meet certain classification requirements. The intermediate survey component is estimated after the first intermediate survey takes place which is between the first and the second dry-docking and is amortized over the period until the next dry-docking which is estimated to be two and a half years.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General and administrative expenses consist primarily of legal and other professional fees, board of directors’ fees, share-based compensation expense, directors’ and officers’ liability insurance, travel and accommodation expenses, commercial management fees and administrative fees payable to GasLog.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 on Vessels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All owned and bareboat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expected value of all expectations about possible </w:t>
      </w:r>
      <w:r>
        <w:rPr>
          <w:rFonts w:ascii="Arial" w:cs="Arial" w:eastAsia="Arial" w:hAnsi="Arial"/>
          <w:sz w:val="17"/>
          <w:szCs w:val="17"/>
          <w:color w:val="231F20"/>
        </w:rPr>
        <w:t>estimated future cash</w:t>
      </w:r>
      <w:r>
        <w:rPr>
          <w:rFonts w:ascii="Arial" w:cs="Arial" w:eastAsia="Arial" w:hAnsi="Arial"/>
          <w:sz w:val="17"/>
          <w:szCs w:val="17"/>
          <w:color w:val="auto"/>
        </w:rPr>
        <w:t xml:space="preserve"> </w:t>
      </w:r>
      <w:r>
        <w:rPr>
          <w:rFonts w:ascii="Arial" w:cs="Arial" w:eastAsia="Arial" w:hAnsi="Arial"/>
          <w:sz w:val="17"/>
          <w:szCs w:val="17"/>
          <w:color w:val="231F20"/>
        </w:rPr>
        <w:t>flows, discounted to their present value.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We incur interest expense on the outstanding indebtedness under our credit facilities and the swap arrangements, if any, that qualify for treatment as cash flow hedges for financial reporting purposes, which we include in our financial costs. Financial costs also include amortization of other loan issuance costs incurred in connection with establishing our credit facilities.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and amortization of loan issuance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Financial income consists of interest income, which will depend on the level of our cash deposits, investments and prevailing interest rates. Interest income is recognized on an accrual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(Loss)/gain on Derivatives</w:t>
      </w:r>
    </w:p>
    <w:p>
      <w:pPr>
        <w:spacing w:after="0" w:line="22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Any gain or loss derived from the movement in the fair value of the derivatives (interest rate swaps and forward foreign exchange contracts) that have not been designated as hedges, the ineffective portion of changes in the fair value of the derivatives that meet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hedge accounting criteria, realized gain/loss on derivatives held for trading, and the amortization of the cumulative unrealized loss for the derivatives in respect of which hedge accounting was discontinued, if any, are presented as gain or loss on derivatives in our consolidated statements of profit or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set forth below are derived from the annual consolidated financial statements of the Partnership.</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Year ended December 31, 2020 compared to the year ended December 31, 2021</w:t>
      </w:r>
    </w:p>
    <w:p>
      <w:pPr>
        <w:spacing w:after="0" w:line="3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Change</w:t>
            </w:r>
          </w:p>
        </w:tc>
      </w:tr>
      <w:tr>
        <w:trPr>
          <w:trHeight w:val="128"/>
        </w:trPr>
        <w:tc>
          <w:tcPr>
            <w:tcW w:w="5520" w:type="dxa"/>
            <w:vAlign w:val="bottom"/>
          </w:tcPr>
          <w:p>
            <w:pPr>
              <w:spacing w:after="0"/>
              <w:rPr>
                <w:sz w:val="11"/>
                <w:szCs w:val="11"/>
                <w:color w:val="auto"/>
              </w:rPr>
            </w:pPr>
          </w:p>
        </w:tc>
        <w:tc>
          <w:tcPr>
            <w:tcW w:w="2420" w:type="dxa"/>
            <w:vAlign w:val="bottom"/>
            <w:gridSpan w:val="5"/>
          </w:tcPr>
          <w:p>
            <w:pPr>
              <w:jc w:val="right"/>
              <w:ind w:right="251"/>
              <w:spacing w:after="0" w:line="129" w:lineRule="exact"/>
              <w:rPr>
                <w:sz w:val="20"/>
                <w:szCs w:val="20"/>
                <w:color w:val="auto"/>
              </w:rPr>
            </w:pPr>
            <w:r>
              <w:rPr>
                <w:rFonts w:ascii="Arial" w:cs="Arial" w:eastAsia="Arial" w:hAnsi="Arial"/>
                <w:sz w:val="14"/>
                <w:szCs w:val="14"/>
                <w:b w:val="1"/>
                <w:bCs w:val="1"/>
                <w:color w:val="auto"/>
              </w:rPr>
              <w:t>(in thousands of U.S. dollars)</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Revenues</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333,662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326,142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(10,443)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(74,798)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(75,333)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(83,058)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(18,960)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(13,362)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5,598</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vessel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16"/>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Impairment loss on vessels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(23,923)</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(103,977)</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(80,054)</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122,480</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40,484</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(81,996)</w:t>
            </w: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Financial costs</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(50,987)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(37,297)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13,690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(Loss)/gain on derivatives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(14,929)</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17,425</w:t>
            </w:r>
          </w:p>
        </w:tc>
      </w:tr>
      <w:tr>
        <w:trPr>
          <w:trHeight w:val="21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56,859</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5,726</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(51,133)</w:t>
            </w:r>
          </w:p>
        </w:tc>
      </w:tr>
      <w:tr>
        <w:trPr>
          <w:trHeight w:val="20"/>
        </w:trPr>
        <w:tc>
          <w:tcPr>
            <w:tcW w:w="5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During the year ended December 31, 2020, we had an average of 15.0 vessels operating in our owned fleet having 5,333 available days while during the year ended December 31, 2021, we had an average of 15.0 vessels operating in our owned and bareboat fleet having 5,320 available days.</w:t>
      </w:r>
    </w:p>
    <w:p>
      <w:pPr>
        <w:spacing w:after="0" w:line="18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Revenues decreased by $7.6 million, or 2.3%, from $333.7 million for the year ended December 31, 2020 to $326.1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year ended December 31, 2021. The decrease is mainly attributable to the expirations of the initial multi-year time charters of four of our Steam vessels with Shell in 2020 and early 2021, which were contracted at higher rates compared to their current contracted rates, and also due to increased off-hire days for scheduled dry-dockings. The decrease was partially offset by the improved performance of our spot fleet in the year ended December 31, 2021 compared to the year ended December 31, 2020, in line with the ongoing improvement of the LNG shipping market observed in 2021. As a result, the average daily hire rate decreased from $64,339 for the year ended December 31, 2020 to $62,265 for the year ended December 31, 2021.</w:t>
      </w:r>
    </w:p>
    <w:p>
      <w:pPr>
        <w:spacing w:after="0" w:line="17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Voyage Expenses and Commissions: </w:t>
      </w:r>
      <w:r>
        <w:rPr>
          <w:rFonts w:ascii="Arial" w:cs="Arial" w:eastAsia="Arial" w:hAnsi="Arial"/>
          <w:sz w:val="18"/>
          <w:szCs w:val="18"/>
          <w:color w:val="auto"/>
        </w:rPr>
        <w:t>Voyage expenses and commissions decreased by $3.5 million, or 33.7%, from $10.4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2020 to $6.9 million for the year ended December 31, 2021. The decrease in voyage expenses and commissions is mainly attributable to a decrease in bunker consumption costs due to the increased utilization of our spot fleet in the year ended December 31, 2021, as compared to the year ended December 31, 2020.</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increased by $0.5 million, or 0.7%, from $74.8 million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31, 2020 to $75.3 million for the year ended December 31, 2021. The increase in vessel operating costs is attributable to an increase in crew costs of $1.9 million, mainly as a result of COVID-19 restrictions (extension bonus, increased costs for travelling and quarantines) and an increase in other operating expenses of $0.6 million, partially offset by a decrease of $2.0 million in technical maintenance expenses primarily in connection with increased maintenance needs of the fleet during 2020 compared to 2021. As a result,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 the operating costs of which are covered by the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charterers) increased from $14,598 per day during the year ended December 31, 2020 to $14,742 per day during the year ended December 31, 2021.</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decreased by $5.6 million, or 29.5%, from $19.0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2020 to $13.4 million for the year ended December 31, 2021. The decrease in general and administrative expenses is mainly attributable to a decrease of $3.1 million in administrative services fees, in connection with the decrease of the annual fee payable to GasLog in 2021 by approximately $0.2 million per vessel per year, driven by cost-reduction initiatives, a decrease in amortization of share-based compensation of $1.5 million, mainly due to accelerated vestings of relevant awards in 2020 and a decrease of $0.9 million in legal and professional fees. As a result, daily general and administrative expenses decreased from $3,453 per vessel ownership day for the year ended December 31, 2020 to $2,441 per vessel ownership day for the year ended December 31, 2021.</w:t>
      </w:r>
    </w:p>
    <w:p>
      <w:pPr>
        <w:spacing w:after="0" w:line="192"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b w:val="1"/>
          <w:bCs w:val="1"/>
          <w:i w:val="1"/>
          <w:iCs w:val="1"/>
          <w:color w:val="auto"/>
        </w:rPr>
        <w:t xml:space="preserve">Impairment Loss on Vessels: </w:t>
      </w:r>
      <w:r>
        <w:rPr>
          <w:rFonts w:ascii="Arial" w:cs="Arial" w:eastAsia="Arial" w:hAnsi="Arial"/>
          <w:sz w:val="16"/>
          <w:szCs w:val="16"/>
          <w:color w:val="auto"/>
        </w:rPr>
        <w:t>Impairment loss on vessels was $23.9 million for the year ended December 31, 2020 and $104.0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2021. The impairment loss for the year ended December 31, 2021 was recognized as of December 31, 2021 with respect to all five of the Partnership’s Steam vessels, after concluding that events and circumstances triggered the existence of potential impairment of Steam vessels on that date and was the result of the reduced expectations of the rates at which we could expect to secure term employment for the remaining economic lives of those vessels, and significant uncertainties regarding future demand for such vessels in light of the continued addition of modern, larger and more fuel efficient LNG carriers to the global fleet. The impairment loss for the year ended December 31, 2020 was recognized as of June 30, 2020 and December 31, 2020 with respect to four of the Partnership’s Steam vessels, after concluding that events and circumstances triggered the existence of potential impairment of all its vessels on that date and was the result of anticipated increases in volatility in the spot charter market over the near term from COVID-19 pandemic-related impacts on LNG and LNG shipping demand.</w:t>
      </w:r>
    </w:p>
    <w:p>
      <w:pPr>
        <w:spacing w:after="0" w:line="168"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b w:val="1"/>
          <w:bCs w:val="1"/>
          <w:i w:val="1"/>
          <w:iCs w:val="1"/>
          <w:color w:val="auto"/>
        </w:rPr>
        <w:t xml:space="preserve">Financial Costs: </w:t>
      </w:r>
      <w:r>
        <w:rPr>
          <w:rFonts w:ascii="Arial" w:cs="Arial" w:eastAsia="Arial" w:hAnsi="Arial"/>
          <w:sz w:val="17"/>
          <w:szCs w:val="17"/>
          <w:color w:val="auto"/>
        </w:rPr>
        <w:t>Financial costs decreased by $13.7 million, or 26.9%, from $51.0 million for the year ended December 31,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$37.3 million for the year ended December 31, 2021. The decrease in financial costs is mainly attributable to a decrease of $12.3 million due to the lower LIBOR rates in the year ended December 31, 2021 as compared to the year ended December 31, 2020, as well as the reduced debt balances year-over-year, and a decrease of $2.0 million in amortization of deferred loan issuance costs as a result of the loan refinancings completed in July 2020, partially offset by a $0.5 million increase in other financial costs. During the year ended December 31, 2020, we had an average of $1,337.9 million of outstanding indebtedness, with a weighted average interest rate of 3.1%, compared to an average of $1,229.5 million of outstanding indebtedness with a weighted average interest rate of 2.4% during the year ended December 31, 2021.</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i w:val="1"/>
          <w:iCs w:val="1"/>
          <w:color w:val="auto"/>
        </w:rPr>
        <w:t xml:space="preserve">(Loss)/Gain on derivatives: </w:t>
      </w:r>
      <w:r>
        <w:rPr>
          <w:rFonts w:ascii="Arial" w:cs="Arial" w:eastAsia="Arial" w:hAnsi="Arial"/>
          <w:sz w:val="18"/>
          <w:szCs w:val="18"/>
          <w:color w:val="auto"/>
        </w:rPr>
        <w:t>Loss on derivatives decreased by $17.4 million, from a loss of $14.9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to a gain of $2.5 million for the year ended December 31, 2021. The decrease in loss is attributable to a net decrease of $19.7 million in unrealized loss from the mark-to-market valuation of derivatives held for trading which were carried at fair value through profit or loss, which reflected a net loss of $8.6 million in the year ended December 31, 2020 as compared to a gain of $11.1 million in the year ended December 31, 2021, partially offset by a net increase of $2.3 million in realized loss on derivatives held for trading.</w:t>
      </w:r>
    </w:p>
    <w:p>
      <w:pPr>
        <w:spacing w:after="0" w:line="1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There was a decrease of $51.2 million, from a profit of $56.9 million for the year ended December 31, 2020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profit of $5.7 million for the year ended December 31, 2021, mainly as a result of the aforementioned factors.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2019 compared to the year ended December 31, 2020</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For a discussion of our results for the year ended December 31, 2019 compared to the year ended December 31, 2020, please see “Item 5. Operating and Financial Review and Prospects – A. Operating Results – Year ended December 31, 2019, compared to the year ended December 31, 2020” contained in our annual report on Form 20-F for the year ended December 31, 2020, filed with the SEC on March 2,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Customers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For the year ended December 31, 2021, 55.7% of our revenues derived from subsidiaries of Shell and 23.4% from major LNG producers, with the remaining revenues derived from various charterers in the spot/short-term market.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Seasonality</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revenues of our vessels employed under long-term charter arrangements, were not significantly impacted by seasonal trends during the year ended December 31, 2021. However, our nine vessels trading in the short-term spot market (defined as vessels under contracts of an initial duration of less than five years), including also our vessel chartered under a variable market-linked rate of hire within an agreed range, are subject to seasonality in spot rates which has been evident in the LNG shipping market during 2021. To the extent that more of our vessels cease to be employed under long-term charter arrangements (defined as charters with an initial duration of more than five years) in the future, there will likely be some additional seasonality in our revenues.</w:t>
      </w:r>
    </w:p>
    <w:p>
      <w:pPr>
        <w:spacing w:after="0" w:line="16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B.</w:t>
      </w:r>
      <w:r>
        <w:rPr>
          <w:sz w:val="20"/>
          <w:szCs w:val="20"/>
          <w:color w:val="auto"/>
        </w:rPr>
        <w:tab/>
      </w:r>
      <w:r>
        <w:rPr>
          <w:rFonts w:ascii="Arial" w:cs="Arial" w:eastAsia="Arial" w:hAnsi="Arial"/>
          <w:sz w:val="16"/>
          <w:szCs w:val="16"/>
          <w:b w:val="1"/>
          <w:bCs w:val="1"/>
          <w:color w:val="231F20"/>
        </w:rPr>
        <w:t>Liquidity and Capital Resources</w:t>
      </w:r>
    </w:p>
    <w:p>
      <w:pPr>
        <w:spacing w:after="0" w:line="12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operate in a capital-intensive industry and we expect to finance the purchase of any additional vessels or other capital expenditures through a combination of borrowings from commercial banks, cash generated from operations and debt, lease and equity financings, if any. In addition to paying distributions and potentially repurchasing common and preference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9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On January 29, 2019, the board of directors of GasLog Partners authorized a common unit repurchase programme of up to $25.0 million covering the period January 31, 2019 to December 31, 2021. Under the terms of the repurchase programme, GasLog Partners may repurchase common units from time to time, at its discretion, on the open market or in privately negotiated transactions. On February 5, 2020, the board of directors of GasLog Partners authorized a renewal of the common unit repurchase programme taking the total authority outstanding under the programme to $25.0 million, to be utilized from February 10, 2020 to December 31, 2021.</w:t>
      </w:r>
    </w:p>
    <w:p>
      <w:pPr>
        <w:spacing w:after="0" w:line="16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Since the authorization of the common unit repurchase programme and through December 31, 2021, GasLog Partners has repurchased and cancelled a total of 1,363,062 units at a weighted average price of $17.50 per common unit for a total amount of $23.9 million, including commissions. The board of directors of GasLog Partners has not renewed the common unit repurchase programme following its expiration on December 31, 2021.</w:t>
      </w:r>
    </w:p>
    <w:p>
      <w:pPr>
        <w:spacing w:after="0" w:line="18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March 2021, the Partnership established a preference unit repurchase programme (the “Repurchase Programme”), which authorized the repurchase of preference units through March 31, 2023. In the year ended December 31, 2021 and since inception of the Repurchase Programme, GasLog Partners repurchased and cancelled an aggregate of 464,429 Series B Preference Units and 269,549 Series C Preference Units at a weighted average price of $25.00 per preference unit for both Series. The aggregate amount repaid during the year for repurchases of preference units was $18.4 million, including commissions.</w:t>
      </w:r>
    </w:p>
    <w:p>
      <w:pPr>
        <w:spacing w:after="0" w:line="17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 xml:space="preserve">On May 16, 2017, GasLog Partners commenced an ATM Programme under which the Partnership may, from time to time, raise equity through the issuance and sale of new common units having an </w:t>
      </w:r>
      <w:r>
        <w:rPr>
          <w:rFonts w:ascii="Arial" w:cs="Arial" w:eastAsia="Arial" w:hAnsi="Arial"/>
          <w:sz w:val="17"/>
          <w:szCs w:val="17"/>
          <w:color w:val="231F20"/>
        </w:rPr>
        <w:t>aggregate offering price of up to $100.0 million in accordance with</w:t>
      </w:r>
      <w:r>
        <w:rPr>
          <w:rFonts w:ascii="Arial" w:cs="Arial" w:eastAsia="Arial" w:hAnsi="Arial"/>
          <w:sz w:val="17"/>
          <w:szCs w:val="17"/>
          <w:color w:val="auto"/>
        </w:rPr>
        <w:t xml:space="preserve"> </w:t>
      </w:r>
      <w:r>
        <w:rPr>
          <w:rFonts w:ascii="Arial" w:cs="Arial" w:eastAsia="Arial" w:hAnsi="Arial"/>
          <w:sz w:val="17"/>
          <w:szCs w:val="17"/>
          <w:color w:val="231F20"/>
        </w:rPr>
        <w:t>the terms of an equity distribution agreement entered into on the same date. On November 3, 2017 and February 26, 2019, the size of the ATM Programme was increased to $144.0 million and to $250.0 million, respectively.</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year ended December 31, 2021, GasLog Partners issued and received payment for 3,195,401 common units at a weighted average price of $3.19 per common unit for total gross proceeds of $10.2 million and net proceeds of $10.0 million, after broker commissions. During this year, we also issued 56,158 general partner units to our general partner in order for GasLog to retain its 2.0% general partner interest. The net proceeds from the issuance of the general partner units were $0.2 million.</w:t>
      </w:r>
    </w:p>
    <w:p>
      <w:pPr>
        <w:spacing w:after="0" w:line="17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Since the commencement of the ATM Programme through December 31, 2021, GasLog Partners has issued and received payment for a total of 8,486,705 common units, with cumulative gross proceeds of $133.6 million at a weighted average price of $15.75 per unit and net proceeds of $132.4 million, after broker commissions.</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 xml:space="preserve">On October 26, 2021, GasLog Partners’ subsidiary, GAS-three Ltd. completed the sale and leaseback of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with a wholly-owned subsidiary of CDBL. CDBL has the right to sell the vessel to third parties. The vessel was sold to CDBL for a gross cash consideration of $120.0 million. GasLog leased back the vessel under a bareboat charter from CDBL for a period of five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years with no repurchase option or obligation. The existing loan facility advance of the specified vessel was terminated, releasing $20.5 million of incremental net liquidity (net sale proceeds less debt prepayment) to the Partnership.</w:t>
      </w:r>
    </w:p>
    <w:p>
      <w:pPr>
        <w:spacing w:after="0" w:line="170"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As of December 31, 2021, we had in place six interest rate swap agreements at a notional value of $343.3 million in aggregate, maturing between 2022 and 2025. As a result of its hedging agreements, the Partnership had hedged 31.2% of its floating interest rate exposure on its outstanding debt (excluding the lease liability) as of December 31, 2021, at a weighted average interest rate of approximately 2.4% (excluding margin).</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December 31, 2021, we had $145.5 million of cash and cash equivalents, of which $72.6 million was held in current accounts and $72.9 million was held in time deposits with an original duration of less than three months.</w:t>
      </w:r>
    </w:p>
    <w:p>
      <w:pPr>
        <w:spacing w:after="0" w:line="17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Under our existing multi-year charters as of December 31, 2021, we had contracted revenues of $257.1 million for 2022 and approximately $305.0 million thereafter. Although these contracted revenues are based on contracted charter rates, we are dependent on the ability and willingness of our charterers, to meet their obligations under these charters.</w:t>
      </w:r>
    </w:p>
    <w:p>
      <w:pPr>
        <w:spacing w:after="0" w:line="18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 xml:space="preserve">As of December 31, 2021, we had an aggregate of $1,085.8 million of indebtedness outstanding under our credit facilities of which $99.3 million was repayable within one year, and $55.9 million of lease liabilities mainly related to the sale and leaseback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Shanghai</w:t>
      </w:r>
      <w:r>
        <w:rPr>
          <w:rFonts w:ascii="Arial" w:cs="Arial" w:eastAsia="Arial" w:hAnsi="Arial"/>
          <w:sz w:val="18"/>
          <w:szCs w:val="18"/>
          <w:color w:val="auto"/>
        </w:rPr>
        <w:t>, of which $10.3 million was repayable within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Working Capital Position</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As of December 31, 2021, our current assets totaled $161.1 million and current liabilities totaled $175.5 million, resulting in a negative working capital position of $14.4 million. Current liabilities include $28.3 million of unearned revenue in relation to hires received in advance (which represents a non-cash liability that will be recognized as revenues after December 31, 2021 as the services are rendered).</w:t>
      </w:r>
    </w:p>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We anticipate that our primary sources of funds for at least twelve months from the date of this report will be available cash and cash from operations. We believe that these anticipated sources of funds, as well as our ability to access the debt or equity capital markets if needed, will be sufficient to meet our liquidity needs and to comply with our banking covenants for at least twelve months from the date of this report. Additionally, we may enter into new debt facilities in the future, as well as public equity or debt instruments, although there can be no assurance that we will be able to obtain additional debt or equity financing on terms acceptable to us, which will also depend on financial, commercial and other factors, as well as a significant recovery in capital market conditions and a sustainable improvement in the LNG charter market, that are beyond our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the year ended December 31,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net cash flows from operating, investing and financing activities for the years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231F20"/>
                <w:w w:val="91"/>
              </w:rPr>
              <w:t>Year ended 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1060" w:type="dxa"/>
            <w:vAlign w:val="bottom"/>
          </w:tcPr>
          <w:p>
            <w:pPr>
              <w:jc w:val="right"/>
              <w:ind w:right="300"/>
              <w:spacing w:after="0" w:line="142" w:lineRule="exact"/>
              <w:rPr>
                <w:sz w:val="20"/>
                <w:szCs w:val="20"/>
                <w:color w:val="auto"/>
              </w:rPr>
            </w:pPr>
            <w:r>
              <w:rPr>
                <w:rFonts w:ascii="Arial" w:cs="Arial" w:eastAsia="Arial" w:hAnsi="Arial"/>
                <w:sz w:val="14"/>
                <w:szCs w:val="14"/>
                <w:b w:val="1"/>
                <w:bCs w:val="1"/>
                <w:color w:val="231F20"/>
              </w:rPr>
              <w:t>2020</w:t>
            </w:r>
          </w:p>
        </w:tc>
        <w:tc>
          <w:tcPr>
            <w:tcW w:w="1300" w:type="dxa"/>
            <w:vAlign w:val="bottom"/>
            <w:gridSpan w:val="2"/>
          </w:tcPr>
          <w:p>
            <w:pPr>
              <w:jc w:val="center"/>
              <w:ind w:left="157"/>
              <w:spacing w:after="0" w:line="142" w:lineRule="exact"/>
              <w:rPr>
                <w:sz w:val="20"/>
                <w:szCs w:val="20"/>
                <w:color w:val="auto"/>
              </w:rPr>
            </w:pPr>
            <w:r>
              <w:rPr>
                <w:rFonts w:ascii="Arial" w:cs="Arial" w:eastAsia="Arial" w:hAnsi="Arial"/>
                <w:sz w:val="14"/>
                <w:szCs w:val="14"/>
                <w:b w:val="1"/>
                <w:bCs w:val="1"/>
                <w:color w:val="231F20"/>
                <w:w w:val="96"/>
              </w:rPr>
              <w:t>2021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231F20"/>
              </w:rPr>
              <w:t>Change</w:t>
            </w:r>
          </w:p>
        </w:tc>
        <w:tc>
          <w:tcPr>
            <w:tcW w:w="20" w:type="dxa"/>
            <w:vAlign w:val="bottom"/>
          </w:tcPr>
          <w:p>
            <w:pPr>
              <w:spacing w:after="0"/>
              <w:rPr>
                <w:sz w:val="12"/>
                <w:szCs w:val="12"/>
                <w:color w:val="auto"/>
              </w:rPr>
            </w:pPr>
          </w:p>
        </w:tc>
      </w:tr>
      <w:tr>
        <w:trPr>
          <w:trHeight w:val="119"/>
        </w:trPr>
        <w:tc>
          <w:tcPr>
            <w:tcW w:w="6240" w:type="dxa"/>
            <w:vAlign w:val="bottom"/>
          </w:tcPr>
          <w:p>
            <w:pPr>
              <w:spacing w:after="0"/>
              <w:rPr>
                <w:sz w:val="10"/>
                <w:szCs w:val="10"/>
                <w:color w:val="auto"/>
              </w:rPr>
            </w:pPr>
          </w:p>
        </w:tc>
        <w:tc>
          <w:tcPr>
            <w:tcW w:w="1060" w:type="dxa"/>
            <w:vAlign w:val="bottom"/>
            <w:tcBorders>
              <w:top w:val="single" w:sz="8" w:color="auto"/>
            </w:tcBorders>
          </w:tcPr>
          <w:p>
            <w:pPr>
              <w:jc w:val="right"/>
              <w:ind w:right="140"/>
              <w:spacing w:after="0" w:line="119" w:lineRule="exact"/>
              <w:rPr>
                <w:sz w:val="20"/>
                <w:szCs w:val="20"/>
                <w:color w:val="auto"/>
              </w:rPr>
            </w:pPr>
            <w:r>
              <w:rPr>
                <w:rFonts w:ascii="Arial" w:cs="Arial" w:eastAsia="Arial" w:hAnsi="Arial"/>
                <w:sz w:val="13"/>
                <w:szCs w:val="13"/>
                <w:i w:val="1"/>
                <w:iCs w:val="1"/>
                <w:color w:val="231F20"/>
              </w:rPr>
              <w:t>(restated)*</w:t>
            </w:r>
          </w:p>
        </w:tc>
        <w:tc>
          <w:tcPr>
            <w:tcW w:w="24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6240" w:type="dxa"/>
            <w:vAlign w:val="bottom"/>
          </w:tcPr>
          <w:p>
            <w:pPr>
              <w:spacing w:after="0"/>
              <w:rPr>
                <w:sz w:val="14"/>
                <w:szCs w:val="14"/>
                <w:color w:val="auto"/>
              </w:rPr>
            </w:pPr>
          </w:p>
        </w:tc>
        <w:tc>
          <w:tcPr>
            <w:tcW w:w="2820" w:type="dxa"/>
            <w:vAlign w:val="bottom"/>
            <w:gridSpan w:val="5"/>
          </w:tcPr>
          <w:p>
            <w:pPr>
              <w:jc w:val="center"/>
              <w:ind w:left="800"/>
              <w:spacing w:after="0"/>
              <w:rPr>
                <w:sz w:val="20"/>
                <w:szCs w:val="20"/>
                <w:color w:val="auto"/>
              </w:rPr>
            </w:pPr>
            <w:r>
              <w:rPr>
                <w:rFonts w:ascii="Arial" w:cs="Arial" w:eastAsia="Arial" w:hAnsi="Arial"/>
                <w:sz w:val="14"/>
                <w:szCs w:val="14"/>
                <w:b w:val="1"/>
                <w:bCs w:val="1"/>
                <w:color w:val="231F20"/>
                <w:w w:val="91"/>
              </w:rPr>
              <w:t>(in thousands of U.S. dollars)</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231F20"/>
              </w:rPr>
              <w:t>Net cash provided by operating activities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218,352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233,386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15,034</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231F20"/>
              </w:rPr>
              <w:t>Net cash (used in)/provided by investing activities</w:t>
            </w:r>
          </w:p>
        </w:tc>
        <w:tc>
          <w:tcPr>
            <w:tcW w:w="1060" w:type="dxa"/>
            <w:vAlign w:val="bottom"/>
          </w:tcPr>
          <w:p>
            <w:pPr>
              <w:jc w:val="right"/>
              <w:spacing w:after="0"/>
              <w:rPr>
                <w:sz w:val="20"/>
                <w:szCs w:val="20"/>
                <w:color w:val="auto"/>
              </w:rPr>
            </w:pPr>
            <w:r>
              <w:rPr>
                <w:rFonts w:ascii="Arial" w:cs="Arial" w:eastAsia="Arial" w:hAnsi="Arial"/>
                <w:sz w:val="18"/>
                <w:szCs w:val="18"/>
                <w:color w:val="231F20"/>
              </w:rPr>
              <w:t>(23,292)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231F20"/>
              </w:rPr>
              <w:t>98,169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231F20"/>
              </w:rPr>
              <w:t>121,461</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231F20"/>
              </w:rPr>
              <w:t>Net cash used in financing activities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(188,208)</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231F20"/>
              </w:rPr>
              <w:t>(289,761)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(101,553)</w:t>
            </w:r>
          </w:p>
        </w:tc>
        <w:tc>
          <w:tcPr>
            <w:tcW w:w="20" w:type="dxa"/>
            <w:vAlign w:val="bottom"/>
          </w:tcPr>
          <w:p>
            <w:pPr>
              <w:spacing w:after="0"/>
              <w:rPr>
                <w:sz w:val="18"/>
                <w:szCs w:val="18"/>
                <w:color w:val="auto"/>
              </w:rPr>
            </w:pPr>
          </w:p>
        </w:tc>
      </w:tr>
      <w:tr>
        <w:trPr>
          <w:trHeight w:val="108"/>
        </w:trPr>
        <w:tc>
          <w:tcPr>
            <w:tcW w:w="6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80" w:lineRule="exact"/>
        <w:rPr>
          <w:sz w:val="20"/>
          <w:szCs w:val="20"/>
          <w:color w:val="auto"/>
        </w:rPr>
      </w:pPr>
    </w:p>
    <w:p>
      <w:pPr>
        <w:ind w:right="320" w:firstLine="8"/>
        <w:spacing w:after="0" w:line="263" w:lineRule="auto"/>
        <w:tabs>
          <w:tab w:leader="none" w:pos="1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Restated so as to reflect a change in accounting policy introduced on January 1, 2021, with respect to the reclassification of interest paid and movements of cash collaterals for interest rate swaps from Net cash provided by operating activities to Net cash used in financing activities.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Net Cash provided by Operating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provided by operating activities increased by $15.0 million, from $218.4 million in the year ended December 31, 2020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$233.4 million in the year ended December 31, 2021. The increase of $15.0 million is mainly attributable to a $15.4 million movement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accounts (primarily affected by an increase of $14.3 million from trade receivable movements) and a net decrease of $7.1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vessel operating costs, voyage expenses and commissions and general and administrative expenses (after excluding the non-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decrease in amortization of share-based compensation). These increases were partially offset by a decrease of $7.6 million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Net Cash (used in)/provided by Investing Activities: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 xml:space="preserve">Net cash used in investing activities decreased by $121.5 million, from net cash used in investing activities of $23.3 million in the year ended December 31, 2020 to net cash provided by investing activities of $98.2 million in the year ended December 31, 2021. The decrease of $121.5 million is attributable to the $117.6 million of proceeds from the sale and leaseback transaction, net of commissions,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and a decrease in payments for tangible fixed asset additions of $4.2 million, partially offset by a decrease in financial income received of $0.3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Net Cash used in Financing Activities: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Net cash used in financing activities increased by $101.6 million, from cash used in financing activities of $188.2 million in the year ended December 31, 2020 to $289.8 million in the year ended December 31, 2021. The increase of $101.6 million is mainly attributable to a decrease in bank loan drawdowns of $480.0 million, an increase of $17.4 million in cash used for repurchases of common and preference units, a decrease in net proceeds of $2.9 million from entering into or termination of interest rate swap agreements and an increase of $1.7 million in payments for lease liabilities, partially offset by a decrease of $335.5 million in bank loan repayments, a decrease of $37.7 million in distributions paid, an increase in proceeds from equity raisings and issuance of general partner units of $10.2 million, a decrease of $9.2 million in interest paid and a decrease of $7.4 million in payments for loan issuance costs.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Borrowing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Credit Facilities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certain provisions of the Partnership’s credit facilities outstanding as of December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Payment of</w:t>
            </w:r>
          </w:p>
        </w:tc>
      </w:tr>
      <w:tr>
        <w:trPr>
          <w:trHeight w:val="135"/>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Outstanding</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Available</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Principals</w:t>
            </w:r>
          </w:p>
        </w:tc>
      </w:tr>
      <w:tr>
        <w:trPr>
          <w:trHeight w:val="135"/>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Subsidiary Party</w:t>
            </w:r>
          </w:p>
        </w:tc>
        <w:tc>
          <w:tcPr>
            <w:tcW w:w="160" w:type="dxa"/>
            <w:vAlign w:val="bottom"/>
          </w:tcPr>
          <w:p>
            <w:pPr>
              <w:spacing w:after="0"/>
              <w:rPr>
                <w:sz w:val="11"/>
                <w:szCs w:val="11"/>
                <w:color w:val="auto"/>
              </w:rPr>
            </w:pPr>
          </w:p>
        </w:tc>
        <w:tc>
          <w:tcPr>
            <w:tcW w:w="13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Principal</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Undrawn</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Installments</w:t>
            </w:r>
          </w:p>
        </w:tc>
      </w:tr>
      <w:tr>
        <w:trPr>
          <w:trHeight w:val="153"/>
        </w:trPr>
        <w:tc>
          <w:tcPr>
            <w:tcW w:w="1360" w:type="dxa"/>
            <w:vAlign w:val="bottom"/>
          </w:tcPr>
          <w:p>
            <w:pPr>
              <w:spacing w:after="0"/>
              <w:rPr>
                <w:sz w:val="20"/>
                <w:szCs w:val="20"/>
                <w:color w:val="auto"/>
              </w:rPr>
            </w:pPr>
            <w:r>
              <w:rPr>
                <w:rFonts w:ascii="Arial" w:cs="Arial" w:eastAsia="Arial" w:hAnsi="Arial"/>
                <w:sz w:val="13"/>
                <w:szCs w:val="13"/>
                <w:b w:val="1"/>
                <w:bCs w:val="1"/>
                <w:color w:val="auto"/>
              </w:rPr>
              <w:t>Facility Name</w:t>
            </w:r>
          </w:p>
        </w:tc>
        <w:tc>
          <w:tcPr>
            <w:tcW w:w="160" w:type="dxa"/>
            <w:vAlign w:val="bottom"/>
          </w:tcPr>
          <w:p>
            <w:pPr>
              <w:spacing w:after="0"/>
              <w:rPr>
                <w:sz w:val="13"/>
                <w:szCs w:val="13"/>
                <w:color w:val="auto"/>
              </w:rPr>
            </w:pPr>
          </w:p>
        </w:tc>
        <w:tc>
          <w:tcPr>
            <w:tcW w:w="1500" w:type="dxa"/>
            <w:vAlign w:val="bottom"/>
            <w:gridSpan w:val="2"/>
          </w:tcPr>
          <w:p>
            <w:pPr>
              <w:ind w:left="400"/>
              <w:spacing w:after="0"/>
              <w:rPr>
                <w:sz w:val="20"/>
                <w:szCs w:val="20"/>
                <w:color w:val="auto"/>
              </w:rPr>
            </w:pPr>
            <w:r>
              <w:rPr>
                <w:rFonts w:ascii="Arial" w:cs="Arial" w:eastAsia="Arial" w:hAnsi="Arial"/>
                <w:sz w:val="13"/>
                <w:szCs w:val="13"/>
                <w:b w:val="1"/>
                <w:bCs w:val="1"/>
                <w:color w:val="auto"/>
              </w:rPr>
              <w:t>Lender(s)</w:t>
            </w:r>
          </w:p>
        </w:tc>
        <w:tc>
          <w:tcPr>
            <w:tcW w:w="1340" w:type="dxa"/>
            <w:vAlign w:val="bottom"/>
          </w:tcPr>
          <w:p>
            <w:pPr>
              <w:ind w:left="220"/>
              <w:spacing w:after="0"/>
              <w:rPr>
                <w:sz w:val="20"/>
                <w:szCs w:val="20"/>
                <w:color w:val="auto"/>
              </w:rPr>
            </w:pPr>
            <w:r>
              <w:rPr>
                <w:rFonts w:ascii="Arial" w:cs="Arial" w:eastAsia="Arial" w:hAnsi="Arial"/>
                <w:sz w:val="13"/>
                <w:szCs w:val="13"/>
                <w:b w:val="1"/>
                <w:bCs w:val="1"/>
                <w:color w:val="auto"/>
              </w:rPr>
              <w:t>(Collateral Ship)</w:t>
            </w:r>
          </w:p>
        </w:tc>
        <w:tc>
          <w:tcPr>
            <w:tcW w:w="160" w:type="dxa"/>
            <w:vAlign w:val="bottom"/>
          </w:tcPr>
          <w:p>
            <w:pPr>
              <w:spacing w:after="0"/>
              <w:rPr>
                <w:sz w:val="13"/>
                <w:szCs w:val="13"/>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Amount</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Amount</w:t>
            </w: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Interest Rate</w:t>
            </w: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Maturity</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Schedule</w:t>
            </w:r>
          </w:p>
        </w:tc>
      </w:tr>
      <w:tr>
        <w:trPr>
          <w:trHeight w:val="114"/>
        </w:trPr>
        <w:tc>
          <w:tcPr>
            <w:tcW w:w="136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A five-year revolving</w:t>
            </w:r>
          </w:p>
        </w:tc>
        <w:tc>
          <w:tcPr>
            <w:tcW w:w="16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GasLog Ltd.</w:t>
            </w:r>
          </w:p>
        </w:tc>
        <w:tc>
          <w:tcPr>
            <w:tcW w:w="16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GasLog</w:t>
            </w:r>
          </w:p>
        </w:tc>
        <w:tc>
          <w:tcPr>
            <w:tcW w:w="16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0"/>
              </w:rPr>
              <w:t>Revolving Credit</w:t>
            </w:r>
          </w:p>
        </w:tc>
        <w:tc>
          <w:tcPr>
            <w:tcW w:w="16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$ 30.0 million</w:t>
            </w:r>
          </w:p>
        </w:tc>
        <w:tc>
          <w:tcPr>
            <w:tcW w:w="1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4"/>
              </w:rPr>
              <w:t>Fixed interest</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2022</w:t>
            </w:r>
          </w:p>
        </w:tc>
        <w:tc>
          <w:tcPr>
            <w:tcW w:w="16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Revolving facility of</w:t>
            </w:r>
          </w:p>
        </w:tc>
      </w:tr>
      <w:tr>
        <w:trPr>
          <w:trHeight w:val="135"/>
        </w:trPr>
        <w:tc>
          <w:tcPr>
            <w:tcW w:w="13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credit facility that the</w:t>
            </w: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Partners LP</w:t>
            </w: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Facility: nil ($30.0</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rate</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$30.0 million available in</w:t>
            </w:r>
          </w:p>
        </w:tc>
      </w:tr>
      <w:tr>
        <w:trPr>
          <w:trHeight w:val="135"/>
        </w:trPr>
        <w:tc>
          <w:tcPr>
            <w:tcW w:w="13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w w:val="88"/>
              </w:rPr>
              <w:t>Partnership signed with</w:t>
            </w: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2"/>
              </w:rPr>
              <w:t>million undrawn)</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8"/>
              </w:rPr>
              <w:t>minimum amounts of $2.0</w:t>
            </w:r>
          </w:p>
        </w:tc>
      </w:tr>
      <w:tr>
        <w:trPr>
          <w:trHeight w:val="135"/>
        </w:trPr>
        <w:tc>
          <w:tcPr>
            <w:tcW w:w="13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GasLog on April 3,</w:t>
            </w: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million which are</w:t>
            </w:r>
          </w:p>
        </w:tc>
      </w:tr>
      <w:tr>
        <w:trPr>
          <w:trHeight w:val="135"/>
        </w:trPr>
        <w:tc>
          <w:tcPr>
            <w:tcW w:w="13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2017 (the "Sponsor</w:t>
            </w: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1"/>
              </w:rPr>
              <w:t>repayable within a period</w:t>
            </w:r>
          </w:p>
        </w:tc>
      </w:tr>
      <w:tr>
        <w:trPr>
          <w:trHeight w:val="135"/>
        </w:trPr>
        <w:tc>
          <w:tcPr>
            <w:tcW w:w="13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Credit Facility")</w:t>
            </w: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of six months after the</w:t>
            </w:r>
          </w:p>
        </w:tc>
      </w:tr>
      <w:tr>
        <w:trPr>
          <w:trHeight w:val="135"/>
        </w:trPr>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respective drawdown</w:t>
            </w:r>
          </w:p>
        </w:tc>
      </w:tr>
      <w:tr>
        <w:trPr>
          <w:trHeight w:val="135"/>
        </w:trPr>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date, subject to automatic</w:t>
            </w:r>
          </w:p>
        </w:tc>
      </w:tr>
      <w:tr>
        <w:trPr>
          <w:trHeight w:val="149"/>
        </w:trPr>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renewal if not repaid.</w:t>
            </w:r>
          </w:p>
        </w:tc>
      </w:tr>
      <w:tr>
        <w:trPr>
          <w:trHeight w:val="256"/>
        </w:trPr>
        <w:tc>
          <w:tcPr>
            <w:tcW w:w="1360" w:type="dxa"/>
            <w:vAlign w:val="bottom"/>
          </w:tcPr>
          <w:p>
            <w:pPr>
              <w:spacing w:after="0"/>
              <w:rPr>
                <w:sz w:val="20"/>
                <w:szCs w:val="20"/>
                <w:color w:val="auto"/>
              </w:rPr>
            </w:pPr>
            <w:r>
              <w:rPr>
                <w:rFonts w:ascii="Arial" w:cs="Arial" w:eastAsia="Arial" w:hAnsi="Arial"/>
                <w:sz w:val="13"/>
                <w:szCs w:val="13"/>
                <w:color w:val="auto"/>
                <w:w w:val="93"/>
              </w:rPr>
              <w:t>Facility Agreement dated</w:t>
            </w:r>
          </w:p>
        </w:tc>
        <w:tc>
          <w:tcPr>
            <w:tcW w:w="1660" w:type="dxa"/>
            <w:vAlign w:val="bottom"/>
            <w:gridSpan w:val="3"/>
          </w:tcPr>
          <w:p>
            <w:pPr>
              <w:ind w:left="160"/>
              <w:spacing w:after="0"/>
              <w:rPr>
                <w:sz w:val="20"/>
                <w:szCs w:val="20"/>
                <w:color w:val="auto"/>
              </w:rPr>
            </w:pPr>
            <w:r>
              <w:rPr>
                <w:rFonts w:ascii="Arial" w:cs="Arial" w:eastAsia="Arial" w:hAnsi="Arial"/>
                <w:sz w:val="13"/>
                <w:szCs w:val="13"/>
                <w:color w:val="auto"/>
              </w:rPr>
              <w:t>Citibank, N.A., London</w:t>
            </w:r>
          </w:p>
        </w:tc>
        <w:tc>
          <w:tcPr>
            <w:tcW w:w="1340" w:type="dxa"/>
            <w:vAlign w:val="bottom"/>
          </w:tcPr>
          <w:p>
            <w:pPr>
              <w:spacing w:after="0"/>
              <w:rPr>
                <w:sz w:val="20"/>
                <w:szCs w:val="20"/>
                <w:color w:val="auto"/>
              </w:rPr>
            </w:pPr>
            <w:r>
              <w:rPr>
                <w:rFonts w:ascii="Arial" w:cs="Arial" w:eastAsia="Arial" w:hAnsi="Arial"/>
                <w:sz w:val="13"/>
                <w:szCs w:val="13"/>
                <w:color w:val="auto"/>
                <w:w w:val="88"/>
              </w:rPr>
              <w:t xml:space="preserve">GAS-eleven Ltd. </w:t>
            </w:r>
            <w:r>
              <w:rPr>
                <w:rFonts w:ascii="Arial" w:cs="Arial" w:eastAsia="Arial" w:hAnsi="Arial"/>
                <w:sz w:val="13"/>
                <w:szCs w:val="13"/>
                <w:i w:val="1"/>
                <w:iCs w:val="1"/>
                <w:color w:val="auto"/>
                <w:w w:val="88"/>
              </w:rPr>
              <w:t>(GasLog</w:t>
            </w:r>
          </w:p>
        </w:tc>
        <w:tc>
          <w:tcPr>
            <w:tcW w:w="1460" w:type="dxa"/>
            <w:vAlign w:val="bottom"/>
            <w:gridSpan w:val="3"/>
          </w:tcPr>
          <w:p>
            <w:pPr>
              <w:ind w:left="160"/>
              <w:spacing w:after="0"/>
              <w:rPr>
                <w:sz w:val="20"/>
                <w:szCs w:val="20"/>
                <w:color w:val="auto"/>
              </w:rPr>
            </w:pPr>
            <w:r>
              <w:rPr>
                <w:rFonts w:ascii="Arial" w:cs="Arial" w:eastAsia="Arial" w:hAnsi="Arial"/>
                <w:sz w:val="13"/>
                <w:szCs w:val="13"/>
                <w:color w:val="auto"/>
              </w:rPr>
              <w:t>$ 406.5 million</w:t>
            </w:r>
          </w:p>
        </w:tc>
        <w:tc>
          <w:tcPr>
            <w:tcW w:w="980" w:type="dxa"/>
            <w:vAlign w:val="bottom"/>
            <w:gridSpan w:val="2"/>
          </w:tcPr>
          <w:p>
            <w:pPr>
              <w:ind w:left="120"/>
              <w:spacing w:after="0"/>
              <w:rPr>
                <w:sz w:val="20"/>
                <w:szCs w:val="20"/>
                <w:color w:val="auto"/>
              </w:rPr>
            </w:pPr>
            <w:r>
              <w:rPr>
                <w:rFonts w:ascii="Arial" w:cs="Arial" w:eastAsia="Arial" w:hAnsi="Arial"/>
                <w:sz w:val="13"/>
                <w:szCs w:val="13"/>
                <w:color w:val="auto"/>
              </w:rPr>
              <w:t>N/A</w:t>
            </w:r>
          </w:p>
        </w:tc>
        <w:tc>
          <w:tcPr>
            <w:tcW w:w="920" w:type="dxa"/>
            <w:vAlign w:val="bottom"/>
            <w:gridSpan w:val="2"/>
          </w:tcPr>
          <w:p>
            <w:pPr>
              <w:spacing w:after="0"/>
              <w:rPr>
                <w:sz w:val="20"/>
                <w:szCs w:val="20"/>
                <w:color w:val="auto"/>
              </w:rPr>
            </w:pPr>
            <w:r>
              <w:rPr>
                <w:rFonts w:ascii="Arial" w:cs="Arial" w:eastAsia="Arial" w:hAnsi="Arial"/>
                <w:sz w:val="13"/>
                <w:szCs w:val="13"/>
                <w:color w:val="auto"/>
              </w:rPr>
              <w:t>LIBOR +</w:t>
            </w:r>
          </w:p>
        </w:tc>
        <w:tc>
          <w:tcPr>
            <w:tcW w:w="700" w:type="dxa"/>
            <w:vAlign w:val="bottom"/>
          </w:tcPr>
          <w:p>
            <w:pPr>
              <w:jc w:val="right"/>
              <w:spacing w:after="0"/>
              <w:rPr>
                <w:sz w:val="20"/>
                <w:szCs w:val="20"/>
                <w:color w:val="auto"/>
              </w:rPr>
            </w:pPr>
            <w:r>
              <w:rPr>
                <w:rFonts w:ascii="Arial" w:cs="Arial" w:eastAsia="Arial" w:hAnsi="Arial"/>
                <w:sz w:val="13"/>
                <w:szCs w:val="13"/>
                <w:color w:val="auto"/>
              </w:rPr>
              <w:t>2028</w:t>
            </w:r>
          </w:p>
        </w:tc>
        <w:tc>
          <w:tcPr>
            <w:tcW w:w="160" w:type="dxa"/>
            <w:vAlign w:val="bottom"/>
          </w:tcPr>
          <w:p>
            <w:pPr>
              <w:spacing w:after="0"/>
              <w:rPr>
                <w:sz w:val="22"/>
                <w:szCs w:val="22"/>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GAS-eleven Ltd.: 8</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w w:val="95"/>
              </w:rPr>
              <w:t>October 16, 2015 that</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w w:val="99"/>
              </w:rPr>
              <w:t>Branch, Nordea Bank AB,</w:t>
            </w:r>
          </w:p>
        </w:tc>
        <w:tc>
          <w:tcPr>
            <w:tcW w:w="1340" w:type="dxa"/>
            <w:vAlign w:val="bottom"/>
          </w:tcPr>
          <w:p>
            <w:pPr>
              <w:spacing w:after="0" w:line="135" w:lineRule="exact"/>
              <w:rPr>
                <w:sz w:val="20"/>
                <w:szCs w:val="20"/>
                <w:color w:val="auto"/>
              </w:rPr>
            </w:pPr>
            <w:r>
              <w:rPr>
                <w:rFonts w:ascii="Arial" w:cs="Arial" w:eastAsia="Arial" w:hAnsi="Arial"/>
                <w:sz w:val="13"/>
                <w:szCs w:val="13"/>
                <w:i w:val="1"/>
                <w:iCs w:val="1"/>
                <w:color w:val="auto"/>
                <w:w w:val="89"/>
              </w:rPr>
              <w:t>Greece)</w:t>
            </w:r>
            <w:r>
              <w:rPr>
                <w:rFonts w:ascii="Arial" w:cs="Arial" w:eastAsia="Arial" w:hAnsi="Arial"/>
                <w:sz w:val="13"/>
                <w:szCs w:val="13"/>
                <w:color w:val="auto"/>
                <w:w w:val="89"/>
              </w:rPr>
              <w:t>, GAS-twelve Ltd.</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3"/>
                <w:szCs w:val="13"/>
                <w:color w:val="auto"/>
              </w:rPr>
              <w:t>applicable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w w:val="92"/>
              </w:rPr>
              <w:t>consecutive semi-annual</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rPr>
              <w:t>the Partnership</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London Branch, The</w:t>
            </w:r>
          </w:p>
        </w:tc>
        <w:tc>
          <w:tcPr>
            <w:tcW w:w="1340" w:type="dxa"/>
            <w:vAlign w:val="bottom"/>
          </w:tcPr>
          <w:p>
            <w:pPr>
              <w:spacing w:after="0" w:line="135" w:lineRule="exact"/>
              <w:rPr>
                <w:sz w:val="20"/>
                <w:szCs w:val="20"/>
                <w:color w:val="auto"/>
              </w:rPr>
            </w:pPr>
            <w:r>
              <w:rPr>
                <w:rFonts w:ascii="Arial" w:cs="Arial" w:eastAsia="Arial" w:hAnsi="Arial"/>
                <w:sz w:val="13"/>
                <w:szCs w:val="13"/>
                <w:i w:val="1"/>
                <w:iCs w:val="1"/>
                <w:color w:val="auto"/>
                <w:w w:val="89"/>
              </w:rPr>
              <w:t>(GasLog Glasgow)</w:t>
            </w:r>
            <w:r>
              <w:rPr>
                <w:rFonts w:ascii="Arial" w:cs="Arial" w:eastAsia="Arial" w:hAnsi="Arial"/>
                <w:sz w:val="13"/>
                <w:szCs w:val="13"/>
                <w:color w:val="auto"/>
                <w:w w:val="89"/>
              </w:rPr>
              <w:t>, GAS-</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3"/>
                <w:szCs w:val="13"/>
                <w:color w:val="auto"/>
              </w:rPr>
              <w:t>margin</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rPr>
              <w:t>installments of $5.8</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w w:val="93"/>
              </w:rPr>
              <w:t>assumed following the</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Export-Import Bank of</w:t>
            </w:r>
          </w:p>
        </w:tc>
        <w:tc>
          <w:tcPr>
            <w:tcW w:w="1340" w:type="dxa"/>
            <w:vAlign w:val="bottom"/>
          </w:tcPr>
          <w:p>
            <w:pPr>
              <w:spacing w:after="0" w:line="135" w:lineRule="exact"/>
              <w:rPr>
                <w:sz w:val="20"/>
                <w:szCs w:val="20"/>
                <w:color w:val="auto"/>
              </w:rPr>
            </w:pPr>
            <w:r>
              <w:rPr>
                <w:rFonts w:ascii="Arial" w:cs="Arial" w:eastAsia="Arial" w:hAnsi="Arial"/>
                <w:sz w:val="13"/>
                <w:szCs w:val="13"/>
                <w:color w:val="auto"/>
              </w:rPr>
              <w:t xml:space="preserve">thirteen Ltd. </w:t>
            </w:r>
            <w:r>
              <w:rPr>
                <w:rFonts w:ascii="Arial" w:cs="Arial" w:eastAsia="Arial" w:hAnsi="Arial"/>
                <w:sz w:val="13"/>
                <w:szCs w:val="13"/>
                <w:i w:val="1"/>
                <w:iCs w:val="1"/>
                <w:color w:val="auto"/>
              </w:rPr>
              <w:t>(GasLog</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rPr>
              <w:t>million, a balloon</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rPr>
              <w:t>acquisitions of GAS-</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Korea, Bank of America,</w:t>
            </w:r>
          </w:p>
        </w:tc>
        <w:tc>
          <w:tcPr>
            <w:tcW w:w="1340" w:type="dxa"/>
            <w:vAlign w:val="bottom"/>
          </w:tcPr>
          <w:p>
            <w:pPr>
              <w:spacing w:after="0" w:line="135" w:lineRule="exact"/>
              <w:rPr>
                <w:sz w:val="20"/>
                <w:szCs w:val="20"/>
                <w:color w:val="auto"/>
              </w:rPr>
            </w:pPr>
            <w:r>
              <w:rPr>
                <w:rFonts w:ascii="Arial" w:cs="Arial" w:eastAsia="Arial" w:hAnsi="Arial"/>
                <w:sz w:val="13"/>
                <w:szCs w:val="13"/>
                <w:i w:val="1"/>
                <w:iCs w:val="1"/>
                <w:color w:val="auto"/>
                <w:w w:val="96"/>
              </w:rPr>
              <w:t>Geneva)</w:t>
            </w:r>
            <w:r>
              <w:rPr>
                <w:rFonts w:ascii="Arial" w:cs="Arial" w:eastAsia="Arial" w:hAnsi="Arial"/>
                <w:sz w:val="13"/>
                <w:szCs w:val="13"/>
                <w:color w:val="auto"/>
                <w:w w:val="96"/>
              </w:rPr>
              <w:t>, GAS-fourteen</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w w:val="97"/>
              </w:rPr>
              <w:t>payment due in 2026 of</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w w:val="96"/>
              </w:rPr>
              <w:t>eleven Ltd. on May 3,</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National Association,</w:t>
            </w:r>
          </w:p>
        </w:tc>
        <w:tc>
          <w:tcPr>
            <w:tcW w:w="1340" w:type="dxa"/>
            <w:vAlign w:val="bottom"/>
          </w:tcPr>
          <w:p>
            <w:pPr>
              <w:spacing w:after="0" w:line="135" w:lineRule="exact"/>
              <w:rPr>
                <w:sz w:val="20"/>
                <w:szCs w:val="20"/>
                <w:color w:val="auto"/>
              </w:rPr>
            </w:pPr>
            <w:r>
              <w:rPr>
                <w:rFonts w:ascii="Arial" w:cs="Arial" w:eastAsia="Arial" w:hAnsi="Arial"/>
                <w:sz w:val="13"/>
                <w:szCs w:val="13"/>
                <w:color w:val="auto"/>
                <w:w w:val="99"/>
              </w:rPr>
              <w:t xml:space="preserve">Ltd. </w:t>
            </w:r>
            <w:r>
              <w:rPr>
                <w:rFonts w:ascii="Arial" w:cs="Arial" w:eastAsia="Arial" w:hAnsi="Arial"/>
                <w:sz w:val="13"/>
                <w:szCs w:val="13"/>
                <w:i w:val="1"/>
                <w:iCs w:val="1"/>
                <w:color w:val="auto"/>
                <w:w w:val="99"/>
              </w:rPr>
              <w:t>(GasLog Gibraltar)</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rPr>
              <w:t>$36.3 million and</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rPr>
              <w:t>2017, GAS-thirteen</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BNP Paribas, Sea Bridge</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w w:val="95"/>
              </w:rPr>
              <w:t>thereafter 4 consecutive</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rPr>
              <w:t>Ltd. on July 3, 2017,</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Finance Limited, Credit</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w w:val="92"/>
              </w:rPr>
              <w:t>semi-annual installments</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w w:val="97"/>
              </w:rPr>
              <w:t>GAS-fourteen Ltd. on</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Suisse AG, HSBC Bank</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rPr>
              <w:t>of $4.2 million until</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rPr>
              <w:t>April 26, 2018 and</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plc, ING Bank N.V.,</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rPr>
              <w:t>March 2028.</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rPr>
              <w:t>GAS-twelve Ltd. on</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London Branch, KEB</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rPr>
              <w:t>April 1, 2019 (the</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HANA Bank, London</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rPr>
              <w:t>GAS-twelve Ltd.: 8</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rPr>
              <w:t>"Assumed October</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Branch, KfW IPEX-Bank</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w w:val="92"/>
              </w:rPr>
              <w:t>consecutive semi-annual</w:t>
            </w: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3"/>
                <w:szCs w:val="13"/>
                <w:color w:val="auto"/>
              </w:rPr>
              <w:t>2015 Facility")</w:t>
            </w: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GmbH, National Australia</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rPr>
              <w:t>installments of $5.8</w:t>
            </w:r>
          </w:p>
        </w:tc>
      </w:tr>
      <w:tr>
        <w:trPr>
          <w:trHeight w:val="135"/>
        </w:trPr>
        <w:tc>
          <w:tcPr>
            <w:tcW w:w="1360" w:type="dxa"/>
            <w:vAlign w:val="bottom"/>
          </w:tcPr>
          <w:p>
            <w:pPr>
              <w:spacing w:after="0"/>
              <w:rPr>
                <w:sz w:val="11"/>
                <w:szCs w:val="11"/>
                <w:color w:val="auto"/>
              </w:rPr>
            </w:pP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Bank Limited, Oversea-</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rPr>
              <w:t>million, a balloon</w:t>
            </w:r>
          </w:p>
        </w:tc>
      </w:tr>
      <w:tr>
        <w:trPr>
          <w:trHeight w:val="135"/>
        </w:trPr>
        <w:tc>
          <w:tcPr>
            <w:tcW w:w="1360" w:type="dxa"/>
            <w:vAlign w:val="bottom"/>
          </w:tcPr>
          <w:p>
            <w:pPr>
              <w:spacing w:after="0"/>
              <w:rPr>
                <w:sz w:val="11"/>
                <w:szCs w:val="11"/>
                <w:color w:val="auto"/>
              </w:rPr>
            </w:pP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Chinese Banking</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w w:val="97"/>
              </w:rPr>
              <w:t>payment due in 2026 of</w:t>
            </w:r>
          </w:p>
        </w:tc>
      </w:tr>
      <w:tr>
        <w:trPr>
          <w:trHeight w:val="135"/>
        </w:trPr>
        <w:tc>
          <w:tcPr>
            <w:tcW w:w="1360" w:type="dxa"/>
            <w:vAlign w:val="bottom"/>
          </w:tcPr>
          <w:p>
            <w:pPr>
              <w:spacing w:after="0"/>
              <w:rPr>
                <w:sz w:val="11"/>
                <w:szCs w:val="11"/>
                <w:color w:val="auto"/>
              </w:rPr>
            </w:pP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Corporation Limited,</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rPr>
              <w:t>$36.3 million and</w:t>
            </w:r>
          </w:p>
        </w:tc>
      </w:tr>
      <w:tr>
        <w:trPr>
          <w:trHeight w:val="135"/>
        </w:trPr>
        <w:tc>
          <w:tcPr>
            <w:tcW w:w="1360" w:type="dxa"/>
            <w:vAlign w:val="bottom"/>
          </w:tcPr>
          <w:p>
            <w:pPr>
              <w:spacing w:after="0"/>
              <w:rPr>
                <w:sz w:val="11"/>
                <w:szCs w:val="11"/>
                <w:color w:val="auto"/>
              </w:rPr>
            </w:pP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w w:val="97"/>
              </w:rPr>
              <w:t>Société Générale and The</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w w:val="95"/>
              </w:rPr>
              <w:t>thereafter 4 consecutive</w:t>
            </w:r>
          </w:p>
        </w:tc>
      </w:tr>
      <w:tr>
        <w:trPr>
          <w:trHeight w:val="135"/>
        </w:trPr>
        <w:tc>
          <w:tcPr>
            <w:tcW w:w="1360" w:type="dxa"/>
            <w:vAlign w:val="bottom"/>
          </w:tcPr>
          <w:p>
            <w:pPr>
              <w:spacing w:after="0"/>
              <w:rPr>
                <w:sz w:val="11"/>
                <w:szCs w:val="11"/>
                <w:color w:val="auto"/>
              </w:rPr>
            </w:pPr>
          </w:p>
        </w:tc>
        <w:tc>
          <w:tcPr>
            <w:tcW w:w="1660" w:type="dxa"/>
            <w:vAlign w:val="bottom"/>
            <w:gridSpan w:val="3"/>
          </w:tcPr>
          <w:p>
            <w:pPr>
              <w:ind w:left="160"/>
              <w:spacing w:after="0" w:line="135" w:lineRule="exact"/>
              <w:rPr>
                <w:sz w:val="20"/>
                <w:szCs w:val="20"/>
                <w:color w:val="auto"/>
              </w:rPr>
            </w:pPr>
            <w:r>
              <w:rPr>
                <w:rFonts w:ascii="Arial" w:cs="Arial" w:eastAsia="Arial" w:hAnsi="Arial"/>
                <w:sz w:val="13"/>
                <w:szCs w:val="13"/>
                <w:color w:val="auto"/>
                <w:w w:val="99"/>
              </w:rPr>
              <w:t>Korea Development Bank</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w w:val="92"/>
              </w:rPr>
              <w:t>semi-annual installments</w:t>
            </w:r>
          </w:p>
        </w:tc>
      </w:tr>
      <w:tr>
        <w:trPr>
          <w:trHeight w:val="135"/>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Arial" w:cs="Arial" w:eastAsia="Arial" w:hAnsi="Arial"/>
                <w:sz w:val="13"/>
                <w:szCs w:val="13"/>
                <w:color w:val="auto"/>
                <w:w w:val="94"/>
              </w:rPr>
              <w:t>of $4.2 million until June</w:t>
            </w:r>
          </w:p>
        </w:tc>
      </w:tr>
      <w:tr>
        <w:trPr>
          <w:trHeight w:val="160"/>
        </w:trPr>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-1806575</wp:posOffset>
            </wp:positionV>
            <wp:extent cx="6292215" cy="3686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3686175"/>
                    </a:xfrm>
                    <a:prstGeom prst="rect">
                      <a:avLst/>
                    </a:prstGeom>
                    <a:noFill/>
                  </pic:spPr>
                </pic:pic>
              </a:graphicData>
            </a:graphic>
          </wp:anchor>
        </w:drawing>
      </w:r>
    </w:p>
    <w:p>
      <w:pPr>
        <w:spacing w:after="0" w:line="85" w:lineRule="exact"/>
        <w:rPr>
          <w:sz w:val="20"/>
          <w:szCs w:val="20"/>
          <w:color w:val="auto"/>
        </w:rPr>
      </w:pPr>
    </w:p>
    <w:p>
      <w:pPr>
        <w:ind w:left="8580"/>
        <w:spacing w:after="0"/>
        <w:rPr>
          <w:sz w:val="20"/>
          <w:szCs w:val="20"/>
          <w:color w:val="auto"/>
        </w:rPr>
      </w:pPr>
      <w:r>
        <w:rPr>
          <w:rFonts w:ascii="Arial" w:cs="Arial" w:eastAsia="Arial" w:hAnsi="Arial"/>
          <w:sz w:val="13"/>
          <w:szCs w:val="13"/>
          <w:color w:val="auto"/>
        </w:rPr>
        <w:t>GAS-thirteen Ltd.: 9</w:t>
      </w:r>
    </w:p>
    <w:p>
      <w:pPr>
        <w:ind w:left="8580"/>
        <w:spacing w:after="0" w:line="234" w:lineRule="auto"/>
        <w:rPr>
          <w:sz w:val="20"/>
          <w:szCs w:val="20"/>
          <w:color w:val="auto"/>
        </w:rPr>
      </w:pPr>
      <w:r>
        <w:rPr>
          <w:rFonts w:ascii="Arial" w:cs="Arial" w:eastAsia="Arial" w:hAnsi="Arial"/>
          <w:sz w:val="12"/>
          <w:szCs w:val="12"/>
          <w:color w:val="auto"/>
        </w:rPr>
        <w:t>consecutive semi-annual</w:t>
      </w:r>
    </w:p>
    <w:p>
      <w:pPr>
        <w:ind w:left="8580"/>
        <w:spacing w:after="0" w:line="217" w:lineRule="auto"/>
        <w:rPr>
          <w:sz w:val="20"/>
          <w:szCs w:val="20"/>
          <w:color w:val="auto"/>
        </w:rPr>
      </w:pPr>
      <w:r>
        <w:rPr>
          <w:rFonts w:ascii="Arial" w:cs="Arial" w:eastAsia="Arial" w:hAnsi="Arial"/>
          <w:sz w:val="13"/>
          <w:szCs w:val="13"/>
          <w:color w:val="auto"/>
        </w:rPr>
        <w:t>installments of $5.7</w:t>
      </w:r>
    </w:p>
    <w:p>
      <w:pPr>
        <w:ind w:left="8580"/>
        <w:spacing w:after="0" w:line="217" w:lineRule="auto"/>
        <w:rPr>
          <w:sz w:val="20"/>
          <w:szCs w:val="20"/>
          <w:color w:val="auto"/>
        </w:rPr>
      </w:pPr>
      <w:r>
        <w:rPr>
          <w:rFonts w:ascii="Arial" w:cs="Arial" w:eastAsia="Arial" w:hAnsi="Arial"/>
          <w:sz w:val="13"/>
          <w:szCs w:val="13"/>
          <w:color w:val="auto"/>
        </w:rPr>
        <w:t>million, a balloon</w:t>
      </w:r>
    </w:p>
    <w:p>
      <w:pPr>
        <w:ind w:left="8580"/>
        <w:spacing w:after="0" w:line="235" w:lineRule="auto"/>
        <w:rPr>
          <w:sz w:val="20"/>
          <w:szCs w:val="20"/>
          <w:color w:val="auto"/>
        </w:rPr>
      </w:pPr>
      <w:r>
        <w:rPr>
          <w:rFonts w:ascii="Arial" w:cs="Arial" w:eastAsia="Arial" w:hAnsi="Arial"/>
          <w:sz w:val="12"/>
          <w:szCs w:val="12"/>
          <w:color w:val="auto"/>
        </w:rPr>
        <w:t>payment due in 2026 of</w:t>
      </w:r>
    </w:p>
    <w:p>
      <w:pPr>
        <w:ind w:left="8580"/>
        <w:spacing w:after="0" w:line="216" w:lineRule="auto"/>
        <w:rPr>
          <w:sz w:val="20"/>
          <w:szCs w:val="20"/>
          <w:color w:val="auto"/>
        </w:rPr>
      </w:pPr>
      <w:r>
        <w:rPr>
          <w:rFonts w:ascii="Arial" w:cs="Arial" w:eastAsia="Arial" w:hAnsi="Arial"/>
          <w:sz w:val="13"/>
          <w:szCs w:val="13"/>
          <w:color w:val="auto"/>
        </w:rPr>
        <w:t>$35.8 million and</w:t>
      </w:r>
    </w:p>
    <w:p>
      <w:pPr>
        <w:ind w:left="8580"/>
        <w:spacing w:after="0" w:line="235" w:lineRule="auto"/>
        <w:rPr>
          <w:sz w:val="20"/>
          <w:szCs w:val="20"/>
          <w:color w:val="auto"/>
        </w:rPr>
      </w:pPr>
      <w:r>
        <w:rPr>
          <w:rFonts w:ascii="Arial" w:cs="Arial" w:eastAsia="Arial" w:hAnsi="Arial"/>
          <w:sz w:val="12"/>
          <w:szCs w:val="12"/>
          <w:color w:val="auto"/>
        </w:rPr>
        <w:t>thereafter 4 consecutive</w:t>
      </w:r>
    </w:p>
    <w:p>
      <w:pPr>
        <w:ind w:left="8580"/>
        <w:spacing w:after="0" w:line="235" w:lineRule="auto"/>
        <w:rPr>
          <w:sz w:val="20"/>
          <w:szCs w:val="20"/>
          <w:color w:val="auto"/>
        </w:rPr>
      </w:pPr>
      <w:r>
        <w:rPr>
          <w:rFonts w:ascii="Arial" w:cs="Arial" w:eastAsia="Arial" w:hAnsi="Arial"/>
          <w:sz w:val="12"/>
          <w:szCs w:val="12"/>
          <w:color w:val="auto"/>
        </w:rPr>
        <w:t>semi-annual installments</w:t>
      </w:r>
    </w:p>
    <w:p>
      <w:pPr>
        <w:ind w:left="8580"/>
        <w:spacing w:after="0" w:line="217" w:lineRule="auto"/>
        <w:rPr>
          <w:sz w:val="20"/>
          <w:szCs w:val="20"/>
          <w:color w:val="auto"/>
        </w:rPr>
      </w:pPr>
      <w:r>
        <w:rPr>
          <w:rFonts w:ascii="Arial" w:cs="Arial" w:eastAsia="Arial" w:hAnsi="Arial"/>
          <w:sz w:val="13"/>
          <w:szCs w:val="13"/>
          <w:color w:val="auto"/>
        </w:rPr>
        <w:t>of $4.2 million until</w:t>
      </w:r>
    </w:p>
    <w:p>
      <w:pPr>
        <w:ind w:left="8580"/>
        <w:spacing w:after="0"/>
        <w:rPr>
          <w:sz w:val="20"/>
          <w:szCs w:val="20"/>
          <w:color w:val="auto"/>
        </w:rPr>
      </w:pPr>
      <w:r>
        <w:rPr>
          <w:rFonts w:ascii="Arial" w:cs="Arial" w:eastAsia="Arial" w:hAnsi="Arial"/>
          <w:sz w:val="13"/>
          <w:szCs w:val="13"/>
          <w:color w:val="auto"/>
        </w:rPr>
        <w:t>September 2028.</w:t>
      </w:r>
    </w:p>
    <w:p>
      <w:pPr>
        <w:spacing w:after="0" w:line="106" w:lineRule="exact"/>
        <w:rPr>
          <w:sz w:val="20"/>
          <w:szCs w:val="20"/>
          <w:color w:val="auto"/>
        </w:rPr>
      </w:pPr>
    </w:p>
    <w:p>
      <w:pPr>
        <w:ind w:left="8580"/>
        <w:spacing w:after="0"/>
        <w:rPr>
          <w:sz w:val="20"/>
          <w:szCs w:val="20"/>
          <w:color w:val="auto"/>
        </w:rPr>
      </w:pPr>
      <w:r>
        <w:rPr>
          <w:rFonts w:ascii="Arial" w:cs="Arial" w:eastAsia="Arial" w:hAnsi="Arial"/>
          <w:sz w:val="13"/>
          <w:szCs w:val="13"/>
          <w:color w:val="auto"/>
        </w:rPr>
        <w:t>GAS-fourteen Ltd.: 9</w:t>
      </w:r>
    </w:p>
    <w:p>
      <w:pPr>
        <w:ind w:left="8580"/>
        <w:spacing w:after="0" w:line="234" w:lineRule="auto"/>
        <w:rPr>
          <w:sz w:val="20"/>
          <w:szCs w:val="20"/>
          <w:color w:val="auto"/>
        </w:rPr>
      </w:pPr>
      <w:r>
        <w:rPr>
          <w:rFonts w:ascii="Arial" w:cs="Arial" w:eastAsia="Arial" w:hAnsi="Arial"/>
          <w:sz w:val="12"/>
          <w:szCs w:val="12"/>
          <w:color w:val="auto"/>
        </w:rPr>
        <w:t>consecutive semi-annual</w:t>
      </w:r>
    </w:p>
    <w:p>
      <w:pPr>
        <w:ind w:left="8580"/>
        <w:spacing w:after="0" w:line="217" w:lineRule="auto"/>
        <w:rPr>
          <w:sz w:val="20"/>
          <w:szCs w:val="20"/>
          <w:color w:val="auto"/>
        </w:rPr>
      </w:pPr>
      <w:r>
        <w:rPr>
          <w:rFonts w:ascii="Arial" w:cs="Arial" w:eastAsia="Arial" w:hAnsi="Arial"/>
          <w:sz w:val="13"/>
          <w:szCs w:val="13"/>
          <w:color w:val="auto"/>
        </w:rPr>
        <w:t>installments of $5.7</w:t>
      </w:r>
    </w:p>
    <w:p>
      <w:pPr>
        <w:ind w:left="8580"/>
        <w:spacing w:after="0" w:line="217" w:lineRule="auto"/>
        <w:rPr>
          <w:sz w:val="20"/>
          <w:szCs w:val="20"/>
          <w:color w:val="auto"/>
        </w:rPr>
      </w:pPr>
      <w:r>
        <w:rPr>
          <w:rFonts w:ascii="Arial" w:cs="Arial" w:eastAsia="Arial" w:hAnsi="Arial"/>
          <w:sz w:val="13"/>
          <w:szCs w:val="13"/>
          <w:color w:val="auto"/>
        </w:rPr>
        <w:t>million, a balloon</w:t>
      </w:r>
    </w:p>
    <w:p>
      <w:pPr>
        <w:ind w:left="8580"/>
        <w:spacing w:after="0" w:line="235" w:lineRule="auto"/>
        <w:rPr>
          <w:sz w:val="20"/>
          <w:szCs w:val="20"/>
          <w:color w:val="auto"/>
        </w:rPr>
      </w:pPr>
      <w:r>
        <w:rPr>
          <w:rFonts w:ascii="Arial" w:cs="Arial" w:eastAsia="Arial" w:hAnsi="Arial"/>
          <w:sz w:val="12"/>
          <w:szCs w:val="12"/>
          <w:color w:val="auto"/>
        </w:rPr>
        <w:t>payment due in 2026 of</w:t>
      </w:r>
    </w:p>
    <w:p>
      <w:pPr>
        <w:ind w:left="8580"/>
        <w:spacing w:after="0" w:line="216" w:lineRule="auto"/>
        <w:rPr>
          <w:sz w:val="20"/>
          <w:szCs w:val="20"/>
          <w:color w:val="auto"/>
        </w:rPr>
      </w:pPr>
      <w:r>
        <w:rPr>
          <w:rFonts w:ascii="Arial" w:cs="Arial" w:eastAsia="Arial" w:hAnsi="Arial"/>
          <w:sz w:val="13"/>
          <w:szCs w:val="13"/>
          <w:color w:val="auto"/>
        </w:rPr>
        <w:t>$35.8 million and</w:t>
      </w:r>
    </w:p>
    <w:p>
      <w:pPr>
        <w:ind w:left="8580"/>
        <w:spacing w:after="0" w:line="235" w:lineRule="auto"/>
        <w:rPr>
          <w:sz w:val="20"/>
          <w:szCs w:val="20"/>
          <w:color w:val="auto"/>
        </w:rPr>
      </w:pPr>
      <w:r>
        <w:rPr>
          <w:rFonts w:ascii="Arial" w:cs="Arial" w:eastAsia="Arial" w:hAnsi="Arial"/>
          <w:sz w:val="12"/>
          <w:szCs w:val="12"/>
          <w:color w:val="auto"/>
        </w:rPr>
        <w:t>thereafter 4 consecutive</w:t>
      </w:r>
    </w:p>
    <w:p>
      <w:pPr>
        <w:ind w:left="8580"/>
        <w:spacing w:after="0" w:line="235" w:lineRule="auto"/>
        <w:rPr>
          <w:sz w:val="20"/>
          <w:szCs w:val="20"/>
          <w:color w:val="auto"/>
        </w:rPr>
      </w:pPr>
      <w:r>
        <w:rPr>
          <w:rFonts w:ascii="Arial" w:cs="Arial" w:eastAsia="Arial" w:hAnsi="Arial"/>
          <w:sz w:val="12"/>
          <w:szCs w:val="12"/>
          <w:color w:val="auto"/>
        </w:rPr>
        <w:t>semi-annual installments</w:t>
      </w:r>
    </w:p>
    <w:p>
      <w:pPr>
        <w:ind w:left="8580"/>
        <w:spacing w:after="0" w:line="217" w:lineRule="auto"/>
        <w:rPr>
          <w:sz w:val="20"/>
          <w:szCs w:val="20"/>
          <w:color w:val="auto"/>
        </w:rPr>
      </w:pPr>
      <w:r>
        <w:rPr>
          <w:rFonts w:ascii="Arial" w:cs="Arial" w:eastAsia="Arial" w:hAnsi="Arial"/>
          <w:sz w:val="13"/>
          <w:szCs w:val="13"/>
          <w:color w:val="auto"/>
        </w:rPr>
        <w:t>of $4.2 million until</w:t>
      </w:r>
    </w:p>
    <w:p>
      <w:pPr>
        <w:ind w:left="8580"/>
        <w:spacing w:after="0"/>
        <w:rPr>
          <w:sz w:val="20"/>
          <w:szCs w:val="20"/>
          <w:color w:val="auto"/>
        </w:rPr>
      </w:pPr>
      <w:r>
        <w:rPr>
          <w:rFonts w:ascii="Arial" w:cs="Arial" w:eastAsia="Arial" w:hAnsi="Arial"/>
          <w:sz w:val="13"/>
          <w:szCs w:val="13"/>
          <w:color w:val="auto"/>
        </w:rPr>
        <w:t>October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8"/>
              </w:rPr>
              <w:t>Payment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Outstanding</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Available</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Principals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Subsidiary Party</w:t>
            </w:r>
          </w:p>
        </w:tc>
        <w:tc>
          <w:tcPr>
            <w:tcW w:w="13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Principal</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Undrawn</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Installments</w:t>
            </w:r>
          </w:p>
        </w:tc>
        <w:tc>
          <w:tcPr>
            <w:tcW w:w="0" w:type="dxa"/>
            <w:vAlign w:val="bottom"/>
          </w:tcPr>
          <w:p>
            <w:pPr>
              <w:spacing w:after="0"/>
              <w:rPr>
                <w:sz w:val="1"/>
                <w:szCs w:val="1"/>
                <w:color w:val="auto"/>
              </w:rPr>
            </w:pPr>
          </w:p>
        </w:tc>
      </w:tr>
      <w:tr>
        <w:trPr>
          <w:trHeight w:val="153"/>
        </w:trPr>
        <w:tc>
          <w:tcPr>
            <w:tcW w:w="1540" w:type="dxa"/>
            <w:vAlign w:val="bottom"/>
            <w:gridSpan w:val="3"/>
          </w:tcPr>
          <w:p>
            <w:pPr>
              <w:spacing w:after="0"/>
              <w:rPr>
                <w:sz w:val="20"/>
                <w:szCs w:val="20"/>
                <w:color w:val="auto"/>
              </w:rPr>
            </w:pPr>
            <w:r>
              <w:rPr>
                <w:rFonts w:ascii="Arial" w:cs="Arial" w:eastAsia="Arial" w:hAnsi="Arial"/>
                <w:sz w:val="13"/>
                <w:szCs w:val="13"/>
                <w:b w:val="1"/>
                <w:bCs w:val="1"/>
                <w:color w:val="auto"/>
              </w:rPr>
              <w:t>Facility Name</w:t>
            </w:r>
          </w:p>
        </w:tc>
        <w:tc>
          <w:tcPr>
            <w:tcW w:w="1500" w:type="dxa"/>
            <w:vAlign w:val="bottom"/>
            <w:gridSpan w:val="2"/>
          </w:tcPr>
          <w:p>
            <w:pPr>
              <w:ind w:left="400"/>
              <w:spacing w:after="0"/>
              <w:rPr>
                <w:sz w:val="20"/>
                <w:szCs w:val="20"/>
                <w:color w:val="auto"/>
              </w:rPr>
            </w:pPr>
            <w:r>
              <w:rPr>
                <w:rFonts w:ascii="Arial" w:cs="Arial" w:eastAsia="Arial" w:hAnsi="Arial"/>
                <w:sz w:val="13"/>
                <w:szCs w:val="13"/>
                <w:b w:val="1"/>
                <w:bCs w:val="1"/>
                <w:color w:val="auto"/>
              </w:rPr>
              <w:t>Lender(s)</w:t>
            </w:r>
          </w:p>
        </w:tc>
        <w:tc>
          <w:tcPr>
            <w:tcW w:w="1520" w:type="dxa"/>
            <w:vAlign w:val="bottom"/>
            <w:gridSpan w:val="2"/>
          </w:tcPr>
          <w:p>
            <w:pPr>
              <w:ind w:left="240"/>
              <w:spacing w:after="0"/>
              <w:rPr>
                <w:sz w:val="20"/>
                <w:szCs w:val="20"/>
                <w:color w:val="auto"/>
              </w:rPr>
            </w:pPr>
            <w:r>
              <w:rPr>
                <w:rFonts w:ascii="Arial" w:cs="Arial" w:eastAsia="Arial" w:hAnsi="Arial"/>
                <w:sz w:val="13"/>
                <w:szCs w:val="13"/>
                <w:b w:val="1"/>
                <w:bCs w:val="1"/>
                <w:color w:val="auto"/>
              </w:rPr>
              <w:t>(Collateral Ship)</w:t>
            </w: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Amount</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 Rate</w:t>
            </w: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6"/>
              </w:rPr>
              <w:t>Schedule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3"/>
              </w:rPr>
              <w:t>Facility Agreement dated</w:t>
            </w:r>
          </w:p>
        </w:tc>
        <w:tc>
          <w:tcPr>
            <w:tcW w:w="16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88"/>
              </w:rPr>
              <w:t>Credit Suisse AG, Nordea</w:t>
            </w:r>
          </w:p>
        </w:tc>
        <w:tc>
          <w:tcPr>
            <w:tcW w:w="16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 xml:space="preserve">GAS-four Ltd. </w:t>
            </w:r>
            <w:r>
              <w:rPr>
                <w:rFonts w:ascii="Arial" w:cs="Arial" w:eastAsia="Arial" w:hAnsi="Arial"/>
                <w:sz w:val="13"/>
                <w:szCs w:val="13"/>
                <w:i w:val="1"/>
                <w:iCs w:val="1"/>
                <w:color w:val="auto"/>
              </w:rPr>
              <w:t>(GasLog</w:t>
            </w:r>
          </w:p>
        </w:tc>
        <w:tc>
          <w:tcPr>
            <w:tcW w:w="16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ind w:left="40"/>
              <w:spacing w:after="0" w:line="114" w:lineRule="exact"/>
              <w:rPr>
                <w:sz w:val="20"/>
                <w:szCs w:val="20"/>
                <w:color w:val="auto"/>
              </w:rPr>
            </w:pPr>
            <w:r>
              <w:rPr>
                <w:rFonts w:ascii="Arial" w:cs="Arial" w:eastAsia="Arial" w:hAnsi="Arial"/>
                <w:sz w:val="13"/>
                <w:szCs w:val="13"/>
                <w:color w:val="auto"/>
              </w:rPr>
              <w:t>$ 273.5 million</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N/A</w:t>
            </w:r>
          </w:p>
        </w:tc>
        <w:tc>
          <w:tcPr>
            <w:tcW w:w="1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LIBOR +</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2024</w:t>
            </w:r>
          </w:p>
        </w:tc>
        <w:tc>
          <w:tcPr>
            <w:tcW w:w="16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9 consecutive quarterly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February 20, 2019</w:t>
            </w:r>
          </w:p>
        </w:tc>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Bank Abp, filial i Norge,</w:t>
            </w: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Santiago)</w:t>
            </w:r>
            <w:r>
              <w:rPr>
                <w:rFonts w:ascii="Arial" w:cs="Arial" w:eastAsia="Arial" w:hAnsi="Arial"/>
                <w:sz w:val="13"/>
                <w:szCs w:val="13"/>
                <w:color w:val="auto"/>
              </w:rPr>
              <w:t>, GAS-five Ltd.</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applicable</w:t>
            </w: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installments of $5.8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among GAS-four Ltd.,</w:t>
            </w:r>
          </w:p>
        </w:tc>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Iyo Bank Ltd., Singapore</w:t>
            </w: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(GasLog Sydney)</w:t>
            </w:r>
            <w:r>
              <w:rPr>
                <w:rFonts w:ascii="Arial" w:cs="Arial" w:eastAsia="Arial" w:hAnsi="Arial"/>
                <w:sz w:val="13"/>
                <w:szCs w:val="13"/>
                <w:color w:val="auto"/>
              </w:rPr>
              <w:t>, GAS-</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margin</w:t>
            </w: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million and a balloon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GAS-five Ltd., GAS-</w:t>
            </w:r>
          </w:p>
        </w:tc>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Branch and Development</w:t>
            </w: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 xml:space="preserve">sixteen Ltd. </w:t>
            </w:r>
            <w:r>
              <w:rPr>
                <w:rFonts w:ascii="Arial" w:cs="Arial" w:eastAsia="Arial" w:hAnsi="Arial"/>
                <w:sz w:val="13"/>
                <w:szCs w:val="13"/>
                <w:i w:val="1"/>
                <w:iCs w:val="1"/>
                <w:color w:val="auto"/>
                <w:w w:val="98"/>
              </w:rPr>
              <w:t>(Methane Rita</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95"/>
              </w:rPr>
              <w:t>amount of $221.3 million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sixteen Ltd. and GAS-</w:t>
            </w:r>
          </w:p>
        </w:tc>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Bank of Japan, Inc.</w:t>
            </w: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Andrea)</w:t>
            </w:r>
            <w:r>
              <w:rPr>
                <w:rFonts w:ascii="Arial" w:cs="Arial" w:eastAsia="Arial" w:hAnsi="Arial"/>
                <w:sz w:val="13"/>
                <w:szCs w:val="13"/>
                <w:color w:val="auto"/>
              </w:rPr>
              <w:t>, GAS-seventeen</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together with the final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seventeen Ltd. as</w:t>
            </w: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Ltd.</w:t>
            </w:r>
            <w:r>
              <w:rPr>
                <w:rFonts w:ascii="Arial" w:cs="Arial" w:eastAsia="Arial" w:hAnsi="Arial"/>
                <w:sz w:val="13"/>
                <w:szCs w:val="13"/>
                <w:i w:val="1"/>
                <w:iCs w:val="1"/>
                <w:color w:val="auto"/>
              </w:rPr>
              <w:t>(Methane Jane</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quarterly reduction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borrowers, and the</w:t>
            </w: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Elizabeth)</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financial institutions</w:t>
            </w: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98"/>
              </w:rPr>
              <w:t>party thereto, (the "2019</w:t>
            </w: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GasLog Partners</w:t>
            </w: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Facility")</w:t>
            </w: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The GasLog Partners</w:t>
            </w:r>
          </w:p>
        </w:tc>
        <w:tc>
          <w:tcPr>
            <w:tcW w:w="1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BNP Paribas, Credit</w:t>
            </w:r>
          </w:p>
        </w:tc>
        <w:tc>
          <w:tcPr>
            <w:tcW w:w="15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GAS-seven Ltd. </w:t>
            </w:r>
            <w:r>
              <w:rPr>
                <w:rFonts w:ascii="Arial" w:cs="Arial" w:eastAsia="Arial" w:hAnsi="Arial"/>
                <w:sz w:val="13"/>
                <w:szCs w:val="13"/>
                <w:i w:val="1"/>
                <w:iCs w:val="1"/>
                <w:color w:val="auto"/>
              </w:rPr>
              <w:t>(GasLog</w:t>
            </w:r>
          </w:p>
        </w:tc>
        <w:tc>
          <w:tcPr>
            <w:tcW w:w="1320" w:type="dxa"/>
            <w:vAlign w:val="bottom"/>
            <w:gridSpan w:val="2"/>
            <w:shd w:val="clear" w:color="auto" w:fill="CCEEFF"/>
          </w:tcPr>
          <w:p>
            <w:pPr>
              <w:ind w:left="40"/>
              <w:spacing w:after="0" w:line="121" w:lineRule="exact"/>
              <w:rPr>
                <w:sz w:val="20"/>
                <w:szCs w:val="20"/>
                <w:color w:val="auto"/>
              </w:rPr>
            </w:pPr>
            <w:r>
              <w:rPr>
                <w:rFonts w:ascii="Arial" w:cs="Arial" w:eastAsia="Arial" w:hAnsi="Arial"/>
                <w:sz w:val="13"/>
                <w:szCs w:val="13"/>
                <w:color w:val="auto"/>
              </w:rPr>
              <w:t>$ 243.1 million</w:t>
            </w:r>
          </w:p>
        </w:tc>
        <w:tc>
          <w:tcPr>
            <w:tcW w:w="8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N/A</w:t>
            </w:r>
          </w:p>
        </w:tc>
        <w:tc>
          <w:tcPr>
            <w:tcW w:w="9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LIBOR +</w:t>
            </w: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2025</w:t>
            </w:r>
          </w:p>
        </w:tc>
        <w:tc>
          <w:tcPr>
            <w:tcW w:w="154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8 equal semi-annual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$260.3M Facility</w:t>
            </w:r>
          </w:p>
        </w:tc>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Suisse AG, Alpha Bank</w:t>
            </w: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Seattle)</w:t>
            </w:r>
            <w:r>
              <w:rPr>
                <w:rFonts w:ascii="Arial" w:cs="Arial" w:eastAsia="Arial" w:hAnsi="Arial"/>
                <w:sz w:val="13"/>
                <w:szCs w:val="13"/>
                <w:color w:val="auto"/>
              </w:rPr>
              <w:t>, GAS-eight Ltd.</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applicable</w:t>
            </w: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installments of $8.6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S.A. and Development</w:t>
            </w: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(Solaris)</w:t>
            </w:r>
            <w:r>
              <w:rPr>
                <w:rFonts w:ascii="Arial" w:cs="Arial" w:eastAsia="Arial" w:hAnsi="Arial"/>
                <w:sz w:val="13"/>
                <w:szCs w:val="13"/>
                <w:color w:val="auto"/>
              </w:rPr>
              <w:t>, GAS-twenty</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margin</w:t>
            </w: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million, with a final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Bank of Japan, Inc.</w:t>
            </w: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Ltd. </w:t>
            </w:r>
            <w:r>
              <w:rPr>
                <w:rFonts w:ascii="Arial" w:cs="Arial" w:eastAsia="Arial" w:hAnsi="Arial"/>
                <w:sz w:val="13"/>
                <w:szCs w:val="13"/>
                <w:i w:val="1"/>
                <w:iCs w:val="1"/>
                <w:color w:val="auto"/>
              </w:rPr>
              <w:t>(Methane Shirley</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92"/>
              </w:rPr>
              <w:t>balloon amount of $174.4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Elisabeth)</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million payable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95"/>
              </w:rPr>
              <w:t>concurrently with the 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installment in July 2025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The GasLog Partners</w:t>
            </w:r>
          </w:p>
        </w:tc>
        <w:tc>
          <w:tcPr>
            <w:tcW w:w="1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DNB Bank ASA, ING</w:t>
            </w:r>
          </w:p>
        </w:tc>
        <w:tc>
          <w:tcPr>
            <w:tcW w:w="15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GAS-nineteen Ltd.</w:t>
            </w:r>
          </w:p>
        </w:tc>
        <w:tc>
          <w:tcPr>
            <w:tcW w:w="1320" w:type="dxa"/>
            <w:vAlign w:val="bottom"/>
            <w:gridSpan w:val="2"/>
            <w:shd w:val="clear" w:color="auto" w:fill="CCEEFF"/>
          </w:tcPr>
          <w:p>
            <w:pPr>
              <w:ind w:left="40"/>
              <w:spacing w:after="0" w:line="121" w:lineRule="exact"/>
              <w:rPr>
                <w:sz w:val="20"/>
                <w:szCs w:val="20"/>
                <w:color w:val="auto"/>
              </w:rPr>
            </w:pPr>
            <w:r>
              <w:rPr>
                <w:rFonts w:ascii="Arial" w:cs="Arial" w:eastAsia="Arial" w:hAnsi="Arial"/>
                <w:sz w:val="13"/>
                <w:szCs w:val="13"/>
                <w:color w:val="auto"/>
              </w:rPr>
              <w:t>$ 176.5 million</w:t>
            </w:r>
          </w:p>
        </w:tc>
        <w:tc>
          <w:tcPr>
            <w:tcW w:w="8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N/A</w:t>
            </w:r>
          </w:p>
        </w:tc>
        <w:tc>
          <w:tcPr>
            <w:tcW w:w="9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LIBOR +</w:t>
            </w: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2025</w:t>
            </w:r>
          </w:p>
        </w:tc>
        <w:tc>
          <w:tcPr>
            <w:tcW w:w="154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8 equal semi-annual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$193.7M Facility</w:t>
            </w:r>
          </w:p>
        </w:tc>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Bank N.V.</w:t>
            </w: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(Methane Alison Victoria)</w:t>
            </w:r>
            <w:r>
              <w:rPr>
                <w:rFonts w:ascii="Arial" w:cs="Arial" w:eastAsia="Arial" w:hAnsi="Arial"/>
                <w:sz w:val="13"/>
                <w:szCs w:val="13"/>
                <w:color w:val="auto"/>
              </w:rPr>
              <w:t>,</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applicable</w:t>
            </w: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installments of $8.6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GAS-twenty one Ltd.</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margin</w:t>
            </w: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million beginning 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(Methane Heather Sally)</w:t>
            </w:r>
            <w:r>
              <w:rPr>
                <w:rFonts w:ascii="Arial" w:cs="Arial" w:eastAsia="Arial" w:hAnsi="Arial"/>
                <w:sz w:val="13"/>
                <w:szCs w:val="13"/>
                <w:color w:val="auto"/>
              </w:rPr>
              <w:t>,</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92"/>
              </w:rPr>
              <w:t>January 2021, with a final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GAS-twenty seven Ltd.</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92"/>
              </w:rPr>
              <w:t>balloon amount of $107.7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(Methane Becki Anne)</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million payable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95"/>
              </w:rPr>
              <w:t>concurrently with the 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installment in July 2025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Sponsor Credit Facility</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April 3, 2017, GasLog Partners entered into an unsecured five-year term loan of $45.0 million and a new five-year revolving credit facility of $30.0 million with GasLog. On April 5, 2017, an amount of $45.0 million under the term loan facility and an amount of $15.0 million under the revolving credit facility were drawn by the Partnership, with the latter fully repaid on May 22, 2017. On March 23, 2018, the $45.0 million term loan under the Sponsor Credit Facility with GasLog was prepaid and terminated. The revolving credit facility provides for an availability period of five years. Each borrowing under the Sponsor Credit Facility accrues interest at a rate of 9.125% per annum with an annual 1.0% commitment fee on the undrawn balance.</w:t>
      </w:r>
    </w:p>
    <w:p>
      <w:pPr>
        <w:spacing w:after="0" w:line="17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Sponsor Credit Facility contains customary events of default, including non-payment of principal or interest, breach of covenants or material inaccuracy of representations, default under other material indebtedness and bankruptcy. In addition, the Sponsor Credit Facility covenants require that at all times GasLog must continue to control, directly or indirectly, the affairs or composition of the Partnership’s board of directors and any amendment to our partnership agreement, in the reasonable opinion of the lender, must not be adverse to its interests in connection with the Sponsor Credit Facility.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November 2021, the GasLog Partners Board determined not to renew the Sponsor Credit Facility when it expires in April 2022.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Covenants and Guarantees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credit agreements are secured as follows:</w:t>
      </w:r>
    </w:p>
    <w:p>
      <w:pPr>
        <w:spacing w:after="0" w:line="225" w:lineRule="exact"/>
        <w:rPr>
          <w:sz w:val="20"/>
          <w:szCs w:val="20"/>
          <w:color w:val="auto"/>
        </w:rPr>
      </w:pPr>
    </w:p>
    <w:p>
      <w:pPr>
        <w:ind w:left="1000" w:hanging="31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25" w:lineRule="exact"/>
        <w:rPr>
          <w:rFonts w:ascii="Arial" w:cs="Arial" w:eastAsia="Arial" w:hAnsi="Arial"/>
          <w:sz w:val="18"/>
          <w:szCs w:val="18"/>
          <w:color w:val="auto"/>
        </w:rPr>
      </w:pPr>
    </w:p>
    <w:p>
      <w:pPr>
        <w:ind w:left="1000" w:right="80" w:hanging="317"/>
        <w:spacing w:after="0" w:line="296"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in the case of the 2019 GasLog Partners Facility, the GasLog Partners $260.3M Facility and the GasLog Partners $193.7M Facility, guarantees from the Partnership and the Partnership’s subsidiary GasLog Partners Holdings, and in the case of the Assumed October 2015 Facility, guarantees from the Partnership and GasLog Partners Holdings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guarantees from GasLog and GasLog Carriers for up to the value of the commitments on the remaining vessels;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pledge or a negative pledge of the share capital of the respective borrower;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first priority assignment of all earnings and insurance related to the ships owned by the respective borrower.</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Certain of the credit facilities also impose certain restrictions relating to the Partnership and GasLog, and their other subsidiaries, including restrictions that limit the Partnership’s and GasLog’s ability to make any substantial change in the nature of the Partnership’s or GasLog’s business or to engage in transactions that would constitute a change of control, without repaying part or all of the Partnership’s and GasLog’s indebtedness in full.</w:t>
      </w:r>
    </w:p>
    <w:p>
      <w:pPr>
        <w:spacing w:after="0" w:line="18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credit facilities contain customary events of default, including non-payment of principal or interest, breach of covenants or material inaccuracy of representations, default under other material indebtedness and bankruptcy. In addition, the credit facilities contain covenants requiring the Partnership and certain of the Partnership’s subsidiaries to maintain the aggregate of (i) the market value, on a charter exclusive basis, of the mortgaged vessel or vessels and (ii) the market value of any additional security provided to the lenders, at a value of not less than 120.0% of the then outstanding amount under the applicable facility (130.0% of the aggregate outstanding principal balance plus any hedging exposure for the GasLog Partners $193.7M Facility). If we fail to comply with these covenants and are not able to obtain covenant waivers or modifications, the lenders could require the Partnership to make prepayments or provide additional collateral sufficient to bring the Partnership into compliance with such covenants, and if we fail to do so the lenders could accelerate the indebtedness.</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Partnership, as corporate guarantor is also subject to specified financial covenants on a consolidated basis. These financial covenants include the following as defined in the agreements:</w:t>
      </w:r>
    </w:p>
    <w:p>
      <w:pPr>
        <w:spacing w:after="0" w:line="170" w:lineRule="exact"/>
        <w:rPr>
          <w:sz w:val="20"/>
          <w:szCs w:val="20"/>
          <w:color w:val="auto"/>
        </w:rPr>
      </w:pPr>
    </w:p>
    <w:p>
      <w:pPr>
        <w:ind w:left="1000" w:right="20" w:hanging="31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(excluding loans from affiliates) must be at least $45,000;</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w:t>
      </w:r>
    </w:p>
    <w:p>
      <w:pPr>
        <w:spacing w:after="0" w:line="225" w:lineRule="exact"/>
        <w:rPr>
          <w:rFonts w:ascii="Arial" w:cs="Arial" w:eastAsia="Arial" w:hAnsi="Arial"/>
          <w:sz w:val="18"/>
          <w:szCs w:val="18"/>
          <w:color w:val="auto"/>
        </w:rPr>
      </w:pPr>
    </w:p>
    <w:p>
      <w:pPr>
        <w:ind w:left="1000" w:right="80" w:hanging="31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7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Assumed October 2015 Facility also imposes specified financial covenants that apply to GasLog and its subsidiaries on a consolidated basis:</w:t>
      </w:r>
    </w:p>
    <w:p>
      <w:pPr>
        <w:spacing w:after="0" w:line="170" w:lineRule="exact"/>
        <w:rPr>
          <w:sz w:val="20"/>
          <w:szCs w:val="20"/>
          <w:color w:val="auto"/>
        </w:rPr>
      </w:pPr>
    </w:p>
    <w:p>
      <w:pPr>
        <w:ind w:left="1000" w:hanging="31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25" w:lineRule="exact"/>
        <w:rPr>
          <w:rFonts w:ascii="Arial" w:cs="Arial" w:eastAsia="Arial" w:hAnsi="Arial"/>
          <w:sz w:val="18"/>
          <w:szCs w:val="18"/>
          <w:color w:val="auto"/>
        </w:rPr>
      </w:pPr>
    </w:p>
    <w:p>
      <w:pPr>
        <w:ind w:left="1000" w:right="100" w:hanging="317"/>
        <w:spacing w:after="0" w:line="259"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guarantees (including interest and debt repayments, but excluding any prepayments) on a trailing 12 months basis must be not less than 110.0%; the ratio shall be regarded as having been complied with even if the ratio falls below the stipulated 110.0% when cash and cash equivalents and short-term investments are at least $110,000;</w:t>
      </w:r>
    </w:p>
    <w:p>
      <w:pPr>
        <w:spacing w:after="0" w:line="186" w:lineRule="exact"/>
        <w:rPr>
          <w:rFonts w:ascii="Arial" w:cs="Arial" w:eastAsia="Arial" w:hAnsi="Arial"/>
          <w:sz w:val="18"/>
          <w:szCs w:val="18"/>
          <w:color w:val="auto"/>
        </w:rPr>
      </w:pPr>
    </w:p>
    <w:p>
      <w:pPr>
        <w:ind w:left="1000" w:hanging="317"/>
        <w:spacing w:after="0"/>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aggregate amount of cash and cash equivalents and short-term investments must be not less than $75,000; and</w:t>
      </w:r>
    </w:p>
    <w:p>
      <w:pPr>
        <w:spacing w:after="0" w:line="236" w:lineRule="exact"/>
        <w:rPr>
          <w:rFonts w:ascii="Arial" w:cs="Arial" w:eastAsia="Arial" w:hAnsi="Arial"/>
          <w:sz w:val="17"/>
          <w:szCs w:val="17"/>
          <w:color w:val="auto"/>
        </w:rPr>
      </w:pPr>
    </w:p>
    <w:p>
      <w:pPr>
        <w:ind w:left="1000" w:hanging="31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$350,000.</w:t>
      </w:r>
    </w:p>
    <w:p>
      <w:pPr>
        <w:spacing w:after="0" w:line="225"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The second set of covenants could also be applicable to GasLog and its subsidiaries on a consolidated basis under the GasLog Partners $193.7M Facility in the event of a reverse drop-down of a vessel from the Partnership to GasLog.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Assumed October 2015 Facility</w:t>
      </w:r>
    </w:p>
    <w:p>
      <w:pPr>
        <w:spacing w:after="0" w:line="22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 xml:space="preserve">In connection with the acquisitions of GAS-eleven Ltd., the entity that owns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May 3, 2017, GAS-thirteen Ltd., the entity that owns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July 3, 2017, GAS-fourteen Ltd., the entity that owns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April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2018 and GAS-twelve Ltd., the entity that owns the </w:t>
      </w:r>
      <w:r>
        <w:rPr>
          <w:rFonts w:ascii="Arial" w:cs="Arial" w:eastAsia="Arial" w:hAnsi="Arial"/>
          <w:sz w:val="17"/>
          <w:szCs w:val="17"/>
          <w:i w:val="1"/>
          <w:iCs w:val="1"/>
          <w:color w:val="auto"/>
        </w:rPr>
        <w:t>GasLog Glasgow</w:t>
      </w:r>
      <w:r>
        <w:rPr>
          <w:rFonts w:ascii="Arial" w:cs="Arial" w:eastAsia="Arial" w:hAnsi="Arial"/>
          <w:sz w:val="17"/>
          <w:szCs w:val="17"/>
          <w:color w:val="auto"/>
        </w:rPr>
        <w:t>, on April 1, 2019, the Partnership assumed $151.4 million,</w:t>
      </w:r>
    </w:p>
    <w:p>
      <w:pPr>
        <w:spacing w:after="0" w:line="3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$155.0 million, $143.6 million and $134.1 million of outstanding indebtedness of the respective acquired entities under a debt financing agreement dated October 16, 2015 with 14 international banks, with Citibank N.A. London Branch and Nordea Bank AB, London Branch acting as agents on behalf of the other finance parties. The financing is backed by the Export Import Bank of Korea (“KEXIM”) and the Korea Trade Insurance Corporation (“K-Sure”), who are either directly lending or providing cover for over 60% of the facility. The Assumed October 2015 Facility was subsequently amended and restated in December 2019. The loan agreement with respect to each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provided for four tranches of $51.3 million, $25.6 million, $25.0 million and $61.1 million, while the loan agreement with respect to each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provided for four tranches of $50.5 million, $25.3 million, $24.6 million and $60.3 million, respectively. Under the terms of the agreement, each drawing under the first three tranches would be repaid in 24 consecutive semi-annual equal installments commencing six months after the actual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according to a 12-year profile. Each drawing under the fourth tranche would be repaid in 20 consecutive semi-annual equal installments commencing six months after the actual deliveries of the relevant vessels according to a 20-year profile, with a balloon payment together with the final installment. On March 22, 2016, $163.0 million was drawn down to partially finance the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June 24, 2016, $163.0 million was drawn down to partially finance the delivery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 September 26, 2016, $160.7 million was drawn down to partially finance the delivery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on October 25, 2016, $160.7 million was drawn to partially finance the delivery of the </w:t>
      </w:r>
      <w:r>
        <w:rPr>
          <w:rFonts w:ascii="Arial" w:cs="Arial" w:eastAsia="Arial" w:hAnsi="Arial"/>
          <w:sz w:val="16"/>
          <w:szCs w:val="16"/>
          <w:i w:val="1"/>
          <w:iCs w:val="1"/>
          <w:color w:val="auto"/>
        </w:rPr>
        <w:t>GasLog Gibraltar</w:t>
      </w:r>
      <w:r>
        <w:rPr>
          <w:rFonts w:ascii="Arial" w:cs="Arial" w:eastAsia="Arial" w:hAnsi="Arial"/>
          <w:sz w:val="16"/>
          <w:szCs w:val="16"/>
          <w:color w:val="auto"/>
        </w:rPr>
        <w:t>. Amounts drawn under each applicable tranche bear interest at LIBOR plus a margin.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2019 GasLog Partners Facility</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231F20"/>
        </w:rPr>
        <w:t xml:space="preserve">On February 20, 2019, GAS-three Ltd., GAS-four Ltd., GAS-five Ltd., GAS-sixteen Ltd., </w:t>
      </w:r>
      <w:r>
        <w:rPr>
          <w:rFonts w:ascii="Arial" w:cs="Arial" w:eastAsia="Arial" w:hAnsi="Arial"/>
          <w:sz w:val="17"/>
          <w:szCs w:val="17"/>
          <w:color w:val="000000"/>
        </w:rPr>
        <w:t>GAS-seventeen Ltd., GasLog Partners</w:t>
      </w:r>
      <w:r>
        <w:rPr>
          <w:rFonts w:ascii="Arial" w:cs="Arial" w:eastAsia="Arial" w:hAnsi="Arial"/>
          <w:sz w:val="17"/>
          <w:szCs w:val="17"/>
          <w:color w:val="231F20"/>
        </w:rPr>
        <w:t xml:space="preserve"> </w:t>
      </w:r>
      <w:r>
        <w:rPr>
          <w:rFonts w:ascii="Arial" w:cs="Arial" w:eastAsia="Arial" w:hAnsi="Arial"/>
          <w:sz w:val="17"/>
          <w:szCs w:val="17"/>
          <w:color w:val="000000"/>
        </w:rPr>
        <w:t xml:space="preserve">and GasLog Partners Holdings LLC entered in a loan agreement with Credit Suisse AG, Nordea Bank ABP, filial i Norge and Iyo Bank Ltd., Singapore Branch, each an original lender, Nordea acting as security agent and trustee for and on behalf of the other finance parties mentioned above, for a credit facility for up to $450.0 million for the purpose of refinancing in full the existing Partnership Facility. Subsequently on the same date, the Development Bank of Japan, Inc. entered the facility as lender via transfer certificate. </w:t>
      </w:r>
      <w:r>
        <w:rPr>
          <w:rFonts w:ascii="Arial" w:cs="Arial" w:eastAsia="Arial" w:hAnsi="Arial"/>
          <w:sz w:val="17"/>
          <w:szCs w:val="17"/>
          <w:color w:val="231F20"/>
        </w:rPr>
        <w:t>The vessels</w:t>
      </w:r>
      <w:r>
        <w:rPr>
          <w:rFonts w:ascii="Arial" w:cs="Arial" w:eastAsia="Arial" w:hAnsi="Arial"/>
          <w:sz w:val="17"/>
          <w:szCs w:val="17"/>
          <w:color w:val="000000"/>
        </w:rPr>
        <w:t xml:space="preserve"> </w:t>
      </w:r>
      <w:r>
        <w:rPr>
          <w:rFonts w:ascii="Arial" w:cs="Arial" w:eastAsia="Arial" w:hAnsi="Arial"/>
          <w:sz w:val="17"/>
          <w:szCs w:val="17"/>
          <w:color w:val="231F20"/>
        </w:rPr>
        <w:t xml:space="preserve">originally covered by the 2019 GasLog Partners Facility were the </w:t>
      </w:r>
      <w:r>
        <w:rPr>
          <w:rFonts w:ascii="Arial" w:cs="Arial" w:eastAsia="Arial" w:hAnsi="Arial"/>
          <w:sz w:val="17"/>
          <w:szCs w:val="17"/>
          <w:i w:val="1"/>
          <w:iCs w:val="1"/>
          <w:color w:val="231F20"/>
        </w:rPr>
        <w:t>GasLog Shanghai,</w:t>
      </w:r>
      <w:r>
        <w:rPr>
          <w:rFonts w:ascii="Arial" w:cs="Arial" w:eastAsia="Arial" w:hAnsi="Arial"/>
          <w:sz w:val="17"/>
          <w:szCs w:val="17"/>
          <w:color w:val="231F20"/>
        </w:rPr>
        <w:t xml:space="preserve"> the </w:t>
      </w:r>
      <w:r>
        <w:rPr>
          <w:rFonts w:ascii="Arial" w:cs="Arial" w:eastAsia="Arial" w:hAnsi="Arial"/>
          <w:sz w:val="17"/>
          <w:szCs w:val="17"/>
          <w:i w:val="1"/>
          <w:iCs w:val="1"/>
          <w:color w:val="231F20"/>
        </w:rPr>
        <w:t>GasLog Santiago,</w:t>
      </w:r>
      <w:r>
        <w:rPr>
          <w:rFonts w:ascii="Arial" w:cs="Arial" w:eastAsia="Arial" w:hAnsi="Arial"/>
          <w:sz w:val="17"/>
          <w:szCs w:val="17"/>
          <w:color w:val="231F20"/>
        </w:rPr>
        <w:t xml:space="preserve"> the </w:t>
      </w:r>
      <w:r>
        <w:rPr>
          <w:rFonts w:ascii="Arial" w:cs="Arial" w:eastAsia="Arial" w:hAnsi="Arial"/>
          <w:sz w:val="17"/>
          <w:szCs w:val="17"/>
          <w:i w:val="1"/>
          <w:iCs w:val="1"/>
          <w:color w:val="231F20"/>
        </w:rPr>
        <w:t>GasLog Sydney,</w:t>
      </w:r>
      <w:r>
        <w:rPr>
          <w:rFonts w:ascii="Arial" w:cs="Arial" w:eastAsia="Arial" w:hAnsi="Arial"/>
          <w:sz w:val="17"/>
          <w:szCs w:val="17"/>
          <w:color w:val="231F20"/>
        </w:rPr>
        <w:t xml:space="preserve"> the </w:t>
      </w:r>
      <w:r>
        <w:rPr>
          <w:rFonts w:ascii="Arial" w:cs="Arial" w:eastAsia="Arial" w:hAnsi="Arial"/>
          <w:sz w:val="17"/>
          <w:szCs w:val="17"/>
          <w:i w:val="1"/>
          <w:iCs w:val="1"/>
          <w:color w:val="231F20"/>
        </w:rPr>
        <w:t xml:space="preserve">Methane Rita Andrea </w:t>
      </w:r>
      <w:r>
        <w:rPr>
          <w:rFonts w:ascii="Arial" w:cs="Arial" w:eastAsia="Arial" w:hAnsi="Arial"/>
          <w:sz w:val="17"/>
          <w:szCs w:val="17"/>
          <w:color w:val="231F20"/>
        </w:rPr>
        <w:t>and the</w:t>
      </w:r>
      <w:r>
        <w:rPr>
          <w:rFonts w:ascii="Arial" w:cs="Arial" w:eastAsia="Arial" w:hAnsi="Arial"/>
          <w:sz w:val="17"/>
          <w:szCs w:val="17"/>
          <w:i w:val="1"/>
          <w:iCs w:val="1"/>
          <w:color w:val="231F20"/>
        </w:rPr>
        <w:t xml:space="preserve"> Methane Jane Elizabeth</w:t>
      </w:r>
      <w:r>
        <w:rPr>
          <w:rFonts w:ascii="Arial" w:cs="Arial" w:eastAsia="Arial" w:hAnsi="Arial"/>
          <w:sz w:val="17"/>
          <w:szCs w:val="17"/>
          <w:color w:val="231F20"/>
        </w:rPr>
        <w:t>.</w:t>
      </w:r>
    </w:p>
    <w:p>
      <w:pPr>
        <w:spacing w:after="0" w:line="17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agreement provides for an amortising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$7.4 million, with a final balloon amount of $302.9 million reducing concurrently with the last quarterly reduction in February 2024. The credit facility bears interest at LIBOR plus a margin. On March 6, 2019, the Partnership drew down $360.0 million under the 2019 GasLog Partners Facility and an additional $75.0 million on April 1, 2019.</w:t>
      </w:r>
    </w:p>
    <w:p>
      <w:pPr>
        <w:spacing w:after="0" w:line="19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 xml:space="preserve">On October 26, 2021 GAS-three Ltd., was released from its liabilities following the sale and leaseback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to CDBL and the prepayment of $97.0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GasLog Partners $260.3M Facility</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On July 16, 2020, GasLog Partners entered into a credit agreement of $260.3 million with BNP Paribas, Credit Suisse AG and Alpha Bank S.A., each an original lender, with BNP Paribas acting as security agent and trustee for and on behalf of the other finance parties mentioned above. The purpose of the facility was the refinancing of the outstanding indebtedness of GAS-twenty Ltd., GAS-seven Ltd. and GAS-eight Ltd including the payment of loan fees under this facility. The vessels covered by the GasLog Partners $260.3M Facility are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The relevant amount of $260.3 million was drawn on July 21, 2020, out of which $258.5 million was used to refinance the outstanding indebtedness of GAS-twenty Ltd., GAS-seven Ltd. and </w:t>
      </w:r>
      <w:r>
        <w:rPr>
          <w:rFonts w:ascii="Arial" w:cs="Arial" w:eastAsia="Arial" w:hAnsi="Arial"/>
          <w:sz w:val="18"/>
          <w:szCs w:val="18"/>
          <w:color w:val="231F20"/>
        </w:rPr>
        <w:t>GAS-eight Ltd. The facility amortizes over ten equal semi-annual</w:t>
      </w:r>
      <w:r>
        <w:rPr>
          <w:rFonts w:ascii="Arial" w:cs="Arial" w:eastAsia="Arial" w:hAnsi="Arial"/>
          <w:sz w:val="18"/>
          <w:szCs w:val="18"/>
          <w:color w:val="auto"/>
        </w:rPr>
        <w:t xml:space="preserve"> </w:t>
      </w:r>
      <w:r>
        <w:rPr>
          <w:rFonts w:ascii="Arial" w:cs="Arial" w:eastAsia="Arial" w:hAnsi="Arial"/>
          <w:sz w:val="18"/>
          <w:szCs w:val="18"/>
          <w:color w:val="231F20"/>
        </w:rPr>
        <w:t>installments of $8.6 million beginning in January 2021, with a final balloon amount of $174.4 million payable concurrently with the last installment in July 2025. The credit facility bears interest at LIBOR plus a margin.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October 15, 2020, the Development Bank of Japan Inc. (“DBJ”) acceded as a new lender in the facility via transfer certificate.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BNP Paribas and Credit Suisse each transferred $25.0 million of their commitment to DBJ following the consent of the Borrowers.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Alpha Bank S.A. retained the participation amount it was allocated as an original lender.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GasLog Partners $193.7M Facility</w:t>
      </w:r>
    </w:p>
    <w:p>
      <w:pPr>
        <w:spacing w:after="0" w:line="229"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231F20"/>
        </w:rPr>
        <w:t xml:space="preserve">On July 16, 2020, GasLog Partners entered into a credit agreement of $193.7 million with DNB Bank ASA, London Branch, and ING Bank N.V., London Branch, each an original lender, with DNB Bank ASA, London Branch acting as security agent and trustee for and on behalf of the other finance party mentioned above. The purpose of the facility was to refinance the outstanding indebtedness of GAS-nineteen Ltd., GAS-twenty one Ltd. and GAS-twenty seven Ltd. and for general corporate purposes. The vessels covered by the GasLog Partners $193.7M Facility are </w:t>
      </w:r>
      <w:r>
        <w:rPr>
          <w:rFonts w:ascii="Arial" w:cs="Arial" w:eastAsia="Arial" w:hAnsi="Arial"/>
          <w:sz w:val="16"/>
          <w:szCs w:val="16"/>
          <w:i w:val="1"/>
          <w:iCs w:val="1"/>
          <w:color w:val="231F20"/>
        </w:rPr>
        <w:t>Methane Alison Victoria</w:t>
      </w:r>
      <w:r>
        <w:rPr>
          <w:rFonts w:ascii="Arial" w:cs="Arial" w:eastAsia="Arial" w:hAnsi="Arial"/>
          <w:sz w:val="16"/>
          <w:szCs w:val="16"/>
          <w:color w:val="231F20"/>
        </w:rPr>
        <w:t xml:space="preserve">, the </w:t>
      </w:r>
      <w:r>
        <w:rPr>
          <w:rFonts w:ascii="Arial" w:cs="Arial" w:eastAsia="Arial" w:hAnsi="Arial"/>
          <w:sz w:val="16"/>
          <w:szCs w:val="16"/>
          <w:i w:val="1"/>
          <w:iCs w:val="1"/>
          <w:color w:val="231F20"/>
        </w:rPr>
        <w:t>Methane Heather Sally</w:t>
      </w:r>
      <w:r>
        <w:rPr>
          <w:rFonts w:ascii="Arial" w:cs="Arial" w:eastAsia="Arial" w:hAnsi="Arial"/>
          <w:sz w:val="16"/>
          <w:szCs w:val="16"/>
          <w:color w:val="231F20"/>
        </w:rPr>
        <w:t xml:space="preserve"> and the </w:t>
      </w:r>
      <w:r>
        <w:rPr>
          <w:rFonts w:ascii="Arial" w:cs="Arial" w:eastAsia="Arial" w:hAnsi="Arial"/>
          <w:sz w:val="16"/>
          <w:szCs w:val="16"/>
          <w:i w:val="1"/>
          <w:iCs w:val="1"/>
          <w:color w:val="231F20"/>
        </w:rPr>
        <w:t>Methane Becki Anne</w:t>
      </w:r>
      <w:r>
        <w:rPr>
          <w:rFonts w:ascii="Arial" w:cs="Arial" w:eastAsia="Arial" w:hAnsi="Arial"/>
          <w:sz w:val="16"/>
          <w:szCs w:val="16"/>
          <w:color w:val="231F20"/>
        </w:rPr>
        <w:t>.</w:t>
      </w:r>
    </w:p>
    <w:p>
      <w:pPr>
        <w:spacing w:after="0" w:line="16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231F20"/>
        </w:rPr>
        <w:t>The relevant amount of $193.7 million was drawn down on July 21, 2020, out of which $174.9 million was used to refinance the outstanding indebtedness of GAS-nineteen Ltd., GAS-twenty one Ltd. and GAS-twenty seven Ltd. The facility amortizes over ten equal semi-annual installments of $8.6 million beginning in January 2021, with a final balloon amount of $107.7 million payable concurrently with the last installment in July 2025. Interest on the facility will be payable at a rate of LIBOR plus a margin.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information about our exposure to market risks, see “Item 11. Quantitative and Qualitative Disclosures About Market Risk”.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Capital Expenditures in Relation to Vessel Acquisitions</w:t>
      </w:r>
    </w:p>
    <w:p>
      <w:pPr>
        <w:spacing w:after="0" w:line="22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As of December 31, 2021, there are no commitments for capital expenditures related to our fleet with respect to vessel acquisitions. In the event we decide to exercise our options to purchase additional ships from GasLog, we expect to finance the costs with cash from operations and a combination of debt and equity financing, if available on acceptable terms.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 Research and Development, Patents and Licenses, etc.</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 Trend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See “Item 5. Operating and Financial Review and Prospects—Overview—Industry Overview and Trends”.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 Critical Accounting Estimates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The preparation of the consolidated financial statements in conformity with IFRS requires us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 or liability in the future. Critical accounting </w:t>
      </w:r>
      <w:r>
        <w:rPr>
          <w:rFonts w:ascii="Arial" w:cs="Arial" w:eastAsia="Arial" w:hAnsi="Arial"/>
          <w:sz w:val="16"/>
          <w:szCs w:val="16"/>
          <w:color w:val="231F20"/>
        </w:rPr>
        <w:t>policies are those that reflect significant judgments of uncertainties and potentially result in</w:t>
      </w:r>
      <w:r>
        <w:rPr>
          <w:rFonts w:ascii="Arial" w:cs="Arial" w:eastAsia="Arial" w:hAnsi="Arial"/>
          <w:sz w:val="16"/>
          <w:szCs w:val="16"/>
          <w:color w:val="auto"/>
        </w:rPr>
        <w:t xml:space="preserve"> </w:t>
      </w:r>
      <w:r>
        <w:rPr>
          <w:rFonts w:ascii="Arial" w:cs="Arial" w:eastAsia="Arial" w:hAnsi="Arial"/>
          <w:sz w:val="16"/>
          <w:szCs w:val="16"/>
          <w:color w:val="231F20"/>
        </w:rPr>
        <w:t>materially different results under different assumptions and conditions. For a description of all our principal accounting policies, see Note 2 to our annual consolidated financial statements included elsewhere in this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evaluate the carrying amounts of our vessels to determine whether there is any indication that they have suffered an impairment loss by considering both internal and external sources of information. If any such indication exists, their recoverable amounts are estimated in order to determine the extent of the impairment loss, if 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Recoverable amount is the higher of fair value less costs to sell and value in use. Our estimates of recoverable value assume that the vessels are all in seaworthy condition without need for repair and certified in class without notations of any kind.</w:t>
      </w:r>
    </w:p>
    <w:p>
      <w:pPr>
        <w:spacing w:after="0" w:line="146"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In assessing the fair value less cost to sell of the vessel, the Partnership obtains charter-free market values for its vessels from independent and internationally recognized ship brokers on a semi-annual basis, which are also commonly used and accepted by the Partnership’s lenders for determining compliance with the relevant covenants in the Partnership’s credit facilities. Vessel values can be highly volatile, so the charter-free market values may not be indicative of the future market value of the Partnership’s vessels, or prices that could be achieved if it were to sell them.</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As of December 31, 2021, a number of negative indicators such as differences between the charter-free market values of the Partnership’s Steam vessels, as estimated by ship brokers, and their respective carrying amounts, combined with reduced expectations of the rates at which the Partnership could expect to secure term employment for the remaining economic lives of the Steam vessels and significant uncertainties regarding future demand for such vessels in light of the continued addition of modern, larger and more fuel efficient LNG carriers to the global fleet, influenced management’s strategic decisions and prompted the Partnership to conclude that events and circumstances triggered the existence of potential impairment of Steam vessels, with no impairment indicators identified with respect to the owned and bareboat TFDE fleet.</w:t>
      </w:r>
    </w:p>
    <w:p>
      <w:pPr>
        <w:spacing w:after="0" w:line="17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The Partnership performed an impairment assessment for the Steam vessels by comparing each vessel’s value in use applying the “expected cash flow” approach, i.e. using all expectations about possible cash flows instead of the single most likely cash flow (“traditional approach”). The expected cash flow approach was considered more appropriate in light of the increasing uncertainty pertaining to the business outlook for our Steam vessels. As of December 31, 2021, the Partnership’s management established its expectations for recovering each Steam vessel’s carrying amount in the form of two alternative scenarios: (a) continued operation of the vessel until the end of its useful economic life or (b) 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vessels’ operation and residual value risk management. In both scenarios,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The assumptions that the Partnership used in its discounted projected net operating cash flow analysis included, among others, utilization, operating revenues, voyage expenses and commissions, dry-docking costs, operating expenses (including vessel management costs), residual values, fair values less costs to sell and the discount rate. The key assumptions, being those to which the outcome of the impairment assessment is most sensitive, are the estimates of long-term charter rates for non-contracted revenue days and the discount rate.</w:t>
      </w:r>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2021, (iii) historical average time charter rates, based on publications by independent third party maritime research services (“maritime research publications”), (iv) estimated future time charter rates, based on maritime research publications that provide such forecasts and (v) management’s internal assessment of long-term charter rates achievable by each class of vessel.</w:t>
      </w:r>
    </w:p>
    <w:p>
      <w:pPr>
        <w:spacing w:after="0" w:line="17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Recognizing that the LNG industry is cyclical and subject to significant volatility based on factors beyond our control, management believes that the use of the revenue estimates discussed above to be reasonable as of the reporting date. We have assumed no inflation nor any other revenue escalation or growth factors in determining forecasted time charter rates beyond the contracted charter period through the end of a vessel’s useful life, consistent with long-run historical evidence and industry expectations.</w:t>
      </w:r>
    </w:p>
    <w:p>
      <w:pPr>
        <w:spacing w:after="0" w:line="157" w:lineRule="exact"/>
        <w:rPr>
          <w:sz w:val="20"/>
          <w:szCs w:val="20"/>
          <w:color w:val="auto"/>
        </w:rPr>
      </w:pPr>
    </w:p>
    <w:p>
      <w:pPr>
        <w:ind w:right="460" w:firstLine="324"/>
        <w:spacing w:after="0" w:line="279" w:lineRule="auto"/>
        <w:rPr>
          <w:sz w:val="20"/>
          <w:szCs w:val="20"/>
          <w:color w:val="auto"/>
        </w:rPr>
      </w:pPr>
      <w:r>
        <w:rPr>
          <w:rFonts w:ascii="Arial" w:cs="Arial" w:eastAsia="Arial" w:hAnsi="Arial"/>
          <w:sz w:val="17"/>
          <w:szCs w:val="17"/>
          <w:color w:val="auto"/>
        </w:rPr>
        <w:t>We used an annual operating expenses escalation factor equal to 1% based on its historical data and experience, as well as expectations of future inflation on operating and dry-docking costs. Estimates for the remaining useful lives of the current fleet and residual and scrap values are the same as those used for our depreciation policy. All estimates used and assumptions made were in accordance with our internal budgets and historical experience of the shipping industry.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our impairment assessment as of December 31, 2021, the rate used to discount future estimated cash flows to their present values was 7.5% (6.4% as of December 31, 2020). This was based on an estimated weighted average cost of capital calculated using cost of equity and cost of debt components, adjusted also for vessel-specific risks and uncertainties, as applicable to each probable outcome.</w:t>
      </w:r>
    </w:p>
    <w:p>
      <w:pPr>
        <w:spacing w:after="0" w:line="14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table below sets forth in U.S. dollars (i) the historical acquisition cost of our vessels and (ii) the carrying value of each of our vessels as of December 31, 2020 and December 31, 2021, after giving effect to an aggregate impairment charge of $23.9 million recorded against four of our five Steam vessels for the year ended December 31, 2020 and an impairment charge of $104.0 million recorded against our five Steam vessels for the year ended December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Carrying values</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Cargo capacity</w:t>
            </w:r>
          </w:p>
        </w:tc>
        <w:tc>
          <w:tcPr>
            <w:tcW w:w="9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Acquisition</w:t>
            </w:r>
          </w:p>
        </w:tc>
        <w:tc>
          <w:tcPr>
            <w:tcW w:w="14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6"/>
              </w:rPr>
              <w:t>(in thousands of U.S. dollars)</w:t>
            </w:r>
          </w:p>
        </w:tc>
        <w:tc>
          <w:tcPr>
            <w:tcW w:w="0" w:type="dxa"/>
            <w:vAlign w:val="bottom"/>
          </w:tcPr>
          <w:p>
            <w:pPr>
              <w:spacing w:after="0"/>
              <w:rPr>
                <w:sz w:val="1"/>
                <w:szCs w:val="1"/>
                <w:color w:val="auto"/>
              </w:rPr>
            </w:pPr>
          </w:p>
        </w:tc>
      </w:tr>
      <w:tr>
        <w:trPr>
          <w:trHeight w:val="11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w:t>
            </w:r>
          </w:p>
        </w:tc>
        <w:tc>
          <w:tcPr>
            <w:tcW w:w="140" w:type="dxa"/>
            <w:vAlign w:val="bottom"/>
          </w:tcPr>
          <w:p>
            <w:pPr>
              <w:spacing w:after="0"/>
              <w:rPr>
                <w:sz w:val="10"/>
                <w:szCs w:val="10"/>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Built Date</w:t>
            </w:r>
          </w:p>
        </w:tc>
        <w:tc>
          <w:tcPr>
            <w:tcW w:w="114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(cbm)</w:t>
            </w:r>
          </w:p>
        </w:tc>
        <w:tc>
          <w:tcPr>
            <w:tcW w:w="980" w:type="dxa"/>
            <w:vAlign w:val="bottom"/>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6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94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i w:val="1"/>
                <w:iCs w:val="1"/>
                <w:color w:val="auto"/>
              </w:rPr>
              <w:t>GasLog Shanghai</w:t>
            </w:r>
            <w:r>
              <w:rPr>
                <w:rFonts w:ascii="Arial" w:cs="Arial" w:eastAsia="Arial" w:hAnsi="Arial"/>
                <w:sz w:val="24"/>
                <w:szCs w:val="24"/>
                <w:color w:val="auto"/>
                <w:vertAlign w:val="superscript"/>
              </w:rPr>
              <w:t>(2)</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2013</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189,619</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149,712</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81,651</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GasLog Santiago</w:t>
            </w:r>
            <w:r>
              <w:rPr>
                <w:rFonts w:ascii="Arial" w:cs="Arial" w:eastAsia="Arial" w:hAnsi="Arial"/>
                <w:sz w:val="25"/>
                <w:szCs w:val="25"/>
                <w:color w:val="auto"/>
                <w:vertAlign w:val="superscript"/>
              </w:rPr>
              <w:t>(3)</w:t>
            </w:r>
          </w:p>
        </w:tc>
        <w:tc>
          <w:tcPr>
            <w:tcW w:w="1480" w:type="dxa"/>
            <w:vAlign w:val="bottom"/>
            <w:gridSpan w:val="3"/>
          </w:tcPr>
          <w:p>
            <w:pPr>
              <w:ind w:left="140"/>
              <w:spacing w:after="0"/>
              <w:rPr>
                <w:sz w:val="20"/>
                <w:szCs w:val="20"/>
                <w:color w:val="auto"/>
              </w:rPr>
            </w:pPr>
            <w:r>
              <w:rPr>
                <w:rFonts w:ascii="Arial" w:cs="Arial" w:eastAsia="Arial" w:hAnsi="Arial"/>
                <w:sz w:val="18"/>
                <w:szCs w:val="18"/>
                <w:color w:val="231F20"/>
              </w:rPr>
              <w:t>March 2013</w:t>
            </w:r>
          </w:p>
        </w:tc>
        <w:tc>
          <w:tcPr>
            <w:tcW w:w="100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189,560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159,552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153,826</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i w:val="1"/>
                <w:iCs w:val="1"/>
                <w:color w:val="auto"/>
              </w:rPr>
              <w:t>GasLog Sydney</w:t>
            </w:r>
            <w:r>
              <w:rPr>
                <w:rFonts w:ascii="Arial" w:cs="Arial" w:eastAsia="Arial" w:hAnsi="Arial"/>
                <w:sz w:val="25"/>
                <w:szCs w:val="25"/>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231F20"/>
              </w:rPr>
              <w:t>May 2013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167,062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161,168</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GasLog Seattle</w:t>
            </w:r>
            <w:r>
              <w:rPr>
                <w:rFonts w:ascii="Arial" w:cs="Arial" w:eastAsia="Arial" w:hAnsi="Arial"/>
                <w:sz w:val="25"/>
                <w:szCs w:val="25"/>
                <w:color w:val="auto"/>
                <w:vertAlign w:val="superscript"/>
              </w:rPr>
              <w:t>(3)</w:t>
            </w:r>
          </w:p>
        </w:tc>
        <w:tc>
          <w:tcPr>
            <w:tcW w:w="1480" w:type="dxa"/>
            <w:vAlign w:val="bottom"/>
            <w:gridSpan w:val="3"/>
          </w:tcPr>
          <w:p>
            <w:pPr>
              <w:ind w:left="140"/>
              <w:spacing w:after="0"/>
              <w:rPr>
                <w:sz w:val="20"/>
                <w:szCs w:val="20"/>
                <w:color w:val="auto"/>
              </w:rPr>
            </w:pPr>
            <w:r>
              <w:rPr>
                <w:rFonts w:ascii="Arial" w:cs="Arial" w:eastAsia="Arial" w:hAnsi="Arial"/>
                <w:sz w:val="18"/>
                <w:szCs w:val="18"/>
                <w:color w:val="231F20"/>
              </w:rPr>
              <w:t>December 2013</w:t>
            </w:r>
          </w:p>
        </w:tc>
        <w:tc>
          <w:tcPr>
            <w:tcW w:w="100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201,738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164,516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158,463</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i w:val="1"/>
                <w:iCs w:val="1"/>
                <w:color w:val="auto"/>
              </w:rPr>
              <w:t>Solaris</w:t>
            </w:r>
            <w:r>
              <w:rPr>
                <w:rFonts w:ascii="Arial" w:cs="Arial" w:eastAsia="Arial" w:hAnsi="Arial"/>
                <w:sz w:val="25"/>
                <w:szCs w:val="25"/>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231F20"/>
              </w:rPr>
              <w:t>June 2014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166,955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161,578</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Methane Rita Andrea</w:t>
            </w:r>
            <w:r>
              <w:rPr>
                <w:rFonts w:ascii="Arial" w:cs="Arial" w:eastAsia="Arial" w:hAnsi="Arial"/>
                <w:sz w:val="25"/>
                <w:szCs w:val="25"/>
                <w:color w:val="auto"/>
                <w:vertAlign w:val="superscript"/>
              </w:rPr>
              <w:t>(4)</w:t>
            </w:r>
          </w:p>
        </w:tc>
        <w:tc>
          <w:tcPr>
            <w:tcW w:w="1480" w:type="dxa"/>
            <w:vAlign w:val="bottom"/>
            <w:gridSpan w:val="3"/>
          </w:tcPr>
          <w:p>
            <w:pPr>
              <w:ind w:left="140"/>
              <w:spacing w:after="0"/>
              <w:rPr>
                <w:sz w:val="20"/>
                <w:szCs w:val="20"/>
                <w:color w:val="auto"/>
              </w:rPr>
            </w:pPr>
            <w:r>
              <w:rPr>
                <w:rFonts w:ascii="Arial" w:cs="Arial" w:eastAsia="Arial" w:hAnsi="Arial"/>
                <w:sz w:val="18"/>
                <w:szCs w:val="18"/>
                <w:color w:val="231F20"/>
              </w:rPr>
              <w:t>April 2006</w:t>
            </w:r>
          </w:p>
        </w:tc>
        <w:tc>
          <w:tcPr>
            <w:tcW w:w="1000" w:type="dxa"/>
            <w:vAlign w:val="bottom"/>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156,613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90,533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67,697</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i w:val="1"/>
                <w:iCs w:val="1"/>
                <w:color w:val="auto"/>
              </w:rPr>
              <w:t>Methane Jane Elizabeth</w:t>
            </w:r>
            <w:r>
              <w:rPr>
                <w:rFonts w:ascii="Arial" w:cs="Arial" w:eastAsia="Arial" w:hAnsi="Arial"/>
                <w:sz w:val="25"/>
                <w:szCs w:val="25"/>
                <w:color w:val="auto"/>
                <w:vertAlign w:val="superscript"/>
              </w:rPr>
              <w:t>(4)</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231F20"/>
              </w:rPr>
              <w:t>June 2006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97,362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70,149</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Methane Alison Victoria</w:t>
            </w:r>
            <w:r>
              <w:rPr>
                <w:rFonts w:ascii="Arial" w:cs="Arial" w:eastAsia="Arial" w:hAnsi="Arial"/>
                <w:sz w:val="25"/>
                <w:szCs w:val="25"/>
                <w:color w:val="auto"/>
                <w:vertAlign w:val="superscript"/>
              </w:rPr>
              <w:t>(4)</w:t>
            </w:r>
          </w:p>
        </w:tc>
        <w:tc>
          <w:tcPr>
            <w:tcW w:w="1480" w:type="dxa"/>
            <w:vAlign w:val="bottom"/>
            <w:gridSpan w:val="3"/>
          </w:tcPr>
          <w:p>
            <w:pPr>
              <w:ind w:left="140"/>
              <w:spacing w:after="0"/>
              <w:rPr>
                <w:sz w:val="20"/>
                <w:szCs w:val="20"/>
                <w:color w:val="auto"/>
              </w:rPr>
            </w:pPr>
            <w:r>
              <w:rPr>
                <w:rFonts w:ascii="Arial" w:cs="Arial" w:eastAsia="Arial" w:hAnsi="Arial"/>
                <w:sz w:val="18"/>
                <w:szCs w:val="18"/>
                <w:color w:val="231F20"/>
              </w:rPr>
              <w:t>May 2007</w:t>
            </w:r>
          </w:p>
        </w:tc>
        <w:tc>
          <w:tcPr>
            <w:tcW w:w="1000" w:type="dxa"/>
            <w:vAlign w:val="bottom"/>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156,610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96,385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71,587</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i w:val="1"/>
                <w:iCs w:val="1"/>
                <w:color w:val="auto"/>
              </w:rPr>
              <w:t>Methane Shirley Elisabeth</w:t>
            </w:r>
            <w:r>
              <w:rPr>
                <w:rFonts w:ascii="Arial" w:cs="Arial" w:eastAsia="Arial" w:hAnsi="Arial"/>
                <w:sz w:val="25"/>
                <w:szCs w:val="25"/>
                <w:color w:val="auto"/>
                <w:vertAlign w:val="superscript"/>
              </w:rPr>
              <w:t>(4)</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231F20"/>
              </w:rPr>
              <w:t>March 2007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90,283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69,069</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Methane Heather Sally</w:t>
            </w:r>
            <w:r>
              <w:rPr>
                <w:rFonts w:ascii="Arial" w:cs="Arial" w:eastAsia="Arial" w:hAnsi="Arial"/>
                <w:sz w:val="25"/>
                <w:szCs w:val="25"/>
                <w:color w:val="auto"/>
                <w:vertAlign w:val="superscript"/>
              </w:rPr>
              <w:t>(4)</w:t>
            </w:r>
          </w:p>
        </w:tc>
        <w:tc>
          <w:tcPr>
            <w:tcW w:w="1480" w:type="dxa"/>
            <w:vAlign w:val="bottom"/>
            <w:gridSpan w:val="3"/>
          </w:tcPr>
          <w:p>
            <w:pPr>
              <w:ind w:left="140"/>
              <w:spacing w:after="0"/>
              <w:rPr>
                <w:sz w:val="20"/>
                <w:szCs w:val="20"/>
                <w:color w:val="auto"/>
              </w:rPr>
            </w:pPr>
            <w:r>
              <w:rPr>
                <w:rFonts w:ascii="Arial" w:cs="Arial" w:eastAsia="Arial" w:hAnsi="Arial"/>
                <w:sz w:val="18"/>
                <w:szCs w:val="18"/>
                <w:color w:val="231F20"/>
              </w:rPr>
              <w:t>June 2007</w:t>
            </w:r>
          </w:p>
        </w:tc>
        <w:tc>
          <w:tcPr>
            <w:tcW w:w="1000" w:type="dxa"/>
            <w:vAlign w:val="bottom"/>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156,599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103,274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75,964</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i w:val="1"/>
                <w:iCs w:val="1"/>
                <w:color w:val="auto"/>
              </w:rPr>
              <w:t>Methane Becki Anne</w:t>
            </w:r>
            <w:r>
              <w:rPr>
                <w:rFonts w:ascii="Arial" w:cs="Arial" w:eastAsia="Arial" w:hAnsi="Arial"/>
                <w:sz w:val="25"/>
                <w:szCs w:val="25"/>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231F20"/>
                <w:w w:val="99"/>
              </w:rPr>
              <w:t>September 2010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197,834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189,654</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GasLog Greece</w:t>
            </w:r>
            <w:r>
              <w:rPr>
                <w:rFonts w:ascii="Arial" w:cs="Arial" w:eastAsia="Arial" w:hAnsi="Arial"/>
                <w:sz w:val="25"/>
                <w:szCs w:val="25"/>
                <w:color w:val="auto"/>
                <w:vertAlign w:val="superscript"/>
              </w:rPr>
              <w:t>(3)</w:t>
            </w:r>
          </w:p>
        </w:tc>
        <w:tc>
          <w:tcPr>
            <w:tcW w:w="1480" w:type="dxa"/>
            <w:vAlign w:val="bottom"/>
            <w:gridSpan w:val="3"/>
          </w:tcPr>
          <w:p>
            <w:pPr>
              <w:ind w:left="140"/>
              <w:spacing w:after="0"/>
              <w:rPr>
                <w:sz w:val="20"/>
                <w:szCs w:val="20"/>
                <w:color w:val="auto"/>
              </w:rPr>
            </w:pPr>
            <w:r>
              <w:rPr>
                <w:rFonts w:ascii="Arial" w:cs="Arial" w:eastAsia="Arial" w:hAnsi="Arial"/>
                <w:sz w:val="18"/>
                <w:szCs w:val="18"/>
                <w:color w:val="231F20"/>
              </w:rPr>
              <w:t>March 2016</w:t>
            </w:r>
          </w:p>
        </w:tc>
        <w:tc>
          <w:tcPr>
            <w:tcW w:w="1000" w:type="dxa"/>
            <w:vAlign w:val="bottom"/>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209,195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180,882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176,980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i w:val="1"/>
                <w:iCs w:val="1"/>
                <w:color w:val="auto"/>
              </w:rPr>
              <w:t>GasLog Glasgow</w:t>
            </w:r>
            <w:r>
              <w:rPr>
                <w:rFonts w:ascii="Arial" w:cs="Arial" w:eastAsia="Arial" w:hAnsi="Arial"/>
                <w:sz w:val="25"/>
                <w:szCs w:val="25"/>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231F20"/>
              </w:rPr>
              <w:t>June 2016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181,742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177,640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GasLog Geneva</w:t>
            </w:r>
            <w:r>
              <w:rPr>
                <w:rFonts w:ascii="Arial" w:cs="Arial" w:eastAsia="Arial" w:hAnsi="Arial"/>
                <w:sz w:val="25"/>
                <w:szCs w:val="25"/>
                <w:color w:val="auto"/>
                <w:vertAlign w:val="superscript"/>
              </w:rPr>
              <w:t>(5)</w:t>
            </w:r>
          </w:p>
        </w:tc>
        <w:tc>
          <w:tcPr>
            <w:tcW w:w="1480" w:type="dxa"/>
            <w:vAlign w:val="bottom"/>
            <w:gridSpan w:val="3"/>
          </w:tcPr>
          <w:p>
            <w:pPr>
              <w:ind w:left="140"/>
              <w:spacing w:after="0"/>
              <w:rPr>
                <w:sz w:val="20"/>
                <w:szCs w:val="20"/>
                <w:color w:val="auto"/>
              </w:rPr>
            </w:pPr>
            <w:r>
              <w:rPr>
                <w:rFonts w:ascii="Arial" w:cs="Arial" w:eastAsia="Arial" w:hAnsi="Arial"/>
                <w:sz w:val="18"/>
                <w:szCs w:val="18"/>
                <w:color w:val="231F20"/>
                <w:w w:val="99"/>
              </w:rPr>
              <w:t>September 2016</w:t>
            </w:r>
          </w:p>
        </w:tc>
        <w:tc>
          <w:tcPr>
            <w:tcW w:w="1000" w:type="dxa"/>
            <w:vAlign w:val="bottom"/>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203,975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178,710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175,192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i w:val="1"/>
                <w:iCs w:val="1"/>
                <w:color w:val="auto"/>
              </w:rPr>
              <w:t>GasLog Gibraltar</w:t>
            </w:r>
            <w:r>
              <w:rPr>
                <w:rFonts w:ascii="Arial" w:cs="Arial" w:eastAsia="Arial" w:hAnsi="Arial"/>
                <w:sz w:val="25"/>
                <w:szCs w:val="25"/>
                <w:color w:val="auto"/>
                <w:vertAlign w:val="superscript"/>
              </w:rPr>
              <w:t>(5)</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231F20"/>
              </w:rPr>
              <w:t>October 2016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179,097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175,527</w:t>
            </w:r>
          </w:p>
        </w:tc>
        <w:tc>
          <w:tcPr>
            <w:tcW w:w="0" w:type="dxa"/>
            <w:vAlign w:val="bottom"/>
          </w:tcPr>
          <w:p>
            <w:pPr>
              <w:spacing w:after="0"/>
              <w:rPr>
                <w:sz w:val="1"/>
                <w:szCs w:val="1"/>
                <w:color w:val="auto"/>
              </w:rPr>
            </w:pPr>
          </w:p>
        </w:tc>
      </w:tr>
      <w:tr>
        <w:trPr>
          <w:trHeight w:val="21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$ 2,819,932</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$ 2,203,899</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$ 1,966,145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right="40" w:hanging="352"/>
        <w:spacing w:after="0" w:line="230" w:lineRule="auto"/>
        <w:tabs>
          <w:tab w:leader="none" w:pos="360" w:val="left"/>
        </w:tabs>
        <w:numPr>
          <w:ilvl w:val="0"/>
          <w:numId w:val="60"/>
        </w:numPr>
        <w:rPr>
          <w:rFonts w:ascii="Arial" w:cs="Arial" w:eastAsia="Arial" w:hAnsi="Arial"/>
          <w:sz w:val="26"/>
          <w:szCs w:val="26"/>
          <w:color w:val="231F20"/>
          <w:vertAlign w:val="superscript"/>
        </w:rPr>
      </w:pPr>
      <w:r>
        <w:rPr>
          <w:rFonts w:ascii="Arial" w:cs="Arial" w:eastAsia="Arial" w:hAnsi="Arial"/>
          <w:sz w:val="17"/>
          <w:szCs w:val="17"/>
          <w:color w:val="231F20"/>
        </w:rPr>
        <w:t>Our owned and bareboat vessels are stated at carrying values (see Note 6 and Note 7 to our consolidated financial statements included elsewhere in this annual report). An aggregate impairment loss of $23.9 million was recorded for the year ended December 31, 2020. An aggregate impairment loss of $104.0 million was recorded for the year ended December 31, 2021.</w:t>
      </w:r>
    </w:p>
    <w:p>
      <w:pPr>
        <w:spacing w:after="0" w:line="202" w:lineRule="exact"/>
        <w:rPr>
          <w:rFonts w:ascii="Arial" w:cs="Arial" w:eastAsia="Arial" w:hAnsi="Arial"/>
          <w:sz w:val="26"/>
          <w:szCs w:val="26"/>
          <w:color w:val="231F20"/>
          <w:vertAlign w:val="superscript"/>
        </w:rPr>
      </w:pPr>
    </w:p>
    <w:p>
      <w:pPr>
        <w:ind w:left="360" w:right="120" w:hanging="352"/>
        <w:spacing w:after="0" w:line="230" w:lineRule="auto"/>
        <w:tabs>
          <w:tab w:leader="none" w:pos="360" w:val="left"/>
        </w:tabs>
        <w:numPr>
          <w:ilvl w:val="0"/>
          <w:numId w:val="60"/>
        </w:numPr>
        <w:rPr>
          <w:rFonts w:ascii="Arial" w:cs="Arial" w:eastAsia="Arial" w:hAnsi="Arial"/>
          <w:sz w:val="27"/>
          <w:szCs w:val="27"/>
          <w:color w:val="231F20"/>
          <w:vertAlign w:val="superscript"/>
        </w:rPr>
      </w:pPr>
      <w:r>
        <w:rPr>
          <w:rFonts w:ascii="Arial" w:cs="Arial" w:eastAsia="Arial" w:hAnsi="Arial"/>
          <w:sz w:val="18"/>
          <w:szCs w:val="18"/>
          <w:color w:val="231F20"/>
        </w:rPr>
        <w:t>Indicates a vessel which was remeasured at the lower of its carrying amount and fair value less costs to sell as of September 30, 2021, following its sale and lease back agreement with a wholly-owned subsidiary of CDBL, with no impairment loss recognized. On October 26, 2021, the vessel was recognized as a right-of use asset at an amount equal to the proportion of its previous carrying amount that reflects the right-of-use retained. No impairment indicators were identified with respect to such asset as of December 31, 2021.</w:t>
      </w:r>
    </w:p>
    <w:p>
      <w:pPr>
        <w:spacing w:after="0" w:line="205" w:lineRule="exact"/>
        <w:rPr>
          <w:rFonts w:ascii="Arial" w:cs="Arial" w:eastAsia="Arial" w:hAnsi="Arial"/>
          <w:sz w:val="27"/>
          <w:szCs w:val="27"/>
          <w:color w:val="231F20"/>
          <w:vertAlign w:val="superscript"/>
        </w:rPr>
      </w:pPr>
    </w:p>
    <w:p>
      <w:pPr>
        <w:ind w:left="360" w:right="260" w:hanging="352"/>
        <w:spacing w:after="0" w:line="249" w:lineRule="auto"/>
        <w:tabs>
          <w:tab w:leader="none" w:pos="360" w:val="left"/>
        </w:tabs>
        <w:numPr>
          <w:ilvl w:val="0"/>
          <w:numId w:val="60"/>
        </w:numPr>
        <w:rPr>
          <w:rFonts w:ascii="Arial" w:cs="Arial" w:eastAsia="Arial" w:hAnsi="Arial"/>
          <w:sz w:val="24"/>
          <w:szCs w:val="24"/>
          <w:color w:val="231F20"/>
          <w:vertAlign w:val="superscript"/>
        </w:rPr>
      </w:pPr>
      <w:r>
        <w:rPr>
          <w:rFonts w:ascii="Arial" w:cs="Arial" w:eastAsia="Arial" w:hAnsi="Arial"/>
          <w:sz w:val="16"/>
          <w:szCs w:val="16"/>
          <w:color w:val="231F20"/>
        </w:rPr>
        <w:t>Indicates our TFDE vessels for which, as of December 31, 2021, the basic charter-free market value is lower than the vessel’s carrying value but no impairment indicators were identified for these vessels as described above. The aggregate carrying value of these vessels exceeds their aggregate basic charter-free market value by $69.8 million as of December 31, 2021.</w:t>
      </w:r>
    </w:p>
    <w:p>
      <w:pPr>
        <w:spacing w:after="0" w:line="195" w:lineRule="exact"/>
        <w:rPr>
          <w:rFonts w:ascii="Arial" w:cs="Arial" w:eastAsia="Arial" w:hAnsi="Arial"/>
          <w:sz w:val="24"/>
          <w:szCs w:val="24"/>
          <w:color w:val="231F20"/>
          <w:vertAlign w:val="superscript"/>
        </w:rPr>
      </w:pPr>
    </w:p>
    <w:p>
      <w:pPr>
        <w:ind w:left="360" w:right="240" w:hanging="352"/>
        <w:spacing w:after="0" w:line="226" w:lineRule="auto"/>
        <w:tabs>
          <w:tab w:leader="none" w:pos="360" w:val="left"/>
        </w:tabs>
        <w:numPr>
          <w:ilvl w:val="0"/>
          <w:numId w:val="60"/>
        </w:numPr>
        <w:rPr>
          <w:rFonts w:ascii="Arial" w:cs="Arial" w:eastAsia="Arial" w:hAnsi="Arial"/>
          <w:sz w:val="27"/>
          <w:szCs w:val="27"/>
          <w:color w:val="231F20"/>
          <w:vertAlign w:val="superscript"/>
        </w:rPr>
      </w:pPr>
      <w:r>
        <w:rPr>
          <w:rFonts w:ascii="Arial" w:cs="Arial" w:eastAsia="Arial" w:hAnsi="Arial"/>
          <w:sz w:val="18"/>
          <w:szCs w:val="18"/>
          <w:color w:val="231F20"/>
        </w:rPr>
        <w:t>Indicates our Steam vessels for which, as of December 31, 2021, the basic charter-free market value is lower than the vessel’s carrying value and impairment indicators were identified for these vessels as described above. After the recognition of an impairment loss of $104.0 million, the aggregate carrying value of these vessels exceeds their aggregate basic charter-free market value by $38.5 million as of December 31, 2021.</w:t>
      </w:r>
    </w:p>
    <w:p>
      <w:pPr>
        <w:spacing w:after="0" w:line="157" w:lineRule="exact"/>
        <w:rPr>
          <w:rFonts w:ascii="Arial" w:cs="Arial" w:eastAsia="Arial" w:hAnsi="Arial"/>
          <w:sz w:val="27"/>
          <w:szCs w:val="27"/>
          <w:color w:val="231F20"/>
          <w:vertAlign w:val="superscript"/>
        </w:rPr>
      </w:pPr>
    </w:p>
    <w:p>
      <w:pPr>
        <w:ind w:left="360" w:hanging="352"/>
        <w:spacing w:after="0"/>
        <w:tabs>
          <w:tab w:leader="none" w:pos="360" w:val="left"/>
        </w:tabs>
        <w:numPr>
          <w:ilvl w:val="0"/>
          <w:numId w:val="60"/>
        </w:numPr>
        <w:rPr>
          <w:rFonts w:ascii="Arial" w:cs="Arial" w:eastAsia="Arial" w:hAnsi="Arial"/>
          <w:sz w:val="24"/>
          <w:szCs w:val="24"/>
          <w:color w:val="231F20"/>
          <w:vertAlign w:val="superscript"/>
        </w:rPr>
      </w:pPr>
      <w:r>
        <w:rPr>
          <w:rFonts w:ascii="Arial" w:cs="Arial" w:eastAsia="Arial" w:hAnsi="Arial"/>
          <w:sz w:val="16"/>
          <w:szCs w:val="16"/>
          <w:color w:val="231F20"/>
        </w:rPr>
        <w:t>Indicates vessels for which, as of December 31, 2021, the basic charter free market value is higher than the vessel’s carrying value.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231F20"/>
        </w:rPr>
        <w:t>As a result of its impairment assessments for the year ended December 31, 2021, the Partnership recognized an aggregate non-cash impairment loss of $104.0 million on its five Steam vessels built in 2006 and 2007 and determined there was no impairment for its remaining owned and bareboat on-the-water fleet, comprising ten TFDE vessels.</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DIRECTORS, SENIOR MANAGEMENT AND EMPLOYEES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31F20"/>
        </w:rPr>
        <w:t>A. Directors and Senior Management</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following table sets forth information regarding our directors and executive officers. We rely solely on the executive officers of GasLog or its applicable affiliate who provide executive officer services for our benefit pursuant to the administrative services agreement and who are responsible for our day-to-day management subject to the direction of our board of directors. The business address for each of our directors and executive officers is 69 Akti Miaouli, 18537 Piraeus, Greece. The following directors have been determined by our board of directors to be independent under the standards of the NYSE and the rules and regulations of the SEC: Curtis V. Anastasio, Roland Fisher,Kristin H. Holth and Julian R. Metherell. Officers are elected from time to time by vote of our board of directors and hold office until a successor is elected.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4300" w:type="dxa"/>
            <w:vAlign w:val="bottom"/>
          </w:tcPr>
          <w:p>
            <w:pPr>
              <w:ind w:left="190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Curtis V. Anastasio</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Directors/Director</w:t>
            </w:r>
          </w:p>
        </w:tc>
      </w:tr>
      <w:tr>
        <w:trPr>
          <w:trHeight w:val="216"/>
        </w:trPr>
        <w:tc>
          <w:tcPr>
            <w:tcW w:w="4500" w:type="dxa"/>
            <w:vAlign w:val="bottom"/>
            <w:gridSpan w:val="3"/>
          </w:tcPr>
          <w:p>
            <w:pPr>
              <w:spacing w:after="0" w:line="216" w:lineRule="exact"/>
              <w:rPr>
                <w:sz w:val="20"/>
                <w:szCs w:val="20"/>
                <w:color w:val="auto"/>
              </w:rPr>
            </w:pPr>
            <w:r>
              <w:rPr>
                <w:rFonts w:ascii="Arial" w:cs="Arial" w:eastAsia="Arial" w:hAnsi="Arial"/>
                <w:sz w:val="17"/>
                <w:szCs w:val="17"/>
                <w:color w:val="auto"/>
              </w:rPr>
              <w:t>Roland Fisher</w:t>
            </w:r>
            <w:r>
              <w:rPr>
                <w:rFonts w:ascii="Arial" w:cs="Arial" w:eastAsia="Arial" w:hAnsi="Arial"/>
                <w:sz w:val="25"/>
                <w:szCs w:val="25"/>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520" w:type="dxa"/>
            <w:vAlign w:val="bottom"/>
            <w:gridSpan w:val="2"/>
          </w:tcPr>
          <w:p>
            <w:pPr>
              <w:ind w:left="220"/>
              <w:spacing w:after="0"/>
              <w:rPr>
                <w:sz w:val="20"/>
                <w:szCs w:val="20"/>
                <w:color w:val="auto"/>
              </w:rPr>
            </w:pPr>
            <w:r>
              <w:rPr>
                <w:rFonts w:ascii="Arial" w:cs="Arial" w:eastAsia="Arial" w:hAnsi="Arial"/>
                <w:sz w:val="18"/>
                <w:szCs w:val="18"/>
                <w:color w:val="auto"/>
              </w:rPr>
              <w:t>Class I Director</w:t>
            </w:r>
          </w:p>
        </w:tc>
      </w:tr>
      <w:tr>
        <w:trPr>
          <w:trHeight w:val="216"/>
        </w:trPr>
        <w:tc>
          <w:tcPr>
            <w:tcW w:w="4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Kristin H. Holth</w:t>
            </w:r>
            <w:r>
              <w:rPr>
                <w:rFonts w:ascii="Arial" w:cs="Arial" w:eastAsia="Arial" w:hAnsi="Arial"/>
                <w:sz w:val="25"/>
                <w:szCs w:val="25"/>
                <w:color w:val="auto"/>
                <w:vertAlign w:val="superscript"/>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III Director</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Julian R. Metherell</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45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Paolo Enoizi</w:t>
            </w:r>
            <w:r>
              <w:rPr>
                <w:rFonts w:ascii="Arial" w:cs="Arial" w:eastAsia="Arial" w:hAnsi="Arial"/>
                <w:sz w:val="25"/>
                <w:szCs w:val="25"/>
                <w:color w:val="auto"/>
                <w:vertAlign w:val="superscript"/>
              </w:rPr>
              <w:t>(3)</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Director/Chief Executive Officer</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Achilleas Tasioulas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452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4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Konstantinos Karathanos</w:t>
            </w:r>
            <w:r>
              <w:rPr>
                <w:rFonts w:ascii="Arial" w:cs="Arial" w:eastAsia="Arial" w:hAnsi="Arial"/>
                <w:sz w:val="25"/>
                <w:szCs w:val="25"/>
                <w:color w:val="auto"/>
                <w:vertAlign w:val="superscript"/>
              </w:rPr>
              <w:t>(4)</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Financial Officer</w:t>
            </w:r>
          </w:p>
        </w:tc>
      </w:tr>
      <w:tr>
        <w:trPr>
          <w:trHeight w:val="108"/>
        </w:trPr>
        <w:tc>
          <w:tcPr>
            <w:tcW w:w="248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300" w:type="dxa"/>
            <w:vAlign w:val="bottom"/>
          </w:tcPr>
          <w:p>
            <w:pPr>
              <w:spacing w:after="0"/>
              <w:rPr>
                <w:sz w:val="9"/>
                <w:szCs w:val="9"/>
                <w:color w:val="auto"/>
              </w:rPr>
            </w:pPr>
          </w:p>
        </w:tc>
      </w:tr>
    </w:tbl>
    <w:p>
      <w:pPr>
        <w:ind w:left="340" w:hanging="332"/>
        <w:spacing w:after="0"/>
        <w:tabs>
          <w:tab w:leader="none" w:pos="340" w:val="left"/>
        </w:tabs>
        <w:numPr>
          <w:ilvl w:val="0"/>
          <w:numId w:val="61"/>
        </w:numPr>
        <w:rPr>
          <w:rFonts w:ascii="Arial" w:cs="Arial" w:eastAsia="Arial" w:hAnsi="Arial"/>
          <w:sz w:val="27"/>
          <w:szCs w:val="27"/>
          <w:color w:val="231F20"/>
          <w:vertAlign w:val="superscript"/>
        </w:rPr>
      </w:pPr>
      <w:r>
        <w:rPr>
          <w:rFonts w:ascii="Arial" w:cs="Arial" w:eastAsia="Arial" w:hAnsi="Arial"/>
          <w:sz w:val="18"/>
          <w:szCs w:val="18"/>
          <w:color w:val="231F20"/>
        </w:rPr>
        <w:t>Mr. Fisher was appointed a director on February 8, 2021</w:t>
      </w:r>
    </w:p>
    <w:p>
      <w:pPr>
        <w:spacing w:after="0" w:line="125" w:lineRule="exact"/>
        <w:rPr>
          <w:rFonts w:ascii="Arial" w:cs="Arial" w:eastAsia="Arial" w:hAnsi="Arial"/>
          <w:sz w:val="27"/>
          <w:szCs w:val="27"/>
          <w:color w:val="231F20"/>
          <w:vertAlign w:val="superscript"/>
        </w:rPr>
      </w:pPr>
    </w:p>
    <w:p>
      <w:pPr>
        <w:ind w:left="340" w:hanging="332"/>
        <w:spacing w:after="0" w:line="236" w:lineRule="auto"/>
        <w:tabs>
          <w:tab w:leader="none" w:pos="340" w:val="left"/>
        </w:tabs>
        <w:numPr>
          <w:ilvl w:val="0"/>
          <w:numId w:val="61"/>
        </w:numPr>
        <w:rPr>
          <w:rFonts w:ascii="Arial" w:cs="Arial" w:eastAsia="Arial" w:hAnsi="Arial"/>
          <w:sz w:val="27"/>
          <w:szCs w:val="27"/>
          <w:color w:val="231F20"/>
          <w:vertAlign w:val="superscript"/>
        </w:rPr>
      </w:pPr>
      <w:r>
        <w:rPr>
          <w:rFonts w:ascii="Arial" w:cs="Arial" w:eastAsia="Arial" w:hAnsi="Arial"/>
          <w:sz w:val="18"/>
          <w:szCs w:val="18"/>
          <w:color w:val="231F20"/>
        </w:rPr>
        <w:t>Ms. Holth was appointed a director on November 1, 2021</w:t>
      </w:r>
    </w:p>
    <w:p>
      <w:pPr>
        <w:spacing w:after="0" w:line="126" w:lineRule="exact"/>
        <w:rPr>
          <w:rFonts w:ascii="Arial" w:cs="Arial" w:eastAsia="Arial" w:hAnsi="Arial"/>
          <w:sz w:val="27"/>
          <w:szCs w:val="27"/>
          <w:color w:val="231F20"/>
          <w:vertAlign w:val="superscript"/>
        </w:rPr>
      </w:pPr>
    </w:p>
    <w:p>
      <w:pPr>
        <w:ind w:left="340" w:hanging="332"/>
        <w:spacing w:after="0" w:line="236" w:lineRule="auto"/>
        <w:tabs>
          <w:tab w:leader="none" w:pos="340" w:val="left"/>
        </w:tabs>
        <w:numPr>
          <w:ilvl w:val="0"/>
          <w:numId w:val="61"/>
        </w:numPr>
        <w:rPr>
          <w:rFonts w:ascii="Arial" w:cs="Arial" w:eastAsia="Arial" w:hAnsi="Arial"/>
          <w:sz w:val="27"/>
          <w:szCs w:val="27"/>
          <w:color w:val="231F20"/>
          <w:vertAlign w:val="superscript"/>
        </w:rPr>
      </w:pPr>
      <w:r>
        <w:rPr>
          <w:rFonts w:ascii="Arial" w:cs="Arial" w:eastAsia="Arial" w:hAnsi="Arial"/>
          <w:sz w:val="18"/>
          <w:szCs w:val="18"/>
          <w:color w:val="231F20"/>
        </w:rPr>
        <w:t>Mr. Enoizi was appointed Chief Executive Officer and a director on August 1, 2021.</w:t>
      </w:r>
    </w:p>
    <w:p>
      <w:pPr>
        <w:spacing w:after="0" w:line="126" w:lineRule="exact"/>
        <w:rPr>
          <w:rFonts w:ascii="Arial" w:cs="Arial" w:eastAsia="Arial" w:hAnsi="Arial"/>
          <w:sz w:val="27"/>
          <w:szCs w:val="27"/>
          <w:color w:val="231F20"/>
          <w:vertAlign w:val="superscript"/>
        </w:rPr>
      </w:pPr>
    </w:p>
    <w:p>
      <w:pPr>
        <w:ind w:left="340" w:hanging="332"/>
        <w:spacing w:after="0" w:line="236" w:lineRule="auto"/>
        <w:tabs>
          <w:tab w:leader="none" w:pos="340" w:val="left"/>
        </w:tabs>
        <w:numPr>
          <w:ilvl w:val="0"/>
          <w:numId w:val="61"/>
        </w:numPr>
        <w:rPr>
          <w:rFonts w:ascii="Arial" w:cs="Arial" w:eastAsia="Arial" w:hAnsi="Arial"/>
          <w:sz w:val="27"/>
          <w:szCs w:val="27"/>
          <w:color w:val="231F20"/>
          <w:vertAlign w:val="superscript"/>
        </w:rPr>
      </w:pPr>
      <w:r>
        <w:rPr>
          <w:rFonts w:ascii="Arial" w:cs="Arial" w:eastAsia="Arial" w:hAnsi="Arial"/>
          <w:sz w:val="18"/>
          <w:szCs w:val="18"/>
          <w:color w:val="auto"/>
        </w:rPr>
        <w:t>Mr. Karathanos was appointed Chief Operating Officer on February 11, 2022</w:t>
      </w:r>
    </w:p>
    <w:p>
      <w:pPr>
        <w:spacing w:after="0" w:line="202"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Our Class I and Class III Directors were elected by our common unitholders and will hold office until the 2023, and 2024 annual meetings of limited partners, respectively. Our other directors were appointed by our general partner in its sole discretion. See “—C. Board Practices”.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biographical information about each of these individuals is set forth below.</w:t>
      </w:r>
    </w:p>
    <w:p>
      <w:pPr>
        <w:spacing w:after="0" w:line="22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b w:val="1"/>
          <w:bCs w:val="1"/>
          <w:color w:val="auto"/>
        </w:rPr>
        <w:t xml:space="preserve">Curtis V. Anastasio </w:t>
      </w:r>
      <w:r>
        <w:rPr>
          <w:rFonts w:ascii="Arial" w:cs="Arial" w:eastAsia="Arial" w:hAnsi="Arial"/>
          <w:sz w:val="16"/>
          <w:szCs w:val="16"/>
          <w:color w:val="auto"/>
        </w:rPr>
        <w:t>has been the Executive Chairman of our board of directors since our inception to May 2016 and Non-Executive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Chairman from May 2016 to date. From the time he led the initial public offering in April of 2001 to his retirement on December 31, 2013, Mr. Anastasio was the president and chief executive officer of NuStar Energy L. P., a publicly traded MLP based in San Antonio, Texas. Mr. Anastasio was also president and chief executive officer of NuStar GP </w:t>
      </w:r>
      <w:r>
        <w:rPr>
          <w:rFonts w:ascii="Arial" w:cs="Arial" w:eastAsia="Arial" w:hAnsi="Arial"/>
          <w:sz w:val="16"/>
          <w:szCs w:val="16"/>
          <w:color w:val="231F20"/>
        </w:rPr>
        <w:t>Holdings, LLC, a position he held since the company’s</w:t>
      </w:r>
      <w:r>
        <w:rPr>
          <w:rFonts w:ascii="Arial" w:cs="Arial" w:eastAsia="Arial" w:hAnsi="Arial"/>
          <w:sz w:val="16"/>
          <w:szCs w:val="16"/>
          <w:color w:val="auto"/>
        </w:rPr>
        <w:t xml:space="preserve"> </w:t>
      </w:r>
      <w:r>
        <w:rPr>
          <w:rFonts w:ascii="Arial" w:cs="Arial" w:eastAsia="Arial" w:hAnsi="Arial"/>
          <w:sz w:val="16"/>
          <w:szCs w:val="16"/>
          <w:color w:val="231F20"/>
        </w:rPr>
        <w:t>initial public offering in 2006. In addition, Mr. Anastasio serves as a director and chairman of the Audit Committee of Par Pacific Holdings (previously Par Petroleum Corporation) a growth-orientated company that manages and maintains interests in energy related assets, and serves as a director and chairman of the Audit Committee of the Chemours Company. Between 2013 and 2019, Mr. Anastasio served on the board of the Federal Reserve Bank of Dallas. Mr. Anastasio received a Juris Doctorate degree from Harvard Law School in 1981 and a Bachelor of Arts degree, Magna cum Laude, from Cornell University in 1978.</w:t>
      </w:r>
    </w:p>
    <w:p>
      <w:pPr>
        <w:spacing w:after="0" w:line="166" w:lineRule="exact"/>
        <w:rPr>
          <w:sz w:val="20"/>
          <w:szCs w:val="20"/>
          <w:color w:val="auto"/>
        </w:rPr>
      </w:pPr>
    </w:p>
    <w:p>
      <w:pPr>
        <w:ind w:right="300" w:firstLine="324"/>
        <w:spacing w:after="0" w:line="298" w:lineRule="auto"/>
        <w:rPr>
          <w:sz w:val="20"/>
          <w:szCs w:val="20"/>
          <w:color w:val="auto"/>
        </w:rPr>
      </w:pPr>
      <w:r>
        <w:rPr>
          <w:rFonts w:ascii="Arial" w:cs="Arial" w:eastAsia="Arial" w:hAnsi="Arial"/>
          <w:sz w:val="16"/>
          <w:szCs w:val="16"/>
          <w:b w:val="1"/>
          <w:bCs w:val="1"/>
          <w:color w:val="auto"/>
        </w:rPr>
        <w:t xml:space="preserve">Roland Fisher </w:t>
      </w:r>
      <w:r>
        <w:rPr>
          <w:rFonts w:ascii="Arial" w:cs="Arial" w:eastAsia="Arial" w:hAnsi="Arial"/>
          <w:sz w:val="16"/>
          <w:szCs w:val="16"/>
          <w:color w:val="auto"/>
        </w:rPr>
        <w:t>was appointed to our board of directors on February 8, 2021. Mr. Fisher is the founder of Gasfin Development, a</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recognized for pioneering mid-scale LNG infrastructure in multiple markets, most recently delivering Sub-Saharan Africa’s first LNG terminal, at Tema, Ghana. Prior to founding Gasfin, Mr. Fisher was Chief Financial Officer at TGE Group, a specialist cryogenic gas engineering business. Previously, Mr. Fisher also spent 10 years in private equity investment roles with Caledonia Investments and Actis working on a diverse portfolio from natural resources to financial services across Europe, Southern Africa and</w:t>
      </w:r>
    </w:p>
    <w:p>
      <w:pPr>
        <w:sectPr>
          <w:pgSz w:w="11900" w:h="16838" w:orient="portrait"/>
          <w:cols w:equalWidth="0" w:num="1">
            <w:col w:w="9920"/>
          </w:cols>
          <w:pgMar w:left="980" w:top="517" w:right="99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South America. He started his career with Deloitte in London. Mr. Fisher is a Chartered Accountant (ICAEW), holds an MBA with Distinction from INSEAD, and an MA (Hons) from Edinburgh University. Mr. Fisher sits on the investment committee of Nash &amp; Co and is a Trustee of Kasanka National Park in Zambia.</w:t>
      </w:r>
    </w:p>
    <w:p>
      <w:pPr>
        <w:spacing w:after="0" w:line="18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b w:val="1"/>
          <w:bCs w:val="1"/>
          <w:color w:val="auto"/>
        </w:rPr>
        <w:t xml:space="preserve">Kristin H. Holth </w:t>
      </w:r>
      <w:r>
        <w:rPr>
          <w:rFonts w:ascii="Arial" w:cs="Arial" w:eastAsia="Arial" w:hAnsi="Arial"/>
          <w:sz w:val="17"/>
          <w:szCs w:val="17"/>
          <w:color w:val="auto"/>
        </w:rPr>
        <w:t>was appointed to our Board of Directors and a member of our Audit Committee and Conflicts Committee in</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2021. From 2017 to 2020 Ms. Holth served as Executive Vice President and Global Head of Ocean Industries in DNB Bank ASA, Norway’s largest financial services group. Ms. Holth has significant experience in capital markets and funding and has held numerous management positions within DNB, including Global Head of Shipping, Offshore &amp; Logistics for four years and General Manager &amp; Head of DNB Americas for six years. Ms. Holth also holds several board positions, including Independent Director of Maersk Drilling and Maersk Tankers. Ms. Holth also sat on the board of directors of GasLog from September 2020 to June 2021. Ms. Holth holds a Bachelor in Economics and Business Administration from BI Norwegian Business School.</w:t>
      </w:r>
    </w:p>
    <w:p>
      <w:pPr>
        <w:spacing w:after="0" w:line="17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b w:val="1"/>
          <w:bCs w:val="1"/>
          <w:color w:val="auto"/>
        </w:rPr>
        <w:t xml:space="preserve">Julian R. Metherell </w:t>
      </w:r>
      <w:r>
        <w:rPr>
          <w:rFonts w:ascii="Arial" w:cs="Arial" w:eastAsia="Arial" w:hAnsi="Arial"/>
          <w:sz w:val="17"/>
          <w:szCs w:val="17"/>
          <w:color w:val="auto"/>
        </w:rPr>
        <w:t>was appointed to our board of directors on August 6, 2020; and has served on the GasLog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since October 2011. Mr. Metherell is currently a director of MW&amp;L Capital; he also sits on the board of a number of private companies including Wellsafe, Natural Capital Research and Chairman Mentors International. He was the chief financial officer and a director of Genel 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7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 xml:space="preserve">Paolo Enoizi </w:t>
      </w:r>
      <w:r>
        <w:rPr>
          <w:rFonts w:ascii="Arial" w:cs="Arial" w:eastAsia="Arial" w:hAnsi="Arial"/>
          <w:sz w:val="16"/>
          <w:szCs w:val="16"/>
          <w:color w:val="auto"/>
        </w:rPr>
        <w:t>was appointed as a director and our CEO on August 1, 2021. Mr. Enoizi joined GasLog Partners LP in August 2019</w:t>
      </w:r>
      <w:r>
        <w:rPr>
          <w:rFonts w:ascii="Arial" w:cs="Arial" w:eastAsia="Arial" w:hAnsi="Arial"/>
          <w:sz w:val="16"/>
          <w:szCs w:val="16"/>
          <w:b w:val="1"/>
          <w:bCs w:val="1"/>
          <w:color w:val="auto"/>
        </w:rPr>
        <w:t xml:space="preserve"> </w:t>
      </w:r>
      <w:r>
        <w:rPr>
          <w:rFonts w:ascii="Arial" w:cs="Arial" w:eastAsia="Arial" w:hAnsi="Arial"/>
          <w:sz w:val="16"/>
          <w:szCs w:val="16"/>
          <w:color w:val="auto"/>
        </w:rPr>
        <w:t>and was appointed Chief Operating Officer (“COO”) from September 2019 to February 2022. He was appointed COO of GasLog on the same date. Prior to joining GasLog Partners, Mr. Enoizi was most recently Managing Director of Stolt Tankers BV Rotterdam, a subsidiary of Stolt Nielsen Limited, where he was responsible for the operation of over 100 chemical tankers, 200 people ashore and over 4,000 seafarers. Mr. Enoizi’s previous roles also included Director of Technical &amp; Innovation and General Manager of Newbuilding &amp; Technical. Whilst at Stolt Nielsen, Mr. Enoizi led major business transformations, integration of company acquisitions and operational improvement initiatives in areas such as process optimisation, cost reductions, digitalisation and business intelligence. Prior to joining Stolt Nielsen in 2008, Mr. Enoizi was Managing Director of a family-owned ship management company. Mr. Enoizi is a director of HiLo Maritime Risk Management Limited, a not for profit joint industry initiative which uses a predictive mathematical model to enhance shipping industry safety. Mr. Enoizi has a Masters degree in Naval Architecture and Marine Engineering from the University of Genova.</w:t>
      </w:r>
    </w:p>
    <w:p>
      <w:pPr>
        <w:spacing w:after="0" w:line="16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b w:val="1"/>
          <w:bCs w:val="1"/>
          <w:color w:val="auto"/>
        </w:rPr>
        <w:t xml:space="preserve">Achilleas Tasioulas </w:t>
      </w:r>
      <w:r>
        <w:rPr>
          <w:rFonts w:ascii="Arial" w:cs="Arial" w:eastAsia="Arial" w:hAnsi="Arial"/>
          <w:sz w:val="17"/>
          <w:szCs w:val="17"/>
          <w:color w:val="auto"/>
        </w:rPr>
        <w:t>has served as our CFO and CFO of GasLog since July 2020. Mr. Tasioulas joined GasLog in October 2014 as</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Controller and his role was expanded to Chief Risk Officer, Financial Controller and Head of Tax in August 2017 and Deputy CFO of GasLog in December 2019 and has over 14 years of experience in the shipping industry. During his years with GasLog he has been actively engaged in our growth and capital markets activity, as well as developing considerable experience in operations, corporate finance, treasury and risk management. Mr. Tasioulas is also a Board Member of Gastrade and a Director of several Group subsidiaries. Immediately prior to joining GasLog, Mr. Tasioulas was Corporate Controller for NYSE-listed Danaos Corporation for 6 years. Mr. Tasioulas is an ICAEW Fellow Chartered Accountant, has an MSc in Project Analysis, Finance and Investments from the University of York in the UK and a BSc in Economics from the University of Macedonia in Greece. Furthermore, Mr. Tasioulas has completed executive education programs in Advance Corporate Finance in London Business School and Strategic Financial Leadership in Stanford University Graduate School of Business.</w:t>
      </w:r>
    </w:p>
    <w:p>
      <w:pPr>
        <w:spacing w:after="0" w:line="17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b w:val="1"/>
          <w:bCs w:val="1"/>
          <w:color w:val="auto"/>
        </w:rPr>
        <w:t xml:space="preserve">Konstantinos Karathanos </w:t>
      </w:r>
      <w:r>
        <w:rPr>
          <w:rFonts w:ascii="Arial" w:cs="Arial" w:eastAsia="Arial" w:hAnsi="Arial"/>
          <w:sz w:val="16"/>
          <w:szCs w:val="16"/>
          <w:color w:val="auto"/>
        </w:rPr>
        <w:t>was appointed COO of GasLog and GasLog Partners on February 11, 2022. Prior to this he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Deputy COO from November 2021 and General Manager Innovation and Technology from 2019. Mr. Karathanos joined the group in 2000 and from then to 2017 held several positions such as Fleet Manager, Project &amp; Site Manager and Ship Manager. Prior to re-joining GasLog, Mr. Karathanos held the position of Technical Manager at Minerva Marine from 2017 to 2019. Mr. Karathanos has over 20 years of experience in the shipping industry specializing in LNG Carriers design and construction and Technical &amp; Operational management as well as focusing on Energy and Performance with emphasis on Energy efficiency and decarbonization of the fleet. Mr. Karathanos has an Executive MBA from ALBA, the American College of Greece, an MSc in Thermal Power and Fluid Mechanics from the University of Manchester and a B.Eng. in Mechanical Engineering from Manchester Metropolitan University.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board leadership structure consists of our Chairman and the chairmen of our board committees. Our operational management is headed by our CEO. Mr. Enoizi, as CEO, is responsible for the day-to-day operations of the Partnership, which includes decisions relating to the Partnership’s general management and control of its affairs and business, and works with our board in developing our business strategy. The board of directors does not have a policy mandating that the roles of CEO and Chairman be held by separate individuals, but believes that at this time the separation of such roles is appropriate and beneficial to unitholders.</w:t>
      </w:r>
    </w:p>
    <w:p>
      <w:pPr>
        <w:spacing w:after="0" w:line="157" w:lineRule="exact"/>
        <w:rPr>
          <w:sz w:val="20"/>
          <w:szCs w:val="20"/>
          <w:color w:val="auto"/>
        </w:rPr>
      </w:pPr>
    </w:p>
    <w:p>
      <w:pPr>
        <w:ind w:right="5560" w:firstLine="8"/>
        <w:spacing w:after="0" w:line="566" w:lineRule="auto"/>
        <w:tabs>
          <w:tab w:leader="none" w:pos="324" w:val="left"/>
        </w:tabs>
        <w:numPr>
          <w:ilvl w:val="0"/>
          <w:numId w:val="62"/>
        </w:numPr>
        <w:rPr>
          <w:rFonts w:ascii="Arial" w:cs="Arial" w:eastAsia="Arial" w:hAnsi="Arial"/>
          <w:sz w:val="16"/>
          <w:szCs w:val="16"/>
          <w:b w:val="1"/>
          <w:bCs w:val="1"/>
          <w:color w:val="231F20"/>
        </w:rPr>
      </w:pPr>
      <w:r>
        <w:rPr>
          <w:rFonts w:ascii="Arial" w:cs="Arial" w:eastAsia="Arial" w:hAnsi="Arial"/>
          <w:sz w:val="16"/>
          <w:szCs w:val="16"/>
          <w:b w:val="1"/>
          <w:bCs w:val="1"/>
          <w:color w:val="231F20"/>
        </w:rPr>
        <w:t>Compensation of Directors and Senior Management Reimbursement of Expenses of Our General Partner</w:t>
      </w:r>
    </w:p>
    <w:p>
      <w:pPr>
        <w:ind w:firstLine="324"/>
        <w:spacing w:after="0" w:line="301" w:lineRule="auto"/>
        <w:rPr>
          <w:sz w:val="20"/>
          <w:szCs w:val="20"/>
          <w:color w:val="auto"/>
        </w:rPr>
      </w:pPr>
      <w:r>
        <w:rPr>
          <w:rFonts w:ascii="Arial" w:cs="Arial" w:eastAsia="Arial" w:hAnsi="Arial"/>
          <w:sz w:val="16"/>
          <w:szCs w:val="16"/>
          <w:color w:val="auto"/>
        </w:rPr>
        <w:t>Our general partner does not receive compensation from us for any services it provides on our behalf, although it is entitled to reimbursement for expenses incurred on our behalf. In addition, our operating subsidiaries reimburse GasLog LNG Services for expenses incurred pursuant to the amended ship management agreements that our operating subsidiaries are party to with GasLog LNG Services. See “Item 7. Major Unitholders and Related Party Transactions—B. Related Party Transactions—Ship Management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Executive Compensation</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services of our executive officers and other employees are provided pursuant to the administrative services agreement, under which we pay an annual fee. Mr. Paul A. Wogan stepped down as CEO with effect from August 01, 2021, and Paolo Enoizi was appointed as CEO. We do not pay any of our executive officers any compensation directly. See “Item 7. Major Unitholders and Related Party Transactions—B. Related Party Transactions—Administrative Services Agreement”.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2021 to provide pension, retirement or similar benefits to our senior management</w:t>
      </w:r>
      <w:r>
        <w:rPr>
          <w:rFonts w:ascii="Arial" w:cs="Arial" w:eastAsia="Arial" w:hAnsi="Arial"/>
          <w:sz w:val="18"/>
          <w:szCs w:val="18"/>
          <w:color w:val="231F20"/>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of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non-management director receives cash compensation for being a member of our board of directors, as well as for being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member or chairperson of a committee. During 2021, non-management directors each received a director fee of $110,000 per year.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members of the audit and conflicts committees each received a committee fee of $25,000 per year whereas the chairpersons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committees received a fee of $50,000 per year. Our chairman receives an additional chair fee and received director fees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$266,181 in 2021. In addition, each director is reimbursed for </w:t>
      </w:r>
      <w:r>
        <w:rPr>
          <w:rFonts w:ascii="Arial" w:cs="Arial" w:eastAsia="Arial" w:hAnsi="Arial"/>
          <w:sz w:val="16"/>
          <w:szCs w:val="16"/>
          <w:color w:val="231F20"/>
        </w:rPr>
        <w:t>out-of-pocket expenses in connection with attending meetings of the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of directors or committees.</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did not set aside or accrue any amounts in the year ended December 31, 2021 to provide pension, retirement or similar benefits to our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Equity Compensation Plan</w:t>
      </w:r>
    </w:p>
    <w:p>
      <w:pPr>
        <w:spacing w:after="0" w:line="22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In January 2015, our board of directors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14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Plan provides for the grant of options to purchase our common units, common unit appreciation rights, restricted common units, phantom performance common units, cash incentive awards and other equity-based or equity-related awards. We have reserved for issuance a total of 945,026 common units under the Plan (equal to approximately 6.59% of the 14,322,358 common units outstanding as of December 31, 2014), subject to adjustment for changes in capitalization as provided in the Plan. The Plan is administered by our board of directors, or such committee of our board of directors as may be designated by our board of directors to administer the Plan.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On April 1, 2021, we granted our executive officers and employees an aggregate of 98,255 restricted common units and 98,255 phantom performance common units, with an aggregate fair value as of the grant date of $540,400. On September 14, 2021, we granted our executive officers and employees an aggregate of 21,663 restricted common units and 21,663 phantom performance common units, with an aggregate fair value as of the grant date of $177,203. These awards vest on the third anniversary of the grant date, subject to the recipients’ continued service; vesting of the phantom stock units is also subject to the achievement of certain performance targets. They may be settled in cash or newly issued units, or a combination thereof, at our discretion.</w:t>
      </w:r>
    </w:p>
    <w:p>
      <w:pPr>
        <w:spacing w:after="0" w:line="16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December 31, 2021, we have 407,824 common units reserved for issuance under the Plan (equal to approximately 0.80% of the 51,137,201 common units outstanding).</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C.</w:t>
      </w:r>
      <w:r>
        <w:rPr>
          <w:sz w:val="20"/>
          <w:szCs w:val="20"/>
          <w:color w:val="auto"/>
        </w:rPr>
        <w:tab/>
      </w:r>
      <w:r>
        <w:rPr>
          <w:rFonts w:ascii="Arial" w:cs="Arial" w:eastAsia="Arial" w:hAnsi="Arial"/>
          <w:sz w:val="16"/>
          <w:szCs w:val="16"/>
          <w:b w:val="1"/>
          <w:bCs w:val="1"/>
          <w:color w:val="231F20"/>
        </w:rPr>
        <w:t>Board Practices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accordance with our partnership agreement, our general partner has delegated to our board of directors the authority to oversee and direct our operations, management and policies on an exclusive basis, and such delegation will be binding on any successor general partner of the partnership. Our general partner, GasLog Partners GP LLC, is wholly owned by GasLog. Our executive officers, all of whom are employed by GasLog or its applicable affiliate, manage our day-to-day activities consistent with the policies and procedures adopted by our board of directors.</w:t>
      </w:r>
    </w:p>
    <w:p>
      <w:pPr>
        <w:spacing w:after="0" w:line="18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Since August 2020, our board of directors has consisted of five members, three of whom are appointed by our general partner in its sole discretion and two of whom are elected by our common unitholders. The directors appointed by our general partner serve until a successor is duly appointed by the general partner. Directors elected by our common unitholders are divided into three classes serving staggered three-year terms. At our 2015 annual meeting, the Class I elected director was elected to serve for a one year term expiring on the date of the succeeding annual meeting, the Class II elected director was elected to serve for a two-year term expiring on the second succeeding annual meeting and the Class III elected director was elected to serve for a three-year term expiring on the third succeeding annual meeting. At each subsequent annual meeting of unitholders, directors will be elected to succeed the class of director whose term has expired by a plurality of the votes of the common unitholders. Directors elected by our common unitholders will be nominated by the board of directors or by any limited partner or group of limited partners that holds at least 10% of the outstanding common units. In order to effectuate cost savings, the Partnership Agreement was amended in August 2020 to reduce the size of the board of directors. In connection with such amendment, the number of directors was decreased from seven to five, the number of Appointed Directors decreased from four to three and the Class II Elected Director seat was eliminated.</w:t>
      </w:r>
    </w:p>
    <w:p>
      <w:pPr>
        <w:spacing w:after="0" w:line="16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our general partner exercises its right to transfer the power to elect a majority of our directors to the common unitholders, an additional director will thereafter be elected as a Class II director by our common unitholders. Our general partner may exercise this right in order to permit us to claim, or continue to claim, an exemption from U.S. federal income tax under Section 883 of the Code. See “Item 4. Information on the Partnership—B. Business Overview—Taxation of the Partnership”.</w:t>
      </w:r>
    </w:p>
    <w:p>
      <w:pPr>
        <w:spacing w:after="0" w:line="17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Class I and Class III directors elected by our common unitholders, Mr. Anastasio and Mr. Metherell were determined by our board to be independent under the standards of the NYSE and the rules and regulations of the SEC. The elected directors also qualify as independent of GasLog under our partnership agreement so as to be eligible for membership on our conflicts committee.</w:t>
      </w:r>
    </w:p>
    <w:p>
      <w:pPr>
        <w:spacing w:after="0" w:line="149"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 xml:space="preserve">Each outstanding common unit is entitled to one vote on matters subject to a vote of common unitholders. However, if at any time,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This loss of voting rights does not apply to the Preference Units. Effectively, this means that </w:t>
      </w:r>
      <w:r>
        <w:rPr>
          <w:rFonts w:ascii="Arial" w:cs="Arial" w:eastAsia="Arial" w:hAnsi="Arial"/>
          <w:sz w:val="17"/>
          <w:szCs w:val="17"/>
          <w:color w:val="231F20"/>
        </w:rPr>
        <w:t>the voting rights of any such common unitholders in excess of 4.9% will be redistributed pro rata among the other common</w:t>
      </w:r>
      <w:r>
        <w:rPr>
          <w:rFonts w:ascii="Arial" w:cs="Arial" w:eastAsia="Arial" w:hAnsi="Arial"/>
          <w:sz w:val="17"/>
          <w:szCs w:val="17"/>
          <w:color w:val="auto"/>
        </w:rPr>
        <w:t xml:space="preserve"> </w:t>
      </w:r>
      <w:r>
        <w:rPr>
          <w:rFonts w:ascii="Arial" w:cs="Arial" w:eastAsia="Arial" w:hAnsi="Arial"/>
          <w:sz w:val="17"/>
          <w:szCs w:val="17"/>
          <w:color w:val="231F20"/>
        </w:rPr>
        <w:t>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support our claim of an exemption from U.S. federal income tax under Section 883 of the Code in the event our general partner transfers the power to elect one director to the common unitholders.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There are no service contracts between us and any of our directors providing for benefits upon termination of their employment or service.</w:t>
      </w:r>
    </w:p>
    <w:p>
      <w:pPr>
        <w:spacing w:after="0" w:line="17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and (ii) the requirement that a compensation committee or a nominating/corporate governance committee be established. Four of our five directors qualify as independent. As a result, non-independent directors may, among other things, participate in fixing the compensation of our management, making share and option awards and resolving governance issues regarding our Company. Accordingly, in the future you may not have the same protections afforded to unitholders of similarly organized limited partnerships that are subject to all of the NYSE corporate governance requirements</w:t>
      </w:r>
      <w:r>
        <w:rPr>
          <w:rFonts w:ascii="Arial" w:cs="Arial" w:eastAsia="Arial" w:hAnsi="Arial"/>
          <w:sz w:val="17"/>
          <w:szCs w:val="17"/>
          <w:color w:val="231F20"/>
        </w:rPr>
        <w:t>.</w:t>
      </w:r>
    </w:p>
    <w:p>
      <w:pPr>
        <w:spacing w:after="0" w:line="18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Our board of directors meets regularly throughout the year. In 2021, the board met 16 times. As part of our board meetings, our independent directors meet without the non-independent directors in attendance. In addition, the board regularly holds sessions without the CEO and executive officers present.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Committees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80" w:firstLine="324"/>
        <w:spacing w:after="0" w:line="296" w:lineRule="auto"/>
        <w:rPr>
          <w:sz w:val="20"/>
          <w:szCs w:val="20"/>
          <w:color w:val="auto"/>
        </w:rPr>
      </w:pPr>
      <w:r>
        <w:rPr>
          <w:rFonts w:ascii="Arial" w:cs="Arial" w:eastAsia="Arial" w:hAnsi="Arial"/>
          <w:sz w:val="16"/>
          <w:szCs w:val="16"/>
          <w:color w:val="auto"/>
        </w:rPr>
        <w:t>We have an audit committee that, among other things, reviews our external financial reporting, engages our external auditors and oversees our internal audit activities and procedures and the adequacy of our internal accounting controls. Our audit committee is comprised of Roland Fisher, Kristin H. Holth and Julian R. Metherell, with Roland Fisher serving as the chair of the audit committee. Our board of directors has determined that each of Roland Fisher, Kristin H. Holth and Julian R. Metherell satisfies the independence standards established by the NYSE and qualifies as an “audit committee financial expert” for purposes of SEC rules and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also have a conflicts committee that is available at the board of directors’ discretion to review specific matters that the board of directors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comprised of Kristin H. Holth and Roland Fisher, with Kristin H. Holth serving as chair of the conflicts committee.</w:t>
      </w:r>
    </w:p>
    <w:p>
      <w:pPr>
        <w:spacing w:after="0" w:line="182" w:lineRule="exact"/>
        <w:rPr>
          <w:sz w:val="20"/>
          <w:szCs w:val="20"/>
          <w:color w:val="auto"/>
        </w:rPr>
      </w:pPr>
    </w:p>
    <w:p>
      <w:pPr>
        <w:ind w:right="800" w:firstLine="324"/>
        <w:spacing w:after="0" w:line="342" w:lineRule="auto"/>
        <w:rPr>
          <w:sz w:val="20"/>
          <w:szCs w:val="20"/>
          <w:color w:val="auto"/>
        </w:rPr>
      </w:pPr>
      <w:r>
        <w:rPr>
          <w:rFonts w:ascii="Arial" w:cs="Arial" w:eastAsia="Arial" w:hAnsi="Arial"/>
          <w:sz w:val="16"/>
          <w:szCs w:val="16"/>
          <w:color w:val="auto"/>
        </w:rPr>
        <w:t>Employees of affiliates of GasLog provide services to us under the administrative services agreement. See “Item 7. Major Unitholders and Related Party Transactions—B. Related Party Transactions—Administrative Services Agreement”.</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officers and the other individuals providing services to us or our subsidiaries may face a conflict regarding the allocation of their time between our business and the other business interests of GasLog or its affiliates. Our officers and such other individuals providing services to us or our subsidiaries intend to devote as much time to the management of our business and affairs as is necessary for the proper conduct of our business and affairs.</w:t>
      </w:r>
    </w:p>
    <w:p>
      <w:pPr>
        <w:spacing w:after="0" w:line="18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Whenever our general partner makes a determination or takes or declines to take an action in its individual capacity rather than in its capacity as our general partner, it is entitled to make such determination or to take or decline to take such other action free of any fiduciary duty or obligation whatsoever to us or any limited partner, and our general partner is not required to act in good faith or pursuant to any other standard imposed by our partnership agreement or under the Marshall Islands Act or any other law. Specifically,</w:t>
      </w:r>
    </w:p>
    <w:p>
      <w:pPr>
        <w:sectPr>
          <w:pgSz w:w="11900" w:h="16838" w:orient="portrait"/>
          <w:cols w:equalWidth="0" w:num="1">
            <w:col w:w="9900"/>
          </w:cols>
          <w:pgMar w:left="980" w:top="517"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general partner will be considered to be acting in its individual capacity if it exercises its call right, pre-emptive rights or registration rights, consents or withholds consent to any merger or consolidation of the partnership, appoints any directors or votes for the appointment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votes upon the dissolution of the partnership. Actions of our general partner, which are made in its individual capacity, will be made by GasLog as sole member of our general partner.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Corporate Governance</w:t>
      </w:r>
    </w:p>
    <w:p>
      <w:pPr>
        <w:spacing w:after="0" w:line="229"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The board of directors and our Partnership’s management engage in an ongoing review of our corporate governance practices in order to oversee our compliance with the applicable corporate governance rules of the NYSE and the SEC.</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adopted a Code of Business Conduct and Ethics for all directors, officers, employees and agents of the Partnership.</w:t>
      </w:r>
    </w:p>
    <w:p>
      <w:pPr>
        <w:spacing w:after="0" w:line="23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 xml:space="preserve">This document and other important information on our governance are posted on our website and may be viewed at </w:t>
      </w:r>
      <w:r>
        <w:rPr>
          <w:rFonts w:ascii="Arial" w:cs="Arial" w:eastAsia="Arial" w:hAnsi="Arial"/>
          <w:sz w:val="18"/>
          <w:szCs w:val="18"/>
          <w:i w:val="1"/>
          <w:iCs w:val="1"/>
          <w:color w:val="auto"/>
        </w:rPr>
        <w:t xml:space="preserve">http://www.gaslogmlp.com. </w:t>
      </w:r>
      <w:r>
        <w:rPr>
          <w:rFonts w:ascii="Arial" w:cs="Arial" w:eastAsia="Arial" w:hAnsi="Arial"/>
          <w:sz w:val="18"/>
          <w:szCs w:val="18"/>
          <w:color w:val="auto"/>
        </w:rPr>
        <w:t>Reference to our website is for informational purposes only; our website is not incorporated by reference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 We will also provide a paper copy of any of these documents upon the written request of a unitholder at no cost. Unitholders may direct their requests to the attention of our General Counsel, c/o GasLog LNG Services Ltd., 69 Akti Miaouli, Piraeus, 18537 Greece.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Exemptions from NYSE Corporate Governance Rules</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of directors is not required to be comprised of a majority of independent directors.</w:t>
      </w:r>
    </w:p>
    <w:p>
      <w:pPr>
        <w:spacing w:after="0" w:line="16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 corporate governance committee.</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D.</w:t>
      </w:r>
      <w:r>
        <w:rPr>
          <w:sz w:val="20"/>
          <w:szCs w:val="20"/>
          <w:color w:val="auto"/>
        </w:rPr>
        <w:tab/>
      </w:r>
      <w:r>
        <w:rPr>
          <w:rFonts w:ascii="Arial" w:cs="Arial" w:eastAsia="Arial" w:hAnsi="Arial"/>
          <w:sz w:val="15"/>
          <w:szCs w:val="15"/>
          <w:b w:val="1"/>
          <w:bCs w:val="1"/>
          <w:color w:val="231F20"/>
        </w:rPr>
        <w:t>Employees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We do not directly employ any on-shore or seagoing employees. The services of our executive officers and other employees are provided pursuant to the administrative services agreement, under </w:t>
      </w:r>
      <w:r>
        <w:rPr>
          <w:rFonts w:ascii="Arial" w:cs="Arial" w:eastAsia="Arial" w:hAnsi="Arial"/>
          <w:sz w:val="18"/>
          <w:szCs w:val="18"/>
          <w:color w:val="231F20"/>
        </w:rPr>
        <w:t>which we pay an annual fee. As of December 31, 2021, GasLog</w:t>
      </w:r>
      <w:r>
        <w:rPr>
          <w:rFonts w:ascii="Arial" w:cs="Arial" w:eastAsia="Arial" w:hAnsi="Arial"/>
          <w:sz w:val="18"/>
          <w:szCs w:val="18"/>
          <w:color w:val="auto"/>
        </w:rPr>
        <w:t xml:space="preserve"> </w:t>
      </w:r>
      <w:r>
        <w:rPr>
          <w:rFonts w:ascii="Arial" w:cs="Arial" w:eastAsia="Arial" w:hAnsi="Arial"/>
          <w:sz w:val="18"/>
          <w:szCs w:val="18"/>
          <w:color w:val="231F20"/>
        </w:rPr>
        <w:t>employed (directly and through manning agents) approximately 2,247 seafaring staff who serve on GasLog’s owned and managed vessels (including our fleet) as well as 150 shore-based staff.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9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LNG marine transportation is a specialized area requiring technically skilled officers and personnel with specialized training. We and GasLog regard attracting and retaining motivated, well-qualified seagoing and shore-based personnel as a top priority, and GasLog offers its people competitive compensation packages. As a result, GasLog has historically enjoyed high retention rates. In 2021, GasLog’s retention rate was 95.6% for senior seagoing officers, 96.8% for other seagoing officers and 95.6% for shore staff.</w:t>
      </w:r>
    </w:p>
    <w:p>
      <w:pPr>
        <w:spacing w:after="0" w:line="171"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Although GasLog has historically experienced high employee retention rates, the demand for technically skilled officers and crews to serve on LNG carriers has been increasing as the global fleet of LNG carriers continues to grow. This increased demand has and may continue to put inflationary cost pressure on ensuring qualified and well trained crew are available to GasLog. However, we</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and GasLog expect that the impact of cost increases would be mitigated to some extent by certain provisions in certain of our time charters, including automatic periodic adjustment provisions and cost review provisions.</w:t>
      </w:r>
    </w:p>
    <w:p>
      <w:pPr>
        <w:spacing w:after="0" w:line="170" w:lineRule="exact"/>
        <w:rPr>
          <w:sz w:val="20"/>
          <w:szCs w:val="20"/>
          <w:color w:val="auto"/>
        </w:rPr>
      </w:pPr>
    </w:p>
    <w:p>
      <w:pPr>
        <w:ind w:right="580" w:firstLine="324"/>
        <w:spacing w:after="0" w:line="263" w:lineRule="auto"/>
        <w:rPr>
          <w:sz w:val="20"/>
          <w:szCs w:val="20"/>
          <w:color w:val="auto"/>
        </w:rPr>
      </w:pPr>
      <w:r>
        <w:rPr>
          <w:rFonts w:ascii="Arial" w:cs="Arial" w:eastAsia="Arial" w:hAnsi="Arial"/>
          <w:sz w:val="18"/>
          <w:szCs w:val="18"/>
          <w:color w:val="auto"/>
        </w:rPr>
        <w:t>In addition, the services of our executive officers and other employees are provided pursuant to the administrative services agreement, under which we pay an annual fee. See “Item 7. Major Unitholders and Related Party Transactions—B. Related Party Transactions—Administrative Services Agreement”.</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E.</w:t>
      </w:r>
      <w:r>
        <w:rPr>
          <w:sz w:val="20"/>
          <w:szCs w:val="20"/>
          <w:color w:val="auto"/>
        </w:rPr>
        <w:tab/>
      </w:r>
      <w:r>
        <w:rPr>
          <w:rFonts w:ascii="Arial" w:cs="Arial" w:eastAsia="Arial" w:hAnsi="Arial"/>
          <w:sz w:val="16"/>
          <w:szCs w:val="16"/>
          <w:b w:val="1"/>
          <w:bCs w:val="1"/>
          <w:color w:val="231F20"/>
        </w:rPr>
        <w:t>Share Ownership</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common units beneficially owned by our directors and executive officers and/or entities affiliated with these individuals is disclosed in “Item 7. Major Unitholders and Related Party Transactions—A. Major Unitholders” below. For information regarding arrangements for involving the employees in the capital of the company, see “Item 6. Directors, Senior Management and Employees—B. Compensation of Directors and Senior Management”.</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MAJOR UNITHOLDERS AND RELATED PARTY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31F20"/>
        </w:rPr>
        <w:t>A. Major Unitholders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certain information regarding the beneficial ownership of our outstanding common units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 held by:</w:t>
      </w:r>
    </w:p>
    <w:p>
      <w:pPr>
        <w:spacing w:after="0" w:line="211" w:lineRule="exact"/>
        <w:rPr>
          <w:sz w:val="20"/>
          <w:szCs w:val="20"/>
          <w:color w:val="auto"/>
        </w:rPr>
      </w:pPr>
    </w:p>
    <w:p>
      <w:pPr>
        <w:ind w:left="680" w:hanging="321"/>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231F20"/>
        </w:rPr>
        <w:t>each of our executive officers;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231F20"/>
        </w:rPr>
        <w:t>each of our directors;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231F20"/>
        </w:rPr>
        <w:t>all our directors and officers as a group;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231F20"/>
        </w:rPr>
        <w:t>each holder known to us to beneficially own 5% or more of our units;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Beneficial ownership is determined in accordance with SEC rules. Percentage computations are based on an aggregate of 51,137,201 common units outstanding as of February 24, 2022. Each issued and outstanding common unit entitles the unitholder to one vote. Information for certain holders is based on their latest filings with the SEC or information delivered to us. Except as noted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below, the </w:t>
      </w:r>
      <w:r>
        <w:rPr>
          <w:rFonts w:ascii="Arial" w:cs="Arial" w:eastAsia="Arial" w:hAnsi="Arial"/>
          <w:sz w:val="18"/>
          <w:szCs w:val="18"/>
          <w:color w:val="231F20"/>
        </w:rPr>
        <w:t>address of all unitholders, officers and directors identified in the table and the accompanying footnotes below is in care of our</w:t>
      </w:r>
      <w:r>
        <w:rPr>
          <w:rFonts w:ascii="Arial" w:cs="Arial" w:eastAsia="Arial" w:hAnsi="Arial"/>
          <w:sz w:val="18"/>
          <w:szCs w:val="18"/>
          <w:color w:val="auto"/>
        </w:rPr>
        <w:t xml:space="preserve"> </w:t>
      </w:r>
      <w:r>
        <w:rPr>
          <w:rFonts w:ascii="Arial" w:cs="Arial" w:eastAsia="Arial" w:hAnsi="Arial"/>
          <w:sz w:val="18"/>
          <w:szCs w:val="18"/>
          <w:color w:val="231F20"/>
        </w:rPr>
        <w:t>principal executive offices.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231F20"/>
                <w:w w:val="94"/>
              </w:rPr>
              <w:t>Common Units</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231F20"/>
                <w:w w:val="92"/>
              </w:rPr>
              <w:t>Beneficially</w:t>
            </w:r>
          </w:p>
        </w:tc>
        <w:tc>
          <w:tcPr>
            <w:tcW w:w="0" w:type="dxa"/>
            <w:vAlign w:val="bottom"/>
          </w:tcPr>
          <w:p>
            <w:pPr>
              <w:spacing w:after="0"/>
              <w:rPr>
                <w:sz w:val="1"/>
                <w:szCs w:val="1"/>
                <w:color w:val="auto"/>
              </w:rPr>
            </w:pPr>
          </w:p>
        </w:tc>
      </w:tr>
      <w:tr>
        <w:trPr>
          <w:trHeight w:val="17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14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231F20"/>
                <w:w w:val="94"/>
              </w:rPr>
              <w:t>Owned</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114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officers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Curtis V. Anastasio</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Roland Fisher</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Kristin H. Holth</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Julian R. Metherell</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Achilleas Tasioulas</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Paolo Enoizi</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officers as a group</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5% beneficial owners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line="216" w:lineRule="exact"/>
              <w:rPr>
                <w:sz w:val="20"/>
                <w:szCs w:val="20"/>
                <w:color w:val="auto"/>
              </w:rPr>
            </w:pPr>
            <w:r>
              <w:rPr>
                <w:rFonts w:ascii="Arial" w:cs="Arial" w:eastAsia="Arial" w:hAnsi="Arial"/>
                <w:sz w:val="17"/>
                <w:szCs w:val="17"/>
                <w:color w:val="auto"/>
              </w:rPr>
              <w:t>GasLog Ltd.</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15,206,602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Cobas Asset Management, SGIIC, SA</w:t>
            </w:r>
            <w:r>
              <w:rPr>
                <w:rFonts w:ascii="Arial" w:cs="Arial" w:eastAsia="Arial" w:hAnsi="Arial"/>
                <w:sz w:val="25"/>
                <w:szCs w:val="25"/>
                <w:color w:val="auto"/>
                <w:vertAlign w:val="superscript"/>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4,396,949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353"/>
        </w:trPr>
        <w:tc>
          <w:tcPr>
            <w:tcW w:w="5980" w:type="dxa"/>
            <w:vAlign w:val="bottom"/>
            <w:gridSpan w:val="2"/>
          </w:tcPr>
          <w:p>
            <w:pPr>
              <w:spacing w:after="0"/>
              <w:rPr>
                <w:sz w:val="20"/>
                <w:szCs w:val="20"/>
                <w:color w:val="auto"/>
              </w:rPr>
            </w:pPr>
            <w:r>
              <w:rPr>
                <w:rFonts w:ascii="Arial" w:cs="Arial" w:eastAsia="Arial" w:hAnsi="Arial"/>
                <w:sz w:val="18"/>
                <w:szCs w:val="18"/>
                <w:color w:val="auto"/>
              </w:rPr>
              <w:t>Invesco Ltd.</w:t>
            </w:r>
            <w:r>
              <w:rPr>
                <w:rFonts w:ascii="Arial" w:cs="Arial" w:eastAsia="Arial" w:hAnsi="Arial"/>
                <w:sz w:val="26"/>
                <w:szCs w:val="26"/>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8"/>
                <w:szCs w:val="18"/>
                <w:color w:val="auto"/>
              </w:rPr>
              <w:t>2,365,723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684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45" w:lineRule="exact"/>
        <w:rPr>
          <w:sz w:val="20"/>
          <w:szCs w:val="20"/>
          <w:color w:val="auto"/>
        </w:rPr>
      </w:pPr>
    </w:p>
    <w:p>
      <w:pPr>
        <w:ind w:left="660" w:right="60" w:hanging="652"/>
        <w:spacing w:after="0" w:line="219" w:lineRule="auto"/>
        <w:tabs>
          <w:tab w:leader="none" w:pos="660" w:val="left"/>
        </w:tabs>
        <w:numPr>
          <w:ilvl w:val="0"/>
          <w:numId w:val="64"/>
        </w:numPr>
        <w:rPr>
          <w:rFonts w:ascii="Arial" w:cs="Arial" w:eastAsia="Arial" w:hAnsi="Arial"/>
          <w:sz w:val="27"/>
          <w:szCs w:val="27"/>
          <w:color w:val="231F20"/>
          <w:vertAlign w:val="superscript"/>
        </w:rPr>
      </w:pPr>
      <w:r>
        <w:rPr>
          <w:rFonts w:ascii="Arial" w:cs="Arial" w:eastAsia="Arial" w:hAnsi="Arial"/>
          <w:sz w:val="18"/>
          <w:szCs w:val="18"/>
          <w:color w:val="231F20"/>
        </w:rPr>
        <w:t>GasLog Ltd. is effectively controlled by its chairman, Peter G. Livanos, who is deemed to beneficially own, directly or indirectly, 29.7% of the issued and outstanding common shares of GasLog Ltd. Excludes the 2.0% general partner interest held by our general partner, a wholly owned subsidiary of GasLog Ltd.</w:t>
      </w:r>
    </w:p>
    <w:p>
      <w:pPr>
        <w:spacing w:after="0" w:line="202" w:lineRule="exact"/>
        <w:rPr>
          <w:rFonts w:ascii="Arial" w:cs="Arial" w:eastAsia="Arial" w:hAnsi="Arial"/>
          <w:sz w:val="27"/>
          <w:szCs w:val="27"/>
          <w:color w:val="231F20"/>
          <w:vertAlign w:val="superscript"/>
        </w:rPr>
      </w:pPr>
    </w:p>
    <w:p>
      <w:pPr>
        <w:ind w:left="660" w:right="400" w:hanging="652"/>
        <w:spacing w:after="0" w:line="207" w:lineRule="auto"/>
        <w:tabs>
          <w:tab w:leader="none" w:pos="660" w:val="left"/>
        </w:tabs>
        <w:numPr>
          <w:ilvl w:val="0"/>
          <w:numId w:val="64"/>
        </w:numPr>
        <w:rPr>
          <w:rFonts w:ascii="Arial" w:cs="Arial" w:eastAsia="Arial" w:hAnsi="Arial"/>
          <w:sz w:val="27"/>
          <w:szCs w:val="27"/>
          <w:color w:val="231F20"/>
          <w:vertAlign w:val="superscript"/>
        </w:rPr>
      </w:pPr>
      <w:r>
        <w:rPr>
          <w:rFonts w:ascii="Arial" w:cs="Arial" w:eastAsia="Arial" w:hAnsi="Arial"/>
          <w:sz w:val="18"/>
          <w:szCs w:val="18"/>
          <w:color w:val="231F20"/>
        </w:rPr>
        <w:t>Based on information contained in the Schedule 13G filed with the SEC on February 15, 2022, Cobas Asset Management, SGIIC, SA. has sole voting power over 4,396,949 common units.</w:t>
      </w:r>
    </w:p>
    <w:p>
      <w:pPr>
        <w:spacing w:after="0" w:line="201" w:lineRule="exact"/>
        <w:rPr>
          <w:rFonts w:ascii="Arial" w:cs="Arial" w:eastAsia="Arial" w:hAnsi="Arial"/>
          <w:sz w:val="27"/>
          <w:szCs w:val="27"/>
          <w:color w:val="231F20"/>
          <w:vertAlign w:val="superscript"/>
        </w:rPr>
      </w:pPr>
    </w:p>
    <w:p>
      <w:pPr>
        <w:ind w:left="660" w:right="80" w:hanging="652"/>
        <w:spacing w:after="0" w:line="207" w:lineRule="auto"/>
        <w:tabs>
          <w:tab w:leader="none" w:pos="660" w:val="left"/>
        </w:tabs>
        <w:numPr>
          <w:ilvl w:val="0"/>
          <w:numId w:val="64"/>
        </w:numPr>
        <w:rPr>
          <w:rFonts w:ascii="Arial" w:cs="Arial" w:eastAsia="Arial" w:hAnsi="Arial"/>
          <w:sz w:val="27"/>
          <w:szCs w:val="27"/>
          <w:color w:val="231F20"/>
          <w:vertAlign w:val="superscript"/>
        </w:rPr>
      </w:pPr>
      <w:r>
        <w:rPr>
          <w:rFonts w:ascii="Arial" w:cs="Arial" w:eastAsia="Arial" w:hAnsi="Arial"/>
          <w:sz w:val="18"/>
          <w:szCs w:val="18"/>
          <w:color w:val="231F20"/>
        </w:rPr>
        <w:t>Based on information contained in the Schedule 13G filed with the SEC on April 12, 2021, Invesco Ltd. has sole voting power over 2,365,723 common units.</w:t>
      </w:r>
    </w:p>
    <w:p>
      <w:pPr>
        <w:spacing w:after="0" w:line="202"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231F20"/>
        </w:rPr>
      </w:pPr>
      <w:r>
        <w:rPr>
          <w:rFonts w:ascii="Arial" w:cs="Arial" w:eastAsia="Arial" w:hAnsi="Arial"/>
          <w:sz w:val="18"/>
          <w:szCs w:val="18"/>
          <w:color w:val="231F20"/>
        </w:rPr>
        <w:t>Less than 1%.</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Each outstanding common unit is entitled to one vote on matters subject to a vote of common unitholders. However, to preserve our ability to claim an exemption from U.S. federal income tax under Section 883 of the Code (which we do not expect to qualify for, unless our general partner exercises the “GasLog option” described in “Item 4. Information on the Partnership—B. Business Overview— Taxation of the Partnership—U.S. Taxation of Shipping”), if at any time any person or group owns beneficially more than 4.9% of any class or series of units (other than the Preference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common unitholders in excess of 4.9% will be redistributed pro rata among </w:t>
      </w:r>
      <w:r>
        <w:rPr>
          <w:rFonts w:ascii="Arial" w:cs="Arial" w:eastAsia="Arial" w:hAnsi="Arial"/>
          <w:sz w:val="16"/>
          <w:szCs w:val="16"/>
          <w:color w:val="231F20"/>
        </w:rPr>
        <w:t>the other common</w:t>
      </w:r>
      <w:r>
        <w:rPr>
          <w:rFonts w:ascii="Arial" w:cs="Arial" w:eastAsia="Arial" w:hAnsi="Arial"/>
          <w:sz w:val="16"/>
          <w:szCs w:val="16"/>
          <w:color w:val="auto"/>
        </w:rPr>
        <w:t xml:space="preserve"> </w:t>
      </w:r>
      <w:r>
        <w:rPr>
          <w:rFonts w:ascii="Arial" w:cs="Arial" w:eastAsia="Arial" w:hAnsi="Arial"/>
          <w:sz w:val="16"/>
          <w:szCs w:val="16"/>
          <w:color w:val="231F20"/>
        </w:rPr>
        <w:t>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16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Holders of our Preference Units generally have no voting rights except (i) in respect of amendments to the partnership agreement which would adversely vary the rights of the Preference Units or, (ii) in the event that the Partnership proposes to issue any parity securities if the cumulative distributions payable on issued and outstanding Preference Units are in arrears or (iii) in the event that the Partnership proposes to issue any securities that are senior to the Preference Units.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w:t>
      </w:r>
    </w:p>
    <w:p>
      <w:pPr>
        <w:sectPr>
          <w:pgSz w:w="11900" w:h="16838" w:orient="portrait"/>
          <w:cols w:equalWidth="0" w:num="1">
            <w:col w:w="9860"/>
          </w:cols>
          <w:pgMar w:left="980" w:top="517" w:right="1059"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elect a member of our board of directors will continue until such time as all accumulated and unpaid dividends on the applicable series of Preference Units have been paid in full.</w:t>
      </w:r>
    </w:p>
    <w:p>
      <w:pPr>
        <w:spacing w:after="0" w:line="17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 xml:space="preserve">As a result of its ownership of the general partner, and the fact that the general partner elects the majority of the Partnership’s directors in accordance with the partnership agreement, GasLog has the ability to control the Partnership’s affairs and policies. GasLog will retain the ability to control the Partnership’s affairs and policies through its ownership of the general partner post completion of the Transaction announced by GasLog on February 22, 2021, under which GEPIF will acquire all of the outstanding common shares of GasLog that are not held by the Rolling Shareholders of GasLog in exchange for $5.80 in cash per common share. The Transaction is expected to close in the </w:t>
      </w:r>
      <w:r>
        <w:rPr>
          <w:rFonts w:ascii="Arial" w:cs="Arial" w:eastAsia="Arial" w:hAnsi="Arial"/>
          <w:sz w:val="16"/>
          <w:szCs w:val="16"/>
          <w:color w:val="231F20"/>
        </w:rPr>
        <w:t>second quarter of 2021. See “Item 6. Directors, Senior Management and Employees—C. Board Practices”.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February 24, 2022, we had 3 common unitholders of record located in the United States. One of those shareholders was CEDE</w:t>
      </w:r>
    </w:p>
    <w:p>
      <w:pPr>
        <w:spacing w:after="0" w:line="46" w:lineRule="exact"/>
        <w:rPr>
          <w:sz w:val="20"/>
          <w:szCs w:val="20"/>
          <w:color w:val="auto"/>
        </w:rPr>
      </w:pPr>
    </w:p>
    <w:p>
      <w:pPr>
        <w:ind w:right="180" w:firstLine="8"/>
        <w:spacing w:after="0" w:line="255" w:lineRule="auto"/>
        <w:tabs>
          <w:tab w:leader="none" w:pos="1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 a nominee of The Depository Trust Company, which held in aggregate 35,930,595 common units, representing 70.3% of our outstanding common units and a 66.7% ownership interest in us. We believe that the units held by CEDE &amp; CO. include common units beneficially owned by both holders in the United Sates and non-U.S. beneficial owners.</w:t>
      </w:r>
    </w:p>
    <w:p>
      <w:pPr>
        <w:spacing w:after="0" w:line="18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B.</w:t>
      </w:r>
      <w:r>
        <w:rPr>
          <w:sz w:val="20"/>
          <w:szCs w:val="20"/>
          <w:color w:val="auto"/>
        </w:rPr>
        <w:tab/>
      </w:r>
      <w:r>
        <w:rPr>
          <w:rFonts w:ascii="Arial" w:cs="Arial" w:eastAsia="Arial" w:hAnsi="Arial"/>
          <w:sz w:val="16"/>
          <w:szCs w:val="16"/>
          <w:b w:val="1"/>
          <w:bCs w:val="1"/>
          <w:color w:val="231F20"/>
        </w:rPr>
        <w:t>Related Party Transactions</w:t>
      </w:r>
    </w:p>
    <w:p>
      <w:pPr>
        <w:spacing w:after="0" w:line="229"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From time to time we have entered into agreements and have consummated transactions with certain related parties. We may enter into related party transactions from time to time in the future. The related party transactions that we have entered into or were party to during the year ended December 31, 2021 are discussed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Omnibus Agreement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May 12, 2014, we entered into an omnibus agreement with GasLog, our general partner and certain of our other subsidiaries. The following discussion describes certain provisions of the omnibus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Noncompetition; Five-Year Vessel Restricted Business Opportunities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Under the omnibus agreement, 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a vessel at fair market value. For the purposes of this section, we refer to these vessels, together with any related charters, as “Five Year Vessels” and to all other LNG carriers, together with any related charters, as Non-Five Year Vessels. The restrictions in </w:t>
      </w:r>
      <w:r>
        <w:rPr>
          <w:rFonts w:ascii="Arial" w:cs="Arial" w:eastAsia="Arial" w:hAnsi="Arial"/>
          <w:sz w:val="16"/>
          <w:szCs w:val="16"/>
          <w:color w:val="231F20"/>
        </w:rPr>
        <w:t>this</w:t>
      </w:r>
      <w:r>
        <w:rPr>
          <w:rFonts w:ascii="Arial" w:cs="Arial" w:eastAsia="Arial" w:hAnsi="Arial"/>
          <w:sz w:val="16"/>
          <w:szCs w:val="16"/>
          <w:color w:val="auto"/>
        </w:rPr>
        <w:t xml:space="preserve"> </w:t>
      </w:r>
      <w:r>
        <w:rPr>
          <w:rFonts w:ascii="Arial" w:cs="Arial" w:eastAsia="Arial" w:hAnsi="Arial"/>
          <w:sz w:val="16"/>
          <w:szCs w:val="16"/>
          <w:color w:val="231F20"/>
        </w:rPr>
        <w:t>paragraph will not prevent GasLog or any of its controlled affiliates (other than us and our subsidiaries) from:</w:t>
      </w:r>
    </w:p>
    <w:p>
      <w:pPr>
        <w:spacing w:after="0" w:line="166" w:lineRule="exact"/>
        <w:rPr>
          <w:sz w:val="20"/>
          <w:szCs w:val="20"/>
          <w:color w:val="auto"/>
        </w:rPr>
      </w:pPr>
    </w:p>
    <w:p>
      <w:pPr>
        <w:ind w:left="680" w:hanging="321"/>
        <w:spacing w:after="0"/>
        <w:tabs>
          <w:tab w:leader="none" w:pos="68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acquiring, owning, operating or chartering Non-Five-Year Vessels;</w:t>
      </w:r>
    </w:p>
    <w:p>
      <w:pPr>
        <w:spacing w:after="0" w:line="225" w:lineRule="exact"/>
        <w:rPr>
          <w:rFonts w:ascii="Arial" w:cs="Arial" w:eastAsia="Arial" w:hAnsi="Arial"/>
          <w:sz w:val="18"/>
          <w:szCs w:val="18"/>
          <w:color w:val="231F20"/>
        </w:rPr>
      </w:pPr>
    </w:p>
    <w:p>
      <w:pPr>
        <w:ind w:left="680" w:right="340" w:hanging="321"/>
        <w:spacing w:after="0" w:line="263" w:lineRule="auto"/>
        <w:tabs>
          <w:tab w:leader="none" w:pos="68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acquiring one or more Five-Year Vessels if GasLog promptly offers to sell the vessel to us for the acquisition price plus any administrative costs (including re-flagging and reasonable legal costs) associated with the transfer to us at the time of the acquisition;</w:t>
      </w:r>
    </w:p>
    <w:p>
      <w:pPr>
        <w:spacing w:after="0" w:line="183" w:lineRule="exact"/>
        <w:rPr>
          <w:rFonts w:ascii="Arial" w:cs="Arial" w:eastAsia="Arial" w:hAnsi="Arial"/>
          <w:sz w:val="18"/>
          <w:szCs w:val="18"/>
          <w:color w:val="231F20"/>
        </w:rPr>
      </w:pPr>
    </w:p>
    <w:p>
      <w:pPr>
        <w:jc w:val="both"/>
        <w:ind w:left="680" w:hanging="321"/>
        <w:spacing w:after="0" w:line="263" w:lineRule="auto"/>
        <w:tabs>
          <w:tab w:leader="none" w:pos="68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putting a Non-Five-Year Vessel under charter for five full years or more if GasLog offers to sell the vessel to us for fair market value (x) promptly after the time it becomes a Five-Year Vessel and (y) at each renewal or extension of that charter for five full years or more;</w:t>
      </w:r>
    </w:p>
    <w:p>
      <w:pPr>
        <w:spacing w:after="0" w:line="183" w:lineRule="exact"/>
        <w:rPr>
          <w:rFonts w:ascii="Arial" w:cs="Arial" w:eastAsia="Arial" w:hAnsi="Arial"/>
          <w:sz w:val="18"/>
          <w:szCs w:val="18"/>
          <w:color w:val="231F20"/>
        </w:rPr>
      </w:pPr>
    </w:p>
    <w:p>
      <w:pPr>
        <w:ind w:left="680" w:right="20" w:hanging="321"/>
        <w:spacing w:after="0" w:line="277" w:lineRule="auto"/>
        <w:tabs>
          <w:tab w:leader="none" w:pos="68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acquiring one or more Five-Year Vessels as part of the acquisition of a controlling interest in a business or package of assets and owning, operating or chartering those vessels; provided, however, that:</w:t>
      </w:r>
    </w:p>
    <w:p>
      <w:pPr>
        <w:spacing w:after="0" w:line="170" w:lineRule="exact"/>
        <w:rPr>
          <w:rFonts w:ascii="Arial" w:cs="Arial" w:eastAsia="Arial" w:hAnsi="Arial"/>
          <w:sz w:val="18"/>
          <w:szCs w:val="18"/>
          <w:color w:val="231F20"/>
        </w:rPr>
      </w:pPr>
    </w:p>
    <w:p>
      <w:pPr>
        <w:ind w:left="1000" w:right="80" w:hanging="317"/>
        <w:spacing w:after="0" w:line="259" w:lineRule="auto"/>
        <w:tabs>
          <w:tab w:leader="none" w:pos="1000" w:val="left"/>
        </w:tabs>
        <w:numPr>
          <w:ilvl w:val="1"/>
          <w:numId w:val="67"/>
        </w:numPr>
        <w:rPr>
          <w:rFonts w:ascii="Arial" w:cs="Arial" w:eastAsia="Arial" w:hAnsi="Arial"/>
          <w:sz w:val="18"/>
          <w:szCs w:val="18"/>
          <w:color w:val="231F20"/>
        </w:rPr>
      </w:pPr>
      <w:r>
        <w:rPr>
          <w:rFonts w:ascii="Arial" w:cs="Arial" w:eastAsia="Arial" w:hAnsi="Arial"/>
          <w:sz w:val="18"/>
          <w:szCs w:val="18"/>
          <w:color w:val="231F20"/>
        </w:rPr>
        <w:t>if less than a majority of the value of the business or assets acquired is attributable to Five-Year Vessels, as determined in good faith by GasLog’s board of directors, GasLog must offer to sell such vessels to us for their fair market value plus any additional tax or other similar costs that GasLog incurs in connection with the acquisition and the transfer of such vessels to us separate from the acquired business;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5" w:lineRule="auto"/>
        <w:tabs>
          <w:tab w:leader="none" w:pos="1000" w:val="left"/>
        </w:tabs>
        <w:numPr>
          <w:ilvl w:val="1"/>
          <w:numId w:val="68"/>
        </w:numPr>
        <w:rPr>
          <w:rFonts w:ascii="Arial" w:cs="Arial" w:eastAsia="Arial" w:hAnsi="Arial"/>
          <w:sz w:val="16"/>
          <w:szCs w:val="16"/>
          <w:color w:val="231F20"/>
        </w:rPr>
      </w:pPr>
      <w:r>
        <w:rPr>
          <w:rFonts w:ascii="Arial" w:cs="Arial" w:eastAsia="Arial" w:hAnsi="Arial"/>
          <w:sz w:val="16"/>
          <w:szCs w:val="16"/>
          <w:color w:val="231F20"/>
        </w:rPr>
        <w:t>if a majority or more of the value of the business or assets acquired is attributable to Five-Year Vessels, as determined in good faith by GasLog’s board of directors, GasLog must notify us of the proposed acquisition in advance. Not later than 30 days following receipt of such notice, we will notify GasLog if we wish to acquire such vessels in cooperation and simultaneously with GasLog acquiring the Non-Five-Year Vessels. If we do not notify GasLog of our intent to pursue the acquisition within 30 days, GasLog may proceed with the acquisition and then offer to sell such vessels to us as provided in</w:t>
      </w:r>
    </w:p>
    <w:p>
      <w:pPr>
        <w:spacing w:after="0" w:line="1" w:lineRule="exact"/>
        <w:rPr>
          <w:rFonts w:ascii="Arial" w:cs="Arial" w:eastAsia="Arial" w:hAnsi="Arial"/>
          <w:sz w:val="16"/>
          <w:szCs w:val="16"/>
          <w:color w:val="231F20"/>
        </w:rPr>
      </w:pPr>
    </w:p>
    <w:p>
      <w:pPr>
        <w:ind w:left="1000"/>
        <w:spacing w:after="0"/>
        <w:rPr>
          <w:rFonts w:ascii="Arial" w:cs="Arial" w:eastAsia="Arial" w:hAnsi="Arial"/>
          <w:sz w:val="16"/>
          <w:szCs w:val="16"/>
          <w:color w:val="231F20"/>
        </w:rPr>
      </w:pPr>
      <w:r>
        <w:rPr>
          <w:rFonts w:ascii="Arial" w:cs="Arial" w:eastAsia="Arial" w:hAnsi="Arial"/>
          <w:sz w:val="18"/>
          <w:szCs w:val="18"/>
          <w:color w:val="231F20"/>
        </w:rPr>
        <w:t>(a) above;</w:t>
      </w:r>
    </w:p>
    <w:p>
      <w:pPr>
        <w:spacing w:after="0" w:line="210" w:lineRule="exact"/>
        <w:rPr>
          <w:rFonts w:ascii="Arial" w:cs="Arial" w:eastAsia="Arial" w:hAnsi="Arial"/>
          <w:sz w:val="16"/>
          <w:szCs w:val="16"/>
          <w:color w:val="231F20"/>
        </w:rPr>
      </w:pPr>
    </w:p>
    <w:p>
      <w:pPr>
        <w:ind w:left="680" w:hanging="321"/>
        <w:spacing w:after="0"/>
        <w:tabs>
          <w:tab w:leader="none" w:pos="680" w:val="left"/>
        </w:tabs>
        <w:numPr>
          <w:ilvl w:val="0"/>
          <w:numId w:val="69"/>
        </w:numPr>
        <w:rPr>
          <w:rFonts w:ascii="Arial" w:cs="Arial" w:eastAsia="Arial" w:hAnsi="Arial"/>
          <w:sz w:val="16"/>
          <w:szCs w:val="16"/>
          <w:color w:val="231F20"/>
        </w:rPr>
      </w:pPr>
      <w:r>
        <w:rPr>
          <w:rFonts w:ascii="Arial" w:cs="Arial" w:eastAsia="Arial" w:hAnsi="Arial"/>
          <w:sz w:val="16"/>
          <w:szCs w:val="16"/>
          <w:color w:val="231F20"/>
        </w:rPr>
        <w:t>acquiring a non-controlling equity ownership, voting or profit participation interest in any company, business or pool of assets;</w:t>
      </w:r>
    </w:p>
    <w:p>
      <w:pPr>
        <w:spacing w:after="0" w:line="248" w:lineRule="exact"/>
        <w:rPr>
          <w:rFonts w:ascii="Arial" w:cs="Arial" w:eastAsia="Arial" w:hAnsi="Arial"/>
          <w:sz w:val="16"/>
          <w:szCs w:val="16"/>
          <w:color w:val="231F20"/>
        </w:rPr>
      </w:pPr>
    </w:p>
    <w:p>
      <w:pPr>
        <w:ind w:left="680" w:right="280" w:hanging="321"/>
        <w:spacing w:after="0" w:line="277" w:lineRule="auto"/>
        <w:tabs>
          <w:tab w:leader="none" w:pos="68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acquiring, owning, operating or chartering any Five-Year Vessel if we do not fulfill our obligation to purchase such vessel in accordance with the terms of any existing or future agreement;</w:t>
      </w:r>
    </w:p>
    <w:p>
      <w:pPr>
        <w:spacing w:after="0" w:line="170" w:lineRule="exact"/>
        <w:rPr>
          <w:rFonts w:ascii="Arial" w:cs="Arial" w:eastAsia="Arial" w:hAnsi="Arial"/>
          <w:sz w:val="18"/>
          <w:szCs w:val="18"/>
          <w:color w:val="231F20"/>
        </w:rPr>
      </w:pPr>
    </w:p>
    <w:p>
      <w:pPr>
        <w:ind w:left="680" w:right="80" w:hanging="321"/>
        <w:spacing w:after="0" w:line="308" w:lineRule="auto"/>
        <w:tabs>
          <w:tab w:leader="none" w:pos="680" w:val="left"/>
        </w:tabs>
        <w:numPr>
          <w:ilvl w:val="0"/>
          <w:numId w:val="69"/>
        </w:numPr>
        <w:rPr>
          <w:rFonts w:ascii="Arial" w:cs="Arial" w:eastAsia="Arial" w:hAnsi="Arial"/>
          <w:sz w:val="17"/>
          <w:szCs w:val="17"/>
          <w:color w:val="231F20"/>
        </w:rPr>
      </w:pPr>
      <w:r>
        <w:rPr>
          <w:rFonts w:ascii="Arial" w:cs="Arial" w:eastAsia="Arial" w:hAnsi="Arial"/>
          <w:sz w:val="17"/>
          <w:szCs w:val="17"/>
          <w:color w:val="231F20"/>
        </w:rPr>
        <w:t>acquiring, owning, operating or chartering a Five-Year Vessel subject to the offers to us described in paragraphs (2), (3) and (4) above pending our determination whether to accept such offers and pending the closing of any offers we accept;</w:t>
      </w:r>
    </w:p>
    <w:p>
      <w:pPr>
        <w:spacing w:after="0" w:line="146" w:lineRule="exact"/>
        <w:rPr>
          <w:rFonts w:ascii="Arial" w:cs="Arial" w:eastAsia="Arial" w:hAnsi="Arial"/>
          <w:sz w:val="17"/>
          <w:szCs w:val="17"/>
          <w:color w:val="231F20"/>
        </w:rPr>
      </w:pPr>
    </w:p>
    <w:p>
      <w:pPr>
        <w:ind w:left="680" w:hanging="321"/>
        <w:spacing w:after="0"/>
        <w:tabs>
          <w:tab w:leader="none" w:pos="68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providing ship management services relating to any vessel;</w:t>
      </w:r>
    </w:p>
    <w:p>
      <w:pPr>
        <w:spacing w:after="0" w:line="225" w:lineRule="exact"/>
        <w:rPr>
          <w:rFonts w:ascii="Arial" w:cs="Arial" w:eastAsia="Arial" w:hAnsi="Arial"/>
          <w:sz w:val="18"/>
          <w:szCs w:val="18"/>
          <w:color w:val="231F20"/>
        </w:rPr>
      </w:pPr>
    </w:p>
    <w:p>
      <w:pPr>
        <w:ind w:left="680" w:right="180" w:hanging="321"/>
        <w:spacing w:after="0" w:line="277" w:lineRule="auto"/>
        <w:tabs>
          <w:tab w:leader="none" w:pos="68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owning or operating any Five-Year Vessel that GasLog owned on the closing date of the IPO and that was not part of our fleet as of such date; or</w:t>
      </w:r>
    </w:p>
    <w:p>
      <w:pPr>
        <w:spacing w:after="0" w:line="170" w:lineRule="exact"/>
        <w:rPr>
          <w:rFonts w:ascii="Arial" w:cs="Arial" w:eastAsia="Arial" w:hAnsi="Arial"/>
          <w:sz w:val="18"/>
          <w:szCs w:val="18"/>
          <w:color w:val="231F20"/>
        </w:rPr>
      </w:pPr>
    </w:p>
    <w:p>
      <w:pPr>
        <w:ind w:left="680" w:right="280" w:hanging="321"/>
        <w:spacing w:after="0" w:line="277" w:lineRule="auto"/>
        <w:tabs>
          <w:tab w:leader="none" w:pos="68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acquiring, owning, operating or chartering a Five-Year Vessel if we have previously advised GasLog that we consent to such acquisition, ownership, operation or charter.</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GasLog or any of its controlled affiliates (other than us, our general partner or our subsidiaries) acquires, owns, operates or charters Five-Year Vessels pursuant to any of the exceptions described above, it may not subsequently expand that portion of its business other than pursuant to those exceptions. However, such Five-Year Vessels could eventually compete with our vessels upon their re-chartering.</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addition, under the omnibus agreement we have agreed, and have caused our subsidiaries to agree, to acquire, own, operate or charter Five-Year Vessels only. The restrictions in this paragraph will not:</w:t>
      </w:r>
    </w:p>
    <w:p>
      <w:pPr>
        <w:spacing w:after="0" w:line="170" w:lineRule="exact"/>
        <w:rPr>
          <w:sz w:val="20"/>
          <w:szCs w:val="20"/>
          <w:color w:val="auto"/>
        </w:rPr>
      </w:pPr>
    </w:p>
    <w:p>
      <w:pPr>
        <w:ind w:left="680" w:right="400" w:hanging="321"/>
        <w:spacing w:after="0" w:line="277" w:lineRule="auto"/>
        <w:tabs>
          <w:tab w:leader="none" w:pos="68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prevent us or any of our subsidiaries from owning, operating or chartering any Non-Five-Year Vessel that was previously a Five-Year Vessel while owned by us or any of our subsidiaries;</w:t>
      </w:r>
    </w:p>
    <w:p>
      <w:pPr>
        <w:spacing w:after="0" w:line="170" w:lineRule="exact"/>
        <w:rPr>
          <w:rFonts w:ascii="Arial" w:cs="Arial" w:eastAsia="Arial" w:hAnsi="Arial"/>
          <w:sz w:val="18"/>
          <w:szCs w:val="18"/>
          <w:color w:val="231F20"/>
        </w:rPr>
      </w:pPr>
    </w:p>
    <w:p>
      <w:pPr>
        <w:ind w:left="680" w:right="80" w:hanging="321"/>
        <w:spacing w:after="0" w:line="308" w:lineRule="auto"/>
        <w:tabs>
          <w:tab w:leader="none" w:pos="680" w:val="left"/>
        </w:tabs>
        <w:numPr>
          <w:ilvl w:val="0"/>
          <w:numId w:val="70"/>
        </w:numPr>
        <w:rPr>
          <w:rFonts w:ascii="Arial" w:cs="Arial" w:eastAsia="Arial" w:hAnsi="Arial"/>
          <w:sz w:val="17"/>
          <w:szCs w:val="17"/>
          <w:color w:val="231F20"/>
        </w:rPr>
      </w:pPr>
      <w:r>
        <w:rPr>
          <w:rFonts w:ascii="Arial" w:cs="Arial" w:eastAsia="Arial" w:hAnsi="Arial"/>
          <w:sz w:val="17"/>
          <w:szCs w:val="17"/>
          <w:color w:val="231F20"/>
        </w:rPr>
        <w:t>prevent us or any of our subsidiaries from acquiring Non-Five-Year Vessels as part of the acquisition of a controlling interest in a business or package of assets and owning, operating or chartering those vessels; provided, however, that:</w:t>
      </w:r>
    </w:p>
    <w:p>
      <w:pPr>
        <w:spacing w:after="0" w:line="146" w:lineRule="exact"/>
        <w:rPr>
          <w:rFonts w:ascii="Arial" w:cs="Arial" w:eastAsia="Arial" w:hAnsi="Arial"/>
          <w:sz w:val="17"/>
          <w:szCs w:val="17"/>
          <w:color w:val="231F20"/>
        </w:rPr>
      </w:pPr>
    </w:p>
    <w:p>
      <w:pPr>
        <w:ind w:left="1000" w:right="20" w:hanging="317"/>
        <w:spacing w:after="0" w:line="259" w:lineRule="auto"/>
        <w:tabs>
          <w:tab w:leader="none" w:pos="1000" w:val="left"/>
        </w:tabs>
        <w:numPr>
          <w:ilvl w:val="1"/>
          <w:numId w:val="70"/>
        </w:numPr>
        <w:rPr>
          <w:rFonts w:ascii="Arial" w:cs="Arial" w:eastAsia="Arial" w:hAnsi="Arial"/>
          <w:sz w:val="18"/>
          <w:szCs w:val="18"/>
          <w:color w:val="231F20"/>
        </w:rPr>
      </w:pPr>
      <w:r>
        <w:rPr>
          <w:rFonts w:ascii="Arial" w:cs="Arial" w:eastAsia="Arial" w:hAnsi="Arial"/>
          <w:sz w:val="18"/>
          <w:szCs w:val="18"/>
          <w:color w:val="231F20"/>
        </w:rPr>
        <w:t>if less than a majority of the value of the business or assets acquired is attributable to Non-Five-Year Vessels, as determined in good faith by us, we must offer to sell such vessels to GasLog for their fair market value plus any additional tax or other similar costs that we incur in connection with the acquisition and the transfer of such vessels to GasLog separate from the acquired business; and</w:t>
      </w:r>
    </w:p>
    <w:p>
      <w:pPr>
        <w:spacing w:after="0" w:line="186" w:lineRule="exact"/>
        <w:rPr>
          <w:rFonts w:ascii="Arial" w:cs="Arial" w:eastAsia="Arial" w:hAnsi="Arial"/>
          <w:sz w:val="18"/>
          <w:szCs w:val="18"/>
          <w:color w:val="231F20"/>
        </w:rPr>
      </w:pPr>
    </w:p>
    <w:p>
      <w:pPr>
        <w:ind w:left="1000" w:hanging="317"/>
        <w:spacing w:after="0" w:line="296" w:lineRule="auto"/>
        <w:tabs>
          <w:tab w:leader="none" w:pos="1000" w:val="left"/>
        </w:tabs>
        <w:numPr>
          <w:ilvl w:val="1"/>
          <w:numId w:val="70"/>
        </w:numPr>
        <w:rPr>
          <w:rFonts w:ascii="Arial" w:cs="Arial" w:eastAsia="Arial" w:hAnsi="Arial"/>
          <w:sz w:val="16"/>
          <w:szCs w:val="16"/>
          <w:color w:val="231F20"/>
        </w:rPr>
      </w:pPr>
      <w:r>
        <w:rPr>
          <w:rFonts w:ascii="Arial" w:cs="Arial" w:eastAsia="Arial" w:hAnsi="Arial"/>
          <w:sz w:val="16"/>
          <w:szCs w:val="16"/>
          <w:color w:val="231F20"/>
        </w:rPr>
        <w:t>if a majority or more of the value of the business or assets acquired is attributable to Non-Five-Year Vessels, as determined in good faith by us, we must notify GasLog of the proposed acquisition in advance. Not later than 30 days following receipt of such notice, GasLog must notify us if it wishes to acquire the Non-Five-Year Vessels in cooperation and simultaneously with us acquiring the Five-Year Vessels. If GasLog does not notify us of its intent to pursue the acquisition within 30 days, we may proceed with the acquisition and then offer to sell such vessels to GasLog as provided in (a) above;</w:t>
      </w:r>
    </w:p>
    <w:p>
      <w:pPr>
        <w:spacing w:after="0" w:line="161" w:lineRule="exact"/>
        <w:rPr>
          <w:rFonts w:ascii="Arial" w:cs="Arial" w:eastAsia="Arial" w:hAnsi="Arial"/>
          <w:sz w:val="16"/>
          <w:szCs w:val="16"/>
          <w:color w:val="231F20"/>
        </w:rPr>
      </w:pPr>
    </w:p>
    <w:p>
      <w:pPr>
        <w:ind w:left="680" w:right="120" w:hanging="321"/>
        <w:spacing w:after="0" w:line="263" w:lineRule="auto"/>
        <w:tabs>
          <w:tab w:leader="none" w:pos="68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prevent us or any of our subsidiaries from acquiring, owning, operating or chartering any Non-Five-Year Vessels subject to the offer to GasLog described in paragraph (2) above, pending its determination whether to accept such offer and pending the closing of any offer it accepts; or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380" w:hanging="321"/>
        <w:spacing w:after="0" w:line="277" w:lineRule="auto"/>
        <w:tabs>
          <w:tab w:leader="none" w:pos="680" w:val="left"/>
        </w:tabs>
        <w:numPr>
          <w:ilvl w:val="0"/>
          <w:numId w:val="71"/>
        </w:numPr>
        <w:rPr>
          <w:rFonts w:ascii="Arial" w:cs="Arial" w:eastAsia="Arial" w:hAnsi="Arial"/>
          <w:sz w:val="18"/>
          <w:szCs w:val="18"/>
          <w:color w:val="231F20"/>
        </w:rPr>
      </w:pPr>
      <w:r>
        <w:rPr>
          <w:rFonts w:ascii="Arial" w:cs="Arial" w:eastAsia="Arial" w:hAnsi="Arial"/>
          <w:sz w:val="18"/>
          <w:szCs w:val="18"/>
          <w:color w:val="231F20"/>
        </w:rPr>
        <w:t>prevent us or any of our subsidiaries from acquiring, owning, operating or chartering Non-Five-Year Vessels if GasLog has previously advised us that it consents to such acquisition, ownership, operation or charter.</w:t>
      </w:r>
    </w:p>
    <w:p>
      <w:pPr>
        <w:spacing w:after="0" w:line="170"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If we or any of our subsidiaries acquires, owns, operates or charters Non-Five-Year Vessels pursuant to any of the exceptions described above, neither we nor such subsidiary may subsequently expand that portion of our business other than pursuant to those exceptions.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During the 30-day period after GasLog’s notice and offer of an opportunity to purchase a Five-Year Vessel, we and GasLog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we will have the option, but not the obligation, to purchase the relevant vessel on such terms. Our ability to consummate the acquisition of such Five-Year Vessel from GasLog will be subject to obtaining any consents of governmental authorities and other non-affiliated third parties and to all agreements existing with respect to such Five-Year Vessel. See “Item 3. Key Information—D. Risk Factors—Risks Inherent in Our Business—We may have difficulty obtaining consents that are necessary to acquire vessels with an existing charter or a financing agreement”. Under the omnibus agreement, GasLog will indemnify the Partnership against losses arising from the failure to obtain any consent or governmental permit necessary to own or operate the fleet in substantially the same manner that the vessels were owned and operated by GasLog immediately prior to the Partnership’s acquisition of such vessels. See “— Indemnification”.</w:t>
      </w:r>
    </w:p>
    <w:p>
      <w:pPr>
        <w:spacing w:after="0" w:line="17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 xml:space="preserve">Upon a change of control of us or our general partner, the non-competition provisions of the omnibus agreement will terminate immediately. Upon a change of control of GasLog, the </w:t>
      </w:r>
      <w:r>
        <w:rPr>
          <w:rFonts w:ascii="Arial" w:cs="Arial" w:eastAsia="Arial" w:hAnsi="Arial"/>
          <w:sz w:val="17"/>
          <w:szCs w:val="17"/>
          <w:color w:val="231F20"/>
        </w:rPr>
        <w:t>non-competition provisions of the omnibus agreement applicable to GasLog will</w:t>
      </w:r>
      <w:r>
        <w:rPr>
          <w:rFonts w:ascii="Arial" w:cs="Arial" w:eastAsia="Arial" w:hAnsi="Arial"/>
          <w:sz w:val="17"/>
          <w:szCs w:val="17"/>
          <w:color w:val="auto"/>
        </w:rPr>
        <w:t xml:space="preserve"> </w:t>
      </w:r>
      <w:r>
        <w:rPr>
          <w:rFonts w:ascii="Arial" w:cs="Arial" w:eastAsia="Arial" w:hAnsi="Arial"/>
          <w:sz w:val="17"/>
          <w:szCs w:val="17"/>
          <w:color w:val="231F20"/>
        </w:rPr>
        <w:t>terminate at the time of the change of control. On the date on which a majority of our directors ceases to consist of directors that were (1) appointed by our general partner prior to our first annual meeting of unitholders and (2) recommended for election by a majority of our appointed directors, the non-competition provisions applicable to GasLog shall terminate immediately.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LNG Carrier Purchase Options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 xml:space="preserve">If we and GasLog are unable to agree upon the fair market value of any of these optional vessels, the respective fair market values will be determined by a mutually acceptable investment banking firm, ship broker or other expert advisor, and we will have the right, but not the obligation, to purchase the vessel at such price. Our ability to consummate the acquisition of such vessels from GasLog will be subject to obtaining any consents of governmental authorities and other non-affiliated third parties and to all agreements existing as of the closing date in respect of such vessels. See “Item 3. Key </w:t>
      </w:r>
      <w:r>
        <w:rPr>
          <w:rFonts w:ascii="Arial" w:cs="Arial" w:eastAsia="Arial" w:hAnsi="Arial"/>
          <w:sz w:val="16"/>
          <w:szCs w:val="16"/>
          <w:color w:val="231F20"/>
        </w:rPr>
        <w:t>Information—D. Risk Factors—Risks Inherent in Our Business—We may</w:t>
      </w:r>
      <w:r>
        <w:rPr>
          <w:rFonts w:ascii="Arial" w:cs="Arial" w:eastAsia="Arial" w:hAnsi="Arial"/>
          <w:sz w:val="16"/>
          <w:szCs w:val="16"/>
          <w:color w:val="auto"/>
        </w:rPr>
        <w:t xml:space="preserve"> </w:t>
      </w:r>
      <w:r>
        <w:rPr>
          <w:rFonts w:ascii="Arial" w:cs="Arial" w:eastAsia="Arial" w:hAnsi="Arial"/>
          <w:sz w:val="16"/>
          <w:szCs w:val="16"/>
          <w:color w:val="231F20"/>
        </w:rPr>
        <w:t>have difficulty obtaining consents that are necessary to acquire vessels with an existing charter or a financing agreement”.</w:t>
      </w:r>
    </w:p>
    <w:p>
      <w:pPr>
        <w:spacing w:after="0" w:line="16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On the date on which a majority of our directors ceases to consist of directors that were (1) appointed by our general partner prior to our first annual meeting of unitholders and (2) recommended for election by a majority of our appointed directors, the LNG carrier purchase options shall terminate immediately.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Rights of First Offer</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omnibus agreement, we and our subsidiaries have granted to GasLog a right of first offer on any proposed sale, transfer or other disposition of any Five-Year Vessels or Non-Five-Year Vessels owned by us. Under the omnibus agreement, GasLog has agreed (and has caused its subsidiaries to agree) to grant a similar right of first offer to us for any Five-Year Vessels they might own. These rights of first offer will not apply to a (1) sale, transfer or other disposition of vessels between any affiliated subsidiaries or pursuant to the terms of any current or future charter or other agreement with a charter party or (2) merger with or into, or sale of substantially all of the assets to, an unaffiliated third party.</w:t>
      </w:r>
    </w:p>
    <w:p>
      <w:pPr>
        <w:spacing w:after="0" w:line="19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Prior to engaging in any negotiation regarding any vessel disposition with respect to a Five-Year Vessel with an unaffiliated third party or any Non-Five-Year Vessel, we or GasLog, as the case may be, will deliver a written notice to the other relevant party setting forth the material terms and conditions of the proposed transaction. During the 30-day period after the delivery of such notice, we and GasLog, as the case may be, will negotiate in good faith to reach an agreement on the transaction. If we do not reach an agreement within such 30-day period, we or GasLog, as the case may be, will be able within the next 180 calendar days to sell, transfer, dispose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or re-charter the vessel to a third party (or to agree in writing to undertake such transaction with a third party) on terms generally no less favorable to us or GasLog, as the case may be, than those offered pursuant to the written notice. Our ability to consummate the acquisition of such Five-Year Vessel from GasLog will be subject to obtaining any consents of governmental authorities and other non-affiliated third parties and to all agreements existing in respect of such Five-Year Vessel. See “Item 3. Key Information—D. Risk Factors —Risks Inherent in Our Business—We may have difficulty obtaining consents that are necessary to acquire vessels with an existing charter or a financing agreement”.</w:t>
      </w:r>
    </w:p>
    <w:p>
      <w:pPr>
        <w:spacing w:after="0" w:line="19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 xml:space="preserve">Upon a change of control of us or our general partner, the right of first offer provisions of the omnibus agreement will terminate immediately. Upon a change of control of GasLog, the right of first offer provisions applicable to GasLog under the omnibus agreement will terminate at the time of the change of control. On the date on which a majority of our directors ceases to consist of directors that were (1) appointed by our general partner prior to our first annual meeting of unitholders and </w:t>
      </w:r>
      <w:r>
        <w:rPr>
          <w:rFonts w:ascii="Arial" w:cs="Arial" w:eastAsia="Arial" w:hAnsi="Arial"/>
          <w:sz w:val="16"/>
          <w:szCs w:val="16"/>
          <w:color w:val="231F20"/>
        </w:rPr>
        <w:t>(2) recommended for election by a majority</w:t>
      </w:r>
      <w:r>
        <w:rPr>
          <w:rFonts w:ascii="Arial" w:cs="Arial" w:eastAsia="Arial" w:hAnsi="Arial"/>
          <w:sz w:val="16"/>
          <w:szCs w:val="16"/>
          <w:color w:val="auto"/>
        </w:rPr>
        <w:t xml:space="preserve"> </w:t>
      </w:r>
      <w:r>
        <w:rPr>
          <w:rFonts w:ascii="Arial" w:cs="Arial" w:eastAsia="Arial" w:hAnsi="Arial"/>
          <w:sz w:val="16"/>
          <w:szCs w:val="16"/>
          <w:color w:val="231F20"/>
        </w:rPr>
        <w:t>of our appointed directors, the provisions related to the rights of first offer granted to us by GasLog shall terminate immediately.</w:t>
      </w:r>
    </w:p>
    <w:p>
      <w:pPr>
        <w:spacing w:after="0" w:line="16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Securities Exchange Act of 1934, or the “Exchange Act”), other than GasLog or its affiliates with respect to the general partner, being or becoming the “beneficial owner” (as defined in Rules 13d-3 and 13d-5 under the Exchange Act) of more than 50% of all of the then outstanding voting securities of the applicable person, except in a merger or consolidation which would not constitute a change of control under clause (b) above</w:t>
      </w:r>
      <w:r>
        <w:rPr>
          <w:rFonts w:ascii="Arial" w:cs="Arial" w:eastAsia="Arial" w:hAnsi="Arial"/>
          <w:sz w:val="16"/>
          <w:szCs w:val="16"/>
          <w:color w:val="231F20"/>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Indemnification</w:t>
      </w:r>
    </w:p>
    <w:p>
      <w:pPr>
        <w:spacing w:after="0" w:line="225"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Under the omnibus agreement, GasLog undertook to indemnify us after the closing of the IPO for a period of five years and to indemnify us for a period of at least three years after our purchase of any vessels subject to purchase options, against certain environmental and toxic tort liabilities with respect to the vessels that are contributed or sold to us to the extent arising prior to the time they were contributed or sold to us. Liabilities resulting from a change in law after the closing of the IPO are excluded from the environmental indemnity. There is an aggregate cap of $5 million on the amount of indemnity coverage provided by GasLog for environmental and toxic tort liabilities. No claim may be made unless the aggregate dollar amount of all claims exceeds $500,000, in which case GasLog is liable for claims only to the extent such aggregate amount exceeds $500,000.</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GasLog will also indemnify us for liabilities related to:</w:t>
      </w:r>
    </w:p>
    <w:p>
      <w:pPr>
        <w:spacing w:after="0" w:line="225" w:lineRule="exact"/>
        <w:rPr>
          <w:sz w:val="20"/>
          <w:szCs w:val="20"/>
          <w:color w:val="auto"/>
        </w:rPr>
      </w:pPr>
    </w:p>
    <w:p>
      <w:pPr>
        <w:ind w:left="680" w:hanging="321"/>
        <w:spacing w:after="0" w:line="308" w:lineRule="auto"/>
        <w:tabs>
          <w:tab w:leader="none" w:pos="680" w:val="left"/>
        </w:tabs>
        <w:numPr>
          <w:ilvl w:val="0"/>
          <w:numId w:val="72"/>
        </w:numPr>
        <w:rPr>
          <w:rFonts w:ascii="Arial" w:cs="Arial" w:eastAsia="Arial" w:hAnsi="Arial"/>
          <w:sz w:val="17"/>
          <w:szCs w:val="17"/>
          <w:color w:val="auto"/>
        </w:rPr>
      </w:pPr>
      <w:r>
        <w:rPr>
          <w:rFonts w:ascii="Arial" w:cs="Arial" w:eastAsia="Arial" w:hAnsi="Arial"/>
          <w:sz w:val="17"/>
          <w:szCs w:val="17"/>
          <w:color w:val="231F20"/>
        </w:rPr>
        <w:t>certain defects in title to the fleet and any failure to obtain, prior to the time they were contributed to us, certain consents and permits necessary to conduct our business, which liabilities arise within three years after the closing of the IPO; and</w:t>
      </w:r>
    </w:p>
    <w:p>
      <w:pPr>
        <w:spacing w:after="0" w:line="146" w:lineRule="exact"/>
        <w:rPr>
          <w:rFonts w:ascii="Arial" w:cs="Arial" w:eastAsia="Arial" w:hAnsi="Arial"/>
          <w:sz w:val="17"/>
          <w:szCs w:val="17"/>
          <w:color w:val="auto"/>
        </w:rPr>
      </w:pPr>
    </w:p>
    <w:p>
      <w:pPr>
        <w:ind w:left="680" w:hanging="321"/>
        <w:spacing w:after="0" w:line="277" w:lineRule="auto"/>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231F20"/>
        </w:rPr>
        <w:t>certain tax liabilities attributable to the operation of the assets contributed or sold to us prior to the time they were contributed or sold.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Amendments</w:t>
      </w:r>
    </w:p>
    <w:p>
      <w:pPr>
        <w:spacing w:after="0" w:line="22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omnibus agreement may not be amended without the prior approval of the conflicts committee of our board of directors if the proposed amendment will, in the reasonable discretion of our board of directors, adversely affect holders of our common units.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Administrative Services Agreement</w:t>
      </w:r>
    </w:p>
    <w:p>
      <w:pPr>
        <w:spacing w:after="0" w:line="229"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On May 12, 2014, we entered into an administrative services agreement with GasLog, pursuant to which GasLog provides certain management and administrative services to us. The services provided under the administrative services agreements are required to be provided in a diligent manner, as we may reasonably direct.</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administrative services agreement will continue indefinitely until terminated by us upon 90 days’ notice for any reason in the sole discretion of our board of directors. In addition, the administrative services agreement may be terminated by GasLog upon 90 days’ notice if:</w:t>
      </w:r>
    </w:p>
    <w:p>
      <w:pPr>
        <w:spacing w:after="0" w:line="184" w:lineRule="exact"/>
        <w:rPr>
          <w:sz w:val="20"/>
          <w:szCs w:val="20"/>
          <w:color w:val="auto"/>
        </w:rPr>
      </w:pPr>
    </w:p>
    <w:p>
      <w:pPr>
        <w:ind w:left="680" w:hanging="321"/>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231F20"/>
        </w:rPr>
        <w:t>there is a change of control of us or our general partner;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231F20"/>
        </w:rPr>
        <w:t>a receiver is appointed for all or substantially all of our property;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231F20"/>
        </w:rPr>
        <w:t>an order is made to wind up our partnership;</w:t>
      </w:r>
    </w:p>
    <w:p>
      <w:pPr>
        <w:spacing w:after="0" w:line="225" w:lineRule="exact"/>
        <w:rPr>
          <w:rFonts w:ascii="Arial" w:cs="Arial" w:eastAsia="Arial" w:hAnsi="Arial"/>
          <w:sz w:val="18"/>
          <w:szCs w:val="18"/>
          <w:color w:val="auto"/>
        </w:rPr>
      </w:pPr>
    </w:p>
    <w:p>
      <w:pPr>
        <w:ind w:left="680" w:right="200" w:hanging="321"/>
        <w:spacing w:after="0" w:line="277" w:lineRule="auto"/>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231F20"/>
        </w:rPr>
        <w:t>a final judgment or order that materially and adversely affects our ability to perform the agreement is obtained or entered and not vacated, discharged or stayed; or</w:t>
      </w:r>
    </w:p>
    <w:p>
      <w:pPr>
        <w:spacing w:after="0" w:line="170"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231F20"/>
        </w:rPr>
        <w:t>we make a general assignment for the benefit of our creditors, file a petition in bankruptcy or liquidation or commence any reorganization proceedings.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Under the administrative services agreement, certain officers of GasLog provide executive officer functions for our benefit. These officers are responsible for our day-to-day management subject to the direction of our board of directors. Our board of directors has the ability to terminate the arrangement with GasLog regarding the provision of executive officer services to us at any time in its sole discretion.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administrative services provided by GasLog include:</w:t>
      </w:r>
    </w:p>
    <w:p>
      <w:pPr>
        <w:spacing w:after="0" w:line="225" w:lineRule="exact"/>
        <w:rPr>
          <w:sz w:val="20"/>
          <w:szCs w:val="20"/>
          <w:color w:val="auto"/>
        </w:rPr>
      </w:pPr>
    </w:p>
    <w:p>
      <w:pPr>
        <w:ind w:left="680" w:right="280" w:hanging="321"/>
        <w:spacing w:after="0" w:line="308"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231F20"/>
        </w:rPr>
        <w:t xml:space="preserve">bookkeeping, audit and accounting services: </w:t>
      </w:r>
      <w:r>
        <w:rPr>
          <w:rFonts w:ascii="Arial" w:cs="Arial" w:eastAsia="Arial" w:hAnsi="Arial"/>
          <w:sz w:val="17"/>
          <w:szCs w:val="17"/>
          <w:color w:val="231F20"/>
        </w:rPr>
        <w:t>assistance with the maintenance of our corporate books and records, assistance</w:t>
      </w:r>
      <w:r>
        <w:rPr>
          <w:rFonts w:ascii="Arial" w:cs="Arial" w:eastAsia="Arial" w:hAnsi="Arial"/>
          <w:sz w:val="17"/>
          <w:szCs w:val="17"/>
          <w:i w:val="1"/>
          <w:iCs w:val="1"/>
          <w:color w:val="231F20"/>
        </w:rPr>
        <w:t xml:space="preserve"> </w:t>
      </w:r>
      <w:r>
        <w:rPr>
          <w:rFonts w:ascii="Arial" w:cs="Arial" w:eastAsia="Arial" w:hAnsi="Arial"/>
          <w:sz w:val="17"/>
          <w:szCs w:val="17"/>
          <w:color w:val="231F20"/>
        </w:rPr>
        <w:t>with the preparation of our tax returns and arranging for the provision of audit and accounting services;</w:t>
      </w:r>
    </w:p>
    <w:p>
      <w:pPr>
        <w:spacing w:after="0" w:line="146" w:lineRule="exact"/>
        <w:rPr>
          <w:rFonts w:ascii="Arial" w:cs="Arial" w:eastAsia="Arial" w:hAnsi="Arial"/>
          <w:sz w:val="17"/>
          <w:szCs w:val="17"/>
          <w:color w:val="auto"/>
        </w:rPr>
      </w:pPr>
    </w:p>
    <w:p>
      <w:pPr>
        <w:ind w:left="680" w:hanging="321"/>
        <w:spacing w:after="0" w:line="277"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231F20"/>
        </w:rPr>
        <w:t xml:space="preserve">legal and insurance services: </w:t>
      </w:r>
      <w:r>
        <w:rPr>
          <w:rFonts w:ascii="Arial" w:cs="Arial" w:eastAsia="Arial" w:hAnsi="Arial"/>
          <w:sz w:val="18"/>
          <w:szCs w:val="18"/>
          <w:color w:val="231F20"/>
        </w:rPr>
        <w:t>arranging for the provision of legal, insurance and other professional services and maintaining our</w:t>
      </w:r>
      <w:r>
        <w:rPr>
          <w:rFonts w:ascii="Arial" w:cs="Arial" w:eastAsia="Arial" w:hAnsi="Arial"/>
          <w:sz w:val="18"/>
          <w:szCs w:val="18"/>
          <w:i w:val="1"/>
          <w:iCs w:val="1"/>
          <w:color w:val="231F20"/>
        </w:rPr>
        <w:t xml:space="preserve"> </w:t>
      </w:r>
      <w:r>
        <w:rPr>
          <w:rFonts w:ascii="Arial" w:cs="Arial" w:eastAsia="Arial" w:hAnsi="Arial"/>
          <w:sz w:val="18"/>
          <w:szCs w:val="18"/>
          <w:color w:val="231F20"/>
        </w:rPr>
        <w:t>existence and good standing in necessary jurisdictions;</w:t>
      </w:r>
    </w:p>
    <w:p>
      <w:pPr>
        <w:spacing w:after="0" w:line="170" w:lineRule="exact"/>
        <w:rPr>
          <w:rFonts w:ascii="Arial" w:cs="Arial" w:eastAsia="Arial" w:hAnsi="Arial"/>
          <w:sz w:val="18"/>
          <w:szCs w:val="18"/>
          <w:color w:val="auto"/>
        </w:rPr>
      </w:pPr>
    </w:p>
    <w:p>
      <w:pPr>
        <w:ind w:left="680" w:right="80" w:hanging="321"/>
        <w:spacing w:after="0" w:line="259"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231F20"/>
        </w:rPr>
        <w:t xml:space="preserve">administrative and clerical services: </w:t>
      </w:r>
      <w:r>
        <w:rPr>
          <w:rFonts w:ascii="Arial" w:cs="Arial" w:eastAsia="Arial" w:hAnsi="Arial"/>
          <w:sz w:val="18"/>
          <w:szCs w:val="18"/>
          <w:color w:val="231F20"/>
        </w:rPr>
        <w:t>assistance with personnel administration, payroll and office space, arranging meetings for</w:t>
      </w:r>
      <w:r>
        <w:rPr>
          <w:rFonts w:ascii="Arial" w:cs="Arial" w:eastAsia="Arial" w:hAnsi="Arial"/>
          <w:sz w:val="18"/>
          <w:szCs w:val="18"/>
          <w:i w:val="1"/>
          <w:iCs w:val="1"/>
          <w:color w:val="231F20"/>
        </w:rPr>
        <w:t xml:space="preserve"> </w:t>
      </w:r>
      <w:r>
        <w:rPr>
          <w:rFonts w:ascii="Arial" w:cs="Arial" w:eastAsia="Arial" w:hAnsi="Arial"/>
          <w:sz w:val="18"/>
          <w:szCs w:val="18"/>
          <w:color w:val="231F20"/>
        </w:rPr>
        <w:t>our common unitholders pursuant to the partnership agreement, arranging the provision of IT services, providing all administrative services required for debt and equity financings and attending to all other administrative matters necessary to ensure the professional management of our business;</w:t>
      </w:r>
    </w:p>
    <w:p>
      <w:pPr>
        <w:spacing w:after="0" w:line="186" w:lineRule="exact"/>
        <w:rPr>
          <w:rFonts w:ascii="Arial" w:cs="Arial" w:eastAsia="Arial" w:hAnsi="Arial"/>
          <w:sz w:val="18"/>
          <w:szCs w:val="18"/>
          <w:color w:val="auto"/>
        </w:rPr>
      </w:pPr>
    </w:p>
    <w:p>
      <w:pPr>
        <w:ind w:left="680" w:right="160" w:hanging="321"/>
        <w:spacing w:after="0" w:line="286"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231F20"/>
        </w:rPr>
        <w:t xml:space="preserve">banking and financing services: </w:t>
      </w:r>
      <w:r>
        <w:rPr>
          <w:rFonts w:ascii="Arial" w:cs="Arial" w:eastAsia="Arial" w:hAnsi="Arial"/>
          <w:sz w:val="17"/>
          <w:szCs w:val="17"/>
          <w:color w:val="231F20"/>
        </w:rPr>
        <w:t>providing treasury and cash management services including assistance with identifying and</w:t>
      </w:r>
      <w:r>
        <w:rPr>
          <w:rFonts w:ascii="Arial" w:cs="Arial" w:eastAsia="Arial" w:hAnsi="Arial"/>
          <w:sz w:val="17"/>
          <w:szCs w:val="17"/>
          <w:i w:val="1"/>
          <w:iCs w:val="1"/>
          <w:color w:val="231F20"/>
        </w:rPr>
        <w:t xml:space="preserve"> </w:t>
      </w:r>
      <w:r>
        <w:rPr>
          <w:rFonts w:ascii="Arial" w:cs="Arial" w:eastAsia="Arial" w:hAnsi="Arial"/>
          <w:sz w:val="17"/>
          <w:szCs w:val="17"/>
          <w:color w:val="231F20"/>
        </w:rPr>
        <w:t>accessing sources of capital, preparation of budgets, overseeing banking services and bank accounts, arranging for the deposit of funds and monitoring and maintaining compliance therewith and financial risk management;</w:t>
      </w:r>
    </w:p>
    <w:p>
      <w:pPr>
        <w:spacing w:after="0" w:line="165" w:lineRule="exact"/>
        <w:rPr>
          <w:rFonts w:ascii="Arial" w:cs="Arial" w:eastAsia="Arial" w:hAnsi="Arial"/>
          <w:sz w:val="17"/>
          <w:szCs w:val="17"/>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231F20"/>
        </w:rPr>
        <w:t xml:space="preserve">advisory services: </w:t>
      </w:r>
      <w:r>
        <w:rPr>
          <w:rFonts w:ascii="Arial" w:cs="Arial" w:eastAsia="Arial" w:hAnsi="Arial"/>
          <w:sz w:val="18"/>
          <w:szCs w:val="18"/>
          <w:color w:val="231F20"/>
        </w:rPr>
        <w:t>assistance in complying with United States and other relevant securities laws;</w:t>
      </w:r>
    </w:p>
    <w:p>
      <w:pPr>
        <w:spacing w:after="0" w:line="225" w:lineRule="exact"/>
        <w:rPr>
          <w:rFonts w:ascii="Arial" w:cs="Arial" w:eastAsia="Arial" w:hAnsi="Arial"/>
          <w:sz w:val="18"/>
          <w:szCs w:val="18"/>
          <w:color w:val="auto"/>
        </w:rPr>
      </w:pPr>
    </w:p>
    <w:p>
      <w:pPr>
        <w:ind w:left="680" w:right="560" w:hanging="321"/>
        <w:spacing w:after="0" w:line="277"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231F20"/>
        </w:rPr>
        <w:t xml:space="preserve">client and investor relations: </w:t>
      </w:r>
      <w:r>
        <w:rPr>
          <w:rFonts w:ascii="Arial" w:cs="Arial" w:eastAsia="Arial" w:hAnsi="Arial"/>
          <w:sz w:val="18"/>
          <w:szCs w:val="18"/>
          <w:color w:val="231F20"/>
        </w:rPr>
        <w:t>arranging for the provision of advisory, clerical and investor relations services to assist and</w:t>
      </w:r>
      <w:r>
        <w:rPr>
          <w:rFonts w:ascii="Arial" w:cs="Arial" w:eastAsia="Arial" w:hAnsi="Arial"/>
          <w:sz w:val="18"/>
          <w:szCs w:val="18"/>
          <w:i w:val="1"/>
          <w:iCs w:val="1"/>
          <w:color w:val="231F20"/>
        </w:rPr>
        <w:t xml:space="preserve"> </w:t>
      </w:r>
      <w:r>
        <w:rPr>
          <w:rFonts w:ascii="Arial" w:cs="Arial" w:eastAsia="Arial" w:hAnsi="Arial"/>
          <w:sz w:val="18"/>
          <w:szCs w:val="18"/>
          <w:color w:val="231F20"/>
        </w:rPr>
        <w:t>support us in our communications with our unitholders;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231F20"/>
        </w:rPr>
        <w:t>assistance with the integration of any acquired businesses.</w:t>
      </w:r>
    </w:p>
    <w:p>
      <w:pPr>
        <w:spacing w:after="0" w:line="225"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231F20"/>
        </w:rPr>
        <w:t>For the year ended December 31, 2021, GasLog received a service fee of $0.3 million per vessel per year in connection with providing services under the administrative services agreement. Amounts payable by us under the administrative services agreement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231F20"/>
        </w:rPr>
        <w:t>must be paid in advance on a monthly basis by the first working day of each month. The aggregate fees and expenses for services under the administrative services agreement for the year ended December 31, 2021 was $4.7 million, which related to all 15 vessels in the GasLog Partners owned and bareboat fleet.</w:t>
      </w:r>
    </w:p>
    <w:p>
      <w:pPr>
        <w:spacing w:after="0" w:line="184"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In November 2021, the board of directors approved an increase in the service fee payable to GasLog under the terms of the administrative services agreement. With effect from January 1, 2022 a service fee of $0.6 million per vessel per year will be payable.</w:t>
      </w:r>
    </w:p>
    <w:p>
      <w:pPr>
        <w:spacing w:after="0" w:line="12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Under the administrative services agreement, we will indemnify GasLog against all actions which may be brought against it as a result of its performance of the administrative services including, without limitation, all actions brought under the environmental laws of any jurisdiction, and against and in respect of all costs and expenses they may suffer or incur due to defending or settling such actions; provided, however, that such indemnity excludes any or all losses to the extent that they are caused by or due to the fraud, gross negligence or willful misconduct of GasLog or its officers, employees and agents.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Ship Management Agreements</w:t>
      </w:r>
    </w:p>
    <w:p>
      <w:pPr>
        <w:spacing w:after="0" w:line="229" w:lineRule="exact"/>
        <w:rPr>
          <w:sz w:val="20"/>
          <w:szCs w:val="20"/>
          <w:color w:val="auto"/>
        </w:rPr>
      </w:pPr>
    </w:p>
    <w:p>
      <w:pPr>
        <w:ind w:firstLine="324"/>
        <w:spacing w:after="0" w:line="340" w:lineRule="auto"/>
        <w:rPr>
          <w:sz w:val="20"/>
          <w:szCs w:val="20"/>
          <w:color w:val="auto"/>
        </w:rPr>
      </w:pPr>
      <w:r>
        <w:rPr>
          <w:rFonts w:ascii="Arial" w:cs="Arial" w:eastAsia="Arial" w:hAnsi="Arial"/>
          <w:sz w:val="15"/>
          <w:szCs w:val="15"/>
          <w:color w:val="auto"/>
        </w:rPr>
        <w:t xml:space="preserve">All vessels in our fleet have entered into a ship management agreement with GasLog LNG Services, except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which is managed by Shell, pursuant to which certain crew and technical services are provided by GasLog LNG Services. Under these ship management agreements, our operating subsidiaries pay fees to and reimburse the costs and expenses of the manager as described below.</w:t>
      </w:r>
    </w:p>
    <w:p>
      <w:pPr>
        <w:spacing w:after="0" w:line="13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 xml:space="preserve">Management services. </w:t>
      </w:r>
      <w:r>
        <w:rPr>
          <w:rFonts w:ascii="Arial" w:cs="Arial" w:eastAsia="Arial" w:hAnsi="Arial"/>
          <w:sz w:val="18"/>
          <w:szCs w:val="18"/>
          <w:color w:val="auto"/>
        </w:rPr>
        <w:t>Each amended ship management agreement requires that GasLog LNG Services and its subcontractors use</w:t>
      </w:r>
      <w:r>
        <w:rPr>
          <w:rFonts w:ascii="Arial" w:cs="Arial" w:eastAsia="Arial" w:hAnsi="Arial"/>
          <w:sz w:val="18"/>
          <w:szCs w:val="18"/>
          <w:i w:val="1"/>
          <w:iCs w:val="1"/>
          <w:color w:val="auto"/>
        </w:rPr>
        <w:t xml:space="preserve"> </w:t>
      </w:r>
      <w:r>
        <w:rPr>
          <w:rFonts w:ascii="Arial" w:cs="Arial" w:eastAsia="Arial" w:hAnsi="Arial"/>
          <w:sz w:val="18"/>
          <w:szCs w:val="18"/>
          <w:color w:val="auto"/>
        </w:rPr>
        <w:t>their best endeavors to perform, among others, the following management services:</w:t>
      </w:r>
    </w:p>
    <w:p>
      <w:pPr>
        <w:spacing w:after="0" w:line="170" w:lineRule="exact"/>
        <w:rPr>
          <w:sz w:val="20"/>
          <w:szCs w:val="20"/>
          <w:color w:val="auto"/>
        </w:rPr>
      </w:pPr>
    </w:p>
    <w:p>
      <w:pPr>
        <w:ind w:left="680" w:right="60" w:hanging="321"/>
        <w:spacing w:after="0" w:line="277" w:lineRule="auto"/>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231F20"/>
        </w:rPr>
        <w:t>the provision of suitably and adequately qualified crew for the vessel in accordance with the requirements of the owner and the attendance to all matters pertaining to training, labor relations, insurance and amenities of the crew;</w:t>
      </w:r>
    </w:p>
    <w:p>
      <w:pPr>
        <w:spacing w:after="0" w:line="170" w:lineRule="exact"/>
        <w:rPr>
          <w:rFonts w:ascii="Arial" w:cs="Arial" w:eastAsia="Arial" w:hAnsi="Arial"/>
          <w:sz w:val="18"/>
          <w:szCs w:val="18"/>
          <w:color w:val="auto"/>
        </w:rPr>
      </w:pPr>
    </w:p>
    <w:p>
      <w:pPr>
        <w:ind w:left="680" w:right="200" w:hanging="321"/>
        <w:spacing w:after="0" w:line="259" w:lineRule="auto"/>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231F20"/>
        </w:rPr>
        <w:t>the provision of operational and technical management, including arrangement and supervision of dry-dockings, repairs, alterations and the upkeep of the vessel, arrangement for the victualling and storing of the vessels, appointment of surveyors and technical consultants and development, implementation and maintenance of a Safety Management System in accordance with the ISM Code;</w:t>
      </w:r>
    </w:p>
    <w:p>
      <w:pPr>
        <w:spacing w:after="0" w:line="186"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231F20"/>
        </w:rPr>
        <w:t>the provision of applicable documentation of compliance and safety management certificates;</w:t>
      </w:r>
    </w:p>
    <w:p>
      <w:pPr>
        <w:spacing w:after="0" w:line="225" w:lineRule="exact"/>
        <w:rPr>
          <w:rFonts w:ascii="Arial" w:cs="Arial" w:eastAsia="Arial" w:hAnsi="Arial"/>
          <w:sz w:val="18"/>
          <w:szCs w:val="18"/>
          <w:color w:val="auto"/>
        </w:rPr>
      </w:pPr>
    </w:p>
    <w:p>
      <w:pPr>
        <w:ind w:left="680" w:right="20" w:hanging="321"/>
        <w:spacing w:after="0" w:line="263" w:lineRule="auto"/>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231F20"/>
        </w:rPr>
        <w:t>the provision of an accounting system that meets the requirements of the owner, regular accounting services and regular reports and records, and the maintenance of records of costs and expenditures incurred, as well as data necessary or proper for the settlement of accounts between the parties;</w:t>
      </w:r>
    </w:p>
    <w:p>
      <w:pPr>
        <w:spacing w:after="0" w:line="183"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231F20"/>
        </w:rPr>
        <w:t>the procurement of all stores, spares, equipment, provisions, oils, fuels and any other goods, material or services to be supplied to the vessel;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231F20"/>
        </w:rPr>
        <w:t>the handling and settlement of claims relating to the vessel, including any claims involving the charterers;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6"/>
          <w:szCs w:val="16"/>
          <w:color w:val="auto"/>
        </w:rPr>
      </w:pPr>
      <w:r>
        <w:rPr>
          <w:rFonts w:ascii="Arial" w:cs="Arial" w:eastAsia="Arial" w:hAnsi="Arial"/>
          <w:sz w:val="16"/>
          <w:szCs w:val="16"/>
          <w:color w:val="231F20"/>
        </w:rPr>
        <w:t>the navigation of the vessel, handling of all necessary communication, and management of cargo operations of the vessel; and</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231F20"/>
        </w:rPr>
        <w:t>the arrangement, maintenance and preparation for suitable moorings for vessels for lay-up.</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 xml:space="preserve">Management fee. </w:t>
      </w:r>
      <w:r>
        <w:rPr>
          <w:rFonts w:ascii="Arial" w:cs="Arial" w:eastAsia="Arial" w:hAnsi="Arial"/>
          <w:sz w:val="17"/>
          <w:szCs w:val="17"/>
          <w:color w:val="auto"/>
        </w:rPr>
        <w:t>For the year ended December 31, 2021, pursuant to the amended ship management agreements, the vessel-owning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subsidiaries, as owners, paid a management fee of $46,000 per month to GasLog LNG Services, as manager, and will reimburse GasLog LNG Services for all expenses incurred on their behalf. The aggregate fees and expenses for services under these management agreements for the year ended December 31, 2021 were $7.7 million, which related to 14 vessels in the GasLog Partners owned and bareboat fleet. GasLog LNG Services does not provide ship management services to the </w:t>
      </w:r>
      <w:r>
        <w:rPr>
          <w:rFonts w:ascii="Arial" w:cs="Arial" w:eastAsia="Arial" w:hAnsi="Arial"/>
          <w:sz w:val="17"/>
          <w:szCs w:val="17"/>
          <w:i w:val="1"/>
          <w:iCs w:val="1"/>
          <w:color w:val="auto"/>
        </w:rPr>
        <w:t>Solaris</w:t>
      </w:r>
      <w:r>
        <w:rPr>
          <w:rFonts w:ascii="Arial" w:cs="Arial" w:eastAsia="Arial" w:hAnsi="Arial"/>
          <w:sz w:val="17"/>
          <w:szCs w:val="17"/>
          <w:color w:val="auto"/>
        </w:rPr>
        <w:t>.</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management fee is subject to an annual adjustment. The adjustment will be agreed between the parties in good faith on the basis of general inflation and proof of increases in actual costs incurred by GasLog LNG Services, as manager. Any dispute relating to the annual rate adjustment would be settled by dispute resolution provisions set forth in the applicable ship management agreement.</w:t>
      </w:r>
    </w:p>
    <w:p>
      <w:pPr>
        <w:spacing w:after="0" w:line="14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November 2021, the board of directors approved a decrease in the service fee payable to GasLog LNG Services. With effect from January 1, 2022 a management fee of $37,500 per vessel per month will be payable.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Each ship management agreement continues indefinitely until terminated by either party as described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Automatic termination and termination by either party. </w:t>
      </w:r>
      <w:r>
        <w:rPr>
          <w:rFonts w:ascii="Arial" w:cs="Arial" w:eastAsia="Arial" w:hAnsi="Arial"/>
          <w:sz w:val="17"/>
          <w:szCs w:val="17"/>
          <w:color w:val="auto"/>
        </w:rPr>
        <w:t>Each ship management agreement will be deemed to be terminated if:</w:t>
      </w:r>
    </w:p>
    <w:p>
      <w:pPr>
        <w:spacing w:after="0" w:line="237" w:lineRule="exact"/>
        <w:rPr>
          <w:sz w:val="20"/>
          <w:szCs w:val="20"/>
          <w:color w:val="auto"/>
        </w:rPr>
      </w:pPr>
    </w:p>
    <w:p>
      <w:pPr>
        <w:ind w:left="680" w:right="160" w:hanging="321"/>
        <w:spacing w:after="0" w:line="277"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231F20"/>
        </w:rPr>
        <w:t>the vessel is sold, becomes a total loss, is declared as a constructive, compromised or arranged total loss or is requisitioned for hire; or</w:t>
      </w:r>
    </w:p>
    <w:p>
      <w:pPr>
        <w:spacing w:after="0" w:line="170" w:lineRule="exact"/>
        <w:rPr>
          <w:rFonts w:ascii="Arial" w:cs="Arial" w:eastAsia="Arial" w:hAnsi="Arial"/>
          <w:sz w:val="18"/>
          <w:szCs w:val="18"/>
          <w:color w:val="auto"/>
        </w:rPr>
      </w:pPr>
    </w:p>
    <w:p>
      <w:pPr>
        <w:ind w:left="680" w:right="140" w:hanging="321"/>
        <w:spacing w:after="0" w:line="311" w:lineRule="auto"/>
        <w:tabs>
          <w:tab w:leader="none" w:pos="680" w:val="left"/>
        </w:tabs>
        <w:numPr>
          <w:ilvl w:val="0"/>
          <w:numId w:val="76"/>
        </w:numPr>
        <w:rPr>
          <w:rFonts w:ascii="Arial" w:cs="Arial" w:eastAsia="Arial" w:hAnsi="Arial"/>
          <w:sz w:val="16"/>
          <w:szCs w:val="16"/>
          <w:color w:val="auto"/>
        </w:rPr>
      </w:pPr>
      <w:r>
        <w:rPr>
          <w:rFonts w:ascii="Arial" w:cs="Arial" w:eastAsia="Arial" w:hAnsi="Arial"/>
          <w:sz w:val="16"/>
          <w:szCs w:val="16"/>
          <w:color w:val="231F20"/>
        </w:rPr>
        <w:t>an order is made or a resolution is passed for the winding up, dissolution, liquidation or bankruptcy of the other party (otherwise than for the purpose of a solvent reconstruction or amalgamation), a receiver or similar officer is appointed or the other party suspends payment, ceases to carry on business or makes any special arrangement or composition with its creditors.</w:t>
      </w:r>
    </w:p>
    <w:p>
      <w:pPr>
        <w:spacing w:after="0" w:line="14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 xml:space="preserve">Termination by the manager. </w:t>
      </w:r>
      <w:r>
        <w:rPr>
          <w:rFonts w:ascii="Arial" w:cs="Arial" w:eastAsia="Arial" w:hAnsi="Arial"/>
          <w:sz w:val="18"/>
          <w:szCs w:val="18"/>
          <w:color w:val="auto"/>
        </w:rPr>
        <w:t>Under each ship management agreement, the manager may terminate the ship management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immediate effect by written notice if:</w:t>
      </w:r>
    </w:p>
    <w:p>
      <w:pPr>
        <w:spacing w:after="0" w:line="170" w:lineRule="exact"/>
        <w:rPr>
          <w:sz w:val="20"/>
          <w:szCs w:val="20"/>
          <w:color w:val="auto"/>
        </w:rPr>
      </w:pPr>
    </w:p>
    <w:p>
      <w:pPr>
        <w:ind w:left="680" w:right="640" w:hanging="321"/>
        <w:spacing w:after="0" w:line="277"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231F20"/>
        </w:rPr>
        <w:t>any money payable to the manager pursuant to the agreement has not been paid within 30 days of payment having been requested in writing by the manager;</w:t>
      </w:r>
    </w:p>
    <w:p>
      <w:pPr>
        <w:spacing w:after="0" w:line="170"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231F20"/>
        </w:rPr>
        <w:t>the owner fails to cease employment of the vessel in an unlawful trade or on a voyage, which in the reasonable opinion of the manager, is unduly hazardous, within a reasonable time after receiving notice from the manager;</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231F20"/>
        </w:rPr>
        <w:t>the relevant ship management agreement or any of the owner’s rights or obligations are assigned to any person or entity without the manager’s prior written agreement or approval; or</w:t>
      </w:r>
    </w:p>
    <w:p>
      <w:pPr>
        <w:spacing w:after="0" w:line="170" w:lineRule="exact"/>
        <w:rPr>
          <w:rFonts w:ascii="Arial" w:cs="Arial" w:eastAsia="Arial" w:hAnsi="Arial"/>
          <w:sz w:val="18"/>
          <w:szCs w:val="18"/>
          <w:color w:val="auto"/>
        </w:rPr>
      </w:pPr>
    </w:p>
    <w:p>
      <w:pPr>
        <w:ind w:left="680" w:right="200" w:hanging="321"/>
        <w:spacing w:after="0" w:line="263"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231F20"/>
        </w:rPr>
        <w:t>the owner elects to provide officers and, for any reason within their control, fails to (i) procure officers and ratings complying with the requirements of STCW 95 or (ii) instruct such officers and ratings to obey all reasonable orders of the managers in connection with the operating of the managers’ safety management system.</w:t>
      </w:r>
    </w:p>
    <w:p>
      <w:pPr>
        <w:spacing w:after="0" w:line="18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Termination by the owner. </w:t>
      </w:r>
      <w:r>
        <w:rPr>
          <w:rFonts w:ascii="Arial" w:cs="Arial" w:eastAsia="Arial" w:hAnsi="Arial"/>
          <w:sz w:val="16"/>
          <w:szCs w:val="16"/>
          <w:color w:val="auto"/>
        </w:rPr>
        <w:t>Under each ship management agreement, the owner may terminate the applicable agreement by giving 90</w:t>
      </w:r>
      <w:r>
        <w:rPr>
          <w:rFonts w:ascii="Arial" w:cs="Arial" w:eastAsia="Arial" w:hAnsi="Arial"/>
          <w:sz w:val="16"/>
          <w:szCs w:val="16"/>
          <w:i w:val="1"/>
          <w:iCs w:val="1"/>
          <w:color w:val="auto"/>
        </w:rPr>
        <w:t xml:space="preserve"> </w:t>
      </w:r>
      <w:r>
        <w:rPr>
          <w:rFonts w:ascii="Arial" w:cs="Arial" w:eastAsia="Arial" w:hAnsi="Arial"/>
          <w:sz w:val="16"/>
          <w:szCs w:val="16"/>
          <w:color w:val="auto"/>
        </w:rPr>
        <w:t>days’ written notice in the event that the manager, in the reasonable opinion of the owner, fails to manage the vessel in accordance with first class LNG ship management practice. The owner may also terminate the applicable agreement by giving 90 days’ notice if the manager fails to meet any material obligation of the ship management agreement or fails to meet any obligation under the ship management agreement that has a material adverse effect upon the owner, if such default is not capable of being remedied or the manager fails to remedy the default within a reasonable time to the satisfaction of the owner. Notwithstanding the foregoing, the owner may terminate the ship management agreement at any time for any reason by giving the manager not less than three months’ written notice.</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Additional fees and provisions. </w:t>
      </w:r>
      <w:r>
        <w:rPr>
          <w:rFonts w:ascii="Arial" w:cs="Arial" w:eastAsia="Arial" w:hAnsi="Arial"/>
          <w:sz w:val="18"/>
          <w:szCs w:val="18"/>
          <w:color w:val="auto"/>
        </w:rPr>
        <w:t>Under each ship management agreement, the manager and its employees, agents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subcontractors will be indemnified by the owner against all actions that may be brought against them or incurred or suffered by them arising out of or in connection with their performance under such agreement; provided, however, that such indemnity excludes any or all losses that may be caused by or due to the fraud, gross negligence or willful misconduct of the manager or its employees, agents and subcontractors.</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May 2015, the Ship Management Agreements were amended to delete the annual incentive bonus and superintendent fees clauses, with effect from April 1, 2015.</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April 2016, the Ship Management Agreements were amended to consolidate all ship management related fees into a single fee structure.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Commercial Management Agreements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operating subsidiaries have entered into commercial management agreements with GasLog that were amended upon completion of the IPO, pursuant to which GasLog provides certain commercial management services to us. For the year ended December 31 2021, the annual commercial management fee was $360,000 for each vessel payable quarterly in advance. The aggregate fees and expenses under these commercial management agreements for the year ended December 31, 2021 were $5.4 million which related to all 15 vessels in the GasLog Partners owned and bareboat fleet..</w:t>
      </w:r>
    </w:p>
    <w:p>
      <w:pPr>
        <w:spacing w:after="0" w:line="18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amended commercial management agreements require that GasLog use their best endeavors to perform, among others, the following management services:</w:t>
      </w:r>
    </w:p>
    <w:p>
      <w:pPr>
        <w:spacing w:after="0" w:line="170" w:lineRule="exact"/>
        <w:rPr>
          <w:sz w:val="20"/>
          <w:szCs w:val="20"/>
          <w:color w:val="auto"/>
        </w:rPr>
      </w:pPr>
    </w:p>
    <w:p>
      <w:pPr>
        <w:ind w:left="680" w:right="60" w:hanging="321"/>
        <w:spacing w:after="0" w:line="257" w:lineRule="auto"/>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231F20"/>
        </w:rPr>
        <w:t>the commercial operations, including providing chartering services in accordance with the vessel owners’ instructions (including seeking and negotiating employment for the vessels and the execution of charter parties or other contracts relating to the employment of the vessels), arranging payment to the owner’s account of all hire and/or freight revenues, calculating hire, freight and other money due from or to the charterer, issuing voyage instructions, appointing agents and surveyors and arranging surveys associated with the commercial operations;</w:t>
      </w:r>
    </w:p>
    <w:p>
      <w:pPr>
        <w:spacing w:after="0" w:line="187" w:lineRule="exact"/>
        <w:rPr>
          <w:rFonts w:ascii="Arial" w:cs="Arial" w:eastAsia="Arial" w:hAnsi="Arial"/>
          <w:sz w:val="18"/>
          <w:szCs w:val="18"/>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231F20"/>
        </w:rPr>
        <w:t>the administration of invoicing and collection of hire payables; and</w:t>
      </w:r>
    </w:p>
    <w:p>
      <w:pPr>
        <w:spacing w:after="0" w:line="225"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231F20"/>
        </w:rPr>
        <w:t>the assessment of the market on specific issues and provision of such consultancy services as the owners may from time to time require.</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2020, the Commercial Management Agreements were novated from GasLog Ltd. to GasLog LNG Services. The novation was completed to accurately reflect the Group entity providing the commercial management services to us.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November 2021, the board of directors approved a change in the amount paid per annum per vessel. It was agreed that with effect from January 1, 2022 the commercial management fee would be paid as a fixed commission of 1.25% on the gross charter revenues of all vessels in the GLOP fleet. The fee will continue to be paid monthly in advance. It is considered that the change better reflects the exposure of the GasLog Partners fleet to the spot market and incentivizes the commercial manager to arrange more profitable fixtures for the fleet.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Contribution Agreement</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On May 12, 2014, we entered into a contribution agreement with GasLog and certain of its subsidiaries that effected certain formation transactions in connection with our IPO, including the transfer of the ownership interests in our initial fleet, and the use of the net proceeds of the IPO.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Credit Facilities</w:t>
      </w:r>
    </w:p>
    <w:p>
      <w:pPr>
        <w:spacing w:after="0" w:line="229"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On April 3, 2017, we entered into a new unsecured five-year term loan of $45.0 million and a new five-year revolving credit facility of $30.0 million with GasLog. For a more detailed description of this credit facility, please read “Item 5. Operating and Financial Review and Prospects—B. Liquidity and Capital Resources—Borrowing Activities—Revolving Credit Facility with GasLog”. On November 16, 2021 the Partnership’s Board decided not to proceed with renewing the facility on its expiry in March 2022.</w:t>
      </w:r>
    </w:p>
    <w:p>
      <w:pPr>
        <w:spacing w:after="0" w:line="15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 xml:space="preserve">On May 25, 2017, in connection with the acquisition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we and GasLog Partners Holdings entered into a guarantee pursuant to which we and GasLog Partners Holdings guaranteed up to the amount of outstanding loan available to GAS-eleven Ltd. under the Assumed October 2015 Facility among GAS-eleven Ltd., GAS-twelve Ltd., GAS-thirteen Ltd., Gas-fourteen Ltd., GAS-twenty two Ltd., GAS-twenty three Ltd., GAS-twenty four Ltd., GAS-twenty five Ltd., as borrowers. On June 28, 2017, in connection with the acquisition of the </w:t>
      </w:r>
      <w:r>
        <w:rPr>
          <w:rFonts w:ascii="Arial" w:cs="Arial" w:eastAsia="Arial" w:hAnsi="Arial"/>
          <w:sz w:val="17"/>
          <w:szCs w:val="17"/>
          <w:i w:val="1"/>
          <w:iCs w:val="1"/>
          <w:color w:val="auto"/>
        </w:rPr>
        <w:t>GasLog Geneva</w:t>
      </w:r>
      <w:r>
        <w:rPr>
          <w:rFonts w:ascii="Arial" w:cs="Arial" w:eastAsia="Arial" w:hAnsi="Arial"/>
          <w:sz w:val="17"/>
          <w:szCs w:val="17"/>
          <w:color w:val="auto"/>
        </w:rPr>
        <w:t>, we and GasLog Partners Holdings extended the guarantee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agreement to guarantee up to the amount of outstanding commitment made available to GAS-thirteen Ltd. In April 2018, in connection with the acquisition of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we and GasLog Partners Holdings extended the guarantee agreement to guarantee up to the amount of outstanding commitment made available to GAS-fourteen Ltd. In April 2019, in connection with the acquisition of the </w:t>
      </w:r>
      <w:r>
        <w:rPr>
          <w:rFonts w:ascii="Arial" w:cs="Arial" w:eastAsia="Arial" w:hAnsi="Arial"/>
          <w:sz w:val="18"/>
          <w:szCs w:val="18"/>
          <w:i w:val="1"/>
          <w:iCs w:val="1"/>
          <w:color w:val="auto"/>
        </w:rPr>
        <w:t>GasLog Glasgow</w:t>
      </w:r>
      <w:r>
        <w:rPr>
          <w:rFonts w:ascii="Arial" w:cs="Arial" w:eastAsia="Arial" w:hAnsi="Arial"/>
          <w:sz w:val="18"/>
          <w:szCs w:val="18"/>
          <w:color w:val="auto"/>
        </w:rPr>
        <w:t>, we and GasLog Partners Holdings extended the guarantee agreement to guarantee up to the amount of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made available to GAS-twelve Ltd. As of December 31, 2021, the amount outstanding under the loans available to GAS-eleven Ltd. was $ 99.5 million, GAS-twelve Ltd. was $99.5 million, GAS-thirteen Ltd. was $103.8 million and GAS-fourteen Ltd. was $103.8 million.</w:t>
      </w:r>
    </w:p>
    <w:p>
      <w:pPr>
        <w:spacing w:after="0" w:line="19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 xml:space="preserve">On February 20, 2019, in connection with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Rita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Andrea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Methane Jane Elizabeth, </w:t>
      </w:r>
      <w:r>
        <w:rPr>
          <w:rFonts w:ascii="Arial" w:cs="Arial" w:eastAsia="Arial" w:hAnsi="Arial"/>
          <w:sz w:val="17"/>
          <w:szCs w:val="17"/>
          <w:color w:val="auto"/>
        </w:rPr>
        <w:t>we and GasLog Partners Holdings entered into a guarantee pursuant to which we and GasLog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Partners Holdings guaranteed up to the amounts of outstanding loan available to GAS-three Ltd., GAS-four Ltd., GAS-five Ltd., GAS-sixteen Ltd. and GAS-seventeen Ltd., as borrowers, under the 2019 GasLog Partners Facility. On October 26, 2021 GAS-three Ltd, was released from its liabilities following the sale and leaseback of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to CDBL and the prepayment of $97.1 million. As of December 31, 2021, the amount outstanding under the loans available was $273.6 million.</w:t>
      </w:r>
    </w:p>
    <w:p>
      <w:pPr>
        <w:spacing w:after="0" w:line="17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 xml:space="preserve">On July 16, 2020, in connection with the </w:t>
      </w:r>
      <w:r>
        <w:rPr>
          <w:rFonts w:ascii="Arial" w:cs="Arial" w:eastAsia="Arial" w:hAnsi="Arial"/>
          <w:sz w:val="17"/>
          <w:szCs w:val="17"/>
          <w:i w:val="1"/>
          <w:iCs w:val="1"/>
          <w:color w:val="auto"/>
        </w:rPr>
        <w:t>Methane Shirley Elisabeth</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we and GasLog Partners Holdings entered into a guarantee pursuant to which we and GasLog Partners Holdings guaranteed up to the amounts of outstanding loan available to GAS-twenty Ltd., GAS-seven Ltd. and GAS-eight Ltd., as borrowers, under the GasLog Partners $260.3M Facility. As of December 31, 2021, the amount outstanding under the loans available was $243.1 million.</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 xml:space="preserve">On July 16, 2020, in connection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we and GasLog Partners Holdings entered into a guarantee pursuant to which we and GasLog Partners Holdings guaranteed up to the amounts of outstanding loan available to </w:t>
      </w:r>
      <w:r>
        <w:rPr>
          <w:rFonts w:ascii="Arial" w:cs="Arial" w:eastAsia="Arial" w:hAnsi="Arial"/>
          <w:sz w:val="16"/>
          <w:szCs w:val="16"/>
          <w:color w:val="231F20"/>
        </w:rPr>
        <w:t>GAS-nineteen Ltd., GAS-twenty one Ltd. and GAS-twenty seven Ltd., as borrowers, under the GasLog</w:t>
      </w:r>
      <w:r>
        <w:rPr>
          <w:rFonts w:ascii="Arial" w:cs="Arial" w:eastAsia="Arial" w:hAnsi="Arial"/>
          <w:sz w:val="16"/>
          <w:szCs w:val="16"/>
          <w:color w:val="auto"/>
        </w:rPr>
        <w:t xml:space="preserve"> </w:t>
      </w:r>
      <w:r>
        <w:rPr>
          <w:rFonts w:ascii="Arial" w:cs="Arial" w:eastAsia="Arial" w:hAnsi="Arial"/>
          <w:sz w:val="16"/>
          <w:szCs w:val="16"/>
          <w:color w:val="231F20"/>
        </w:rPr>
        <w:t>Partners $193.7M Facility. As of December 31, 2021, the amount outstanding under the loans available was $176.5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Indemnification Agreements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Partnership, subject to, and to the maximum extent permitted by, applicable law.</w:t>
      </w:r>
    </w:p>
    <w:p>
      <w:pPr>
        <w:spacing w:after="0" w:line="18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in connection with the acquisitions described above, the respective vessel owning entities have entered into ship management and commercial management agreements with GasLog. See “Item 7. Major Unitholders and Related Party Transaction—B. Related Party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 Related Party Transactions</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As a result of our relationships with GasLog and its affiliates, we, our general partner and our subsidiaries have entered into or will enter into various agreements that will not be the result of arm’s length negotiations. We generally refer to these agreements and the transactions that they provide for as “transactions with affiliates” or “related party transactions”.</w:t>
      </w:r>
    </w:p>
    <w:p>
      <w:pPr>
        <w:spacing w:after="0" w:line="16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partnership agreement sets forth procedures by which future related party transactions may be approved or resolved by our board of directors. Pursuant to our partnership agreement, our board of directors may, but is not required to, seek the approval of a related party transaction from the conflicts committee of our board of directors or from the common unitholders (excluding common units owned by our general partner and its affiliates). Neither our general partner nor our board of directors will be in breach of their obligations under the partnership agreement or their duties stated or implied by law or equity if the transaction is approved by the conflicts committee or the requisite majority of the common unitholders. If approval of the conflicts committee is sought, then the conflicts committee will be authorized to consider any and all factors as it determines to be relevant or appropriate under the circumstances and it will be presumed that, in making its decision, the conflicts committee acted in good faith. In order for a determination or other action to be in “good faith” for purposes of the partnership agreement, the person or persons making such determination or taking or declining to take such other action must reasonably believe that the determination or other action is in our best interests.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 xml:space="preserve">Our conflicts committee is comprised of two members of our board of directors. The conflicts committee is available at the board of directors’ discretion to review specific matters that the board of directors believes may involve conflicts of interest. The members of the conflicts committee must and do meet the independence standards established by the NYSE and the SEC to serve on an audit committee of a board of directors, and are not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w:t>
      </w:r>
      <w:r>
        <w:rPr>
          <w:rFonts w:ascii="Arial" w:cs="Arial" w:eastAsia="Arial" w:hAnsi="Arial"/>
          <w:sz w:val="17"/>
          <w:szCs w:val="17"/>
          <w:color w:val="231F20"/>
        </w:rPr>
        <w:t>(y) awards</w:t>
      </w:r>
      <w:r>
        <w:rPr>
          <w:rFonts w:ascii="Arial" w:cs="Arial" w:eastAsia="Arial" w:hAnsi="Arial"/>
          <w:sz w:val="17"/>
          <w:szCs w:val="17"/>
          <w:color w:val="auto"/>
        </w:rPr>
        <w:t xml:space="preserve"> </w:t>
      </w:r>
      <w:r>
        <w:rPr>
          <w:rFonts w:ascii="Arial" w:cs="Arial" w:eastAsia="Arial" w:hAnsi="Arial"/>
          <w:sz w:val="17"/>
          <w:szCs w:val="17"/>
          <w:color w:val="231F20"/>
        </w:rPr>
        <w:t>granted pursuant to any long-term incentive plan of the Partnership or its subsidiaries).</w:t>
      </w:r>
    </w:p>
    <w:p>
      <w:pPr>
        <w:spacing w:after="0" w:line="17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Transactions with our affiliates that are not approved by the conflicts committee and that do not involve a vote of common unitholders must be on terms no less favorable to us than those generally provided to or available from unrelated third parties or be “fair and reasonable” to us. In determining whether a transaction or resolution is “fair and reasonable”, our board of directors may consider the totality of the relationships between the parties involved, including other transactions that may be particularly advantageous or beneficial to us. If our board of directors does not seek approval by the conflicts committee or the requisite majority of the common unitholders and instead determines that the terms of a transaction with an affiliate are no less favorable to us than those generally provided to or available from unrelated third parties or are “fair and reasonable” to us, it will be presumed that, in making its decision, our board of directors acted in good faith and, in any proceeding brought by or on behalf of any limited partner or the partnership, the person bringing or prosecuting such proceeding will have the burden of overcoming such presumption.</w:t>
      </w:r>
    </w:p>
    <w:p>
      <w:pPr>
        <w:spacing w:after="0" w:line="162" w:lineRule="exact"/>
        <w:rPr>
          <w:sz w:val="20"/>
          <w:szCs w:val="20"/>
          <w:color w:val="auto"/>
        </w:rPr>
      </w:pPr>
    </w:p>
    <w:p>
      <w:pPr>
        <w:ind w:left="340" w:right="7080" w:hanging="332"/>
        <w:spacing w:after="0" w:line="500" w:lineRule="auto"/>
        <w:tabs>
          <w:tab w:leader="none" w:pos="340" w:val="left"/>
        </w:tabs>
        <w:numPr>
          <w:ilvl w:val="0"/>
          <w:numId w:val="79"/>
        </w:numPr>
        <w:rPr>
          <w:rFonts w:ascii="Arial" w:cs="Arial" w:eastAsia="Arial" w:hAnsi="Arial"/>
          <w:sz w:val="18"/>
          <w:szCs w:val="18"/>
          <w:b w:val="1"/>
          <w:bCs w:val="1"/>
          <w:color w:val="231F20"/>
        </w:rPr>
      </w:pPr>
      <w:r>
        <w:rPr>
          <w:rFonts w:ascii="Arial" w:cs="Arial" w:eastAsia="Arial" w:hAnsi="Arial"/>
          <w:sz w:val="18"/>
          <w:szCs w:val="18"/>
          <w:b w:val="1"/>
          <w:bCs w:val="1"/>
          <w:color w:val="231F20"/>
        </w:rPr>
        <w:t xml:space="preserve">Interests of Experts and Counsel </w:t>
      </w:r>
      <w:r>
        <w:rPr>
          <w:rFonts w:ascii="Arial" w:cs="Arial" w:eastAsia="Arial" w:hAnsi="Arial"/>
          <w:sz w:val="18"/>
          <w:szCs w:val="18"/>
          <w:color w:val="000000"/>
        </w:rPr>
        <w:t>Not applicable.</w:t>
      </w:r>
    </w:p>
    <w:p>
      <w:pPr>
        <w:spacing w:after="0" w:line="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231F20"/>
        </w:rPr>
        <w:t>A.</w:t>
      </w:r>
      <w:r>
        <w:rPr>
          <w:sz w:val="20"/>
          <w:szCs w:val="20"/>
          <w:color w:val="auto"/>
        </w:rPr>
        <w:tab/>
      </w:r>
      <w:r>
        <w:rPr>
          <w:rFonts w:ascii="Arial" w:cs="Arial" w:eastAsia="Arial" w:hAnsi="Arial"/>
          <w:sz w:val="16"/>
          <w:szCs w:val="16"/>
          <w:b w:val="1"/>
          <w:bCs w:val="1"/>
          <w:color w:val="231F20"/>
        </w:rPr>
        <w:t>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18. Financial Statements”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Legal Proceedings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those claims would be covered by insurance, subject to customary deductibles. However, those claims, even if lacking merit, could result in the expenditure of significant financial and managerial resources.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Cash Distribution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Following a challenging number of years for capital markets in midstream energy, along with declining visibility in to the Partnership’s future financial performance exacerbated by the COVID-19 pandemic related uncertainty in the near term LNG and LNG shipping markets, our board of directors decided to reduce our quarterly cash distributions on our common units to $0.01 per unit from the third quarter 2020 onwards.</w:t>
      </w:r>
    </w:p>
    <w:p>
      <w:pPr>
        <w:spacing w:after="0" w:line="187"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As a result, the Partnership will retain approximately $22 million in cash reserves annually. We believe this action will further strengthen the Partnership’s balance sheet, lower the fleet’s breakeven, reduce its cost of capital and further enhance its competitive positioning. The Partnership expects to maintain this policy for the immediate future.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70" w:lineRule="exact"/>
        <w:rPr>
          <w:sz w:val="20"/>
          <w:szCs w:val="20"/>
          <w:color w:val="auto"/>
        </w:rPr>
      </w:pPr>
    </w:p>
    <w:p>
      <w:pPr>
        <w:ind w:left="680" w:right="20" w:hanging="321"/>
        <w:spacing w:after="0" w:line="259"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231F20"/>
        </w:rPr>
        <w:t>Our common unitholders have no contractual or legal right to receive distributions unless there is available cash at the end of each quarter as defined in our partnership agreement and the Preference Unit distributions have been paid. The determination of available cash is subject to the broad discretion of our board of directors to establish reserves and other limitations and to take into consideration our debt service obligations.</w:t>
      </w:r>
    </w:p>
    <w:p>
      <w:pPr>
        <w:spacing w:after="0" w:line="186" w:lineRule="exact"/>
        <w:rPr>
          <w:rFonts w:ascii="Arial" w:cs="Arial" w:eastAsia="Arial" w:hAnsi="Arial"/>
          <w:sz w:val="18"/>
          <w:szCs w:val="18"/>
          <w:color w:val="auto"/>
        </w:rPr>
      </w:pPr>
    </w:p>
    <w:p>
      <w:pPr>
        <w:ind w:left="680" w:right="220" w:hanging="321"/>
        <w:spacing w:after="0" w:line="255"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231F20"/>
        </w:rPr>
        <w:t>We are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 These financial tests and covenants are described in this annual report in “Item 5. Operating and Financial Review and Prospects—B. Liquidity and Capital Resources”.</w:t>
      </w:r>
    </w:p>
    <w:p>
      <w:pPr>
        <w:spacing w:after="0" w:line="192" w:lineRule="exact"/>
        <w:rPr>
          <w:rFonts w:ascii="Arial" w:cs="Arial" w:eastAsia="Arial" w:hAnsi="Arial"/>
          <w:sz w:val="18"/>
          <w:szCs w:val="18"/>
          <w:color w:val="auto"/>
        </w:rPr>
      </w:pPr>
    </w:p>
    <w:p>
      <w:pPr>
        <w:ind w:left="680" w:right="80" w:hanging="321"/>
        <w:spacing w:after="0" w:line="272" w:lineRule="auto"/>
        <w:tabs>
          <w:tab w:leader="none" w:pos="680" w:val="left"/>
        </w:tabs>
        <w:numPr>
          <w:ilvl w:val="0"/>
          <w:numId w:val="80"/>
        </w:numPr>
        <w:rPr>
          <w:rFonts w:ascii="Arial" w:cs="Arial" w:eastAsia="Arial" w:hAnsi="Arial"/>
          <w:sz w:val="17"/>
          <w:szCs w:val="17"/>
          <w:color w:val="auto"/>
        </w:rPr>
      </w:pPr>
      <w:r>
        <w:rPr>
          <w:rFonts w:ascii="Arial" w:cs="Arial" w:eastAsia="Arial" w:hAnsi="Arial"/>
          <w:sz w:val="17"/>
          <w:szCs w:val="17"/>
          <w:color w:val="231F20"/>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common unitholders. In years when estimated maintenance and replacement capital expenditures are higher than actual maintenance and replacement capital expenditures, the amount of cash available for distribution to common unitholders will be lower than if actual maintenance and replacement capital expenditures were deducted.</w:t>
      </w:r>
    </w:p>
    <w:p>
      <w:pPr>
        <w:spacing w:after="0" w:line="177" w:lineRule="exact"/>
        <w:rPr>
          <w:rFonts w:ascii="Arial" w:cs="Arial" w:eastAsia="Arial" w:hAnsi="Arial"/>
          <w:sz w:val="17"/>
          <w:szCs w:val="17"/>
          <w:color w:val="auto"/>
        </w:rPr>
      </w:pPr>
    </w:p>
    <w:p>
      <w:pPr>
        <w:ind w:left="680" w:right="180" w:hanging="321"/>
        <w:spacing w:after="0" w:line="259"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231F20"/>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common units representing a 29.7% ownership interest in us.</w:t>
      </w:r>
    </w:p>
    <w:p>
      <w:pPr>
        <w:spacing w:after="0" w:line="186" w:lineRule="exact"/>
        <w:rPr>
          <w:rFonts w:ascii="Arial" w:cs="Arial" w:eastAsia="Arial" w:hAnsi="Arial"/>
          <w:sz w:val="18"/>
          <w:szCs w:val="18"/>
          <w:color w:val="auto"/>
        </w:rPr>
      </w:pPr>
    </w:p>
    <w:p>
      <w:pPr>
        <w:ind w:left="680" w:right="40" w:hanging="321"/>
        <w:spacing w:after="0" w:line="263"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231F20"/>
        </w:rPr>
        <w:t>Even if our cash distribution policy is not modified or revoked, the amount of distributions we pay under our cash distribution policy and the decision to make any distribution are determined by our board of directors, taking into consideration the terms of our partnership agreement.</w:t>
      </w:r>
    </w:p>
    <w:p>
      <w:pPr>
        <w:spacing w:after="0" w:line="183" w:lineRule="exact"/>
        <w:rPr>
          <w:rFonts w:ascii="Arial" w:cs="Arial" w:eastAsia="Arial" w:hAnsi="Arial"/>
          <w:sz w:val="18"/>
          <w:szCs w:val="18"/>
          <w:color w:val="auto"/>
        </w:rPr>
      </w:pPr>
    </w:p>
    <w:p>
      <w:pPr>
        <w:ind w:left="680" w:right="600" w:hanging="321"/>
        <w:spacing w:after="0" w:line="27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231F20"/>
        </w:rPr>
        <w:t>Under Section 51 of the Marshall Islands Act, we may not make a distribution to you if the distribution would cause our liabilities to exceed the fair value of our assets.</w:t>
      </w:r>
    </w:p>
    <w:p>
      <w:pPr>
        <w:spacing w:after="0" w:line="170" w:lineRule="exact"/>
        <w:rPr>
          <w:rFonts w:ascii="Arial" w:cs="Arial" w:eastAsia="Arial" w:hAnsi="Arial"/>
          <w:sz w:val="18"/>
          <w:szCs w:val="18"/>
          <w:color w:val="auto"/>
        </w:rPr>
      </w:pPr>
    </w:p>
    <w:p>
      <w:pPr>
        <w:ind w:left="680" w:right="60" w:hanging="321"/>
        <w:spacing w:after="0" w:line="279" w:lineRule="auto"/>
        <w:tabs>
          <w:tab w:leader="none" w:pos="680" w:val="left"/>
        </w:tabs>
        <w:numPr>
          <w:ilvl w:val="0"/>
          <w:numId w:val="80"/>
        </w:numPr>
        <w:rPr>
          <w:rFonts w:ascii="Arial" w:cs="Arial" w:eastAsia="Arial" w:hAnsi="Arial"/>
          <w:sz w:val="17"/>
          <w:szCs w:val="17"/>
          <w:color w:val="auto"/>
        </w:rPr>
      </w:pPr>
      <w:r>
        <w:rPr>
          <w:rFonts w:ascii="Arial" w:cs="Arial" w:eastAsia="Arial" w:hAnsi="Arial"/>
          <w:sz w:val="17"/>
          <w:szCs w:val="17"/>
          <w:color w:val="231F20"/>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“Item 3. Key Information—D. Risk Factors” for a discussion of these factors.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year ended December 31, 2021, the aggregate amount of cash distribution paid to common unitholders was $2.0 million.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Preference Units Distribution Requirements</w:t>
      </w:r>
    </w:p>
    <w:p>
      <w:pPr>
        <w:spacing w:after="0" w:line="22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Distributions on our Preference Units are payable quarterly on each of March 15, June 15, September 15 and December 15, or the next succeeding business day, as and if declared by our board of directors out of legally available funds for such purpose.</w:t>
      </w:r>
    </w:p>
    <w:p>
      <w:pPr>
        <w:spacing w:after="0" w:line="14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 xml:space="preserve">For the Series A Preference Units, from and including May 15, 2017 to, but excluding, June 15, 2027, the distribution rate is 8.625% per annum per $25.00 of liquidation preference per unit (equal to </w:t>
      </w:r>
      <w:r>
        <w:rPr>
          <w:rFonts w:ascii="Arial" w:cs="Arial" w:eastAsia="Arial" w:hAnsi="Arial"/>
          <w:sz w:val="16"/>
          <w:szCs w:val="16"/>
          <w:color w:val="231F20"/>
        </w:rPr>
        <w:t>$2.15625 per annum per unit). From and including June 15, 2027, the</w:t>
      </w:r>
      <w:r>
        <w:rPr>
          <w:rFonts w:ascii="Arial" w:cs="Arial" w:eastAsia="Arial" w:hAnsi="Arial"/>
          <w:sz w:val="16"/>
          <w:szCs w:val="16"/>
          <w:color w:val="auto"/>
        </w:rPr>
        <w:t xml:space="preserve"> </w:t>
      </w:r>
      <w:r>
        <w:rPr>
          <w:rFonts w:ascii="Arial" w:cs="Arial" w:eastAsia="Arial" w:hAnsi="Arial"/>
          <w:sz w:val="16"/>
          <w:szCs w:val="16"/>
          <w:color w:val="231F20"/>
        </w:rPr>
        <w:t>distribution rate for the Series A Preference Units will be a floating rate equal to three-month LIBOR plus a spread of 6.31% per annum per $25.00 of liquidation preference per unit. The distribution rates are not subject to adjustment. We paid distributions to holders of our Series A Preference Units of $0.5390625 per unit on March 15, 2021, June 15, 2021, September 15, 2021 and December 15, 2021.</w:t>
      </w:r>
    </w:p>
    <w:p>
      <w:pPr>
        <w:spacing w:after="0" w:line="16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 xml:space="preserve">For the Series B Preference Units, from and including January 17, 2018 to, but excluding, </w:t>
      </w:r>
      <w:r>
        <w:rPr>
          <w:rFonts w:ascii="Arial" w:cs="Arial" w:eastAsia="Arial" w:hAnsi="Arial"/>
          <w:sz w:val="18"/>
          <w:szCs w:val="18"/>
          <w:color w:val="231F20"/>
        </w:rPr>
        <w:t>March 15, 2023, the distribution rate is</w:t>
      </w:r>
      <w:r>
        <w:rPr>
          <w:rFonts w:ascii="Arial" w:cs="Arial" w:eastAsia="Arial" w:hAnsi="Arial"/>
          <w:sz w:val="18"/>
          <w:szCs w:val="18"/>
          <w:color w:val="auto"/>
        </w:rPr>
        <w:t xml:space="preserve"> </w:t>
      </w:r>
      <w:r>
        <w:rPr>
          <w:rFonts w:ascii="Arial" w:cs="Arial" w:eastAsia="Arial" w:hAnsi="Arial"/>
          <w:sz w:val="18"/>
          <w:szCs w:val="18"/>
          <w:color w:val="231F20"/>
        </w:rPr>
        <w:t>8.200% per annum per $25.00 of liquidation preference per unit (equal to $2.05 per annum per unit). From and including March 15, 2023, the distribution rate for the Series B Preference Units will be a floating rate equal to three-month LIBOR plus a spread of 5.839% per annum per $25.00 of liquidation preference per unit. The distribution rates are not subject to adjustment. We paid distributions to holders of our Series B Preference Units of $0.5125 per unit on March 15, 2021, on June 15, 2021, September 15, 2021 and December 15, 2021.</w:t>
      </w:r>
    </w:p>
    <w:p>
      <w:pPr>
        <w:spacing w:after="0" w:line="192"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 xml:space="preserve">For the Series C Preference Units, from and including November 15, 2018 to, but excluding, </w:t>
      </w:r>
      <w:r>
        <w:rPr>
          <w:rFonts w:ascii="Arial" w:cs="Arial" w:eastAsia="Arial" w:hAnsi="Arial"/>
          <w:sz w:val="16"/>
          <w:szCs w:val="16"/>
          <w:color w:val="231F20"/>
        </w:rPr>
        <w:t>March 15, 2024, the distribution rate is</w:t>
      </w:r>
      <w:r>
        <w:rPr>
          <w:rFonts w:ascii="Arial" w:cs="Arial" w:eastAsia="Arial" w:hAnsi="Arial"/>
          <w:sz w:val="16"/>
          <w:szCs w:val="16"/>
          <w:color w:val="auto"/>
        </w:rPr>
        <w:t xml:space="preserve"> </w:t>
      </w:r>
      <w:r>
        <w:rPr>
          <w:rFonts w:ascii="Arial" w:cs="Arial" w:eastAsia="Arial" w:hAnsi="Arial"/>
          <w:sz w:val="16"/>
          <w:szCs w:val="16"/>
          <w:color w:val="231F20"/>
        </w:rPr>
        <w:t>8.500% per annum per $25.00 of liquidation preference per unit (equal to $2.05 per annum per unit). From and including March 15, 2024, the distribution rate for the Series C Preference Units will be a floating rate equal to three-month LIBOR plus a spread of 5.317% per annum per $25.00 of liquidation preference per unit. The distribution rates are not subject to adjustment. We paid distributions to holders of our Series C Preference Units of $0.53125 on March 15, 2021, June 15, 2021, September 15, 2021 and December 15, 2021.</w:t>
      </w:r>
    </w:p>
    <w:p>
      <w:pPr>
        <w:spacing w:after="0" w:line="16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Preference Unit distribution payment obligations impact our future liquidity needs. If we do not pay our Preference Unit distributions, we will not be able to pay distributions to our common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Distributions of Available Cash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make distributions of available cash after payment of Preference Unit distributions for any quarter in the following manner:</w:t>
      </w:r>
    </w:p>
    <w:p>
      <w:pPr>
        <w:spacing w:after="0" w:line="248" w:lineRule="exact"/>
        <w:rPr>
          <w:sz w:val="20"/>
          <w:szCs w:val="20"/>
          <w:color w:val="auto"/>
        </w:rPr>
      </w:pPr>
    </w:p>
    <w:p>
      <w:pPr>
        <w:ind w:left="680" w:right="180" w:hanging="321"/>
        <w:spacing w:after="0" w:line="277"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231F20"/>
        </w:rPr>
        <w:t>first</w:t>
      </w:r>
      <w:r>
        <w:rPr>
          <w:rFonts w:ascii="Arial" w:cs="Arial" w:eastAsia="Arial" w:hAnsi="Arial"/>
          <w:sz w:val="18"/>
          <w:szCs w:val="18"/>
          <w:color w:val="231F20"/>
        </w:rPr>
        <w:t>, to our general partner, in accordance with its percentage interest in the manner described in “—General Partner Interest”</w:t>
      </w:r>
      <w:r>
        <w:rPr>
          <w:rFonts w:ascii="Arial" w:cs="Arial" w:eastAsia="Arial" w:hAnsi="Arial"/>
          <w:sz w:val="18"/>
          <w:szCs w:val="18"/>
          <w:i w:val="1"/>
          <w:iCs w:val="1"/>
          <w:color w:val="231F20"/>
        </w:rPr>
        <w:t xml:space="preserve"> </w:t>
      </w:r>
      <w:r>
        <w:rPr>
          <w:rFonts w:ascii="Arial" w:cs="Arial" w:eastAsia="Arial" w:hAnsi="Arial"/>
          <w:sz w:val="18"/>
          <w:szCs w:val="18"/>
          <w:color w:val="231F20"/>
        </w:rPr>
        <w:t>below; and</w:t>
      </w:r>
    </w:p>
    <w:p>
      <w:pPr>
        <w:spacing w:after="0" w:line="170"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231F20"/>
        </w:rPr>
        <w:t>thereafter</w:t>
      </w:r>
      <w:r>
        <w:rPr>
          <w:rFonts w:ascii="Arial" w:cs="Arial" w:eastAsia="Arial" w:hAnsi="Arial"/>
          <w:sz w:val="18"/>
          <w:szCs w:val="18"/>
          <w:color w:val="231F20"/>
        </w:rPr>
        <w:t>, to all common unitholders pro rata, a percentage equal to 100% less the general partner percentage interest, in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manner described in “—General Partner Interest” below.</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Partner Interest</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common units. Our general partner’s 2.0% interest, and the percentage </w:t>
      </w:r>
      <w:r>
        <w:rPr>
          <w:rFonts w:ascii="Arial" w:cs="Arial" w:eastAsia="Arial" w:hAnsi="Arial"/>
          <w:sz w:val="17"/>
          <w:szCs w:val="17"/>
          <w:color w:val="231F20"/>
        </w:rPr>
        <w:t>of</w:t>
      </w:r>
      <w:r>
        <w:rPr>
          <w:rFonts w:ascii="Arial" w:cs="Arial" w:eastAsia="Arial" w:hAnsi="Arial"/>
          <w:sz w:val="17"/>
          <w:szCs w:val="17"/>
          <w:color w:val="auto"/>
        </w:rPr>
        <w:t xml:space="preserve"> </w:t>
      </w:r>
      <w:r>
        <w:rPr>
          <w:rFonts w:ascii="Arial" w:cs="Arial" w:eastAsia="Arial" w:hAnsi="Arial"/>
          <w:sz w:val="17"/>
          <w:szCs w:val="17"/>
          <w:color w:val="231F20"/>
        </w:rPr>
        <w:t>our cash distributions to which it is entitled, will be proportionately reduced if we issue additional common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b w:val="1"/>
          <w:bCs w:val="1"/>
          <w:color w:val="231F20"/>
        </w:rPr>
      </w:pPr>
      <w:r>
        <w:rPr>
          <w:rFonts w:ascii="Arial" w:cs="Arial" w:eastAsia="Arial" w:hAnsi="Arial"/>
          <w:sz w:val="18"/>
          <w:szCs w:val="18"/>
          <w:b w:val="1"/>
          <w:bCs w:val="1"/>
          <w:color w:val="231F20"/>
        </w:rPr>
        <w:t>Significant Changes</w:t>
      </w:r>
    </w:p>
    <w:p>
      <w:pPr>
        <w:spacing w:after="0" w:line="229" w:lineRule="exact"/>
        <w:rPr>
          <w:rFonts w:ascii="Arial" w:cs="Arial" w:eastAsia="Arial" w:hAnsi="Arial"/>
          <w:sz w:val="18"/>
          <w:szCs w:val="18"/>
          <w:b w:val="1"/>
          <w:bCs w:val="1"/>
          <w:color w:val="231F20"/>
        </w:rPr>
      </w:pPr>
    </w:p>
    <w:p>
      <w:pPr>
        <w:ind w:left="340"/>
        <w:spacing w:after="0"/>
        <w:rPr>
          <w:rFonts w:ascii="Arial" w:cs="Arial" w:eastAsia="Arial" w:hAnsi="Arial"/>
          <w:sz w:val="18"/>
          <w:szCs w:val="18"/>
          <w:b w:val="1"/>
          <w:bCs w:val="1"/>
          <w:color w:val="231F20"/>
        </w:rPr>
      </w:pPr>
      <w:r>
        <w:rPr>
          <w:rFonts w:ascii="Arial" w:cs="Arial" w:eastAsia="Arial" w:hAnsi="Arial"/>
          <w:sz w:val="18"/>
          <w:szCs w:val="18"/>
          <w:color w:val="auto"/>
        </w:rPr>
        <w:t>See “Item 18. Financial Statements—Note 23. Subsequent Events” below.</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THE OFFER AND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on the New York Stock Exchange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our IPO in the United States, our common units have been listed on the NYSE under the symbol “GLOP”.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Series A Preference Units have been trading on the NYSE under the symbol “GLOP PR A” since May 10,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Series B Preference Units have been trading on the NYSE under the symbol “GLOP PR B” since January 11, 2018.</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Series C Preference Units have been trading on the NYSE under the symbol “GLOP PR C” since November 15, 2018.</w:t>
      </w:r>
    </w:p>
    <w:p>
      <w:pPr>
        <w:spacing w:after="0" w:line="2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jc w:val="both"/>
        <w:ind w:left="340" w:right="8400" w:hanging="332"/>
        <w:spacing w:after="0" w:line="563" w:lineRule="auto"/>
        <w:tabs>
          <w:tab w:leader="none" w:pos="340" w:val="left"/>
        </w:tabs>
        <w:numPr>
          <w:ilvl w:val="0"/>
          <w:numId w:val="83"/>
        </w:numPr>
        <w:rPr>
          <w:rFonts w:ascii="Arial" w:cs="Arial" w:eastAsia="Arial" w:hAnsi="Arial"/>
          <w:sz w:val="16"/>
          <w:szCs w:val="16"/>
          <w:b w:val="1"/>
          <w:bCs w:val="1"/>
          <w:color w:val="231F20"/>
        </w:rPr>
      </w:pPr>
      <w:r>
        <w:rPr>
          <w:rFonts w:ascii="Arial" w:cs="Arial" w:eastAsia="Arial" w:hAnsi="Arial"/>
          <w:sz w:val="16"/>
          <w:szCs w:val="16"/>
          <w:b w:val="1"/>
          <w:bCs w:val="1"/>
          <w:color w:val="231F20"/>
        </w:rPr>
        <w:t xml:space="preserve">Share Capital </w:t>
      </w:r>
      <w:r>
        <w:rPr>
          <w:rFonts w:ascii="Arial" w:cs="Arial" w:eastAsia="Arial" w:hAnsi="Arial"/>
          <w:sz w:val="16"/>
          <w:szCs w:val="16"/>
          <w:color w:val="000000"/>
        </w:rPr>
        <w:t>Not applicable.</w:t>
      </w:r>
    </w:p>
    <w:p>
      <w:pPr>
        <w:ind w:left="340" w:hanging="332"/>
        <w:spacing w:after="0"/>
        <w:tabs>
          <w:tab w:leader="none" w:pos="340" w:val="left"/>
        </w:tabs>
        <w:numPr>
          <w:ilvl w:val="0"/>
          <w:numId w:val="83"/>
        </w:numPr>
        <w:rPr>
          <w:rFonts w:ascii="Arial" w:cs="Arial" w:eastAsia="Arial" w:hAnsi="Arial"/>
          <w:sz w:val="18"/>
          <w:szCs w:val="18"/>
          <w:b w:val="1"/>
          <w:bCs w:val="1"/>
          <w:color w:val="231F20"/>
        </w:rPr>
      </w:pPr>
      <w:r>
        <w:rPr>
          <w:rFonts w:ascii="Arial" w:cs="Arial" w:eastAsia="Arial" w:hAnsi="Arial"/>
          <w:sz w:val="18"/>
          <w:szCs w:val="18"/>
          <w:b w:val="1"/>
          <w:bCs w:val="1"/>
          <w:color w:val="231F20"/>
        </w:rPr>
        <w:t>Memorandum of Association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to be disclosed under Item 10.B is incorporated by reference to Exhibit 3.2 of our Current Report on Form 6-K furnished with the SEC on June 24, 2019.</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C.</w:t>
      </w:r>
      <w:r>
        <w:rPr>
          <w:sz w:val="20"/>
          <w:szCs w:val="20"/>
          <w:color w:val="auto"/>
        </w:rPr>
        <w:tab/>
      </w:r>
      <w:r>
        <w:rPr>
          <w:rFonts w:ascii="Arial" w:cs="Arial" w:eastAsia="Arial" w:hAnsi="Arial"/>
          <w:sz w:val="16"/>
          <w:szCs w:val="16"/>
          <w:b w:val="1"/>
          <w:bCs w:val="1"/>
          <w:color w:val="231F20"/>
        </w:rPr>
        <w:t>Material Contracts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is a party. Such summaries are not intended to be complete and reference is made to the contracts themselves, which are exhibits to this annual report.</w:t>
      </w:r>
    </w:p>
    <w:p>
      <w:pPr>
        <w:spacing w:after="0" w:line="184" w:lineRule="exact"/>
        <w:rPr>
          <w:sz w:val="20"/>
          <w:szCs w:val="20"/>
          <w:color w:val="auto"/>
        </w:rPr>
      </w:pPr>
    </w:p>
    <w:p>
      <w:pPr>
        <w:ind w:left="680" w:right="280" w:hanging="321"/>
        <w:spacing w:after="0" w:line="277" w:lineRule="auto"/>
        <w:tabs>
          <w:tab w:leader="none" w:pos="680" w:val="left"/>
        </w:tabs>
        <w:numPr>
          <w:ilvl w:val="0"/>
          <w:numId w:val="84"/>
        </w:numPr>
        <w:rPr>
          <w:rFonts w:ascii="Arial" w:cs="Arial" w:eastAsia="Arial" w:hAnsi="Arial"/>
          <w:sz w:val="18"/>
          <w:szCs w:val="18"/>
          <w:color w:val="231F20"/>
        </w:rPr>
      </w:pPr>
      <w:r>
        <w:rPr>
          <w:rFonts w:ascii="Arial" w:cs="Arial" w:eastAsia="Arial" w:hAnsi="Arial"/>
          <w:sz w:val="18"/>
          <w:szCs w:val="18"/>
          <w:color w:val="231F20"/>
        </w:rPr>
        <w:t>Form of Contribution Agreement; please see “Item 7. Major Unitholders and Related Party Transactions—B. Related Party Transactions—Contribution Rights Agreement”.</w:t>
      </w:r>
    </w:p>
    <w:p>
      <w:pPr>
        <w:spacing w:after="0" w:line="170" w:lineRule="exact"/>
        <w:rPr>
          <w:rFonts w:ascii="Arial" w:cs="Arial" w:eastAsia="Arial" w:hAnsi="Arial"/>
          <w:sz w:val="18"/>
          <w:szCs w:val="18"/>
          <w:color w:val="231F20"/>
        </w:rPr>
      </w:pPr>
    </w:p>
    <w:p>
      <w:pPr>
        <w:ind w:left="680" w:right="540" w:hanging="321"/>
        <w:spacing w:after="0" w:line="277" w:lineRule="auto"/>
        <w:tabs>
          <w:tab w:leader="none" w:pos="680" w:val="left"/>
        </w:tabs>
        <w:numPr>
          <w:ilvl w:val="0"/>
          <w:numId w:val="84"/>
        </w:numPr>
        <w:rPr>
          <w:rFonts w:ascii="Arial" w:cs="Arial" w:eastAsia="Arial" w:hAnsi="Arial"/>
          <w:sz w:val="18"/>
          <w:szCs w:val="18"/>
          <w:color w:val="231F20"/>
        </w:rPr>
      </w:pPr>
      <w:r>
        <w:rPr>
          <w:rFonts w:ascii="Arial" w:cs="Arial" w:eastAsia="Arial" w:hAnsi="Arial"/>
          <w:sz w:val="18"/>
          <w:szCs w:val="18"/>
          <w:color w:val="231F20"/>
        </w:rPr>
        <w:t>Form of Omnibus Agreement; please see “Item 7. Major Unitholders and Related Party Transactions—B. Related Party Transactions—Omnibus Agreement”.</w:t>
      </w:r>
    </w:p>
    <w:p>
      <w:pPr>
        <w:spacing w:after="0" w:line="170" w:lineRule="exact"/>
        <w:rPr>
          <w:rFonts w:ascii="Arial" w:cs="Arial" w:eastAsia="Arial" w:hAnsi="Arial"/>
          <w:sz w:val="18"/>
          <w:szCs w:val="18"/>
          <w:color w:val="231F20"/>
        </w:rPr>
      </w:pPr>
    </w:p>
    <w:p>
      <w:pPr>
        <w:ind w:left="680" w:right="480" w:hanging="321"/>
        <w:spacing w:after="0" w:line="277" w:lineRule="auto"/>
        <w:tabs>
          <w:tab w:leader="none" w:pos="680" w:val="left"/>
        </w:tabs>
        <w:numPr>
          <w:ilvl w:val="0"/>
          <w:numId w:val="84"/>
        </w:numPr>
        <w:rPr>
          <w:rFonts w:ascii="Arial" w:cs="Arial" w:eastAsia="Arial" w:hAnsi="Arial"/>
          <w:sz w:val="18"/>
          <w:szCs w:val="18"/>
          <w:color w:val="231F20"/>
        </w:rPr>
      </w:pPr>
      <w:r>
        <w:rPr>
          <w:rFonts w:ascii="Arial" w:cs="Arial" w:eastAsia="Arial" w:hAnsi="Arial"/>
          <w:sz w:val="18"/>
          <w:szCs w:val="18"/>
          <w:color w:val="231F20"/>
        </w:rPr>
        <w:t>Form of Administrative Services Agreement; please see “Item 7. Major Unitholders and Related Party Transactions—B. Related Party Transactions—Administrative Services Agreement”.</w:t>
      </w:r>
    </w:p>
    <w:p>
      <w:pPr>
        <w:spacing w:after="0" w:line="170" w:lineRule="exact"/>
        <w:rPr>
          <w:rFonts w:ascii="Arial" w:cs="Arial" w:eastAsia="Arial" w:hAnsi="Arial"/>
          <w:sz w:val="18"/>
          <w:szCs w:val="18"/>
          <w:color w:val="231F20"/>
        </w:rPr>
      </w:pPr>
    </w:p>
    <w:p>
      <w:pPr>
        <w:ind w:left="680" w:right="340" w:hanging="321"/>
        <w:spacing w:after="0" w:line="277" w:lineRule="auto"/>
        <w:tabs>
          <w:tab w:leader="none" w:pos="680" w:val="left"/>
        </w:tabs>
        <w:numPr>
          <w:ilvl w:val="0"/>
          <w:numId w:val="84"/>
        </w:numPr>
        <w:rPr>
          <w:rFonts w:ascii="Arial" w:cs="Arial" w:eastAsia="Arial" w:hAnsi="Arial"/>
          <w:sz w:val="18"/>
          <w:szCs w:val="18"/>
          <w:color w:val="231F20"/>
        </w:rPr>
      </w:pPr>
      <w:r>
        <w:rPr>
          <w:rFonts w:ascii="Arial" w:cs="Arial" w:eastAsia="Arial" w:hAnsi="Arial"/>
          <w:sz w:val="18"/>
          <w:szCs w:val="18"/>
          <w:color w:val="231F20"/>
        </w:rPr>
        <w:t>Form of Commercial Management Agreement; please see “Item 7. Major Unitholders and Related Party Transactions—B. Related Party Transactions—Commercial Management Agreement”.</w:t>
      </w:r>
    </w:p>
    <w:p>
      <w:pPr>
        <w:spacing w:after="0" w:line="170" w:lineRule="exact"/>
        <w:rPr>
          <w:rFonts w:ascii="Arial" w:cs="Arial" w:eastAsia="Arial" w:hAnsi="Arial"/>
          <w:sz w:val="18"/>
          <w:szCs w:val="18"/>
          <w:color w:val="231F20"/>
        </w:rPr>
      </w:pPr>
    </w:p>
    <w:p>
      <w:pPr>
        <w:ind w:left="680" w:right="320" w:hanging="321"/>
        <w:spacing w:after="0" w:line="277" w:lineRule="auto"/>
        <w:tabs>
          <w:tab w:leader="none" w:pos="680" w:val="left"/>
        </w:tabs>
        <w:numPr>
          <w:ilvl w:val="0"/>
          <w:numId w:val="84"/>
        </w:numPr>
        <w:rPr>
          <w:rFonts w:ascii="Arial" w:cs="Arial" w:eastAsia="Arial" w:hAnsi="Arial"/>
          <w:sz w:val="18"/>
          <w:szCs w:val="18"/>
          <w:color w:val="231F20"/>
        </w:rPr>
      </w:pPr>
      <w:r>
        <w:rPr>
          <w:rFonts w:ascii="Arial" w:cs="Arial" w:eastAsia="Arial" w:hAnsi="Arial"/>
          <w:sz w:val="18"/>
          <w:szCs w:val="18"/>
          <w:color w:val="231F20"/>
        </w:rPr>
        <w:t>Form of Ship Management Agreement; please see “Item 7. Major Unitholders and Related Party Transactions—B. Related Party Transactions—Ship Management Agreements”.</w:t>
      </w:r>
    </w:p>
    <w:p>
      <w:pPr>
        <w:spacing w:after="0" w:line="170" w:lineRule="exact"/>
        <w:rPr>
          <w:rFonts w:ascii="Arial" w:cs="Arial" w:eastAsia="Arial" w:hAnsi="Arial"/>
          <w:sz w:val="18"/>
          <w:szCs w:val="18"/>
          <w:color w:val="231F20"/>
        </w:rPr>
      </w:pPr>
    </w:p>
    <w:p>
      <w:pPr>
        <w:ind w:left="680" w:right="20" w:hanging="321"/>
        <w:spacing w:after="0" w:line="308" w:lineRule="auto"/>
        <w:tabs>
          <w:tab w:leader="none" w:pos="680" w:val="left"/>
        </w:tabs>
        <w:numPr>
          <w:ilvl w:val="0"/>
          <w:numId w:val="84"/>
        </w:numPr>
        <w:rPr>
          <w:rFonts w:ascii="Arial" w:cs="Arial" w:eastAsia="Arial" w:hAnsi="Arial"/>
          <w:sz w:val="17"/>
          <w:szCs w:val="17"/>
          <w:color w:val="231F20"/>
        </w:rPr>
      </w:pPr>
      <w:r>
        <w:rPr>
          <w:rFonts w:ascii="Arial" w:cs="Arial" w:eastAsia="Arial" w:hAnsi="Arial"/>
          <w:sz w:val="17"/>
          <w:szCs w:val="17"/>
          <w:color w:val="231F20"/>
        </w:rPr>
        <w:t>Form of $30.0 Million Revolving Credit Agreement by and between GasLog Partners LP and GasLog Ltd.; please see “Item 5. Operating and Financial Review and Prospects—B. Liquidity and Capital Resources—Credit Facilities”.</w:t>
      </w:r>
    </w:p>
    <w:p>
      <w:pPr>
        <w:spacing w:after="0" w:line="146" w:lineRule="exact"/>
        <w:rPr>
          <w:rFonts w:ascii="Arial" w:cs="Arial" w:eastAsia="Arial" w:hAnsi="Arial"/>
          <w:sz w:val="17"/>
          <w:szCs w:val="17"/>
          <w:color w:val="231F20"/>
        </w:rPr>
      </w:pPr>
    </w:p>
    <w:p>
      <w:pPr>
        <w:ind w:left="680" w:right="80" w:hanging="321"/>
        <w:spacing w:after="0" w:line="277" w:lineRule="auto"/>
        <w:tabs>
          <w:tab w:leader="none" w:pos="680" w:val="left"/>
        </w:tabs>
        <w:numPr>
          <w:ilvl w:val="0"/>
          <w:numId w:val="84"/>
        </w:numPr>
        <w:rPr>
          <w:rFonts w:ascii="Arial" w:cs="Arial" w:eastAsia="Arial" w:hAnsi="Arial"/>
          <w:sz w:val="18"/>
          <w:szCs w:val="18"/>
          <w:color w:val="231F20"/>
        </w:rPr>
      </w:pPr>
      <w:r>
        <w:rPr>
          <w:rFonts w:ascii="Arial" w:cs="Arial" w:eastAsia="Arial" w:hAnsi="Arial"/>
          <w:sz w:val="18"/>
          <w:szCs w:val="18"/>
          <w:color w:val="231F20"/>
        </w:rPr>
        <w:t>Form of Indemnification Agreement for the Partnership’s directors and certain officers; please see “Item 7. Major Unitholders and Related Party Transactions—B. Related Party Transactions—Indemnification Agreements”.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20" w:hanging="321"/>
        <w:spacing w:after="0" w:line="277" w:lineRule="auto"/>
        <w:tabs>
          <w:tab w:leader="none" w:pos="680" w:val="left"/>
        </w:tabs>
        <w:numPr>
          <w:ilvl w:val="0"/>
          <w:numId w:val="85"/>
        </w:numPr>
        <w:rPr>
          <w:rFonts w:ascii="Arial" w:cs="Arial" w:eastAsia="Arial" w:hAnsi="Arial"/>
          <w:sz w:val="18"/>
          <w:szCs w:val="18"/>
          <w:color w:val="231F20"/>
        </w:rPr>
      </w:pPr>
      <w:r>
        <w:rPr>
          <w:rFonts w:ascii="Arial" w:cs="Arial" w:eastAsia="Arial" w:hAnsi="Arial"/>
          <w:sz w:val="18"/>
          <w:szCs w:val="18"/>
          <w:color w:val="231F20"/>
        </w:rPr>
        <w:t>GasLog Partners LP 2015 Long-Term Incentive Plan; please see “Item 6. Directors, Senior Management and Employees—B. Compensation of Directors and Senior Management— Equity Compensation Plan”.</w:t>
      </w:r>
    </w:p>
    <w:p>
      <w:pPr>
        <w:spacing w:after="0" w:line="170" w:lineRule="exact"/>
        <w:rPr>
          <w:rFonts w:ascii="Arial" w:cs="Arial" w:eastAsia="Arial" w:hAnsi="Arial"/>
          <w:sz w:val="18"/>
          <w:szCs w:val="18"/>
          <w:color w:val="231F20"/>
        </w:rPr>
      </w:pPr>
    </w:p>
    <w:p>
      <w:pPr>
        <w:ind w:left="680" w:right="200" w:hanging="321"/>
        <w:spacing w:after="0" w:line="263" w:lineRule="auto"/>
        <w:tabs>
          <w:tab w:leader="none" w:pos="680" w:val="left"/>
        </w:tabs>
        <w:numPr>
          <w:ilvl w:val="0"/>
          <w:numId w:val="85"/>
        </w:numPr>
        <w:rPr>
          <w:rFonts w:ascii="Arial" w:cs="Arial" w:eastAsia="Arial" w:hAnsi="Arial"/>
          <w:sz w:val="18"/>
          <w:szCs w:val="18"/>
          <w:color w:val="231F20"/>
        </w:rPr>
      </w:pPr>
      <w:r>
        <w:rPr>
          <w:rFonts w:ascii="Arial" w:cs="Arial" w:eastAsia="Arial" w:hAnsi="Arial"/>
          <w:sz w:val="18"/>
          <w:szCs w:val="18"/>
          <w:color w:val="231F20"/>
        </w:rPr>
        <w:t>Addendum dated April 21, 2015 to the Omnibus Agreement dated May 12, 2014, among GasLog Ltd., GasLog Partners GP LLC and GasLog Partners Holdings LLC; please see “Item 7. Major Unitholders and Related Party Transactions—B. Related Party Transactions— Omnibus Agreement”.</w:t>
      </w:r>
    </w:p>
    <w:p>
      <w:pPr>
        <w:spacing w:after="0" w:line="183" w:lineRule="exact"/>
        <w:rPr>
          <w:rFonts w:ascii="Arial" w:cs="Arial" w:eastAsia="Arial" w:hAnsi="Arial"/>
          <w:sz w:val="18"/>
          <w:szCs w:val="18"/>
          <w:color w:val="231F20"/>
        </w:rPr>
      </w:pPr>
    </w:p>
    <w:p>
      <w:pPr>
        <w:ind w:left="680" w:right="40" w:hanging="321"/>
        <w:spacing w:after="0" w:line="269" w:lineRule="auto"/>
        <w:tabs>
          <w:tab w:leader="none" w:pos="680" w:val="left"/>
        </w:tabs>
        <w:numPr>
          <w:ilvl w:val="0"/>
          <w:numId w:val="85"/>
        </w:numPr>
        <w:rPr>
          <w:rFonts w:ascii="Arial" w:cs="Arial" w:eastAsia="Arial" w:hAnsi="Arial"/>
          <w:sz w:val="17"/>
          <w:szCs w:val="17"/>
          <w:color w:val="231F20"/>
        </w:rPr>
      </w:pPr>
      <w:r>
        <w:rPr>
          <w:rFonts w:ascii="Arial" w:cs="Arial" w:eastAsia="Arial" w:hAnsi="Arial"/>
          <w:sz w:val="17"/>
          <w:szCs w:val="17"/>
          <w:color w:val="231F20"/>
        </w:rPr>
        <w:t>Facilities Agreement for $1,311,356,340 Loan Facilities dated October 16, 2015 (as supplemented by supplemental deeds dated April 12, 2017, May 2, 2017 and July 3, 2017) between GAS-eleven Ltd., GAS-twelve Ltd., GAS-thirteen Ltd., Gas-fourteen Ltd.,GAS-twenty two Ltd., GAS-twenty three Ltd., GAS-twenty four Ltd., GAS-twenty five Ltd., as borrowers, Citibank, N.A., London Branch, Nordea Bank AB, London Branch, The Export- 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co-coordinator, bookrunner and export credit agent co-ordinator guaranteed by GasLog Ltd. and GasLog Carriers Ltd.: please see “Item 5. Operating and Financial Review and Prospects—B. Liquidity and Capital Resources—Credit Facilities”.</w:t>
      </w:r>
    </w:p>
    <w:p>
      <w:pPr>
        <w:spacing w:after="0" w:line="181" w:lineRule="exact"/>
        <w:rPr>
          <w:rFonts w:ascii="Arial" w:cs="Arial" w:eastAsia="Arial" w:hAnsi="Arial"/>
          <w:sz w:val="17"/>
          <w:szCs w:val="17"/>
          <w:color w:val="231F20"/>
        </w:rPr>
      </w:pPr>
    </w:p>
    <w:p>
      <w:pPr>
        <w:ind w:left="680" w:right="140" w:hanging="321"/>
        <w:spacing w:after="0" w:line="342" w:lineRule="auto"/>
        <w:tabs>
          <w:tab w:leader="none" w:pos="680" w:val="left"/>
        </w:tabs>
        <w:numPr>
          <w:ilvl w:val="0"/>
          <w:numId w:val="85"/>
        </w:numPr>
        <w:rPr>
          <w:rFonts w:ascii="Arial" w:cs="Arial" w:eastAsia="Arial" w:hAnsi="Arial"/>
          <w:sz w:val="16"/>
          <w:szCs w:val="16"/>
          <w:color w:val="231F20"/>
        </w:rPr>
      </w:pPr>
      <w:r>
        <w:rPr>
          <w:rFonts w:ascii="Arial" w:cs="Arial" w:eastAsia="Arial" w:hAnsi="Arial"/>
          <w:sz w:val="16"/>
          <w:szCs w:val="16"/>
          <w:color w:val="231F20"/>
        </w:rPr>
        <w:t>Exchange Agreement among GasLog Partners LP, GasLog Partners GP LLC and GasLog Ltd. dated June 24, 2019: please see “Item 7. Major Unitholders and Related Party Transactions—B. Related Party Transactions—Exchange Agreement.”</w:t>
      </w:r>
    </w:p>
    <w:p>
      <w:pPr>
        <w:spacing w:after="0" w:line="123" w:lineRule="exact"/>
        <w:rPr>
          <w:rFonts w:ascii="Arial" w:cs="Arial" w:eastAsia="Arial" w:hAnsi="Arial"/>
          <w:sz w:val="16"/>
          <w:szCs w:val="16"/>
          <w:color w:val="231F20"/>
        </w:rPr>
      </w:pPr>
    </w:p>
    <w:p>
      <w:pPr>
        <w:ind w:left="680" w:right="20" w:hanging="321"/>
        <w:spacing w:after="0" w:line="255" w:lineRule="auto"/>
        <w:tabs>
          <w:tab w:leader="none" w:pos="680" w:val="left"/>
        </w:tabs>
        <w:numPr>
          <w:ilvl w:val="0"/>
          <w:numId w:val="85"/>
        </w:numPr>
        <w:rPr>
          <w:rFonts w:ascii="Arial" w:cs="Arial" w:eastAsia="Arial" w:hAnsi="Arial"/>
          <w:sz w:val="18"/>
          <w:szCs w:val="18"/>
          <w:color w:val="231F20"/>
        </w:rPr>
      </w:pPr>
      <w:r>
        <w:rPr>
          <w:rFonts w:ascii="Arial" w:cs="Arial" w:eastAsia="Arial" w:hAnsi="Arial"/>
          <w:sz w:val="18"/>
          <w:szCs w:val="18"/>
          <w:color w:val="231F20"/>
        </w:rPr>
        <w:t>Facilities Agreement dated February 20, 2019, relating to $450,000,000 Revolving Credit Facility among GAS-three Ltd., GAS-four Ltd., GAS-five Ltd., Gas-sixteen Ltd.,GAS-seventeen Ltd., as borrowers, Credit Suisse AG, Nordea Bank Abp, Filial I Norge, The IyoBank, Ltd. Singapore Branch as the Original Lenders with Nordea Bank Abp, Filial I Norge as agent and the security agent, and Credit Suisse AG as mandated lead arranger, global co-ordinator and bookrunner, guaranteed by GasLog Partners LP and GasLog Partners Holdings LLC.: please see “Item 5. Operating and Financial Review and Prospects—B. Liquidity and Capital Resources—Credit Facilities”.</w:t>
      </w:r>
    </w:p>
    <w:p>
      <w:pPr>
        <w:spacing w:after="0" w:line="192" w:lineRule="exact"/>
        <w:rPr>
          <w:rFonts w:ascii="Arial" w:cs="Arial" w:eastAsia="Arial" w:hAnsi="Arial"/>
          <w:sz w:val="18"/>
          <w:szCs w:val="18"/>
          <w:color w:val="231F20"/>
        </w:rPr>
      </w:pPr>
    </w:p>
    <w:p>
      <w:pPr>
        <w:ind w:left="680" w:hanging="321"/>
        <w:spacing w:after="0" w:line="287" w:lineRule="auto"/>
        <w:tabs>
          <w:tab w:leader="none" w:pos="680" w:val="left"/>
        </w:tabs>
        <w:numPr>
          <w:ilvl w:val="0"/>
          <w:numId w:val="85"/>
        </w:numPr>
        <w:rPr>
          <w:rFonts w:ascii="Arial" w:cs="Arial" w:eastAsia="Arial" w:hAnsi="Arial"/>
          <w:sz w:val="16"/>
          <w:szCs w:val="16"/>
          <w:color w:val="231F20"/>
        </w:rPr>
      </w:pPr>
      <w:r>
        <w:rPr>
          <w:rFonts w:ascii="Arial" w:cs="Arial" w:eastAsia="Arial" w:hAnsi="Arial"/>
          <w:sz w:val="16"/>
          <w:szCs w:val="16"/>
          <w:color w:val="231F20"/>
        </w:rPr>
        <w:t>Facility Agreement dated December 12, 2019, relating to $1,052,791,260 Loan Facilities among GAS-twenty eight Ltd.; GAS-thirty Ltd., GAS-thirty one Ltd., GAS-thirty two Ltd., GAS-thirty three Ltd., GAS-thirty four Ltd., and GAS-thirty five Ltd., as borrowers, Citibank, N.A. London Branch, DNB (UK) Ltd., Skandinaviska Enskilda Banken AB (publ), Bank of America National Association, Commonwealth Bank of Australia, KfW IPEX-Bank GmbH, National Australia Bank Limited, Oversea-Chinese Banking Corporation Limited, Societe Generale, London Branch, Standard Chartered Bank, BNP Paribas Seoul Branch and The Korea Development Bank as Mandated Lead Arrangers; Citibank, N.A. London Branch, DNB (UK) Ltd., Skandinaviska Enskilda Banken AB (publ), KfW IPEX-Bank GmbH, National Australia Bank Limited, Oversea-Chinese Banking Corporation Limited, Societe Generale, London Branch, Standard Chartered Bank, BNP Paribas Seoul Branch and The Korea Development Bank as bookrunners; DNB Bank ASA, London Branch as Agent and security agent; Citibank N.A., London Branch as ECA Agent and ECA Co-ordinator; Citibank N.A.London Branch and DNB (UK) Ltd., as Global Co-ordinators and GasLog Ltd., GasLog Carriers Ltd., GasLog Partners LP and GasLog Partners Holdings LLC as Guarantors; please see “Item 5. Operating and Financial Review and Prospects—B. Liquidity and Capital Resources—Credit Facilities”.</w:t>
      </w:r>
    </w:p>
    <w:p>
      <w:pPr>
        <w:spacing w:after="0" w:line="167" w:lineRule="exact"/>
        <w:rPr>
          <w:rFonts w:ascii="Arial" w:cs="Arial" w:eastAsia="Arial" w:hAnsi="Arial"/>
          <w:sz w:val="16"/>
          <w:szCs w:val="16"/>
          <w:color w:val="231F20"/>
        </w:rPr>
      </w:pPr>
    </w:p>
    <w:p>
      <w:pPr>
        <w:ind w:left="680" w:right="120" w:hanging="321"/>
        <w:spacing w:after="0" w:line="257" w:lineRule="auto"/>
        <w:tabs>
          <w:tab w:leader="none" w:pos="680" w:val="left"/>
        </w:tabs>
        <w:numPr>
          <w:ilvl w:val="0"/>
          <w:numId w:val="85"/>
        </w:numPr>
        <w:rPr>
          <w:rFonts w:ascii="Arial" w:cs="Arial" w:eastAsia="Arial" w:hAnsi="Arial"/>
          <w:sz w:val="18"/>
          <w:szCs w:val="18"/>
          <w:color w:val="231F20"/>
        </w:rPr>
      </w:pPr>
      <w:r>
        <w:rPr>
          <w:rFonts w:ascii="Arial" w:cs="Arial" w:eastAsia="Arial" w:hAnsi="Arial"/>
          <w:sz w:val="18"/>
          <w:szCs w:val="18"/>
          <w:color w:val="231F20"/>
        </w:rPr>
        <w:t>Facility Agreement dated July 16, 2020, relating to $260,331,250 loan facility among GAS-twenty Ltd., GAS-seven Ltd. and GAS-eight Ltd., as borrowers, BNP Paribas and Credit Suisse AG, as mandated lead arrangers, with BNP Paribas as agent and security agent and Credit Suisse AG as global co-ordinator and bookrunner, guaranteed by GasLog Partners LP and GasLog Partners Holdings LLC; please see “Item 5. Operating and Financial Review and Prospects—B. Liquidity and Capital Resources—Credit Facilities”.</w:t>
      </w:r>
    </w:p>
    <w:p>
      <w:pPr>
        <w:spacing w:after="0" w:line="187" w:lineRule="exact"/>
        <w:rPr>
          <w:rFonts w:ascii="Arial" w:cs="Arial" w:eastAsia="Arial" w:hAnsi="Arial"/>
          <w:sz w:val="18"/>
          <w:szCs w:val="18"/>
          <w:color w:val="231F20"/>
        </w:rPr>
      </w:pPr>
    </w:p>
    <w:p>
      <w:pPr>
        <w:ind w:left="680" w:right="40" w:hanging="321"/>
        <w:spacing w:after="0" w:line="301" w:lineRule="auto"/>
        <w:tabs>
          <w:tab w:leader="none" w:pos="680" w:val="left"/>
        </w:tabs>
        <w:numPr>
          <w:ilvl w:val="0"/>
          <w:numId w:val="85"/>
        </w:numPr>
        <w:rPr>
          <w:rFonts w:ascii="Arial" w:cs="Arial" w:eastAsia="Arial" w:hAnsi="Arial"/>
          <w:sz w:val="16"/>
          <w:szCs w:val="16"/>
          <w:color w:val="231F20"/>
        </w:rPr>
      </w:pPr>
      <w:r>
        <w:rPr>
          <w:rFonts w:ascii="Arial" w:cs="Arial" w:eastAsia="Arial" w:hAnsi="Arial"/>
          <w:sz w:val="16"/>
          <w:szCs w:val="16"/>
          <w:color w:val="231F20"/>
        </w:rPr>
        <w:t>Facility Agreement dated July 16, 2020, relating to $200,000,000 loan facility among GAS-twenty seven Ltd., GAS-twenty one Ltd. and GAS-nineteen Ltd., as borrowers, DNB (UK) Ltd. and ING Bank N.V., London Branch, as mandated lead arrangers, with DNB Bank ASA, London Branch as agent and security agent, DNB (UK) Ltd. and ING Bank N.V., London Branch as bookrunners and ING Bank N.V, London Branch as structuring and documentation bank, guaranteed by GasLog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620"/>
        <w:spacing w:after="0" w:line="277" w:lineRule="auto"/>
        <w:rPr>
          <w:sz w:val="20"/>
          <w:szCs w:val="20"/>
          <w:color w:val="auto"/>
        </w:rPr>
      </w:pPr>
      <w:r>
        <w:rPr>
          <w:rFonts w:ascii="Arial" w:cs="Arial" w:eastAsia="Arial" w:hAnsi="Arial"/>
          <w:sz w:val="18"/>
          <w:szCs w:val="18"/>
          <w:color w:val="231F20"/>
        </w:rPr>
        <w:t>Partners LP, GasLog Partners Holdings LLC, GasLog Ltd. and GasLog Carriers Ltd.; please see “Item 5. Operating and Financial Review and Prospects—B. Liquidity and Capital Resources—Credit Facilities”.</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D.</w:t>
      </w:r>
      <w:r>
        <w:rPr>
          <w:sz w:val="20"/>
          <w:szCs w:val="20"/>
          <w:color w:val="auto"/>
        </w:rPr>
        <w:tab/>
      </w:r>
      <w:r>
        <w:rPr>
          <w:rFonts w:ascii="Arial" w:cs="Arial" w:eastAsia="Arial" w:hAnsi="Arial"/>
          <w:sz w:val="16"/>
          <w:szCs w:val="16"/>
          <w:b w:val="1"/>
          <w:bCs w:val="1"/>
          <w:color w:val="231F20"/>
        </w:rPr>
        <w:t>Exchange Controls and Other Limitations Affecting Security Holders</w:t>
      </w:r>
    </w:p>
    <w:p>
      <w:pPr>
        <w:spacing w:after="0" w:line="229"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We are not aware of any governmental laws, decrees, regulations or other legislation, including foreign exchange controls, in the Republic of the Marshall Islands that may affect the import or export of capital, including the availability of cash and cash equivalents for use by the Partnership, or the remittance of dividends, interest or other payments to non-resident holders of securities.</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E.</w:t>
      </w:r>
      <w:r>
        <w:rPr>
          <w:sz w:val="20"/>
          <w:szCs w:val="20"/>
          <w:color w:val="auto"/>
        </w:rPr>
        <w:tab/>
      </w:r>
      <w:r>
        <w:rPr>
          <w:rFonts w:ascii="Arial" w:cs="Arial" w:eastAsia="Arial" w:hAnsi="Arial"/>
          <w:sz w:val="15"/>
          <w:szCs w:val="15"/>
          <w:b w:val="1"/>
          <w:bCs w:val="1"/>
          <w:color w:val="231F20"/>
        </w:rPr>
        <w:t>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Material U.S. Federal Income Tax Considerations</w:t>
      </w:r>
    </w:p>
    <w:p>
      <w:pPr>
        <w:spacing w:after="0" w:line="229" w:lineRule="exact"/>
        <w:rPr>
          <w:sz w:val="20"/>
          <w:szCs w:val="20"/>
          <w:color w:val="auto"/>
        </w:rPr>
      </w:pPr>
    </w:p>
    <w:p>
      <w:pPr>
        <w:jc w:val="both"/>
        <w:ind w:right="80" w:firstLine="324"/>
        <w:spacing w:after="0" w:line="296" w:lineRule="auto"/>
        <w:rPr>
          <w:sz w:val="20"/>
          <w:szCs w:val="20"/>
          <w:color w:val="auto"/>
        </w:rPr>
      </w:pPr>
      <w:r>
        <w:rPr>
          <w:rFonts w:ascii="Arial" w:cs="Arial" w:eastAsia="Arial" w:hAnsi="Arial"/>
          <w:sz w:val="16"/>
          <w:szCs w:val="16"/>
          <w:color w:val="auto"/>
        </w:rPr>
        <w:t>The following is a discussion of the material U.S. federal income tax considerations that may be relevant to prospective unitholders. This discussion is based upon provisions of the Code, Treasury Regulations and current administrative rulings and court decisions, all as in effect or existence on the date of this annual report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6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following discussion applies only to beneficial owners of common units or Preference Units that own the common units or Preference Units as “capital assets” within the meaning of Section 1221 of the Code (i.e., generally, for investment purposes) and is not intended to be applicable to all categories of investors, such as unitholders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or Preference Units, the tax treatment of its partners generally will depend upon the status of the partner and the activities of the partnership. If you are a partner in a partnership holding our common units or Preference Units, you are encouraged to consult your own tax advisor regarding the tax consequences to you of the partnership’s ownership of our common units or Preference Units.</w:t>
      </w:r>
    </w:p>
    <w:p>
      <w:pPr>
        <w:spacing w:after="0" w:line="18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unitholders. The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common units or Preference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common units or Preference Units.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Treated as a Corporation</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elected to be treated as a corporation for U.S. federal income tax purposes. As a result, U.S. Holders (as defined below) will not be directly subject to U.S. federal income tax on our income, but rather will be subject to U.S. federal income tax on distributions received from us and dispositions of units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used herein, the term “U.S. Holder” means a beneficial owner of our common units or Preference Units that owns (actually or constructively) less than 10.0% of our equity and that is:</w:t>
      </w:r>
    </w:p>
    <w:p>
      <w:pPr>
        <w:spacing w:after="0" w:line="170" w:lineRule="exact"/>
        <w:rPr>
          <w:sz w:val="20"/>
          <w:szCs w:val="20"/>
          <w:color w:val="auto"/>
        </w:rPr>
      </w:pPr>
    </w:p>
    <w:p>
      <w:pPr>
        <w:ind w:left="4880" w:right="2680" w:hanging="4521"/>
        <w:spacing w:after="0" w:line="778" w:lineRule="auto"/>
        <w:tabs>
          <w:tab w:leader="none" w:pos="689" w:val="left"/>
        </w:tabs>
        <w:numPr>
          <w:ilvl w:val="0"/>
          <w:numId w:val="86"/>
        </w:numPr>
        <w:rPr>
          <w:rFonts w:ascii="Arial" w:cs="Arial" w:eastAsia="Arial" w:hAnsi="Arial"/>
          <w:sz w:val="18"/>
          <w:szCs w:val="18"/>
          <w:color w:val="auto"/>
        </w:rPr>
      </w:pPr>
      <w:r>
        <w:rPr>
          <w:rFonts w:ascii="Arial" w:cs="Arial" w:eastAsia="Arial" w:hAnsi="Arial"/>
          <w:sz w:val="18"/>
          <w:szCs w:val="18"/>
          <w:color w:val="231F20"/>
        </w:rPr>
        <w:t xml:space="preserve">an individual U.S. citizen or resident (as determined for U.S. federal income tax purposes); </w:t>
      </w:r>
      <w:r>
        <w:rPr>
          <w:rFonts w:ascii="Arial" w:cs="Arial" w:eastAsia="Arial" w:hAnsi="Arial"/>
          <w:sz w:val="18"/>
          <w:szCs w:val="18"/>
          <w:color w:val="000000"/>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160" w:hanging="321"/>
        <w:spacing w:after="0" w:line="277" w:lineRule="auto"/>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231F20"/>
        </w:rPr>
        <w:t>a corporation (or other entity that is classified as a corporation for U.S. federal income tax purposes) organized under the laws of the United States, any state thereof or the District of Columbia;</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231F20"/>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ind w:left="680" w:right="140" w:hanging="321"/>
        <w:spacing w:after="0" w:line="263" w:lineRule="auto"/>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231F20"/>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Distributions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Subject to the discussion below of the rules applicable to PFICs, any distributions to a U.S. Holder made by us with respect to our common units or Preference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or Preference Units and thereafter as capital gain. U.S. Holders that are corporations generally will not be entitled to claim a dividend received deduction with respect to distributions they receive from us. Dividends received with respect to our common units or Preference Units generally will be treated as foreign source “passive category income” for purposes of computing allowable foreign tax credits for U.S. federal income tax purposes.</w:t>
      </w:r>
    </w:p>
    <w:p>
      <w:pPr>
        <w:spacing w:after="0" w:line="166"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 xml:space="preserve">Dividends received with respect to our common units or Preference Units by a U.S. Holder that is an individual, trust or estate, or a “U.S. Individual Holder”, generally will be treated as “qualified dividend income”, which is taxable to such U.S. Individual Holder at preferential tax rates provided that: (i) our common units or Preference Units, as the case may be, are readily tradable on an established securities market in the United States (such as the NYSE on which our common units and Preference Units are currently traded); (ii) we are not a PFIC for the tax year during which the </w:t>
      </w:r>
      <w:r>
        <w:rPr>
          <w:rFonts w:ascii="Arial" w:cs="Arial" w:eastAsia="Arial" w:hAnsi="Arial"/>
          <w:sz w:val="17"/>
          <w:szCs w:val="17"/>
          <w:color w:val="231F20"/>
        </w:rPr>
        <w:t>dividend is paid or the immediately preceding tax year (which we do not believe we are,</w:t>
      </w:r>
      <w:r>
        <w:rPr>
          <w:rFonts w:ascii="Arial" w:cs="Arial" w:eastAsia="Arial" w:hAnsi="Arial"/>
          <w:sz w:val="17"/>
          <w:szCs w:val="17"/>
          <w:color w:val="auto"/>
        </w:rPr>
        <w:t xml:space="preserve"> </w:t>
      </w:r>
      <w:r>
        <w:rPr>
          <w:rFonts w:ascii="Arial" w:cs="Arial" w:eastAsia="Arial" w:hAnsi="Arial"/>
          <w:sz w:val="17"/>
          <w:szCs w:val="17"/>
          <w:color w:val="231F20"/>
        </w:rPr>
        <w:t>have been or will be, as discussed below under “—PFIC Status and Significant Tax Consequences”); (iii) the U.S. Individual Holder has owned the common units or Preference Units for more than 60 days during the 121-day period beginning 60 days before the date on which the common units or Preference Units become ex-dividend (and has not entered into certain risk limiting transactions with respect to such common units or Preference Units); and (iv) the U.S. Individual Holder is not under an obligation to make related payments with respect to positions in substantially similar or related property. There is no assurance that any dividends paid on our common units or Preference Units will be eligible for these preferential rates in the hands of a U.S. Individual Holder, and any distributions paid on our common units or Preference Units that are not eligible for these preferential rates will be taxed at ordinary income rates to a U.S. Individual Holder.</w:t>
      </w:r>
    </w:p>
    <w:p>
      <w:pPr>
        <w:spacing w:after="0" w:line="18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Special rules may apply to any amounts received in respect of our common units or Preference Units that are treated as “extraordinary dividends”. In general, an extraordinary dividend is a dividend with respect to a common unit that is equal to or in excess of 10.0% of a unitholder’s adjusted tax basis (or fair market value upon the unitholder’s election) in such common unit (5% in the case of Preference Units). In addition, extraordinary dividends include dividends received within a one-year period that, in the aggregate, equal or exceed 20.0% of a unitholder’s adjusted tax basis (or fair market value). If we pay an “extraordinary dividend” on our common units or Preference Units that is treated as “qualified dividend income”, then any loss recognized by a U.S. Individual Holder from the sale or exchange of such common units or Preference Units will be treated as long-term capital loss to the extent of the amount of such dividend.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Sale, Exchange or Other Disposition of Common units or Preference Units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 xml:space="preserve">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w:t>
      </w:r>
      <w:r>
        <w:rPr>
          <w:rFonts w:ascii="Arial" w:cs="Arial" w:eastAsia="Arial" w:hAnsi="Arial"/>
          <w:sz w:val="16"/>
          <w:szCs w:val="16"/>
          <w:color w:val="231F20"/>
        </w:rPr>
        <w:t>U.S. federal income</w:t>
      </w:r>
      <w:r>
        <w:rPr>
          <w:rFonts w:ascii="Arial" w:cs="Arial" w:eastAsia="Arial" w:hAnsi="Arial"/>
          <w:sz w:val="16"/>
          <w:szCs w:val="16"/>
          <w:color w:val="auto"/>
        </w:rPr>
        <w:t xml:space="preserve"> </w:t>
      </w:r>
      <w:r>
        <w:rPr>
          <w:rFonts w:ascii="Arial" w:cs="Arial" w:eastAsia="Arial" w:hAnsi="Arial"/>
          <w:sz w:val="16"/>
          <w:szCs w:val="16"/>
          <w:color w:val="231F20"/>
        </w:rPr>
        <w:t>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Medicare Tax on Net Investment Income</w:t>
      </w:r>
    </w:p>
    <w:p>
      <w:pPr>
        <w:spacing w:after="0" w:line="17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 or Preference Units.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PFIC Status and Significant Tax Consequences</w:t>
      </w:r>
    </w:p>
    <w:p>
      <w:pPr>
        <w:spacing w:after="0" w:line="17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 xml:space="preserve">Adverse U.S. federal income tax rules apply to a U.S. Holder that owns an equity interest in a non-U.S. corporation that is classified as a PFIC for U.S. federal income tax purposes. In general, we </w:t>
      </w:r>
      <w:r>
        <w:rPr>
          <w:rFonts w:ascii="Arial" w:cs="Arial" w:eastAsia="Arial" w:hAnsi="Arial"/>
          <w:sz w:val="18"/>
          <w:szCs w:val="18"/>
          <w:color w:val="231F20"/>
        </w:rPr>
        <w:t>will be treated as a PFIC with respect to a U.S. Holder if, for any tax year</w:t>
      </w:r>
      <w:r>
        <w:rPr>
          <w:rFonts w:ascii="Arial" w:cs="Arial" w:eastAsia="Arial" w:hAnsi="Arial"/>
          <w:sz w:val="18"/>
          <w:szCs w:val="18"/>
          <w:color w:val="auto"/>
        </w:rPr>
        <w:t xml:space="preserve"> </w:t>
      </w:r>
      <w:r>
        <w:rPr>
          <w:rFonts w:ascii="Arial" w:cs="Arial" w:eastAsia="Arial" w:hAnsi="Arial"/>
          <w:sz w:val="18"/>
          <w:szCs w:val="18"/>
          <w:color w:val="231F20"/>
        </w:rPr>
        <w:t>in which the holder held our units, either:</w:t>
      </w:r>
    </w:p>
    <w:p>
      <w:pPr>
        <w:spacing w:after="0" w:line="130" w:lineRule="exact"/>
        <w:rPr>
          <w:sz w:val="20"/>
          <w:szCs w:val="20"/>
          <w:color w:val="auto"/>
        </w:rPr>
      </w:pPr>
    </w:p>
    <w:p>
      <w:pPr>
        <w:jc w:val="both"/>
        <w:ind w:left="680" w:right="60" w:hanging="321"/>
        <w:spacing w:after="0" w:line="263" w:lineRule="auto"/>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231F20"/>
        </w:rPr>
        <w:t>at least 75.0% of our gross income (including the gross income of our vessel-owning subsidiaries) for such tax year consists of passive income (e.g., dividends, interest, capital gains from the sale or exchange of investment property and rents derived other than in the active conduct of a rental business); or</w:t>
      </w:r>
    </w:p>
    <w:p>
      <w:pPr>
        <w:spacing w:after="0" w:line="129"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231F20"/>
        </w:rPr>
        <w:t>at least 50.0% of the average value of the assets held by us (including the assets of our vessel- owning subsidiaries) during such tax year produce, or are held for the production of, passive income.</w:t>
      </w:r>
    </w:p>
    <w:p>
      <w:pPr>
        <w:spacing w:after="0" w:line="116"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1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Based on our current and projected methods of operation, and an opinion of counsel, we do not believe that we are or will be a PFIC for our current or any future tax year. We have received an opinion of our U.S. counsel, Cravath, Swaine &amp; Moore LLP, in support of this position that concludes that the income our subsidiaries earn from certain of our present time-chartering activities should not constitute passive income for purposes of determining whether we are a PFIC. In addition, we have represented to our U.S. counsel that we expect that more than 25.0% of our gross income for our current tax year and each future year will arise from such time-chartering activities, and more than 50.0% of the average value of our assets for each such year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Our counsel has indicated to us that the conclusions described above are not free from doubt. While there is legal authority</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supporting our conclusions, including IRS pronouncements concerning the characterization of income derived from time charters as services income, the Fifth Circuit held in </w:t>
      </w:r>
      <w:r>
        <w:rPr>
          <w:rFonts w:ascii="Arial" w:cs="Arial" w:eastAsia="Arial" w:hAnsi="Arial"/>
          <w:sz w:val="17"/>
          <w:szCs w:val="17"/>
          <w:i w:val="1"/>
          <w:iCs w:val="1"/>
          <w:color w:val="auto"/>
        </w:rPr>
        <w:t>Tidewater Inc. v. United States</w:t>
      </w:r>
      <w:r>
        <w:rPr>
          <w:rFonts w:ascii="Arial" w:cs="Arial" w:eastAsia="Arial" w:hAnsi="Arial"/>
          <w:sz w:val="17"/>
          <w:szCs w:val="17"/>
          <w:color w:val="auto"/>
        </w:rPr>
        <w:t xml:space="preserve">, 565 F.3d </w:t>
      </w:r>
      <w:r>
        <w:rPr>
          <w:rFonts w:ascii="Arial" w:cs="Arial" w:eastAsia="Arial" w:hAnsi="Arial"/>
          <w:sz w:val="25"/>
          <w:szCs w:val="25"/>
          <w:color w:val="auto"/>
          <w:vertAlign w:val="superscript"/>
        </w:rPr>
        <w:t>2</w:t>
      </w:r>
      <w:r>
        <w:rPr>
          <w:rFonts w:ascii="Arial" w:cs="Arial" w:eastAsia="Arial" w:hAnsi="Arial"/>
          <w:sz w:val="17"/>
          <w:szCs w:val="17"/>
          <w:color w:val="auto"/>
        </w:rPr>
        <w:t xml:space="preserve">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case and, at the same time, announced the position of the IRS that the marine time charter agreements at issue in that case should be treated as service contracts.</w:t>
      </w:r>
    </w:p>
    <w:p>
      <w:pPr>
        <w:spacing w:after="0" w:line="14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 year, we cannot assure unitholders that the nature of our operations will not change in the future and that we will not become a PFIC in any future tax year.</w:t>
      </w:r>
    </w:p>
    <w:p>
      <w:pPr>
        <w:sectPr>
          <w:pgSz w:w="11900" w:h="16838" w:orient="portrait"/>
          <w:cols w:equalWidth="0" w:num="1">
            <w:col w:w="9900"/>
          </w:cols>
          <w:pgMar w:left="980" w:top="517" w:right="101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discussed more fully below, if we were to be treated as a PFIC for any tax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or Preference Units, as discussed below. In addition, if a U.S. Holder owns our common units or Preference Units during any tax year that we are a PFIC, such units owned by such holder will be treated as PFIC units even if we are not a PFIC in a subsequent year and, if the total value of all PFIC stock that such holder directly or indirectly owns exceeds certain thresholds, such holder must file IRS Form 8621 with your U.S. federal income tax return to report your ownership of our common units or Preference Units.</w:t>
      </w:r>
    </w:p>
    <w:p>
      <w:pPr>
        <w:spacing w:after="0" w:line="19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Taxation of U.S. Holders Making a Timely QEF Election</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were to be treated as a PFIC for any tax year, and a U.S. Holder makes a timely QEF election, such holder hereinafter an “Electing Holder”, then, for U.S. federal income tax purposes, that holder must report as income for its tax year its pro rata share of our ordinary earnings and net capital gain, if any, for our tax years that end with or within the tax year for which that holder is reporting, regardless of whether or not the Electing Holder received distributions from us in that year. The Electing Holder’s adjusted tax basis in the common units or Preference Units will be increased to reflect taxed but undistributed earnings and profits. Distributions of earnings and profits that were previously taxed will result in a corresponding reduction in the Electing Holder’s adjusted tax basis in common units or Preference Units and will not be taxed again once distributed. An Electing Holder generally will recognize capital gain or loss on the sale, exchange or other disposition of our common units or Preference Units. A U.S. Holder makes a QEF election with respect to any year that we are a PFIC by filing IRS Form 8621 with its U.S. federal income tax return. If contrary to our expectations, we determine that we are treated as a PFIC for any tax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Taxation of U.S. Holders Making a “Mark-to-Market” Election</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If we were to be treated as a PFIC for any tax year and, as we anticipate, our units were treated as “marketable stock”, then, as an alternative to making a QEF election, a U.S. Holder would be allowed to make a “mark-to-market” election with respect to our common units or Preference Units, provided the U.S. Holder completes and files IRS Form 8621 in accordance with the relevant instructions and related Treasury Regulations. If that election is made, the U.S. Holder generally would include as ordinary income in each tax year the excess, if any, of the fair market value of the U.S. Holder’s common units or Preference Units at the end of the tax year over the holder’s adjusted tax basis in the common units or Preference Units. The U.S. Holder also would be permitted an ordinary loss in respect of the excess, if any, of the U.S. Holder’s adjusted tax basis in the common units or Preference Units over the fair market value thereof at the end of the tax year, but only to the extent of the net amount previously included in income as a result of the mark-to-market election. A U.S. Holder’s tax basis in its common units or Preference Units would be adjusted to reflect any such income or loss recognized. Gain recognized on the sale, exchange or other disposition of our common units or Preference Units would be treated as ordinary income, and any loss recognized on the sale, exchange or other disposition of the common units or Preference Units would be treated as ordinary loss to the extent that such loss does not exceed the net mark-to-market gains previously included in income by the U.S. Holder. The mark-to-market election generally will not be available with respect to </w:t>
      </w:r>
      <w:r>
        <w:rPr>
          <w:rFonts w:ascii="Arial" w:cs="Arial" w:eastAsia="Arial" w:hAnsi="Arial"/>
          <w:sz w:val="16"/>
          <w:szCs w:val="16"/>
          <w:color w:val="231F20"/>
        </w:rPr>
        <w:t>subsidiaries. Accordingly, in the event we acquire or own a subsidiary in</w:t>
      </w:r>
      <w:r>
        <w:rPr>
          <w:rFonts w:ascii="Arial" w:cs="Arial" w:eastAsia="Arial" w:hAnsi="Arial"/>
          <w:sz w:val="16"/>
          <w:szCs w:val="16"/>
          <w:color w:val="auto"/>
        </w:rPr>
        <w:t xml:space="preserve"> </w:t>
      </w:r>
      <w:r>
        <w:rPr>
          <w:rFonts w:ascii="Arial" w:cs="Arial" w:eastAsia="Arial" w:hAnsi="Arial"/>
          <w:sz w:val="16"/>
          <w:szCs w:val="16"/>
          <w:color w:val="231F20"/>
        </w:rPr>
        <w:t>the future that is treated as a PFIC, the mark-to-market election generally will not be available with respect to such subsidiary.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Taxation of U.S. Holders Not Making a Timely QEF or Mark-to-Market Election</w:t>
      </w:r>
    </w:p>
    <w:p>
      <w:pPr>
        <w:spacing w:after="0" w:line="225"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If we were to be treated as a PFIC for any tax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common units or Preference Units in a tax year in excess of 125.0% of the average annual distributions received by the Non-Electing Holder in the three preceding tax years, or, if shorter, the portion of the Non-Electing Holder’s holding period for the common units or</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Preference Units before the tax year) and (2) any gain realized on the sale, exchange or other disposition of the units. Under these special rules:</w:t>
      </w:r>
    </w:p>
    <w:p>
      <w:pPr>
        <w:spacing w:after="0" w:line="170" w:lineRule="exact"/>
        <w:rPr>
          <w:sz w:val="20"/>
          <w:szCs w:val="20"/>
          <w:color w:val="auto"/>
        </w:rPr>
      </w:pPr>
    </w:p>
    <w:p>
      <w:pPr>
        <w:ind w:left="680" w:right="400" w:hanging="321"/>
        <w:spacing w:after="0" w:line="277"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231F20"/>
        </w:rPr>
        <w:t>the excess distribution or gain would be allocated ratably over the Non-Electing Holder’s aggregate holding period for the common units or Preference Units;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231F20"/>
        </w:rPr>
        <w:t>the amount allocated to the current tax year and any tax year prior to the tax year we were first treated as a PFIC with respect to the Non-Electing Holder would be taxed as ordinary income; and</w:t>
      </w:r>
    </w:p>
    <w:p>
      <w:pPr>
        <w:spacing w:after="0" w:line="170" w:lineRule="exact"/>
        <w:rPr>
          <w:rFonts w:ascii="Arial" w:cs="Arial" w:eastAsia="Arial" w:hAnsi="Arial"/>
          <w:sz w:val="18"/>
          <w:szCs w:val="18"/>
          <w:color w:val="auto"/>
        </w:rPr>
      </w:pPr>
    </w:p>
    <w:p>
      <w:pPr>
        <w:ind w:left="680" w:right="140" w:hanging="321"/>
        <w:spacing w:after="0" w:line="263"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231F20"/>
        </w:rPr>
        <w:t>the amount allocated to each of the other tax years would be subject to tax at the highest rate of tax in effect for the applicable class of taxpayers for that year, and an interest charge for the deemed deferral benefit would be imposed with respect to the resulting tax attributable to each such other tax year.</w:t>
      </w:r>
    </w:p>
    <w:p>
      <w:pPr>
        <w:spacing w:after="0" w:line="18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These penalties would not apply to a qualified pension, profit sharing or other retirement trust or other tax-exempt organization that did not borrow money or otherwise utilize leverage in connection with its acquisition of our common units or Preference Units. If we were treated as a PFIC for any tax year and a Non-Electing Holder who is an individual dies while owning our common units or Preference Units, such holder’s successor generally would not receive a step-up in tax basis with respect to such units.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 beneficial owner of our common units or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or Preference Units, you are encouraged to consult your own tax advisor regarding the tax consequences to you of the partnership’s ownership of our common units or Preference Units.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Distributions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and, if, required by such income tax treaty, the income arising from the distribution is not attributable to a U.S. permanent establishment maintained by the Non-U.S. Holder.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Disposition of Units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general, a Non-U.S. Holder is not subject to U.S. federal income tax or withholding tax on any gain resulting from the disposition of our common units or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as required by such income tax treaty). However, even if not engaged in a U.S. trade or business, individual Non-U.S. Holders may be subject to tax on gain resulting from the disposition of our common units or Preference Units if they are present in the United States for 183 days or more during the tax year in which those units are disposed and meet certain other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Backup Withholding and Information Reporting</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general, payments to a U.S. Individual Holder of distributions or the proceeds of a disposition of common units or Preference Units will be subject to information reporting. These payments to a U.S. Individual Holder also may be subject to backup withholding if the U.S. Individual Holder:</w:t>
      </w:r>
    </w:p>
    <w:p>
      <w:pPr>
        <w:spacing w:after="0" w:line="184" w:lineRule="exact"/>
        <w:rPr>
          <w:sz w:val="20"/>
          <w:szCs w:val="20"/>
          <w:color w:val="auto"/>
        </w:rPr>
      </w:pPr>
    </w:p>
    <w:p>
      <w:pPr>
        <w:ind w:left="4820" w:right="4780" w:hanging="4461"/>
        <w:spacing w:after="0" w:line="905" w:lineRule="auto"/>
        <w:tabs>
          <w:tab w:leader="none" w:pos="674" w:val="left"/>
        </w:tabs>
        <w:numPr>
          <w:ilvl w:val="0"/>
          <w:numId w:val="90"/>
        </w:numPr>
        <w:rPr>
          <w:rFonts w:ascii="Arial" w:cs="Arial" w:eastAsia="Arial" w:hAnsi="Arial"/>
          <w:sz w:val="16"/>
          <w:szCs w:val="16"/>
          <w:color w:val="auto"/>
        </w:rPr>
      </w:pPr>
      <w:r>
        <w:rPr>
          <w:rFonts w:ascii="Arial" w:cs="Arial" w:eastAsia="Arial" w:hAnsi="Arial"/>
          <w:sz w:val="16"/>
          <w:szCs w:val="16"/>
          <w:color w:val="231F20"/>
        </w:rPr>
        <w:t xml:space="preserve">fails to provide an accurate taxpayer identification number; </w:t>
      </w:r>
      <w:r>
        <w:rPr>
          <w:rFonts w:ascii="Arial" w:cs="Arial" w:eastAsia="Arial" w:hAnsi="Arial"/>
          <w:sz w:val="16"/>
          <w:szCs w:val="16"/>
          <w:color w:val="000000"/>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77"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231F20"/>
        </w:rPr>
        <w:t>is notified by the IRS that it has failed to report all interest or corporate distributions required to be reported on its U.S. federal income tax returns; or</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231F20"/>
        </w:rPr>
        <w:t>in certain circumstances, fails to comply with applicable certification requirements.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17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8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w:t>
      </w:r>
      <w:r>
        <w:rPr>
          <w:rFonts w:ascii="Arial" w:cs="Arial" w:eastAsia="Arial" w:hAnsi="Arial"/>
          <w:sz w:val="17"/>
          <w:szCs w:val="17"/>
          <w:color w:val="231F20"/>
        </w:rPr>
        <w:t>Higher reporting thresholds apply to certain individuals living</w:t>
      </w:r>
      <w:r>
        <w:rPr>
          <w:rFonts w:ascii="Arial" w:cs="Arial" w:eastAsia="Arial" w:hAnsi="Arial"/>
          <w:sz w:val="17"/>
          <w:szCs w:val="17"/>
          <w:color w:val="auto"/>
        </w:rPr>
        <w:t xml:space="preserve"> </w:t>
      </w:r>
      <w:r>
        <w:rPr>
          <w:rFonts w:ascii="Arial" w:cs="Arial" w:eastAsia="Arial" w:hAnsi="Arial"/>
          <w:sz w:val="17"/>
          <w:szCs w:val="17"/>
          <w:color w:val="231F20"/>
        </w:rPr>
        <w:t>abroad and to certain married individuals. Regulations extend this reporting requirement to certain entities that are treated as formed or availed of to hold direct or indirect interests in specified foreign financial assets based on certain objective criteria. Unitholders are encouraged to consult their tax advisors regarding their reporting obligations, if any, that would result from their purchase, ownership or disposition of our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Marshall Islands Tax Consequences</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following discussion is based upon the current laws of the Republic of the Marshall Islands applicable to persons who are not residents of, maintain offices in, engage in business in the Republic of the Marshall Islands or who are not citizens of the Marshall Islands.</w:t>
      </w:r>
    </w:p>
    <w:p>
      <w:pPr>
        <w:spacing w:after="0" w:line="18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 xml:space="preserve">Because we and our subsidiaries do not and do not expect to conduct business or operations in the Republic of the Marshall Islands, under current Marshall Islands law you will not be subject to </w:t>
      </w:r>
      <w:r>
        <w:rPr>
          <w:rFonts w:ascii="Arial" w:cs="Arial" w:eastAsia="Arial" w:hAnsi="Arial"/>
          <w:sz w:val="16"/>
          <w:szCs w:val="16"/>
          <w:color w:val="231F20"/>
        </w:rPr>
        <w:t>Marshall Islands taxation or withholding on distributions, including upon</w:t>
      </w:r>
      <w:r>
        <w:rPr>
          <w:rFonts w:ascii="Arial" w:cs="Arial" w:eastAsia="Arial" w:hAnsi="Arial"/>
          <w:sz w:val="16"/>
          <w:szCs w:val="16"/>
          <w:color w:val="auto"/>
        </w:rPr>
        <w:t xml:space="preserve"> </w:t>
      </w:r>
      <w:r>
        <w:rPr>
          <w:rFonts w:ascii="Arial" w:cs="Arial" w:eastAsia="Arial" w:hAnsi="Arial"/>
          <w:sz w:val="16"/>
          <w:szCs w:val="16"/>
          <w:color w:val="231F20"/>
        </w:rPr>
        <w:t>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in the Republic of the Marshall Islands relating to your ownership of common units.</w:t>
      </w:r>
    </w:p>
    <w:p>
      <w:pPr>
        <w:spacing w:after="0" w:line="16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EACH PROSPECTIVE UNITHOLDER IS ENCOURAGED TO CONSULT ITS OWN TAX COUNSEL OR OTHER ADVISOR WITH REGARD TO THE LEGAL AND TAX CONSEQUENCES OF UNIT OWNERSHIP UNDER ITS PARTICULAR CIRCUMSTANCES.</w:t>
      </w:r>
    </w:p>
    <w:p>
      <w:pPr>
        <w:spacing w:after="0" w:line="180" w:lineRule="exact"/>
        <w:rPr>
          <w:sz w:val="20"/>
          <w:szCs w:val="20"/>
          <w:color w:val="auto"/>
        </w:rPr>
      </w:pPr>
    </w:p>
    <w:p>
      <w:pPr>
        <w:ind w:left="340" w:right="7280" w:hanging="332"/>
        <w:spacing w:after="0" w:line="500" w:lineRule="auto"/>
        <w:tabs>
          <w:tab w:leader="none" w:pos="340" w:val="left"/>
        </w:tabs>
        <w:numPr>
          <w:ilvl w:val="0"/>
          <w:numId w:val="92"/>
        </w:numPr>
        <w:rPr>
          <w:rFonts w:ascii="Arial" w:cs="Arial" w:eastAsia="Arial" w:hAnsi="Arial"/>
          <w:sz w:val="18"/>
          <w:szCs w:val="18"/>
          <w:b w:val="1"/>
          <w:bCs w:val="1"/>
          <w:color w:val="231F20"/>
        </w:rPr>
      </w:pPr>
      <w:r>
        <w:rPr>
          <w:rFonts w:ascii="Arial" w:cs="Arial" w:eastAsia="Arial" w:hAnsi="Arial"/>
          <w:sz w:val="18"/>
          <w:szCs w:val="18"/>
          <w:b w:val="1"/>
          <w:bCs w:val="1"/>
          <w:color w:val="231F20"/>
        </w:rPr>
        <w:t xml:space="preserve">Dividends and Paying Agents </w:t>
      </w:r>
      <w:r>
        <w:rPr>
          <w:rFonts w:ascii="Arial" w:cs="Arial" w:eastAsia="Arial" w:hAnsi="Arial"/>
          <w:sz w:val="18"/>
          <w:szCs w:val="18"/>
          <w:color w:val="000000"/>
        </w:rPr>
        <w:t>Not applicable.</w:t>
      </w:r>
    </w:p>
    <w:p>
      <w:pPr>
        <w:spacing w:after="0" w:line="1" w:lineRule="exact"/>
        <w:rPr>
          <w:rFonts w:ascii="Arial" w:cs="Arial" w:eastAsia="Arial" w:hAnsi="Arial"/>
          <w:sz w:val="18"/>
          <w:szCs w:val="18"/>
          <w:b w:val="1"/>
          <w:bCs w:val="1"/>
          <w:color w:val="231F20"/>
        </w:rPr>
      </w:pPr>
    </w:p>
    <w:p>
      <w:pPr>
        <w:ind w:left="340" w:right="7860" w:hanging="332"/>
        <w:spacing w:after="0" w:line="563" w:lineRule="auto"/>
        <w:tabs>
          <w:tab w:leader="none" w:pos="340" w:val="left"/>
        </w:tabs>
        <w:numPr>
          <w:ilvl w:val="0"/>
          <w:numId w:val="92"/>
        </w:numPr>
        <w:rPr>
          <w:rFonts w:ascii="Arial" w:cs="Arial" w:eastAsia="Arial" w:hAnsi="Arial"/>
          <w:sz w:val="16"/>
          <w:szCs w:val="16"/>
          <w:b w:val="1"/>
          <w:bCs w:val="1"/>
          <w:color w:val="231F20"/>
        </w:rPr>
      </w:pPr>
      <w:r>
        <w:rPr>
          <w:rFonts w:ascii="Arial" w:cs="Arial" w:eastAsia="Arial" w:hAnsi="Arial"/>
          <w:sz w:val="16"/>
          <w:szCs w:val="16"/>
          <w:b w:val="1"/>
          <w:bCs w:val="1"/>
          <w:color w:val="231F20"/>
        </w:rPr>
        <w:t xml:space="preserve">Statement by Experts </w:t>
      </w:r>
      <w:r>
        <w:rPr>
          <w:rFonts w:ascii="Arial" w:cs="Arial" w:eastAsia="Arial" w:hAnsi="Arial"/>
          <w:sz w:val="16"/>
          <w:szCs w:val="16"/>
          <w:color w:val="000000"/>
        </w:rPr>
        <w:t>Not applicable.</w:t>
      </w:r>
    </w:p>
    <w:p>
      <w:pPr>
        <w:ind w:left="340" w:hanging="332"/>
        <w:spacing w:after="0"/>
        <w:tabs>
          <w:tab w:leader="none" w:pos="340" w:val="left"/>
        </w:tabs>
        <w:numPr>
          <w:ilvl w:val="0"/>
          <w:numId w:val="92"/>
        </w:numPr>
        <w:rPr>
          <w:rFonts w:ascii="Arial" w:cs="Arial" w:eastAsia="Arial" w:hAnsi="Arial"/>
          <w:sz w:val="18"/>
          <w:szCs w:val="18"/>
          <w:b w:val="1"/>
          <w:bCs w:val="1"/>
          <w:color w:val="231F20"/>
        </w:rPr>
      </w:pPr>
      <w:r>
        <w:rPr>
          <w:rFonts w:ascii="Arial" w:cs="Arial" w:eastAsia="Arial" w:hAnsi="Arial"/>
          <w:sz w:val="18"/>
          <w:szCs w:val="18"/>
          <w:b w:val="1"/>
          <w:bCs w:val="1"/>
          <w:color w:val="231F20"/>
        </w:rPr>
        <w:t>Documents on Display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Arial" w:cs="Arial" w:eastAsia="Arial" w:hAnsi="Arial"/>
          <w:sz w:val="17"/>
          <w:szCs w:val="17"/>
          <w:i w:val="1"/>
          <w:iCs w:val="1"/>
          <w:color w:val="auto"/>
        </w:rPr>
        <w:t>http://www.sec.gov.</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7620" w:hanging="332"/>
        <w:spacing w:after="0" w:line="563" w:lineRule="auto"/>
        <w:tabs>
          <w:tab w:leader="none" w:pos="340" w:val="left"/>
        </w:tabs>
        <w:numPr>
          <w:ilvl w:val="0"/>
          <w:numId w:val="93"/>
        </w:numPr>
        <w:rPr>
          <w:rFonts w:ascii="Arial" w:cs="Arial" w:eastAsia="Arial" w:hAnsi="Arial"/>
          <w:sz w:val="16"/>
          <w:szCs w:val="16"/>
          <w:b w:val="1"/>
          <w:bCs w:val="1"/>
          <w:color w:val="231F20"/>
        </w:rPr>
      </w:pPr>
      <w:r>
        <w:rPr>
          <w:rFonts w:ascii="Arial" w:cs="Arial" w:eastAsia="Arial" w:hAnsi="Arial"/>
          <w:sz w:val="16"/>
          <w:szCs w:val="16"/>
          <w:b w:val="1"/>
          <w:bCs w:val="1"/>
          <w:color w:val="231F20"/>
        </w:rPr>
        <w:t xml:space="preserve">Subsidiary Information </w:t>
      </w:r>
      <w:r>
        <w:rPr>
          <w:rFonts w:ascii="Arial" w:cs="Arial" w:eastAsia="Arial" w:hAnsi="Arial"/>
          <w:sz w:val="16"/>
          <w:szCs w:val="16"/>
          <w:color w:val="000000"/>
        </w:rPr>
        <w:t>Not applicable.</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QUANTITATIVE AND QUALITATIVE DISCLOSURES ABOUT MARKET RISK</w:t>
      </w:r>
    </w:p>
    <w:p>
      <w:pPr>
        <w:spacing w:after="0" w:line="229"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We are exposed to various market risks, including interest rate and foreign currency exchange risks. From time to time, we may make use of derivative financial instruments such as derivative contracts to maintain the desired level of exposure arising from these risks.</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 discussion of our accounting policies for derivative financial instruments is included in Note 2 to our annual consolidated financial statements included elsewhere in this annual report. Further information on our exposure to market risk is included in Note 16 to our annual consolidated financial statements included elsewhere in this annual report.</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17" w:right="11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9" w:lineRule="exact"/>
        <w:rPr>
          <w:sz w:val="20"/>
          <w:szCs w:val="20"/>
          <w:color w:val="auto"/>
        </w:rPr>
      </w:pPr>
    </w:p>
    <w:p>
      <w:pPr>
        <w:ind w:left="340" w:right="180" w:firstLine="360"/>
        <w:spacing w:after="0" w:line="263" w:lineRule="auto"/>
        <w:rPr>
          <w:sz w:val="20"/>
          <w:szCs w:val="20"/>
          <w:color w:val="auto"/>
        </w:rPr>
      </w:pPr>
      <w:r>
        <w:rPr>
          <w:rFonts w:ascii="Arial" w:cs="Arial" w:eastAsia="Arial" w:hAnsi="Arial"/>
          <w:sz w:val="18"/>
          <w:szCs w:val="18"/>
          <w:color w:val="auto"/>
        </w:rPr>
        <w:t>There has been no material default in the payment of principal, interest, sinking or purchase fund installments or any other material default relating to the Partnership’s debt. There have been no arrears in payment of dividends on, or material delinquency with respect to, any class of preference shares of the Partnership or any of its subsidiaries.</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August 2020, our board of directors approved an amendment to the Partnership’s sixth Amended and Restated Agreement of Limited Partnership that (1) decreased the number of directors from seven to five and (2) provided that the Board shall consist of three appointed directors and two elected directors.</w:t>
      </w:r>
    </w:p>
    <w:p>
      <w:pPr>
        <w:spacing w:after="0" w:line="18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June 24, 2019, we and GasLog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On July 1, 2021, GasLog Partners issued 415,000 common units in connection with GasLog’s option to convert the second tranche of its Class B units. The remaining Class B units will become eligible for conversion on a one-for-one basis into common units at GasLog’s option on July 1, 2022, July 1, 2023, July 1, 2024 and July 1, 2025 for the Class B-2 units, Class B-3 units, Class B-4 units, Class B-5 units and the Class B-6 units, respectively. Following the IDR elimination, the Partnership’s profit allocation is based on the revised distribution policy for available cash stated in the Partnership Agreement as amended, effective June 30, 2019, and under which 98.0% of the available cash is distributed to the common unitholders and 2.0% is distributed to the general partner. In connection with the modification to the IDRs we entered into a Sixth Amended and Restated Agreement of Limited Partnership which replaced the Fifth Amended and Restated Limited Partnership Agreement in its entirety. Please see our Sixth Amended and Restated Limited Partnership Agreement, filed as an exhibit hereto, for additional information about our IDRs.</w:t>
      </w:r>
    </w:p>
    <w:p>
      <w:pPr>
        <w:spacing w:after="0" w:line="18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On November 27, 2018, we and GasLog entered into an agreement to modify the partnership agreement with respect to the general partner IDRs. The modification reduced the general partner’s IDRs on quarterly distributions above $0.5625 per unit from 48% to 23%. GasLog further agreed to waive the incentive distribution payments resulting from any asset or business acquired by us from a third party. In connection with the modification to the IDRs we entered into a Fifth Amended and Restated Agreement of Limited Partnership which replaced the Fourth Amended and Restated Limited Partnership Agreement in its entirety.</w:t>
      </w:r>
    </w:p>
    <w:p>
      <w:pPr>
        <w:spacing w:after="0" w:line="17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 xml:space="preserve">On November 15, 2018, we completed a public offering of our Series C Preference Units, on January 17, 2018, we completed a public offering of our Series B Preference Units and on May 15, 2017, we completed a public offering of our Series A Preference Units. Our Preference Units rank senior to our common units and to each other class or series of limited partner interests or other equity securities established after the original issue of the Preference Units that is not expressly made senior to or on a parity with the Preference Units as to the payment of distributions and amounts payable upon a liquidation event. In connection with the issuance of the Series A Preference Units, we entered into a Second Amended and Restated Agreement of Limited Partnership which replaced the First Amended and Restated Agreement of Limited Partnership in its entirety. In connection with the </w:t>
      </w:r>
      <w:r>
        <w:rPr>
          <w:rFonts w:ascii="Arial" w:cs="Arial" w:eastAsia="Arial" w:hAnsi="Arial"/>
          <w:sz w:val="17"/>
          <w:szCs w:val="17"/>
          <w:color w:val="231F20"/>
        </w:rPr>
        <w:t>issuance of the Series B Preference</w:t>
      </w:r>
      <w:r>
        <w:rPr>
          <w:rFonts w:ascii="Arial" w:cs="Arial" w:eastAsia="Arial" w:hAnsi="Arial"/>
          <w:sz w:val="17"/>
          <w:szCs w:val="17"/>
          <w:color w:val="auto"/>
        </w:rPr>
        <w:t xml:space="preserve"> </w:t>
      </w:r>
      <w:r>
        <w:rPr>
          <w:rFonts w:ascii="Arial" w:cs="Arial" w:eastAsia="Arial" w:hAnsi="Arial"/>
          <w:sz w:val="17"/>
          <w:szCs w:val="17"/>
          <w:color w:val="231F20"/>
        </w:rPr>
        <w:t>Units, we entered into a Third Amended and Restated Agreement of Limited Partnership which replaced the Second Amended and Restated Agreement of Limited Partnership in its entirety. In connection with the issuance of the Series C Preference Units, we entered into a Fourth Amended and Restated Agreement of Limited Partnership which replaced the Third Amended and Restated Agreement of Limited Partnership in its entirety.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A.</w:t>
      </w:r>
      <w:r>
        <w:rPr>
          <w:sz w:val="20"/>
          <w:szCs w:val="20"/>
          <w:color w:val="auto"/>
        </w:rPr>
        <w:tab/>
      </w:r>
      <w:r>
        <w:rPr>
          <w:rFonts w:ascii="Arial" w:cs="Arial" w:eastAsia="Arial" w:hAnsi="Arial"/>
          <w:sz w:val="15"/>
          <w:szCs w:val="15"/>
          <w:b w:val="1"/>
          <w:bCs w:val="1"/>
          <w:color w:val="231F20"/>
        </w:rPr>
        <w:t>Disclosure Controls and Procedures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management, with the participation of our CEO and CFO, has evaluated the effectiveness of the design and operation of our disclosure controls and procedures, as defined in Rules 13a-15(e) and 15d-15(e) under the Exchange Act as of December 31, 2021. Based on our evaluation, the CEO and the CFO have concluded that, as of December 31, 2021, our disclosure controls and procedures were effective.</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B.</w:t>
      </w:r>
      <w:r>
        <w:rPr>
          <w:sz w:val="20"/>
          <w:szCs w:val="20"/>
          <w:color w:val="auto"/>
        </w:rPr>
        <w:tab/>
      </w:r>
      <w:r>
        <w:rPr>
          <w:rFonts w:ascii="Arial" w:cs="Arial" w:eastAsia="Arial" w:hAnsi="Arial"/>
          <w:sz w:val="16"/>
          <w:szCs w:val="16"/>
          <w:b w:val="1"/>
          <w:bCs w:val="1"/>
          <w:color w:val="231F20"/>
        </w:rPr>
        <w:t>Management’s Annual Report on Internal Control Over Financial Reporting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controls over financial reporting, as such term is defined in Rule 13a-15(f) and 15d-15(f) of the Exchange Act and for the assessment of the effectiveness of internal control over financial reporting. Our internal controls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spacing w:after="0" w:line="188"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Because of the inherent limitations of internal controls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2021.</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C.</w:t>
      </w:r>
      <w:r>
        <w:rPr>
          <w:sz w:val="20"/>
          <w:szCs w:val="20"/>
          <w:color w:val="auto"/>
        </w:rPr>
        <w:tab/>
      </w:r>
      <w:r>
        <w:rPr>
          <w:rFonts w:ascii="Arial" w:cs="Arial" w:eastAsia="Arial" w:hAnsi="Arial"/>
          <w:sz w:val="16"/>
          <w:szCs w:val="16"/>
          <w:b w:val="1"/>
          <w:bCs w:val="1"/>
          <w:color w:val="231F20"/>
        </w:rPr>
        <w:t>Attestation Report of the Registered Public Accounting Firm</w:t>
      </w:r>
    </w:p>
    <w:p>
      <w:pPr>
        <w:spacing w:after="0" w:line="22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2021 has been audited by Deloitte Certified Public Accountants S.A., an independent registered public accounting firm, as stated in their report which appears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Board of Directors and Unitholders of GasLog Partners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Opinion on Internal Control over Financial Reporting</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have audited the internal control over financial reporting of GasLog Partners LP and subsidiaries (the “Partnership”) as of December 31, 2021, based on criteria established in Internal Control—Integrated Framework (2013) issued by the Committee of Sponsoring Organizations of the Treadway Commission (COSO). In our opinion, the Partnership maintained, in all material respects, effective internal control over financial reporting as of December 31, 2021, based on criteria established in Internal Control—Integrated Framework (2013) issued by COSO.</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Partnership and our report dated March 1, 2022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Basis for Opinion</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9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Definition and Limitations of Internal Control over Financial Reporting</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 A partnership’s internal control over financial reporting includes those policies and procedures that (1) pertain to the maintenance of records that, in reasonable detail, accurately and fairly reflect the transactions and dispositions of the assets of the partnership; (2) provide reasonable assurance that transactions are recorded as necessary to permit preparation of financial statements in accordance with generally accepted accounting principles, and that receipts and expenditures of the partnership are being made only in accordance with authorizations of management and directors of the partnership; and (3) provide reasonable assurance regarding prevention or timely detection of unauthorized acquisition, use, or disposition of the partnership’s assets that could have a material effect on the financial statements.</w:t>
      </w:r>
    </w:p>
    <w:p>
      <w:pPr>
        <w:spacing w:after="0" w:line="181"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31F20"/>
        </w:rPr>
        <w:t>/s/ Deloitte Certified Public Accountants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Athens, 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March 1, 2022</w:t>
      </w:r>
    </w:p>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231F20"/>
        </w:rPr>
        <w:t>D.</w:t>
      </w:r>
      <w:r>
        <w:rPr>
          <w:sz w:val="20"/>
          <w:szCs w:val="20"/>
          <w:color w:val="auto"/>
        </w:rPr>
        <w:tab/>
      </w:r>
      <w:r>
        <w:rPr>
          <w:rFonts w:ascii="Arial" w:cs="Arial" w:eastAsia="Arial" w:hAnsi="Arial"/>
          <w:sz w:val="16"/>
          <w:szCs w:val="16"/>
          <w:b w:val="1"/>
          <w:bCs w:val="1"/>
          <w:color w:val="231F20"/>
        </w:rPr>
        <w:t>Changes in Internal Control over Financial Reporting</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There were no material changes to the Partnership’s internal control over financial reporting that occurred during the period covered by this annual report that have materially affected, or are reasonably likely to materially affect, the Partnership’s internal control over financial reporting.</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3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229"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Roland Fisher, Kristin H. Holth and Julian R. Metherell, each of whose biographical details are included in “Item 6. Directors, Senior Management and Employees—A. Directors and Senior Management”, qualifies as an “audit committee financial expert”. Our board of directors has affirmatively determined that each of Mr. Fisher, Ms. Holth and Mr. Metherell meets the definition of “independent director” for purposes of serving on an audit committee under applicable SEC and NYSE rules.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16.B.</w:t>
        <w:tab/>
        <w:t>CODE OF ETHICS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We have adopted a Code of Business Conduct and Ethics for all directors, officers, employees and agents of the Partnership, a copy of which is posted on our website and may be viewed at </w:t>
      </w:r>
      <w:r>
        <w:rPr>
          <w:rFonts w:ascii="Arial" w:cs="Arial" w:eastAsia="Arial" w:hAnsi="Arial"/>
          <w:sz w:val="18"/>
          <w:szCs w:val="18"/>
          <w:i w:val="1"/>
          <w:iCs w:val="1"/>
          <w:color w:val="auto"/>
        </w:rPr>
        <w:t>http://www.gaslogmlp.com.</w:t>
      </w:r>
      <w:r>
        <w:rPr>
          <w:rFonts w:ascii="Arial" w:cs="Arial" w:eastAsia="Arial" w:hAnsi="Arial"/>
          <w:sz w:val="18"/>
          <w:szCs w:val="18"/>
          <w:color w:val="auto"/>
        </w:rPr>
        <w:t xml:space="preserve"> We will also provide a paper copy of this document upon the written request at no cost. Unitholders may direct their requests to the attention of our General Counsel, GasLog Partners LP, 69 Akti Miaouli, 18537 Piraeus, Greece. No waivers of the Code of Business Conduct and Ethics have been granted to any person during the fiscal year ended December 31, 2021.</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have also adopted a Trading Policy that generally prohibits directors, officers, employees, controlling unitholders and their respective related parties (“Covered Persons”) from trading in securities of the Partnership while in possession of material non-public information regarding the Partnership,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Partnership on a short-term basis, (ii) purchasing securities of the Partnership on margin, (iii) purchasing or selling derivatives related to securities of the Partnership (except for certain “permitted hedging derivatives”, which the Trading Policy defines as any derivative transaction to (x) hedge a position in Partnership securities held by the relevant Covered Person for more than 12 months, (y) with respect to the number of Partnership securities less than or equal to the amount such Covered Person could sell at such time in compliance with Rule 144 under the Securities Act of 1933, as amended, and (z) otherwise in compliance with the terms of the Trading Policy) and (iv) selling Partnership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Deloitte Certified Public Accountants S.A. (PCAOB ID No. 1163), an independent registered public accounting firm has audited our annual financial statements acting as our independent auditor for the fiscal year ended December 31, 2021.</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Deloitte LLP (PCAOB ID No. 1147), an independent registered public accounting firm, has audited our annual financial statements acting as our independent auditor for the fiscal years ended December 31, 2019 and December 31, 2020.</w:t>
      </w:r>
    </w:p>
    <w:p>
      <w:pPr>
        <w:spacing w:after="0" w:line="170"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The table below sets forth the total amount billed and accrued for Deloitte Certified Public Accountants S.A. for services performed in 2021 and Deloitte LLP for services performed 2020, respectively, and breaks down these amounts by the category of service. The fees paid to our principal accountant were approved in accordance with the pre-approval policies and procedures described below.</w:t>
      </w:r>
    </w:p>
    <w:p>
      <w:pPr>
        <w:spacing w:after="0" w:line="154" w:lineRule="exact"/>
        <w:rPr>
          <w:sz w:val="20"/>
          <w:szCs w:val="20"/>
          <w:color w:val="auto"/>
        </w:rPr>
      </w:pPr>
    </w:p>
    <w:p>
      <w:pPr>
        <w:ind w:left="7600"/>
        <w:spacing w:after="0"/>
        <w:tabs>
          <w:tab w:leader="none" w:pos="91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jc w:val="center"/>
        <w:ind w:left="7080"/>
        <w:spacing w:after="0" w:line="226" w:lineRule="auto"/>
        <w:rPr>
          <w:sz w:val="20"/>
          <w:szCs w:val="20"/>
          <w:color w:val="auto"/>
        </w:rPr>
      </w:pPr>
      <w:r>
        <w:rPr>
          <w:rFonts w:ascii="Arial" w:cs="Arial" w:eastAsia="Arial" w:hAnsi="Arial"/>
          <w:sz w:val="14"/>
          <w:szCs w:val="14"/>
          <w:b w:val="1"/>
          <w:bCs w:val="1"/>
          <w:color w:val="auto"/>
        </w:rPr>
        <w:t>(Expressed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-88900</wp:posOffset>
            </wp:positionV>
            <wp:extent cx="17830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jc w:val="center"/>
        <w:ind w:left="7080"/>
        <w:spacing w:after="0" w:line="221" w:lineRule="auto"/>
        <w:rPr>
          <w:sz w:val="20"/>
          <w:szCs w:val="20"/>
          <w:color w:val="auto"/>
        </w:rPr>
      </w:pPr>
      <w:r>
        <w:rPr>
          <w:rFonts w:ascii="Arial" w:cs="Arial" w:eastAsia="Arial" w:hAnsi="Arial"/>
          <w:sz w:val="14"/>
          <w:szCs w:val="14"/>
          <w:b w:val="1"/>
          <w:bCs w:val="1"/>
          <w:color w:val="auto"/>
        </w:rPr>
        <w:t>millions of U.S.</w:t>
      </w:r>
    </w:p>
    <w:p>
      <w:pPr>
        <w:jc w:val="center"/>
        <w:ind w:left="7080"/>
        <w:spacing w:after="0" w:line="232" w:lineRule="auto"/>
        <w:rPr>
          <w:sz w:val="20"/>
          <w:szCs w:val="20"/>
          <w:color w:val="auto"/>
        </w:rPr>
      </w:pPr>
      <w:r>
        <w:rPr>
          <w:rFonts w:ascii="Arial" w:cs="Arial" w:eastAsia="Arial" w:hAnsi="Arial"/>
          <w:sz w:val="14"/>
          <w:szCs w:val="14"/>
          <w:b w:val="1"/>
          <w:bCs w:val="1"/>
          <w:color w:val="auto"/>
        </w:rPr>
        <w:t>Dollars)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66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6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10"/>
        </w:trPr>
        <w:tc>
          <w:tcPr>
            <w:tcW w:w="394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31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0.40</w:t>
            </w:r>
          </w:p>
        </w:tc>
      </w:tr>
      <w:tr>
        <w:trPr>
          <w:trHeight w:val="20"/>
        </w:trPr>
        <w:tc>
          <w:tcPr>
            <w:tcW w:w="39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Audit fees represent compensation for professional services rendered for the audit of the consolidated financial statements of the Partnership, fees for the review of the quarterly financial information, as well as in connection with the review of registration statements and related consents and comfort letters, and any other services required for SEC or other regulatory filings.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tax fees were billed by our principal accountant in 2020 and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audit-related fees were billed by our principal accountant in 2020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other fees were billed by our principal accountant in 2020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Our Audit Committee is responsible for the appointment, compensation, retention and oversight of the work of the independent auditors. The Audit Committee is also responsible for reviewing and approving in advance the retention of the independent auditors for the performance of all audits and lawfully permitted non-audit services.</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16.D.</w:t>
        <w:tab/>
        <w:t>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On July 1, 2021, GasLog elected to convert 415,000 Class B-2 units into 415,000 common units in accordance with the terms of the agreement entered into in June 2019 by GasLog and GasLog Partners regarding the elimination of the IDRs held by GasLog.</w:t>
      </w:r>
    </w:p>
    <w:p>
      <w:pPr>
        <w:spacing w:after="0" w:line="12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March 2021, the Partnership established a preference unit repurchase programme, which authorized the repurchase of preference units through March 31, 2023. In the year ended December 31, 2021, and since inception of the Repurchase Programme, the Partnership has repurchased and cancelled an aggregate of 464,429 Series B Preference Units and 269,549 Series C Preference Units at a weighted average price of $25.00 per preference unit for both Series. The total amount repaid during the period for repurchases of preference units was $18.4 million, including commissions.</w:t>
      </w:r>
    </w:p>
    <w:p>
      <w:pPr>
        <w:spacing w:after="0" w:line="188"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On July 1, 2020, GasLog elected to convert 415,000 Class B-1 units into 415,000 common units in accordance with the terms of the agreement entered into in June 2019 by GasLog and GasLog Partners regarding the elimination of the IDRs held by GasLog.</w:t>
      </w:r>
    </w:p>
    <w:p>
      <w:pPr>
        <w:spacing w:after="0" w:line="12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On January 30, 2019, the Partnership announced that its board of directors approved a unit repurchase program of up to $25 million of the Partnership’s common units covering the period from January 31, 2019 to December 31, 2021. On February 6, 2020, the Partnership announced that its board of directors had approved an increase in the amount available under the unit repurchase authority back up to $25.0 million. Under the terms of the repurchase program, the Partnership may repurchase common units from time to time, at the Partnership’s discretion, on the open market or in privately negotiated transactions. Any repurchases are subject to market conditions, applicable legal requirements and other considerations. The Partnership is not obligated under the repurchase program </w:t>
      </w:r>
      <w:r>
        <w:rPr>
          <w:rFonts w:ascii="Arial" w:cs="Arial" w:eastAsia="Arial" w:hAnsi="Arial"/>
          <w:sz w:val="17"/>
          <w:szCs w:val="17"/>
          <w:color w:val="231F20"/>
        </w:rPr>
        <w:t>to repurchase any</w:t>
      </w:r>
      <w:r>
        <w:rPr>
          <w:rFonts w:ascii="Arial" w:cs="Arial" w:eastAsia="Arial" w:hAnsi="Arial"/>
          <w:sz w:val="17"/>
          <w:szCs w:val="17"/>
          <w:color w:val="auto"/>
        </w:rPr>
        <w:t xml:space="preserve"> </w:t>
      </w:r>
      <w:r>
        <w:rPr>
          <w:rFonts w:ascii="Arial" w:cs="Arial" w:eastAsia="Arial" w:hAnsi="Arial"/>
          <w:sz w:val="17"/>
          <w:szCs w:val="17"/>
          <w:color w:val="231F20"/>
        </w:rPr>
        <w:t>specific dollar amount or number of common units, and the repurchase program may be modified, suspended or discontinued at any time or never utilized. Any common units repurchased by the Partnership under the program will be cancelled. As of December 31, 2021, 1,363,062 common units had been repurchased by the Partnership.</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16.F.</w:t>
        <w:tab/>
        <w:t>CHANGE IN PARTNERSHIP’S CERTIFYING ACCOUNTANT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Deloitte LLP (PCAOB ID No. 1147) served as our independent auditor for the fiscal years ended 2020 and 2019.</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As previously reported on our Form 6-K filed with the SEC on March 22, 2021, in March 2021, our audit committee and board of directors, respectively, approved the engagement of Deloitte Certified Public Accountants S.A. (PCAOB ID No. 1163) to audit our financial statements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25"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231F20"/>
        </w:rPr>
        <w:t>Statement of Significant Differences Between Our Corporate Governance Practices and the New York Stock Exchange Corporate Governance Standards for U.S. Non-Controlled Issuers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Pursuant to certain exceptions for foreign private issuers, the Partnership is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unitholders. The significant differences between our corporate governance practices and the NYSE standards applicable to listed U.S. companies are set forth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NYSE rules do not require limited partnerships like us to have boards of directors comprised of a majority of independent directors. </w:t>
      </w:r>
      <w:r>
        <w:rPr>
          <w:rFonts w:ascii="Arial" w:cs="Arial" w:eastAsia="Arial" w:hAnsi="Arial"/>
          <w:sz w:val="18"/>
          <w:szCs w:val="18"/>
          <w:color w:val="231F20"/>
        </w:rPr>
        <w:t>Accordingly, our board of directors is</w:t>
      </w:r>
      <w:r>
        <w:rPr>
          <w:rFonts w:ascii="Arial" w:cs="Arial" w:eastAsia="Arial" w:hAnsi="Arial"/>
          <w:sz w:val="18"/>
          <w:szCs w:val="18"/>
          <w:color w:val="auto"/>
        </w:rPr>
        <w:t xml:space="preserve"> </w:t>
      </w:r>
      <w:r>
        <w:rPr>
          <w:rFonts w:ascii="Arial" w:cs="Arial" w:eastAsia="Arial" w:hAnsi="Arial"/>
          <w:sz w:val="18"/>
          <w:szCs w:val="18"/>
          <w:color w:val="231F20"/>
        </w:rPr>
        <w:t>not required to be comprised of a majority of independent directors. However, our board of directors has determined that each of, Curtis V. Anastasio, Kristin H. Holth, Roland Fisher and Julian R. Metherell satisfies the independence standards established by the NYSE as applicable to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Nominating and Compensation Committee</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 corporate governance committee.</w:t>
      </w:r>
    </w:p>
    <w:p>
      <w:pPr>
        <w:spacing w:after="0" w:line="1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16.H.</w:t>
        <w:tab/>
        <w:t>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is made to pages F-1 through F-47 included herein by reference.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19.</w:t>
        <w:tab/>
        <w:t>EXHIBITS</w:t>
      </w:r>
    </w:p>
    <w:p>
      <w:pPr>
        <w:spacing w:after="0" w:line="239"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1280"/>
        <w:spacing w:after="0" w:line="221"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r:id="rId137">
        <w:r>
          <w:rPr>
            <w:rFonts w:ascii="Arial" w:cs="Arial" w:eastAsia="Arial" w:hAnsi="Arial"/>
            <w:sz w:val="16"/>
            <w:szCs w:val="16"/>
            <w:u w:val="single" w:color="auto"/>
            <w:color w:val="0000EE"/>
          </w:rPr>
          <w:t>Certificate of Limited Partnership of GasLog Partners LP</w:t>
        </w:r>
        <w:r>
          <w:rPr>
            <w:rFonts w:ascii="Arial" w:cs="Arial" w:eastAsia="Arial" w:hAnsi="Arial"/>
            <w:sz w:val="23"/>
            <w:szCs w:val="23"/>
            <w:u w:val="single" w:color="auto"/>
            <w:color w:val="0000EE"/>
            <w:vertAlign w:val="superscript"/>
          </w:rPr>
          <w:t>(1)</w:t>
        </w:r>
      </w:hyperlink>
    </w:p>
    <w:p>
      <w:pPr>
        <w:ind w:left="1280"/>
        <w:spacing w:after="0" w:line="196"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1.2</w:t>
      </w:r>
      <w:r>
        <w:rPr>
          <w:sz w:val="20"/>
          <w:szCs w:val="20"/>
          <w:color w:val="auto"/>
        </w:rPr>
        <w:tab/>
      </w:r>
      <w:hyperlink r:id="rId138">
        <w:r>
          <w:rPr>
            <w:rFonts w:ascii="Arial" w:cs="Arial" w:eastAsia="Arial" w:hAnsi="Arial"/>
            <w:sz w:val="16"/>
            <w:szCs w:val="16"/>
            <w:u w:val="single" w:color="auto"/>
            <w:color w:val="0000EE"/>
          </w:rPr>
          <w:t>Seventh Amended and Restated Agreement of Limited Partnership of GasLog Partners LP</w:t>
        </w:r>
        <w:r>
          <w:rPr>
            <w:rFonts w:ascii="Arial" w:cs="Arial" w:eastAsia="Arial" w:hAnsi="Arial"/>
            <w:sz w:val="23"/>
            <w:szCs w:val="23"/>
            <w:u w:val="single" w:color="auto"/>
            <w:color w:val="0000EE"/>
            <w:vertAlign w:val="superscript"/>
          </w:rPr>
          <w:t>(2)</w:t>
        </w:r>
      </w:hyperlink>
    </w:p>
    <w:p>
      <w:pPr>
        <w:ind w:left="1280"/>
        <w:spacing w:after="0" w:line="196"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r:id="rId139">
        <w:r>
          <w:rPr>
            <w:rFonts w:ascii="Arial" w:cs="Arial" w:eastAsia="Arial" w:hAnsi="Arial"/>
            <w:sz w:val="16"/>
            <w:szCs w:val="16"/>
            <w:u w:val="single" w:color="auto"/>
            <w:color w:val="0000EE"/>
          </w:rPr>
          <w:t>Certificate of Formation of GasLog Partners GP LLC</w:t>
        </w:r>
        <w:r>
          <w:rPr>
            <w:rFonts w:ascii="Arial" w:cs="Arial" w:eastAsia="Arial" w:hAnsi="Arial"/>
            <w:sz w:val="23"/>
            <w:szCs w:val="23"/>
            <w:u w:val="single" w:color="auto"/>
            <w:color w:val="0000EE"/>
            <w:vertAlign w:val="superscript"/>
          </w:rPr>
          <w:t>(1)</w:t>
        </w:r>
      </w:hyperlink>
    </w:p>
    <w:p>
      <w:pPr>
        <w:ind w:left="1280"/>
        <w:spacing w:after="0" w:line="196"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2.2</w:t>
      </w:r>
      <w:r>
        <w:rPr>
          <w:sz w:val="20"/>
          <w:szCs w:val="20"/>
          <w:color w:val="auto"/>
        </w:rPr>
        <w:tab/>
      </w:r>
      <w:hyperlink r:id="rId140">
        <w:r>
          <w:rPr>
            <w:rFonts w:ascii="Arial" w:cs="Arial" w:eastAsia="Arial" w:hAnsi="Arial"/>
            <w:sz w:val="16"/>
            <w:szCs w:val="16"/>
            <w:u w:val="single" w:color="auto"/>
            <w:color w:val="0000EE"/>
          </w:rPr>
          <w:t>Limited Liability Company Agreement of GasLog Partners GP LLC</w:t>
        </w:r>
        <w:r>
          <w:rPr>
            <w:rFonts w:ascii="Arial" w:cs="Arial" w:eastAsia="Arial" w:hAnsi="Arial"/>
            <w:sz w:val="23"/>
            <w:szCs w:val="23"/>
            <w:u w:val="single" w:color="auto"/>
            <w:color w:val="0000EE"/>
            <w:vertAlign w:val="superscript"/>
          </w:rPr>
          <w:t>(1)</w:t>
        </w:r>
      </w:hyperlink>
    </w:p>
    <w:p>
      <w:pPr>
        <w:ind w:left="1280"/>
        <w:spacing w:after="0" w:line="196"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2.3</w:t>
      </w:r>
      <w:r>
        <w:rPr>
          <w:sz w:val="20"/>
          <w:szCs w:val="20"/>
          <w:color w:val="auto"/>
        </w:rPr>
        <w:tab/>
      </w:r>
      <w:hyperlink r:id="rId141">
        <w:r>
          <w:rPr>
            <w:rFonts w:ascii="Arial" w:cs="Arial" w:eastAsia="Arial" w:hAnsi="Arial"/>
            <w:sz w:val="16"/>
            <w:szCs w:val="16"/>
            <w:u w:val="single" w:color="auto"/>
            <w:color w:val="0000EE"/>
          </w:rPr>
          <w:t>Description of Securities</w:t>
        </w:r>
        <w:r>
          <w:rPr>
            <w:rFonts w:ascii="Arial" w:cs="Arial" w:eastAsia="Arial" w:hAnsi="Arial"/>
            <w:sz w:val="23"/>
            <w:szCs w:val="23"/>
            <w:u w:val="single" w:color="auto"/>
            <w:color w:val="0000EE"/>
            <w:vertAlign w:val="superscript"/>
          </w:rPr>
          <w:t>(11)</w:t>
        </w:r>
      </w:hyperlink>
    </w:p>
    <w:p>
      <w:pPr>
        <w:ind w:left="1280"/>
        <w:spacing w:after="0" w:line="196"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42">
        <w:r>
          <w:rPr>
            <w:rFonts w:ascii="Arial" w:cs="Arial" w:eastAsia="Arial" w:hAnsi="Arial"/>
            <w:sz w:val="16"/>
            <w:szCs w:val="16"/>
            <w:u w:val="single" w:color="auto"/>
            <w:color w:val="0000EE"/>
          </w:rPr>
          <w:t>Form of Contribution Agreement</w:t>
        </w:r>
        <w:r>
          <w:rPr>
            <w:rFonts w:ascii="Arial" w:cs="Arial" w:eastAsia="Arial" w:hAnsi="Arial"/>
            <w:sz w:val="23"/>
            <w:szCs w:val="23"/>
            <w:u w:val="single" w:color="auto"/>
            <w:color w:val="0000EE"/>
            <w:vertAlign w:val="superscript"/>
          </w:rPr>
          <w:t>(1)</w:t>
        </w:r>
      </w:hyperlink>
    </w:p>
    <w:p>
      <w:pPr>
        <w:ind w:left="1280"/>
        <w:spacing w:after="0" w:line="196"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43">
        <w:r>
          <w:rPr>
            <w:rFonts w:ascii="Arial" w:cs="Arial" w:eastAsia="Arial" w:hAnsi="Arial"/>
            <w:sz w:val="16"/>
            <w:szCs w:val="16"/>
            <w:u w:val="single" w:color="auto"/>
            <w:color w:val="0000EE"/>
          </w:rPr>
          <w:t>Form of Omnibus Agreement</w:t>
        </w:r>
        <w:r>
          <w:rPr>
            <w:rFonts w:ascii="Arial" w:cs="Arial" w:eastAsia="Arial" w:hAnsi="Arial"/>
            <w:sz w:val="23"/>
            <w:szCs w:val="23"/>
            <w:u w:val="single" w:color="auto"/>
            <w:color w:val="0000EE"/>
            <w:vertAlign w:val="superscript"/>
          </w:rPr>
          <w:t>(1)</w:t>
        </w:r>
      </w:hyperlink>
    </w:p>
    <w:p>
      <w:pPr>
        <w:ind w:left="1280"/>
        <w:spacing w:after="0" w:line="196"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144">
        <w:r>
          <w:rPr>
            <w:rFonts w:ascii="Arial" w:cs="Arial" w:eastAsia="Arial" w:hAnsi="Arial"/>
            <w:sz w:val="16"/>
            <w:szCs w:val="16"/>
            <w:u w:val="single" w:color="auto"/>
            <w:color w:val="0000EE"/>
          </w:rPr>
          <w:t>Form of Administrative Services Agreement</w:t>
        </w:r>
        <w:r>
          <w:rPr>
            <w:rFonts w:ascii="Arial" w:cs="Arial" w:eastAsia="Arial" w:hAnsi="Arial"/>
            <w:sz w:val="23"/>
            <w:szCs w:val="23"/>
            <w:u w:val="single" w:color="auto"/>
            <w:color w:val="0000EE"/>
            <w:vertAlign w:val="superscript"/>
          </w:rPr>
          <w:t>(1)</w:t>
        </w:r>
      </w:hyperlink>
    </w:p>
    <w:p>
      <w:pPr>
        <w:ind w:left="1280"/>
        <w:spacing w:after="0" w:line="196"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145">
        <w:r>
          <w:rPr>
            <w:rFonts w:ascii="Arial" w:cs="Arial" w:eastAsia="Arial" w:hAnsi="Arial"/>
            <w:sz w:val="16"/>
            <w:szCs w:val="16"/>
            <w:u w:val="single" w:color="auto"/>
            <w:color w:val="0000EE"/>
          </w:rPr>
          <w:t>Form of Commercial Management Agreement</w:t>
        </w:r>
        <w:r>
          <w:rPr>
            <w:rFonts w:ascii="Arial" w:cs="Arial" w:eastAsia="Arial" w:hAnsi="Arial"/>
            <w:sz w:val="23"/>
            <w:szCs w:val="23"/>
            <w:u w:val="single" w:color="auto"/>
            <w:color w:val="0000EE"/>
            <w:vertAlign w:val="superscript"/>
          </w:rPr>
          <w:t>(1)</w:t>
        </w:r>
      </w:hyperlink>
    </w:p>
    <w:p>
      <w:pPr>
        <w:ind w:left="1280"/>
        <w:spacing w:after="0" w:line="197"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146">
        <w:r>
          <w:rPr>
            <w:rFonts w:ascii="Arial" w:cs="Arial" w:eastAsia="Arial" w:hAnsi="Arial"/>
            <w:sz w:val="16"/>
            <w:szCs w:val="16"/>
            <w:u w:val="single" w:color="auto"/>
            <w:color w:val="0000EE"/>
          </w:rPr>
          <w:t>Form of Ship Management Agreement</w:t>
        </w:r>
        <w:r>
          <w:rPr>
            <w:rFonts w:ascii="Arial" w:cs="Arial" w:eastAsia="Arial" w:hAnsi="Arial"/>
            <w:sz w:val="23"/>
            <w:szCs w:val="23"/>
            <w:u w:val="single" w:color="auto"/>
            <w:color w:val="0000EE"/>
            <w:vertAlign w:val="superscript"/>
          </w:rPr>
          <w:t>(5)</w:t>
        </w:r>
      </w:hyperlink>
    </w:p>
    <w:p>
      <w:pPr>
        <w:ind w:left="1280"/>
        <w:spacing w:after="0" w:line="196"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147">
        <w:r>
          <w:rPr>
            <w:rFonts w:ascii="Arial" w:cs="Arial" w:eastAsia="Arial" w:hAnsi="Arial"/>
            <w:sz w:val="16"/>
            <w:szCs w:val="16"/>
            <w:u w:val="single" w:color="auto"/>
            <w:color w:val="0000EE"/>
          </w:rPr>
          <w:t>Form of $30.0 Million Revolving Credit Agreement by and between GasLog Partners LP and GasLog Ltd.</w:t>
        </w:r>
        <w:r>
          <w:rPr>
            <w:rFonts w:ascii="Arial" w:cs="Arial" w:eastAsia="Arial" w:hAnsi="Arial"/>
            <w:sz w:val="23"/>
            <w:szCs w:val="23"/>
            <w:u w:val="single" w:color="auto"/>
            <w:color w:val="0000EE"/>
            <w:vertAlign w:val="superscript"/>
          </w:rPr>
          <w:t>(1)</w:t>
        </w:r>
      </w:hyperlink>
    </w:p>
    <w:p>
      <w:pPr>
        <w:ind w:left="1280"/>
        <w:spacing w:after="0" w:line="196"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148">
        <w:r>
          <w:rPr>
            <w:rFonts w:ascii="Arial" w:cs="Arial" w:eastAsia="Arial" w:hAnsi="Arial"/>
            <w:sz w:val="16"/>
            <w:szCs w:val="16"/>
            <w:u w:val="single" w:color="auto"/>
            <w:color w:val="0000EE"/>
          </w:rPr>
          <w:t>Form of Indemnification Agreement for the Partnership’s directors and certain officers</w:t>
        </w:r>
        <w:r>
          <w:rPr>
            <w:rFonts w:ascii="Arial" w:cs="Arial" w:eastAsia="Arial" w:hAnsi="Arial"/>
            <w:sz w:val="23"/>
            <w:szCs w:val="23"/>
            <w:u w:val="single" w:color="auto"/>
            <w:color w:val="0000EE"/>
            <w:vertAlign w:val="superscript"/>
          </w:rPr>
          <w:t>(5)</w:t>
        </w:r>
      </w:hyperlink>
    </w:p>
    <w:p>
      <w:pPr>
        <w:ind w:left="1280"/>
        <w:spacing w:after="0" w:line="208"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4.9</w:t>
      </w:r>
      <w:r>
        <w:rPr>
          <w:sz w:val="20"/>
          <w:szCs w:val="20"/>
          <w:color w:val="auto"/>
        </w:rPr>
        <w:tab/>
      </w:r>
      <w:hyperlink r:id="rId149">
        <w:r>
          <w:rPr>
            <w:rFonts w:ascii="Arial" w:cs="Arial" w:eastAsia="Arial" w:hAnsi="Arial"/>
            <w:sz w:val="16"/>
            <w:szCs w:val="16"/>
            <w:u w:val="single" w:color="auto"/>
            <w:color w:val="0000EE"/>
          </w:rPr>
          <w:t>GasLog Partners LP 2015 Long-Term Incentive Plan</w:t>
        </w:r>
        <w:r>
          <w:rPr>
            <w:rFonts w:ascii="Arial" w:cs="Arial" w:eastAsia="Arial" w:hAnsi="Arial"/>
            <w:sz w:val="23"/>
            <w:szCs w:val="23"/>
            <w:u w:val="single" w:color="auto"/>
            <w:color w:val="0000EE"/>
            <w:vertAlign w:val="superscript"/>
          </w:rPr>
          <w:t>(3)</w:t>
        </w:r>
      </w:hyperlink>
    </w:p>
    <w:p>
      <w:pPr>
        <w:spacing w:after="0" w:line="1" w:lineRule="exact"/>
        <w:rPr>
          <w:sz w:val="20"/>
          <w:szCs w:val="20"/>
          <w:color w:val="auto"/>
        </w:rPr>
      </w:pPr>
    </w:p>
    <w:p>
      <w:pPr>
        <w:ind w:left="1200" w:firstLine="504"/>
        <w:spacing w:after="0" w:line="269" w:lineRule="auto"/>
        <w:rPr>
          <w:rFonts w:ascii="Arial" w:cs="Arial" w:eastAsia="Arial" w:hAnsi="Arial"/>
          <w:sz w:val="18"/>
          <w:szCs w:val="18"/>
          <w:color w:val="000000"/>
        </w:rPr>
      </w:pPr>
      <w:hyperlink r:id="rId150">
        <w:r>
          <w:rPr>
            <w:rFonts w:ascii="Arial" w:cs="Arial" w:eastAsia="Arial" w:hAnsi="Arial"/>
            <w:sz w:val="18"/>
            <w:szCs w:val="18"/>
            <w:u w:val="single" w:color="auto"/>
            <w:color w:val="0000EE"/>
          </w:rPr>
          <w:t>Addendum dated April 21, 2015 to the Omnibus Agreement dated May 12, 2014, among GasLog Ltd., GasLog</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 xml:space="preserve">4.10 </w:t>
      </w:r>
      <w:hyperlink r:id="rId150">
        <w:r>
          <w:rPr>
            <w:rFonts w:ascii="Arial" w:cs="Arial" w:eastAsia="Arial" w:hAnsi="Arial"/>
            <w:sz w:val="18"/>
            <w:szCs w:val="18"/>
            <w:u w:val="single" w:color="auto"/>
            <w:color w:val="0000EE"/>
          </w:rPr>
          <w:t>Partners LP, GasLog Partners GP LLC and GasLog Partners Holdings LLC</w:t>
        </w:r>
        <w:r>
          <w:rPr>
            <w:rFonts w:ascii="Arial" w:cs="Arial" w:eastAsia="Arial" w:hAnsi="Arial"/>
            <w:sz w:val="26"/>
            <w:szCs w:val="26"/>
            <w:u w:val="single" w:color="auto"/>
            <w:color w:val="0000EE"/>
            <w:vertAlign w:val="superscript"/>
          </w:rPr>
          <w:t>(4)</w:t>
        </w:r>
      </w:hyperlink>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00"/>
          </w:cols>
          <w:pgMar w:left="980" w:top="517" w:right="12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7" w:lineRule="exact"/>
        <w:rPr>
          <w:sz w:val="20"/>
          <w:szCs w:val="20"/>
          <w:color w:val="auto"/>
        </w:rPr>
      </w:pPr>
    </w:p>
    <w:p>
      <w:pPr>
        <w:ind w:left="1700" w:hanging="503"/>
        <w:spacing w:after="0" w:line="256" w:lineRule="auto"/>
        <w:tabs>
          <w:tab w:leader="none" w:pos="1680" w:val="left"/>
        </w:tabs>
        <w:rPr>
          <w:rFonts w:ascii="Arial" w:cs="Arial" w:eastAsia="Arial" w:hAnsi="Arial"/>
          <w:sz w:val="17"/>
          <w:szCs w:val="17"/>
          <w:u w:val="single" w:color="auto"/>
          <w:color w:val="0000EE"/>
        </w:rPr>
      </w:pPr>
      <w:r>
        <w:rPr>
          <w:rFonts w:ascii="Arial" w:cs="Arial" w:eastAsia="Arial" w:hAnsi="Arial"/>
          <w:sz w:val="18"/>
          <w:szCs w:val="18"/>
          <w:color w:val="auto"/>
        </w:rPr>
        <w:t>4.15</w:t>
      </w:r>
      <w:r>
        <w:rPr>
          <w:sz w:val="20"/>
          <w:szCs w:val="20"/>
          <w:color w:val="auto"/>
        </w:rPr>
        <w:tab/>
      </w:r>
      <w:hyperlink r:id="rId153">
        <w:r>
          <w:rPr>
            <w:rFonts w:ascii="Arial" w:cs="Arial" w:eastAsia="Arial" w:hAnsi="Arial"/>
            <w:sz w:val="17"/>
            <w:szCs w:val="17"/>
            <w:u w:val="single" w:color="auto"/>
            <w:color w:val="0000EE"/>
          </w:rPr>
          <w:t>Facilities Agreement for $1,311,356,340 Loan Facilities dated October 16, 2015 between GAS-eleven Ltd., GAS-</w:t>
        </w:r>
      </w:hyperlink>
      <w:hyperlink r:id="rId153">
        <w:r>
          <w:rPr>
            <w:rFonts w:ascii="Arial" w:cs="Arial" w:eastAsia="Arial" w:hAnsi="Arial"/>
            <w:sz w:val="17"/>
            <w:szCs w:val="17"/>
            <w:u w:val="single" w:color="auto"/>
            <w:color w:val="0000EE"/>
          </w:rPr>
          <w:t>twelve Ltd., GAS-thirteen Ltd., Gas-fourteen Ltd., GAS-twenty two Ltd., GAS-twenty three Ltd., GAS-twenty</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four Ltd., GAS-twenty five Ltd., as borrowers, Citibank, N.A., London Branch, Nordea Bank AB, London</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Branch, The Export- Import Bank of Korea, Bank of America, National Association, BNP Paribas, Credit</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Agricole Corporate and Investment Bank, Credit Suisse AG, HSBC Bank plc, ING Bank N.V., London Branch,</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KEB Hana Bank, London Branch, KfW IPEX-Bank GmbH, National Australia Bank Limited, Oversea-Chinese</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Banking Corporation Limited, Societe Generale and The Korea Development Bank as mandated lead arrangers</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with Nordea Bank AB, London Branch as agent, security agent, global co-ordinator and bookrunner and Citibank</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N.A., London Branch as export credit agent, global co-coordinator, bookrunner and export credit agent co-</w:t>
        </w:r>
      </w:hyperlink>
      <w:hyperlink r:id="rId153">
        <w:r>
          <w:rPr>
            <w:rFonts w:ascii="Arial" w:cs="Arial" w:eastAsia="Arial" w:hAnsi="Arial"/>
            <w:sz w:val="17"/>
            <w:szCs w:val="17"/>
            <w:u w:val="single" w:color="auto"/>
            <w:color w:val="0000EE"/>
          </w:rPr>
          <w:t>ordinator, guaranteed by GasLog Ltd. and GasLog Carriers Ltd., previously filed as an exhibit to GasLog Ltd.’s</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Annual Report on Form 20-F (File No. 001-35466), filed with the SEC on March 14, 2016, and hereby</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incorporated by reference to such Report</w:t>
        </w:r>
        <w:r>
          <w:rPr>
            <w:rFonts w:ascii="Arial" w:cs="Arial" w:eastAsia="Arial" w:hAnsi="Arial"/>
            <w:sz w:val="25"/>
            <w:szCs w:val="25"/>
            <w:u w:val="single" w:color="auto"/>
            <w:color w:val="0000EE"/>
            <w:vertAlign w:val="superscript"/>
          </w:rPr>
          <w:t>(6)</w:t>
        </w:r>
      </w:hyperlink>
    </w:p>
    <w:p>
      <w:pPr>
        <w:spacing w:after="0" w:line="2" w:lineRule="exact"/>
        <w:rPr>
          <w:rFonts w:ascii="Arial" w:cs="Arial" w:eastAsia="Arial" w:hAnsi="Arial"/>
          <w:sz w:val="17"/>
          <w:szCs w:val="17"/>
          <w:u w:val="single" w:color="auto"/>
          <w:color w:val="0000EE"/>
        </w:rPr>
      </w:pPr>
    </w:p>
    <w:p>
      <w:pPr>
        <w:ind w:left="1200"/>
        <w:spacing w:after="0"/>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4.16</w:t>
      </w:r>
      <w:r>
        <w:rPr>
          <w:sz w:val="20"/>
          <w:szCs w:val="20"/>
          <w:color w:val="auto"/>
        </w:rPr>
        <w:tab/>
      </w:r>
      <w:hyperlink r:id="rId154">
        <w:r>
          <w:rPr>
            <w:rFonts w:ascii="Arial" w:cs="Arial" w:eastAsia="Arial" w:hAnsi="Arial"/>
            <w:sz w:val="16"/>
            <w:szCs w:val="16"/>
            <w:u w:val="single" w:color="auto"/>
            <w:color w:val="0000EE"/>
          </w:rPr>
          <w:t>Exchange Agreement by and among GasLog Partners LP, GasLog Partners GP LLC and GasLog Ltd. dated June</w:t>
        </w:r>
      </w:hyperlink>
    </w:p>
    <w:p>
      <w:pPr>
        <w:ind w:left="1700"/>
        <w:spacing w:after="0" w:line="184" w:lineRule="auto"/>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24, 2019</w:t>
        </w:r>
        <w:r>
          <w:rPr>
            <w:rFonts w:ascii="Arial" w:cs="Arial" w:eastAsia="Arial" w:hAnsi="Arial"/>
            <w:sz w:val="26"/>
            <w:szCs w:val="26"/>
            <w:u w:val="single" w:color="auto"/>
            <w:color w:val="0000EE"/>
            <w:vertAlign w:val="superscript"/>
          </w:rPr>
          <w:t>(7)</w:t>
        </w:r>
      </w:hyperlink>
    </w:p>
    <w:p>
      <w:pPr>
        <w:spacing w:after="0" w:line="1" w:lineRule="exact"/>
        <w:rPr>
          <w:rFonts w:ascii="Arial" w:cs="Arial" w:eastAsia="Arial" w:hAnsi="Arial"/>
          <w:sz w:val="17"/>
          <w:szCs w:val="17"/>
          <w:u w:val="single" w:color="auto"/>
          <w:color w:val="0000EE"/>
        </w:rPr>
      </w:pPr>
    </w:p>
    <w:p>
      <w:pPr>
        <w:ind w:left="1700" w:right="40" w:hanging="503"/>
        <w:spacing w:after="0" w:line="259"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4.17</w:t>
      </w:r>
      <w:r>
        <w:rPr>
          <w:sz w:val="20"/>
          <w:szCs w:val="20"/>
          <w:color w:val="auto"/>
        </w:rPr>
        <w:tab/>
      </w:r>
      <w:hyperlink r:id="rId155">
        <w:r>
          <w:rPr>
            <w:rFonts w:ascii="Arial" w:cs="Arial" w:eastAsia="Arial" w:hAnsi="Arial"/>
            <w:sz w:val="16"/>
            <w:szCs w:val="16"/>
            <w:u w:val="single" w:color="auto"/>
            <w:color w:val="0000EE"/>
          </w:rPr>
          <w:t>Facilities Agreement dated February 20, 2019, relating to $450,000,000 Revolving Credit Facility among GAS-</w:t>
        </w:r>
      </w:hyperlink>
      <w:hyperlink r:id="rId155">
        <w:r>
          <w:rPr>
            <w:rFonts w:ascii="Arial" w:cs="Arial" w:eastAsia="Arial" w:hAnsi="Arial"/>
            <w:sz w:val="16"/>
            <w:szCs w:val="16"/>
            <w:u w:val="single" w:color="auto"/>
            <w:color w:val="0000EE"/>
          </w:rPr>
          <w:t>three Ltd., GAS-four Ltd., GAS-five Ltd., Gas-sixteen Ltd., GAS-seventeen Ltd., as borrowers, Credit Suisse</w:t>
        </w:r>
      </w:hyperlink>
      <w:r>
        <w:rPr>
          <w:rFonts w:ascii="Arial" w:cs="Arial" w:eastAsia="Arial" w:hAnsi="Arial"/>
          <w:sz w:val="16"/>
          <w:szCs w:val="16"/>
          <w:u w:val="single" w:color="auto"/>
          <w:color w:val="0000EE"/>
        </w:rPr>
        <w:t xml:space="preserve"> </w:t>
      </w:r>
      <w:hyperlink r:id="rId155">
        <w:r>
          <w:rPr>
            <w:rFonts w:ascii="Arial" w:cs="Arial" w:eastAsia="Arial" w:hAnsi="Arial"/>
            <w:sz w:val="16"/>
            <w:szCs w:val="16"/>
            <w:u w:val="single" w:color="auto"/>
            <w:color w:val="0000EE"/>
          </w:rPr>
          <w:t>AG, Nordea Bank Abp, Filial I Norge, The IyoBank, Ltd. Singapore Branch as the Original Lenders with Nordea</w:t>
        </w:r>
      </w:hyperlink>
      <w:r>
        <w:rPr>
          <w:rFonts w:ascii="Arial" w:cs="Arial" w:eastAsia="Arial" w:hAnsi="Arial"/>
          <w:sz w:val="16"/>
          <w:szCs w:val="16"/>
          <w:u w:val="single" w:color="auto"/>
          <w:color w:val="0000EE"/>
        </w:rPr>
        <w:t xml:space="preserve"> </w:t>
      </w:r>
      <w:hyperlink r:id="rId155">
        <w:r>
          <w:rPr>
            <w:rFonts w:ascii="Arial" w:cs="Arial" w:eastAsia="Arial" w:hAnsi="Arial"/>
            <w:sz w:val="16"/>
            <w:szCs w:val="16"/>
            <w:u w:val="single" w:color="auto"/>
            <w:color w:val="0000EE"/>
          </w:rPr>
          <w:t>Bank Abp, Filial I Norge as agent and the security agent, and Credit Suisse AG as mandated lead arranger, global</w:t>
        </w:r>
      </w:hyperlink>
      <w:r>
        <w:rPr>
          <w:rFonts w:ascii="Arial" w:cs="Arial" w:eastAsia="Arial" w:hAnsi="Arial"/>
          <w:sz w:val="16"/>
          <w:szCs w:val="16"/>
          <w:u w:val="single" w:color="auto"/>
          <w:color w:val="0000EE"/>
        </w:rPr>
        <w:t xml:space="preserve"> </w:t>
      </w:r>
      <w:hyperlink r:id="rId155">
        <w:r>
          <w:rPr>
            <w:rFonts w:ascii="Arial" w:cs="Arial" w:eastAsia="Arial" w:hAnsi="Arial"/>
            <w:sz w:val="16"/>
            <w:szCs w:val="16"/>
            <w:u w:val="single" w:color="auto"/>
            <w:color w:val="0000EE"/>
          </w:rPr>
          <w:t>co-ordinator and bookrunner, guaranteed by GasLog Partners LP and GasLog Partners Holdings LLC</w:t>
        </w:r>
        <w:r>
          <w:rPr>
            <w:rFonts w:ascii="Arial" w:cs="Arial" w:eastAsia="Arial" w:hAnsi="Arial"/>
            <w:sz w:val="23"/>
            <w:szCs w:val="23"/>
            <w:u w:val="single" w:color="auto"/>
            <w:color w:val="0000EE"/>
            <w:vertAlign w:val="superscript"/>
          </w:rPr>
          <w:t>(8)</w:t>
        </w:r>
        <w:r>
          <w:rPr>
            <w:rFonts w:ascii="Arial" w:cs="Arial" w:eastAsia="Arial" w:hAnsi="Arial"/>
            <w:sz w:val="16"/>
            <w:szCs w:val="16"/>
            <w:u w:val="single" w:color="auto"/>
            <w:color w:val="0000EE"/>
          </w:rPr>
          <w:t>*</w:t>
        </w:r>
      </w:hyperlink>
    </w:p>
    <w:p>
      <w:pPr>
        <w:ind w:left="1700" w:right="140" w:hanging="503"/>
        <w:spacing w:after="0" w:line="255" w:lineRule="auto"/>
        <w:tabs>
          <w:tab w:leader="none" w:pos="1680" w:val="left"/>
        </w:tabs>
        <w:rPr>
          <w:rFonts w:ascii="Arial" w:cs="Arial" w:eastAsia="Arial" w:hAnsi="Arial"/>
          <w:sz w:val="17"/>
          <w:szCs w:val="17"/>
          <w:u w:val="single" w:color="auto"/>
          <w:color w:val="0000EE"/>
        </w:rPr>
      </w:pPr>
      <w:r>
        <w:rPr>
          <w:rFonts w:ascii="Arial" w:cs="Arial" w:eastAsia="Arial" w:hAnsi="Arial"/>
          <w:sz w:val="18"/>
          <w:szCs w:val="18"/>
          <w:color w:val="auto"/>
        </w:rPr>
        <w:t>4.18</w:t>
      </w:r>
      <w:r>
        <w:rPr>
          <w:sz w:val="20"/>
          <w:szCs w:val="20"/>
          <w:color w:val="auto"/>
        </w:rPr>
        <w:tab/>
      </w:r>
      <w:hyperlink r:id="rId156">
        <w:r>
          <w:rPr>
            <w:rFonts w:ascii="Arial" w:cs="Arial" w:eastAsia="Arial" w:hAnsi="Arial"/>
            <w:sz w:val="17"/>
            <w:szCs w:val="17"/>
            <w:u w:val="single" w:color="auto"/>
            <w:color w:val="0000EE"/>
          </w:rPr>
          <w:t>Facility Agreement dated December 12, 2019, relating to $1,052,791,260 Loan Facilities among GAS-twenty</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eight Ltd.; GAS-thirty Ltd., GAS-thirty one Ltd., GAS-thirty two Ltd., GAS-thirty three Ltd., GAS-thirty four</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Ltd., and GAS-thirty five Ltd., as borrowers, Citibank, N.A. London Branch, DNB (UK) Ltd., Skandinaviska</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Enskilda Banken AB (publ), Bank of America National Association, Commonwealth Bank of Australia, KfW</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IPEX-Bank GmbH, National Australia Bank Limited, Oversea-Chinese Banking Corporation Limited, Societe</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Generale, London Branch, Standard Chartered Bank, BNP Paribas Seoul Branch and The Korea Development</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Bank as Mandated Lead Arrangers; Citibank, N.A. London Branch, DNB (UK) Ltd., Skandinaviska Enskilda</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Banken AB (publ), KfW IPEX-Bank GmbH, National Australia Bank Limited, Oversea-Chinese Banking</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Corporation Limited, Societe Generale, London Branch, Standard Chartered Bank, BNP Paribas Seoul Branch</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and The Korea Development Bank as bookrunners; DNB Bank ASA, London Branch as Agent and security</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agent; Citibank N.A., London Branch as ECA Agent and ECA Co-ordinator; Citibank N.A. London Branch and</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DNB (UK) Ltd., as Global Co-ordinators and GasLog Ltd., GasLog Carriers Ltd., GasLog Partners LP and</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GasLog Partners Holdings LLC as Guarantors**</w:t>
        </w:r>
        <w:r>
          <w:rPr>
            <w:rFonts w:ascii="Arial" w:cs="Arial" w:eastAsia="Arial" w:hAnsi="Arial"/>
            <w:sz w:val="25"/>
            <w:szCs w:val="25"/>
            <w:u w:val="single" w:color="auto"/>
            <w:color w:val="0000EE"/>
            <w:vertAlign w:val="superscript"/>
          </w:rPr>
          <w:t>(9)</w:t>
        </w:r>
      </w:hyperlink>
    </w:p>
    <w:p>
      <w:pPr>
        <w:spacing w:after="0" w:line="10" w:lineRule="exact"/>
        <w:rPr>
          <w:rFonts w:ascii="Arial" w:cs="Arial" w:eastAsia="Arial" w:hAnsi="Arial"/>
          <w:sz w:val="17"/>
          <w:szCs w:val="17"/>
          <w:u w:val="single" w:color="auto"/>
          <w:color w:val="0000EE"/>
        </w:rPr>
      </w:pPr>
    </w:p>
    <w:p>
      <w:pPr>
        <w:ind w:left="1700" w:right="240" w:hanging="503"/>
        <w:spacing w:after="0" w:line="259" w:lineRule="auto"/>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4.19</w:t>
      </w:r>
      <w:r>
        <w:rPr>
          <w:sz w:val="20"/>
          <w:szCs w:val="20"/>
          <w:color w:val="auto"/>
        </w:rPr>
        <w:tab/>
      </w:r>
      <w:hyperlink r:id="rId157">
        <w:r>
          <w:rPr>
            <w:rFonts w:ascii="Arial" w:cs="Arial" w:eastAsia="Arial" w:hAnsi="Arial"/>
            <w:sz w:val="16"/>
            <w:szCs w:val="16"/>
            <w:u w:val="single" w:color="auto"/>
            <w:color w:val="0000EE"/>
          </w:rPr>
          <w:t>Facility Agreement dated July 16, 2020, relating to $260,331,250 loan facility among GAS-twenty Ltd., GAS-</w:t>
        </w:r>
      </w:hyperlink>
      <w:hyperlink r:id="rId157">
        <w:r>
          <w:rPr>
            <w:rFonts w:ascii="Arial" w:cs="Arial" w:eastAsia="Arial" w:hAnsi="Arial"/>
            <w:sz w:val="16"/>
            <w:szCs w:val="16"/>
            <w:u w:val="single" w:color="auto"/>
            <w:color w:val="0000EE"/>
          </w:rPr>
          <w:t>seven Ltd. and GAS-eight Ltd., as borrowers, BNP Paribas and Credit Suisse AG, as mandated lead arrangers,</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with BNP Paribas as agent and security agent and Credit Suisse AG as global co-ordinator and bookrunner,</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guaranteed by GasLog Partners LP and GasLog Partners Holdings LLC; please see “Item 5. Operating and</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Financial Review and Prospects—B. Liquidity and Capital Resources—Credit Facilities”**</w:t>
        </w:r>
        <w:r>
          <w:rPr>
            <w:rFonts w:ascii="Arial" w:cs="Arial" w:eastAsia="Arial" w:hAnsi="Arial"/>
            <w:sz w:val="23"/>
            <w:szCs w:val="23"/>
            <w:u w:val="single" w:color="auto"/>
            <w:color w:val="0000EE"/>
            <w:vertAlign w:val="superscript"/>
          </w:rPr>
          <w:t>(10)</w:t>
        </w:r>
      </w:hyperlink>
    </w:p>
    <w:p>
      <w:pPr>
        <w:ind w:left="1700" w:hanging="503"/>
        <w:spacing w:after="0" w:line="254" w:lineRule="auto"/>
        <w:tabs>
          <w:tab w:leader="none" w:pos="1680" w:val="left"/>
        </w:tabs>
        <w:rPr>
          <w:rFonts w:ascii="Arial" w:cs="Arial" w:eastAsia="Arial" w:hAnsi="Arial"/>
          <w:sz w:val="18"/>
          <w:szCs w:val="18"/>
          <w:u w:val="single" w:color="auto"/>
          <w:color w:val="0000EE"/>
        </w:rPr>
      </w:pPr>
      <w:r>
        <w:rPr>
          <w:rFonts w:ascii="Arial" w:cs="Arial" w:eastAsia="Arial" w:hAnsi="Arial"/>
          <w:sz w:val="18"/>
          <w:szCs w:val="18"/>
          <w:color w:val="auto"/>
        </w:rPr>
        <w:t>4.20</w:t>
      </w:r>
      <w:r>
        <w:rPr>
          <w:sz w:val="20"/>
          <w:szCs w:val="20"/>
          <w:color w:val="auto"/>
        </w:rPr>
        <w:tab/>
      </w:r>
      <w:hyperlink r:id="rId158">
        <w:r>
          <w:rPr>
            <w:rFonts w:ascii="Arial" w:cs="Arial" w:eastAsia="Arial" w:hAnsi="Arial"/>
            <w:sz w:val="18"/>
            <w:szCs w:val="18"/>
            <w:u w:val="single" w:color="auto"/>
            <w:color w:val="0000EE"/>
          </w:rPr>
          <w:t>Facility Agreement dated July 16, 2020, relating to $200,000,000 loan facility among GAS-twenty seven Ltd.,</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GAS-twenty one Ltd. and GAS-nineteen Ltd., as borrowers, DNB (UK) Ltd. and ING Bank N.V., London</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Branch, as mandated lead arrangers, with DNB Bank ASA, London Branch as agent and security agent, DNB</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(UK) Ltd. and ING Bank N.V., London Branch as bookrunners and ING Bank N.V, London Branch as structuring</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and documentation bank, guaranteed by GasLog Partners LP, GasLog Partners Holdings LLC, GasLog Ltd. and</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GasLog Carriers Ltd.; please see “Item 5. Operating and Financial Review and Prospects—B. Liquidity and</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Capital Resources—Credit Facilities”**</w:t>
        </w:r>
        <w:r>
          <w:rPr>
            <w:rFonts w:ascii="Arial" w:cs="Arial" w:eastAsia="Arial" w:hAnsi="Arial"/>
            <w:sz w:val="26"/>
            <w:szCs w:val="26"/>
            <w:u w:val="single" w:color="auto"/>
            <w:color w:val="0000EE"/>
            <w:vertAlign w:val="superscript"/>
          </w:rPr>
          <w:t>(10)</w:t>
        </w:r>
      </w:hyperlink>
    </w:p>
    <w:p>
      <w:pPr>
        <w:spacing w:after="0" w:line="81" w:lineRule="exact"/>
        <w:rPr>
          <w:rFonts w:ascii="Arial" w:cs="Arial" w:eastAsia="Arial" w:hAnsi="Arial"/>
          <w:sz w:val="18"/>
          <w:szCs w:val="18"/>
          <w:u w:val="single" w:color="auto"/>
          <w:color w:val="0000EE"/>
        </w:rPr>
      </w:pPr>
    </w:p>
    <w:p>
      <w:pPr>
        <w:ind w:left="1280"/>
        <w:spacing w:after="0"/>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8.1</w:t>
      </w:r>
      <w:r>
        <w:rPr>
          <w:sz w:val="20"/>
          <w:szCs w:val="20"/>
          <w:color w:val="auto"/>
        </w:rPr>
        <w:tab/>
      </w:r>
      <w:hyperlink w:anchor="page170">
        <w:r>
          <w:rPr>
            <w:rFonts w:ascii="Arial" w:cs="Arial" w:eastAsia="Arial" w:hAnsi="Arial"/>
            <w:sz w:val="16"/>
            <w:szCs w:val="16"/>
            <w:u w:val="single" w:color="auto"/>
            <w:color w:val="0000EE"/>
          </w:rPr>
          <w:t>List of Subsidiaries of GasLog Partners LP</w:t>
        </w:r>
      </w:hyperlink>
    </w:p>
    <w:p>
      <w:pPr>
        <w:spacing w:after="0" w:line="225" w:lineRule="exact"/>
        <w:rPr>
          <w:rFonts w:ascii="Arial" w:cs="Arial" w:eastAsia="Arial" w:hAnsi="Arial"/>
          <w:sz w:val="18"/>
          <w:szCs w:val="18"/>
          <w:u w:val="single" w:color="auto"/>
          <w:color w:val="0000EE"/>
        </w:rPr>
      </w:pPr>
    </w:p>
    <w:p>
      <w:pPr>
        <w:ind w:left="1200"/>
        <w:spacing w:after="0"/>
        <w:tabs>
          <w:tab w:leader="none" w:pos="1680" w:val="left"/>
        </w:tabs>
        <w:rPr>
          <w:rFonts w:ascii="Arial" w:cs="Arial" w:eastAsia="Arial" w:hAnsi="Arial"/>
          <w:sz w:val="16"/>
          <w:szCs w:val="16"/>
          <w:u w:val="single" w:color="auto"/>
          <w:color w:val="0000EE"/>
        </w:rPr>
      </w:pPr>
      <w:r>
        <w:rPr>
          <w:rFonts w:ascii="Arial" w:cs="Arial" w:eastAsia="Arial" w:hAnsi="Arial"/>
          <w:sz w:val="18"/>
          <w:szCs w:val="18"/>
          <w:color w:val="auto"/>
        </w:rPr>
        <w:t>12.1</w:t>
      </w:r>
      <w:r>
        <w:rPr>
          <w:sz w:val="20"/>
          <w:szCs w:val="20"/>
          <w:color w:val="auto"/>
        </w:rPr>
        <w:tab/>
      </w:r>
      <w:hyperlink w:anchor="page171">
        <w:r>
          <w:rPr>
            <w:rFonts w:ascii="Arial" w:cs="Arial" w:eastAsia="Arial" w:hAnsi="Arial"/>
            <w:sz w:val="16"/>
            <w:szCs w:val="16"/>
            <w:u w:val="single" w:color="auto"/>
            <w:color w:val="0000EE"/>
          </w:rPr>
          <w:t>Rule 13a-14(a)/15d-14(a) Certification of GasLog Partners LP’s Chief Executive Officer</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7"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700" w:type="dxa"/>
            <w:vAlign w:val="bottom"/>
            <w:gridSpan w:val="4"/>
          </w:tcPr>
          <w:p>
            <w:pPr>
              <w:jc w:val="right"/>
              <w:ind w:right="420"/>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Table of Contents</w:t>
              </w:r>
            </w:hyperlink>
          </w:p>
        </w:tc>
        <w:tc>
          <w:tcPr>
            <w:tcW w:w="1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ind w:left="320"/>
              <w:spacing w:after="0"/>
              <w:rPr>
                <w:sz w:val="20"/>
                <w:szCs w:val="20"/>
                <w:color w:val="auto"/>
              </w:rPr>
            </w:pPr>
            <w:r>
              <w:rPr>
                <w:rFonts w:ascii="Arial" w:cs="Arial" w:eastAsia="Arial" w:hAnsi="Arial"/>
                <w:sz w:val="18"/>
                <w:szCs w:val="18"/>
                <w:b w:val="1"/>
                <w:bCs w:val="1"/>
                <w:color w:val="auto"/>
                <w:w w:val="97"/>
              </w:rPr>
              <w:t>Exhibit No.</w:t>
            </w:r>
          </w:p>
        </w:tc>
        <w:tc>
          <w:tcPr>
            <w:tcW w:w="420" w:type="dxa"/>
            <w:vAlign w:val="bottom"/>
            <w:gridSpan w:val="2"/>
          </w:tcPr>
          <w:p>
            <w:pPr>
              <w:spacing w:after="0"/>
              <w:rPr>
                <w:sz w:val="24"/>
                <w:szCs w:val="24"/>
                <w:color w:val="auto"/>
              </w:rPr>
            </w:pPr>
          </w:p>
        </w:tc>
        <w:tc>
          <w:tcPr>
            <w:tcW w:w="822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480" w:type="dxa"/>
            <w:vAlign w:val="bottom"/>
            <w:tcBorders>
              <w:top w:val="single" w:sz="8" w:color="auto"/>
            </w:tcBorders>
            <w:gridSpan w:val="2"/>
          </w:tcPr>
          <w:p>
            <w:pPr>
              <w:ind w:left="1180"/>
              <w:spacing w:after="0" w:line="169" w:lineRule="exact"/>
              <w:rPr>
                <w:sz w:val="20"/>
                <w:szCs w:val="20"/>
                <w:color w:val="auto"/>
              </w:rPr>
            </w:pPr>
            <w:r>
              <w:rPr>
                <w:rFonts w:ascii="Arial" w:cs="Arial" w:eastAsia="Arial" w:hAnsi="Arial"/>
                <w:sz w:val="18"/>
                <w:szCs w:val="18"/>
                <w:color w:val="auto"/>
                <w:w w:val="79"/>
              </w:rPr>
              <w:t>12.2</w:t>
            </w:r>
          </w:p>
        </w:tc>
        <w:tc>
          <w:tcPr>
            <w:tcW w:w="200" w:type="dxa"/>
            <w:vAlign w:val="bottom"/>
          </w:tcPr>
          <w:p>
            <w:pPr>
              <w:spacing w:after="0"/>
              <w:rPr>
                <w:sz w:val="14"/>
                <w:szCs w:val="14"/>
                <w:color w:val="auto"/>
              </w:rPr>
            </w:pPr>
          </w:p>
        </w:tc>
        <w:tc>
          <w:tcPr>
            <w:tcW w:w="6340" w:type="dxa"/>
            <w:vAlign w:val="bottom"/>
            <w:tcBorders>
              <w:top w:val="single" w:sz="8" w:color="auto"/>
              <w:bottom w:val="single" w:sz="8" w:color="0000EE"/>
            </w:tcBorders>
            <w:gridSpan w:val="5"/>
          </w:tcPr>
          <w:p>
            <w:pPr>
              <w:spacing w:after="0" w:line="169" w:lineRule="exact"/>
              <w:rPr>
                <w:rFonts w:ascii="Arial" w:cs="Arial" w:eastAsia="Arial" w:hAnsi="Arial"/>
                <w:sz w:val="18"/>
                <w:szCs w:val="18"/>
                <w:color w:val="0000EE"/>
                <w:w w:val="92"/>
              </w:rPr>
            </w:pPr>
            <w:hyperlink w:anchor="page172">
              <w:r>
                <w:rPr>
                  <w:rFonts w:ascii="Arial" w:cs="Arial" w:eastAsia="Arial" w:hAnsi="Arial"/>
                  <w:sz w:val="18"/>
                  <w:szCs w:val="18"/>
                  <w:color w:val="0000EE"/>
                  <w:w w:val="92"/>
                </w:rPr>
                <w:t>Rule 13a-14(a)/15d-14(a) Certification of GasLog Partners LP’s Chief Financial Officer</w:t>
              </w:r>
            </w:hyperlink>
          </w:p>
        </w:tc>
        <w:tc>
          <w:tcPr>
            <w:tcW w:w="1880" w:type="dxa"/>
            <w:vAlign w:val="bottom"/>
            <w:tcBorders>
              <w:top w:val="single" w:sz="8" w:color="auto"/>
            </w:tcBorders>
            <w:gridSpan w:val="2"/>
          </w:tcPr>
          <w:p>
            <w:pPr>
              <w:spacing w:after="0"/>
              <w:rPr>
                <w:sz w:val="14"/>
                <w:szCs w:val="14"/>
                <w:color w:val="auto"/>
              </w:rPr>
            </w:pPr>
          </w:p>
        </w:tc>
      </w:tr>
      <w:tr>
        <w:trPr>
          <w:trHeight w:val="412"/>
        </w:trPr>
        <w:tc>
          <w:tcPr>
            <w:tcW w:w="1700" w:type="dxa"/>
            <w:vAlign w:val="bottom"/>
            <w:gridSpan w:val="4"/>
          </w:tcPr>
          <w:p>
            <w:pPr>
              <w:ind w:left="1200"/>
              <w:spacing w:after="0"/>
              <w:rPr>
                <w:sz w:val="20"/>
                <w:szCs w:val="20"/>
                <w:color w:val="auto"/>
              </w:rPr>
            </w:pPr>
            <w:r>
              <w:rPr>
                <w:rFonts w:ascii="Arial" w:cs="Arial" w:eastAsia="Arial" w:hAnsi="Arial"/>
                <w:sz w:val="18"/>
                <w:szCs w:val="18"/>
                <w:color w:val="auto"/>
              </w:rPr>
              <w:t>13.1</w:t>
            </w:r>
          </w:p>
        </w:tc>
        <w:tc>
          <w:tcPr>
            <w:tcW w:w="82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73">
              <w:r>
                <w:rPr>
                  <w:rFonts w:ascii="Arial" w:cs="Arial" w:eastAsia="Arial" w:hAnsi="Arial"/>
                  <w:sz w:val="18"/>
                  <w:szCs w:val="18"/>
                  <w:color w:val="0000EE"/>
                  <w:w w:val="93"/>
                </w:rPr>
                <w:t>GasLog Partners LP Certification of Paolo Enoizi, Chief Executive Officer, pursuant to 18 U.S.C. Section 1350,</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as adopted pursuant to Section 906 of the U.S. Sarbanes- Oxley Act of 2002</w:t>
              </w:r>
            </w:hyperlink>
          </w:p>
        </w:tc>
        <w:tc>
          <w:tcPr>
            <w:tcW w:w="2740" w:type="dxa"/>
            <w:vAlign w:val="bottom"/>
            <w:gridSpan w:val="4"/>
          </w:tcPr>
          <w:p>
            <w:pPr>
              <w:spacing w:after="0"/>
              <w:rPr>
                <w:sz w:val="17"/>
                <w:szCs w:val="17"/>
                <w:color w:val="auto"/>
              </w:rPr>
            </w:pPr>
          </w:p>
        </w:tc>
      </w:tr>
      <w:tr>
        <w:trPr>
          <w:trHeight w:val="412"/>
        </w:trPr>
        <w:tc>
          <w:tcPr>
            <w:tcW w:w="1700" w:type="dxa"/>
            <w:vAlign w:val="bottom"/>
            <w:gridSpan w:val="4"/>
          </w:tcPr>
          <w:p>
            <w:pPr>
              <w:ind w:left="1200"/>
              <w:spacing w:after="0"/>
              <w:rPr>
                <w:sz w:val="20"/>
                <w:szCs w:val="20"/>
                <w:color w:val="auto"/>
              </w:rPr>
            </w:pPr>
            <w:r>
              <w:rPr>
                <w:rFonts w:ascii="Arial" w:cs="Arial" w:eastAsia="Arial" w:hAnsi="Arial"/>
                <w:sz w:val="18"/>
                <w:szCs w:val="18"/>
                <w:color w:val="auto"/>
              </w:rPr>
              <w:t>13.2</w:t>
            </w:r>
          </w:p>
        </w:tc>
        <w:tc>
          <w:tcPr>
            <w:tcW w:w="8220" w:type="dxa"/>
            <w:vAlign w:val="bottom"/>
            <w:gridSpan w:val="7"/>
          </w:tcPr>
          <w:p>
            <w:pPr>
              <w:spacing w:after="0"/>
              <w:rPr>
                <w:rFonts w:ascii="Arial" w:cs="Arial" w:eastAsia="Arial" w:hAnsi="Arial"/>
                <w:sz w:val="18"/>
                <w:szCs w:val="18"/>
                <w:color w:val="0000EE"/>
                <w:w w:val="93"/>
              </w:rPr>
            </w:pPr>
            <w:hyperlink w:anchor="page174">
              <w:r>
                <w:rPr>
                  <w:rFonts w:ascii="Arial" w:cs="Arial" w:eastAsia="Arial" w:hAnsi="Arial"/>
                  <w:sz w:val="18"/>
                  <w:szCs w:val="18"/>
                  <w:color w:val="0000EE"/>
                  <w:w w:val="93"/>
                </w:rPr>
                <w:t>GasLog Partners LP Certification of Achilleas Tasioulas, Chief Financial Officer, pursuant to 18 U.S.C. Section</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1350, as adopted pursuant to Section 906 of the U.S. Sarbanes-Oxley Act of 2002</w:t>
              </w:r>
            </w:hyperlink>
          </w:p>
        </w:tc>
        <w:tc>
          <w:tcPr>
            <w:tcW w:w="20" w:type="dxa"/>
            <w:vAlign w:val="bottom"/>
          </w:tcPr>
          <w:p>
            <w:pPr>
              <w:spacing w:after="0"/>
              <w:rPr>
                <w:sz w:val="17"/>
                <w:szCs w:val="17"/>
                <w:color w:val="auto"/>
              </w:rPr>
            </w:pPr>
          </w:p>
        </w:tc>
      </w:tr>
      <w:tr>
        <w:trPr>
          <w:trHeight w:val="412"/>
        </w:trPr>
        <w:tc>
          <w:tcPr>
            <w:tcW w:w="1700" w:type="dxa"/>
            <w:vAlign w:val="bottom"/>
            <w:gridSpan w:val="4"/>
          </w:tcPr>
          <w:p>
            <w:pPr>
              <w:ind w:left="1200"/>
              <w:spacing w:after="0"/>
              <w:rPr>
                <w:sz w:val="20"/>
                <w:szCs w:val="20"/>
                <w:color w:val="auto"/>
              </w:rPr>
            </w:pPr>
            <w:r>
              <w:rPr>
                <w:rFonts w:ascii="Arial" w:cs="Arial" w:eastAsia="Arial" w:hAnsi="Arial"/>
                <w:sz w:val="18"/>
                <w:szCs w:val="18"/>
                <w:color w:val="auto"/>
              </w:rPr>
              <w:t>13.3</w:t>
            </w:r>
          </w:p>
        </w:tc>
        <w:tc>
          <w:tcPr>
            <w:tcW w:w="178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175">
              <w:r>
                <w:rPr>
                  <w:rFonts w:ascii="Arial" w:cs="Arial" w:eastAsia="Arial" w:hAnsi="Arial"/>
                  <w:sz w:val="18"/>
                  <w:szCs w:val="18"/>
                  <w:color w:val="0000EE"/>
                  <w:w w:val="92"/>
                </w:rPr>
                <w:t>Consent of Deloitte LLP</w:t>
              </w:r>
            </w:hyperlink>
          </w:p>
        </w:tc>
        <w:tc>
          <w:tcPr>
            <w:tcW w:w="4100" w:type="dxa"/>
            <w:vAlign w:val="bottom"/>
            <w:tcBorders>
              <w:top w:val="single" w:sz="8" w:color="0000EE"/>
            </w:tcBorders>
            <w:gridSpan w:val="3"/>
          </w:tcPr>
          <w:p>
            <w:pPr>
              <w:spacing w:after="0"/>
              <w:rPr>
                <w:sz w:val="24"/>
                <w:szCs w:val="24"/>
                <w:color w:val="auto"/>
              </w:rPr>
            </w:pPr>
          </w:p>
        </w:tc>
        <w:tc>
          <w:tcPr>
            <w:tcW w:w="2340" w:type="dxa"/>
            <w:vAlign w:val="bottom"/>
            <w:gridSpan w:val="3"/>
          </w:tcPr>
          <w:p>
            <w:pPr>
              <w:spacing w:after="0"/>
              <w:rPr>
                <w:sz w:val="24"/>
                <w:szCs w:val="24"/>
                <w:color w:val="auto"/>
              </w:rPr>
            </w:pPr>
          </w:p>
        </w:tc>
      </w:tr>
      <w:tr>
        <w:trPr>
          <w:trHeight w:val="412"/>
        </w:trPr>
        <w:tc>
          <w:tcPr>
            <w:tcW w:w="1700" w:type="dxa"/>
            <w:vAlign w:val="bottom"/>
            <w:gridSpan w:val="4"/>
          </w:tcPr>
          <w:p>
            <w:pPr>
              <w:ind w:left="1200"/>
              <w:spacing w:after="0"/>
              <w:rPr>
                <w:sz w:val="20"/>
                <w:szCs w:val="20"/>
                <w:color w:val="auto"/>
              </w:rPr>
            </w:pPr>
            <w:r>
              <w:rPr>
                <w:rFonts w:ascii="Arial" w:cs="Arial" w:eastAsia="Arial" w:hAnsi="Arial"/>
                <w:sz w:val="18"/>
                <w:szCs w:val="18"/>
                <w:color w:val="auto"/>
              </w:rPr>
              <w:t>13.4</w:t>
            </w:r>
          </w:p>
        </w:tc>
        <w:tc>
          <w:tcPr>
            <w:tcW w:w="8220" w:type="dxa"/>
            <w:vAlign w:val="bottom"/>
            <w:gridSpan w:val="7"/>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Consent of Deloitte Certified Public Accountants S.A.</w:t>
              </w:r>
            </w:hyperlink>
          </w:p>
        </w:tc>
      </w:tr>
      <w:tr>
        <w:trPr>
          <w:trHeight w:val="453"/>
        </w:trPr>
        <w:tc>
          <w:tcPr>
            <w:tcW w:w="20" w:type="dxa"/>
            <w:vAlign w:val="bottom"/>
          </w:tcPr>
          <w:p>
            <w:pPr>
              <w:spacing w:after="0"/>
              <w:rPr>
                <w:sz w:val="24"/>
                <w:szCs w:val="24"/>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101.INS</w:t>
            </w:r>
          </w:p>
        </w:tc>
        <w:tc>
          <w:tcPr>
            <w:tcW w:w="39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231F20"/>
              </w:rPr>
              <w:t>XBRL Instance Document</w:t>
            </w:r>
          </w:p>
        </w:tc>
        <w:tc>
          <w:tcPr>
            <w:tcW w:w="4320" w:type="dxa"/>
            <w:vAlign w:val="bottom"/>
            <w:gridSpan w:val="5"/>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231F20"/>
              </w:rPr>
              <w:t>101.SCH</w:t>
            </w:r>
          </w:p>
        </w:tc>
        <w:tc>
          <w:tcPr>
            <w:tcW w:w="8220" w:type="dxa"/>
            <w:vAlign w:val="bottom"/>
            <w:gridSpan w:val="7"/>
          </w:tcPr>
          <w:p>
            <w:pPr>
              <w:spacing w:after="0"/>
              <w:rPr>
                <w:sz w:val="20"/>
                <w:szCs w:val="20"/>
                <w:color w:val="auto"/>
              </w:rPr>
            </w:pPr>
            <w:r>
              <w:rPr>
                <w:rFonts w:ascii="Arial" w:cs="Arial" w:eastAsia="Arial" w:hAnsi="Arial"/>
                <w:sz w:val="18"/>
                <w:szCs w:val="18"/>
                <w:color w:val="231F20"/>
              </w:rPr>
              <w:t>XBRL Taxonomy Extension Schema</w:t>
            </w:r>
          </w:p>
        </w:tc>
      </w:tr>
      <w:tr>
        <w:trPr>
          <w:trHeight w:val="432"/>
        </w:trPr>
        <w:tc>
          <w:tcPr>
            <w:tcW w:w="20" w:type="dxa"/>
            <w:vAlign w:val="bottom"/>
          </w:tcPr>
          <w:p>
            <w:pPr>
              <w:spacing w:after="0"/>
              <w:rPr>
                <w:sz w:val="24"/>
                <w:szCs w:val="24"/>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231F20"/>
              </w:rPr>
              <w:t>101.CAL</w:t>
            </w:r>
          </w:p>
        </w:tc>
        <w:tc>
          <w:tcPr>
            <w:tcW w:w="8220" w:type="dxa"/>
            <w:vAlign w:val="bottom"/>
            <w:gridSpan w:val="7"/>
          </w:tcPr>
          <w:p>
            <w:pPr>
              <w:spacing w:after="0"/>
              <w:rPr>
                <w:sz w:val="20"/>
                <w:szCs w:val="20"/>
                <w:color w:val="auto"/>
              </w:rPr>
            </w:pPr>
            <w:r>
              <w:rPr>
                <w:rFonts w:ascii="Arial" w:cs="Arial" w:eastAsia="Arial" w:hAnsi="Arial"/>
                <w:sz w:val="18"/>
                <w:szCs w:val="18"/>
                <w:color w:val="231F20"/>
              </w:rPr>
              <w:t>XBRL Taxonomy Extension Scheme Calculation Linkbase</w:t>
            </w:r>
          </w:p>
        </w:tc>
      </w:tr>
      <w:tr>
        <w:trPr>
          <w:trHeight w:val="432"/>
        </w:trPr>
        <w:tc>
          <w:tcPr>
            <w:tcW w:w="20" w:type="dxa"/>
            <w:vAlign w:val="bottom"/>
          </w:tcPr>
          <w:p>
            <w:pPr>
              <w:spacing w:after="0"/>
              <w:rPr>
                <w:sz w:val="24"/>
                <w:szCs w:val="24"/>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231F20"/>
              </w:rPr>
              <w:t>101.DEF</w:t>
            </w:r>
          </w:p>
        </w:tc>
        <w:tc>
          <w:tcPr>
            <w:tcW w:w="8220" w:type="dxa"/>
            <w:vAlign w:val="bottom"/>
            <w:gridSpan w:val="7"/>
          </w:tcPr>
          <w:p>
            <w:pPr>
              <w:spacing w:after="0"/>
              <w:rPr>
                <w:sz w:val="20"/>
                <w:szCs w:val="20"/>
                <w:color w:val="auto"/>
              </w:rPr>
            </w:pPr>
            <w:r>
              <w:rPr>
                <w:rFonts w:ascii="Arial" w:cs="Arial" w:eastAsia="Arial" w:hAnsi="Arial"/>
                <w:sz w:val="18"/>
                <w:szCs w:val="18"/>
                <w:color w:val="231F20"/>
              </w:rPr>
              <w:t>XBRL Taxonomy Extension Scheme Definition Linkbase</w:t>
            </w:r>
          </w:p>
        </w:tc>
      </w:tr>
      <w:tr>
        <w:trPr>
          <w:trHeight w:val="432"/>
        </w:trPr>
        <w:tc>
          <w:tcPr>
            <w:tcW w:w="20" w:type="dxa"/>
            <w:vAlign w:val="bottom"/>
          </w:tcPr>
          <w:p>
            <w:pPr>
              <w:spacing w:after="0"/>
              <w:rPr>
                <w:sz w:val="24"/>
                <w:szCs w:val="24"/>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231F20"/>
              </w:rPr>
              <w:t>101.LAB</w:t>
            </w:r>
          </w:p>
        </w:tc>
        <w:tc>
          <w:tcPr>
            <w:tcW w:w="8220" w:type="dxa"/>
            <w:vAlign w:val="bottom"/>
            <w:gridSpan w:val="7"/>
          </w:tcPr>
          <w:p>
            <w:pPr>
              <w:spacing w:after="0"/>
              <w:rPr>
                <w:sz w:val="20"/>
                <w:szCs w:val="20"/>
                <w:color w:val="auto"/>
              </w:rPr>
            </w:pPr>
            <w:r>
              <w:rPr>
                <w:rFonts w:ascii="Arial" w:cs="Arial" w:eastAsia="Arial" w:hAnsi="Arial"/>
                <w:sz w:val="18"/>
                <w:szCs w:val="18"/>
                <w:color w:val="231F20"/>
              </w:rPr>
              <w:t>XBRL Taxonomy Extension Scheme Label Linkbase</w:t>
            </w:r>
          </w:p>
        </w:tc>
      </w:tr>
      <w:tr>
        <w:trPr>
          <w:trHeight w:val="432"/>
        </w:trPr>
        <w:tc>
          <w:tcPr>
            <w:tcW w:w="20" w:type="dxa"/>
            <w:vAlign w:val="bottom"/>
          </w:tcPr>
          <w:p>
            <w:pPr>
              <w:spacing w:after="0"/>
              <w:rPr>
                <w:sz w:val="24"/>
                <w:szCs w:val="24"/>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231F20"/>
              </w:rPr>
              <w:t>101.PRE</w:t>
            </w:r>
          </w:p>
        </w:tc>
        <w:tc>
          <w:tcPr>
            <w:tcW w:w="8220" w:type="dxa"/>
            <w:vAlign w:val="bottom"/>
            <w:gridSpan w:val="7"/>
          </w:tcPr>
          <w:p>
            <w:pPr>
              <w:spacing w:after="0"/>
              <w:rPr>
                <w:sz w:val="20"/>
                <w:szCs w:val="20"/>
                <w:color w:val="auto"/>
              </w:rPr>
            </w:pPr>
            <w:r>
              <w:rPr>
                <w:rFonts w:ascii="Arial" w:cs="Arial" w:eastAsia="Arial" w:hAnsi="Arial"/>
                <w:sz w:val="18"/>
                <w:szCs w:val="18"/>
                <w:color w:val="231F20"/>
              </w:rPr>
              <w:t>XBRL Taxonomy Extension Scheme Presentation Linkbase</w:t>
            </w:r>
          </w:p>
        </w:tc>
      </w:tr>
    </w:tbl>
    <w:p>
      <w:pPr>
        <w:spacing w:after="0" w:line="202" w:lineRule="exact"/>
        <w:rPr>
          <w:sz w:val="20"/>
          <w:szCs w:val="20"/>
          <w:color w:val="auto"/>
        </w:rPr>
      </w:pPr>
    </w:p>
    <w:p>
      <w:pPr>
        <w:ind w:left="1700" w:hanging="462"/>
        <w:spacing w:after="0"/>
        <w:tabs>
          <w:tab w:leader="none" w:pos="1700" w:val="left"/>
        </w:tabs>
        <w:numPr>
          <w:ilvl w:val="1"/>
          <w:numId w:val="94"/>
        </w:numPr>
        <w:rPr>
          <w:rFonts w:ascii="Arial" w:cs="Arial" w:eastAsia="Arial" w:hAnsi="Arial"/>
          <w:sz w:val="18"/>
          <w:szCs w:val="18"/>
          <w:color w:val="auto"/>
        </w:rPr>
      </w:pPr>
      <w:r>
        <w:rPr>
          <w:rFonts w:ascii="Arial" w:cs="Arial" w:eastAsia="Arial" w:hAnsi="Arial"/>
          <w:sz w:val="18"/>
          <w:szCs w:val="18"/>
          <w:color w:val="231F20"/>
        </w:rPr>
        <w:t>Cover page interactive data file (formatted as Inline XBRL and included in Exhibit 101)</w:t>
      </w:r>
    </w:p>
    <w:p>
      <w:pPr>
        <w:spacing w:after="0" w:line="225" w:lineRule="exact"/>
        <w:rPr>
          <w:rFonts w:ascii="Arial" w:cs="Arial" w:eastAsia="Arial" w:hAnsi="Arial"/>
          <w:sz w:val="18"/>
          <w:szCs w:val="18"/>
          <w:color w:val="auto"/>
        </w:rPr>
      </w:pPr>
    </w:p>
    <w:p>
      <w:pPr>
        <w:ind w:left="340" w:right="660" w:hanging="332"/>
        <w:spacing w:after="0" w:line="216" w:lineRule="auto"/>
        <w:tabs>
          <w:tab w:leader="none" w:pos="340" w:val="left"/>
        </w:tabs>
        <w:numPr>
          <w:ilvl w:val="0"/>
          <w:numId w:val="95"/>
        </w:numPr>
        <w:rPr>
          <w:rFonts w:ascii="Arial" w:cs="Arial" w:eastAsia="Arial" w:hAnsi="Arial"/>
          <w:sz w:val="26"/>
          <w:szCs w:val="26"/>
          <w:color w:val="231F20"/>
          <w:vertAlign w:val="superscript"/>
        </w:rPr>
      </w:pPr>
      <w:r>
        <w:rPr>
          <w:rFonts w:ascii="Arial" w:cs="Arial" w:eastAsia="Arial" w:hAnsi="Arial"/>
          <w:sz w:val="17"/>
          <w:szCs w:val="17"/>
          <w:color w:val="231F20"/>
        </w:rPr>
        <w:t>Previously filed as an exhibit to GasLog Partners LP’s Registration Statement on Form F-1 (File No. 333-195109), declared effective by the SEC on May 6, 2014, and hereby incorporated by reference to such Registration Statement.</w:t>
      </w:r>
    </w:p>
    <w:p>
      <w:pPr>
        <w:spacing w:after="0" w:line="202" w:lineRule="exact"/>
        <w:rPr>
          <w:rFonts w:ascii="Arial" w:cs="Arial" w:eastAsia="Arial" w:hAnsi="Arial"/>
          <w:sz w:val="26"/>
          <w:szCs w:val="26"/>
          <w:color w:val="231F20"/>
          <w:vertAlign w:val="superscript"/>
        </w:rPr>
      </w:pPr>
    </w:p>
    <w:p>
      <w:pPr>
        <w:ind w:left="340" w:right="100" w:hanging="332"/>
        <w:spacing w:after="0" w:line="207" w:lineRule="auto"/>
        <w:tabs>
          <w:tab w:leader="none" w:pos="340" w:val="left"/>
        </w:tabs>
        <w:numPr>
          <w:ilvl w:val="0"/>
          <w:numId w:val="95"/>
        </w:numPr>
        <w:rPr>
          <w:rFonts w:ascii="Arial" w:cs="Arial" w:eastAsia="Arial" w:hAnsi="Arial"/>
          <w:sz w:val="27"/>
          <w:szCs w:val="27"/>
          <w:color w:val="231F20"/>
          <w:vertAlign w:val="superscript"/>
        </w:rPr>
      </w:pPr>
      <w:r>
        <w:rPr>
          <w:rFonts w:ascii="Arial" w:cs="Arial" w:eastAsia="Arial" w:hAnsi="Arial"/>
          <w:sz w:val="18"/>
          <w:szCs w:val="18"/>
          <w:color w:val="231F20"/>
        </w:rPr>
        <w:t>Previously filed as Exhibit 3.2 to GasLog Partners LP’s Report on Form 6-K (File No. 001-36433), filed with the SEC on August 5, 2020, hereby incorporated by reference to such Report.</w:t>
      </w:r>
    </w:p>
    <w:p>
      <w:pPr>
        <w:spacing w:after="0" w:line="201" w:lineRule="exact"/>
        <w:rPr>
          <w:rFonts w:ascii="Arial" w:cs="Arial" w:eastAsia="Arial" w:hAnsi="Arial"/>
          <w:sz w:val="27"/>
          <w:szCs w:val="27"/>
          <w:color w:val="231F20"/>
          <w:vertAlign w:val="superscript"/>
        </w:rPr>
      </w:pPr>
    </w:p>
    <w:p>
      <w:pPr>
        <w:ind w:left="340" w:right="220" w:hanging="332"/>
        <w:spacing w:after="0" w:line="207" w:lineRule="auto"/>
        <w:tabs>
          <w:tab w:leader="none" w:pos="340" w:val="left"/>
        </w:tabs>
        <w:numPr>
          <w:ilvl w:val="0"/>
          <w:numId w:val="95"/>
        </w:numPr>
        <w:rPr>
          <w:rFonts w:ascii="Arial" w:cs="Arial" w:eastAsia="Arial" w:hAnsi="Arial"/>
          <w:sz w:val="27"/>
          <w:szCs w:val="27"/>
          <w:color w:val="231F20"/>
          <w:vertAlign w:val="superscript"/>
        </w:rPr>
      </w:pPr>
      <w:r>
        <w:rPr>
          <w:rFonts w:ascii="Arial" w:cs="Arial" w:eastAsia="Arial" w:hAnsi="Arial"/>
          <w:sz w:val="18"/>
          <w:szCs w:val="18"/>
          <w:color w:val="231F20"/>
        </w:rPr>
        <w:t>Previously filed as Exhibit 4.6 to GasLog Partners LP’s Registration Statement on Form S-8 (File No. 333-203139), filed with the SEC on March 31, 2015, and hereby incorporated by reference to such Registration Statement.</w:t>
      </w:r>
    </w:p>
    <w:p>
      <w:pPr>
        <w:spacing w:after="0" w:line="201" w:lineRule="exact"/>
        <w:rPr>
          <w:rFonts w:ascii="Arial" w:cs="Arial" w:eastAsia="Arial" w:hAnsi="Arial"/>
          <w:sz w:val="27"/>
          <w:szCs w:val="27"/>
          <w:color w:val="231F20"/>
          <w:vertAlign w:val="superscript"/>
        </w:rPr>
      </w:pPr>
    </w:p>
    <w:p>
      <w:pPr>
        <w:ind w:left="340" w:right="640" w:hanging="332"/>
        <w:spacing w:after="0" w:line="207" w:lineRule="auto"/>
        <w:tabs>
          <w:tab w:leader="none" w:pos="340" w:val="left"/>
        </w:tabs>
        <w:numPr>
          <w:ilvl w:val="0"/>
          <w:numId w:val="95"/>
        </w:numPr>
        <w:rPr>
          <w:rFonts w:ascii="Arial" w:cs="Arial" w:eastAsia="Arial" w:hAnsi="Arial"/>
          <w:sz w:val="27"/>
          <w:szCs w:val="27"/>
          <w:color w:val="231F20"/>
          <w:vertAlign w:val="superscript"/>
        </w:rPr>
      </w:pPr>
      <w:r>
        <w:rPr>
          <w:rFonts w:ascii="Arial" w:cs="Arial" w:eastAsia="Arial" w:hAnsi="Arial"/>
          <w:sz w:val="18"/>
          <w:szCs w:val="18"/>
          <w:color w:val="231F20"/>
        </w:rPr>
        <w:t>Previously filed as Exhibit 99.3 to GasLog Partners LP’s Report on Form 6-K, filed with the SEC on April 30, 2015, hereby incorporated by reference to such Report.</w:t>
      </w:r>
    </w:p>
    <w:p>
      <w:pPr>
        <w:spacing w:after="0" w:line="201" w:lineRule="exact"/>
        <w:rPr>
          <w:rFonts w:ascii="Arial" w:cs="Arial" w:eastAsia="Arial" w:hAnsi="Arial"/>
          <w:sz w:val="27"/>
          <w:szCs w:val="27"/>
          <w:color w:val="231F20"/>
          <w:vertAlign w:val="superscript"/>
        </w:rPr>
      </w:pPr>
    </w:p>
    <w:p>
      <w:pPr>
        <w:ind w:left="340" w:right="460" w:hanging="332"/>
        <w:spacing w:after="0" w:line="207" w:lineRule="auto"/>
        <w:tabs>
          <w:tab w:leader="none" w:pos="340" w:val="left"/>
        </w:tabs>
        <w:numPr>
          <w:ilvl w:val="0"/>
          <w:numId w:val="95"/>
        </w:numPr>
        <w:rPr>
          <w:rFonts w:ascii="Arial" w:cs="Arial" w:eastAsia="Arial" w:hAnsi="Arial"/>
          <w:sz w:val="27"/>
          <w:szCs w:val="27"/>
          <w:color w:val="231F20"/>
          <w:vertAlign w:val="superscript"/>
        </w:rPr>
      </w:pPr>
      <w:r>
        <w:rPr>
          <w:rFonts w:ascii="Arial" w:cs="Arial" w:eastAsia="Arial" w:hAnsi="Arial"/>
          <w:sz w:val="18"/>
          <w:szCs w:val="18"/>
          <w:color w:val="231F20"/>
        </w:rPr>
        <w:t>Previously filed as an exhibit to GasLog Partners LP’s Annual Report on Form 20-F, filed with the SEC on February 12, 2016, hereby incorporated by reference to such Report.</w:t>
      </w:r>
    </w:p>
    <w:p>
      <w:pPr>
        <w:spacing w:after="0" w:line="201" w:lineRule="exact"/>
        <w:rPr>
          <w:rFonts w:ascii="Arial" w:cs="Arial" w:eastAsia="Arial" w:hAnsi="Arial"/>
          <w:sz w:val="27"/>
          <w:szCs w:val="27"/>
          <w:color w:val="231F20"/>
          <w:vertAlign w:val="superscript"/>
        </w:rPr>
      </w:pPr>
    </w:p>
    <w:p>
      <w:pPr>
        <w:ind w:left="340" w:right="60" w:hanging="332"/>
        <w:spacing w:after="0" w:line="207" w:lineRule="auto"/>
        <w:tabs>
          <w:tab w:leader="none" w:pos="340" w:val="left"/>
        </w:tabs>
        <w:numPr>
          <w:ilvl w:val="0"/>
          <w:numId w:val="95"/>
        </w:numPr>
        <w:rPr>
          <w:rFonts w:ascii="Arial" w:cs="Arial" w:eastAsia="Arial" w:hAnsi="Arial"/>
          <w:sz w:val="27"/>
          <w:szCs w:val="27"/>
          <w:color w:val="231F20"/>
          <w:vertAlign w:val="superscript"/>
        </w:rPr>
      </w:pPr>
      <w:r>
        <w:rPr>
          <w:rFonts w:ascii="Arial" w:cs="Arial" w:eastAsia="Arial" w:hAnsi="Arial"/>
          <w:sz w:val="18"/>
          <w:szCs w:val="18"/>
          <w:color w:val="231F20"/>
        </w:rPr>
        <w:t>Previously filed as an exhibit to GasLog Ltd.’s Annual Report on Form 20-F (File No. 001-35466), filed with the SEC on March 14, 2016, and hereby incorporated by reference to such Report.</w:t>
      </w:r>
    </w:p>
    <w:p>
      <w:pPr>
        <w:spacing w:after="0" w:line="201" w:lineRule="exact"/>
        <w:rPr>
          <w:rFonts w:ascii="Arial" w:cs="Arial" w:eastAsia="Arial" w:hAnsi="Arial"/>
          <w:sz w:val="27"/>
          <w:szCs w:val="27"/>
          <w:color w:val="231F20"/>
          <w:vertAlign w:val="superscript"/>
        </w:rPr>
      </w:pPr>
    </w:p>
    <w:p>
      <w:pPr>
        <w:ind w:left="340" w:right="100" w:hanging="332"/>
        <w:spacing w:after="0" w:line="207" w:lineRule="auto"/>
        <w:tabs>
          <w:tab w:leader="none" w:pos="340" w:val="left"/>
        </w:tabs>
        <w:numPr>
          <w:ilvl w:val="0"/>
          <w:numId w:val="95"/>
        </w:numPr>
        <w:rPr>
          <w:rFonts w:ascii="Arial" w:cs="Arial" w:eastAsia="Arial" w:hAnsi="Arial"/>
          <w:sz w:val="27"/>
          <w:szCs w:val="27"/>
          <w:color w:val="231F20"/>
          <w:vertAlign w:val="superscript"/>
        </w:rPr>
      </w:pPr>
      <w:r>
        <w:rPr>
          <w:rFonts w:ascii="Arial" w:cs="Arial" w:eastAsia="Arial" w:hAnsi="Arial"/>
          <w:sz w:val="18"/>
          <w:szCs w:val="18"/>
          <w:color w:val="231F20"/>
        </w:rPr>
        <w:t>Previously filed as Exhibit 10.1 to GasLog Partners LP’s Report on Form 6-K (File No. 001-36433), filed with the SEC on June 24, 2019, hereby incorporated by reference to such Report.</w:t>
      </w:r>
    </w:p>
    <w:p>
      <w:pPr>
        <w:spacing w:after="0" w:line="201" w:lineRule="exact"/>
        <w:rPr>
          <w:rFonts w:ascii="Arial" w:cs="Arial" w:eastAsia="Arial" w:hAnsi="Arial"/>
          <w:sz w:val="27"/>
          <w:szCs w:val="27"/>
          <w:color w:val="231F20"/>
          <w:vertAlign w:val="superscript"/>
        </w:rPr>
      </w:pPr>
    </w:p>
    <w:p>
      <w:pPr>
        <w:ind w:left="340" w:right="280" w:hanging="332"/>
        <w:spacing w:after="0" w:line="207" w:lineRule="auto"/>
        <w:tabs>
          <w:tab w:leader="none" w:pos="340" w:val="left"/>
        </w:tabs>
        <w:numPr>
          <w:ilvl w:val="0"/>
          <w:numId w:val="95"/>
        </w:numPr>
        <w:rPr>
          <w:rFonts w:ascii="Arial" w:cs="Arial" w:eastAsia="Arial" w:hAnsi="Arial"/>
          <w:sz w:val="27"/>
          <w:szCs w:val="27"/>
          <w:color w:val="231F20"/>
          <w:vertAlign w:val="superscript"/>
        </w:rPr>
      </w:pPr>
      <w:r>
        <w:rPr>
          <w:rFonts w:ascii="Arial" w:cs="Arial" w:eastAsia="Arial" w:hAnsi="Arial"/>
          <w:sz w:val="18"/>
          <w:szCs w:val="18"/>
          <w:color w:val="231F20"/>
        </w:rPr>
        <w:t>Previously filed as an exhibit to GasLog Partners LP’s Annual Report on Form 20-F (File No. 001-36433), filed with the SEC on February 26, 2019, and hereby incorporated by reference to such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-3222625</wp:posOffset>
            </wp:positionV>
            <wp:extent cx="15684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100" w:hanging="332"/>
        <w:spacing w:after="0" w:line="207" w:lineRule="auto"/>
        <w:tabs>
          <w:tab w:leader="none" w:pos="340" w:val="left"/>
        </w:tabs>
        <w:numPr>
          <w:ilvl w:val="0"/>
          <w:numId w:val="96"/>
        </w:numPr>
        <w:rPr>
          <w:rFonts w:ascii="Arial" w:cs="Arial" w:eastAsia="Arial" w:hAnsi="Arial"/>
          <w:sz w:val="27"/>
          <w:szCs w:val="27"/>
          <w:color w:val="231F20"/>
          <w:vertAlign w:val="superscript"/>
        </w:rPr>
      </w:pPr>
      <w:r>
        <w:rPr>
          <w:rFonts w:ascii="Arial" w:cs="Arial" w:eastAsia="Arial" w:hAnsi="Arial"/>
          <w:sz w:val="18"/>
          <w:szCs w:val="18"/>
          <w:color w:val="231F20"/>
        </w:rPr>
        <w:t>Previously filed as an exhibit to GasLog Partners LP’s Annual Report on Form 20-F (File No. 001-36433), filed with the SEC on March 3, 2020, and hereby incorporated by reference to such Report.</w:t>
      </w:r>
    </w:p>
    <w:p>
      <w:pPr>
        <w:spacing w:after="0" w:line="201" w:lineRule="exact"/>
        <w:rPr>
          <w:rFonts w:ascii="Arial" w:cs="Arial" w:eastAsia="Arial" w:hAnsi="Arial"/>
          <w:sz w:val="27"/>
          <w:szCs w:val="27"/>
          <w:color w:val="231F20"/>
          <w:vertAlign w:val="superscript"/>
        </w:rPr>
      </w:pPr>
    </w:p>
    <w:p>
      <w:pPr>
        <w:ind w:left="340" w:hanging="332"/>
        <w:spacing w:after="0" w:line="207" w:lineRule="auto"/>
        <w:tabs>
          <w:tab w:leader="none" w:pos="340" w:val="left"/>
        </w:tabs>
        <w:numPr>
          <w:ilvl w:val="0"/>
          <w:numId w:val="96"/>
        </w:numPr>
        <w:rPr>
          <w:rFonts w:ascii="Arial" w:cs="Arial" w:eastAsia="Arial" w:hAnsi="Arial"/>
          <w:sz w:val="27"/>
          <w:szCs w:val="27"/>
          <w:color w:val="231F20"/>
          <w:vertAlign w:val="superscript"/>
        </w:rPr>
      </w:pPr>
      <w:r>
        <w:rPr>
          <w:rFonts w:ascii="Arial" w:cs="Arial" w:eastAsia="Arial" w:hAnsi="Arial"/>
          <w:sz w:val="18"/>
          <w:szCs w:val="18"/>
          <w:color w:val="231F20"/>
        </w:rPr>
        <w:t>Previously filed as Exhibit 10.1 to GasLog Partners LP’s Report on Form 6-K (File No. 001-36433), filed with the SEC on August 5, 2020, and hereby incorporated by reference to such Report.</w:t>
      </w:r>
    </w:p>
    <w:p>
      <w:pPr>
        <w:spacing w:after="0" w:line="201" w:lineRule="exact"/>
        <w:rPr>
          <w:rFonts w:ascii="Arial" w:cs="Arial" w:eastAsia="Arial" w:hAnsi="Arial"/>
          <w:sz w:val="27"/>
          <w:szCs w:val="27"/>
          <w:color w:val="231F20"/>
          <w:vertAlign w:val="superscript"/>
        </w:rPr>
      </w:pPr>
    </w:p>
    <w:p>
      <w:pPr>
        <w:ind w:left="340" w:right="100" w:hanging="332"/>
        <w:spacing w:after="0" w:line="207" w:lineRule="auto"/>
        <w:tabs>
          <w:tab w:leader="none" w:pos="340" w:val="left"/>
        </w:tabs>
        <w:numPr>
          <w:ilvl w:val="0"/>
          <w:numId w:val="96"/>
        </w:numPr>
        <w:rPr>
          <w:rFonts w:ascii="Arial" w:cs="Arial" w:eastAsia="Arial" w:hAnsi="Arial"/>
          <w:sz w:val="27"/>
          <w:szCs w:val="27"/>
          <w:color w:val="231F20"/>
          <w:vertAlign w:val="superscript"/>
        </w:rPr>
      </w:pPr>
      <w:r>
        <w:rPr>
          <w:rFonts w:ascii="Arial" w:cs="Arial" w:eastAsia="Arial" w:hAnsi="Arial"/>
          <w:sz w:val="18"/>
          <w:szCs w:val="18"/>
          <w:color w:val="auto"/>
        </w:rPr>
        <w:t>Previously filed as an exhibit to GasLog Partners LP’s Annual Report on Form 20-F (File No. 001-36433), filed with the SEC on March 2, 2021, and hereby incorporated by reference to such Report.</w:t>
      </w:r>
    </w:p>
    <w:p>
      <w:pPr>
        <w:spacing w:after="0" w:line="202"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color w:val="231F20"/>
        </w:rPr>
      </w:pPr>
      <w:r>
        <w:rPr>
          <w:rFonts w:ascii="Arial" w:cs="Arial" w:eastAsia="Arial" w:hAnsi="Arial"/>
          <w:sz w:val="18"/>
          <w:szCs w:val="18"/>
          <w:color w:val="231F20"/>
        </w:rPr>
        <w:t>Confidential material has been redacted and complete exhibits have been separately filed with the SEC.</w:t>
      </w:r>
    </w:p>
    <w:p>
      <w:pPr>
        <w:spacing w:after="0" w:line="225" w:lineRule="exact"/>
        <w:rPr>
          <w:sz w:val="20"/>
          <w:szCs w:val="20"/>
          <w:color w:val="auto"/>
        </w:rPr>
      </w:pPr>
    </w:p>
    <w:p>
      <w:pPr>
        <w:ind w:left="340" w:right="180" w:hanging="332"/>
        <w:spacing w:after="0" w:line="263" w:lineRule="auto"/>
        <w:tabs>
          <w:tab w:leader="none" w:pos="340" w:val="left"/>
        </w:tabs>
        <w:numPr>
          <w:ilvl w:val="0"/>
          <w:numId w:val="98"/>
        </w:numPr>
        <w:rPr>
          <w:rFonts w:ascii="Arial" w:cs="Arial" w:eastAsia="Arial" w:hAnsi="Arial"/>
          <w:sz w:val="18"/>
          <w:szCs w:val="18"/>
          <w:color w:val="231F20"/>
        </w:rPr>
      </w:pPr>
      <w:r>
        <w:rPr>
          <w:rFonts w:ascii="Arial" w:cs="Arial" w:eastAsia="Arial" w:hAnsi="Arial"/>
          <w:sz w:val="18"/>
          <w:szCs w:val="18"/>
          <w:color w:val="231F20"/>
        </w:rPr>
        <w:t>Certain schedules have been omitted. The registrant hereby undertakes to furnish supplemental copies of any of the omitted schedules upon request by the SEC, provided, however, that GasLog Partners LP may request confidential treatment pursuant to Rule 24b-2 of the Exchange Act for any schedule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17" w:right="11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ind w:left="4320"/>
        <w:spacing w:after="0"/>
        <w:rPr>
          <w:sz w:val="20"/>
          <w:szCs w:val="20"/>
          <w:color w:val="auto"/>
        </w:rPr>
      </w:pPr>
      <w:r>
        <w:rPr>
          <w:rFonts w:ascii="Arial" w:cs="Arial" w:eastAsia="Arial" w:hAnsi="Arial"/>
          <w:sz w:val="18"/>
          <w:szCs w:val="18"/>
          <w:color w:val="231F20"/>
        </w:rPr>
        <w:t>GASLOG PARTNERS LP,</w:t>
      </w:r>
    </w:p>
    <w:p>
      <w:pPr>
        <w:spacing w:after="0" w:line="23" w:lineRule="exact"/>
        <w:rPr>
          <w:sz w:val="20"/>
          <w:szCs w:val="20"/>
          <w:color w:val="auto"/>
        </w:rPr>
      </w:pPr>
    </w:p>
    <w:tbl>
      <w:tblPr>
        <w:tblLayout w:type="fixed"/>
        <w:tblInd w:w="4320" w:type="dxa"/>
        <w:tblCellMar>
          <w:top w:w="0" w:type="dxa"/>
          <w:left w:w="0" w:type="dxa"/>
          <w:bottom w:w="0" w:type="dxa"/>
          <w:right w:w="0" w:type="dxa"/>
        </w:tblCellMar>
      </w:tblPr>
      <w:tr>
        <w:trPr>
          <w:trHeight w:val="22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31F20"/>
              </w:rPr>
              <w:t>/s/ PAOLO ENOIZI</w:t>
            </w:r>
          </w:p>
        </w:tc>
      </w:tr>
      <w:tr>
        <w:trPr>
          <w:trHeight w:val="195"/>
        </w:trPr>
        <w:tc>
          <w:tcPr>
            <w:tcW w:w="62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231F20"/>
                <w:w w:val="98"/>
              </w:rPr>
              <w:t>Name:</w:t>
            </w:r>
          </w:p>
        </w:tc>
        <w:tc>
          <w:tcPr>
            <w:tcW w:w="4440" w:type="dxa"/>
            <w:vAlign w:val="bottom"/>
          </w:tcPr>
          <w:p>
            <w:pPr>
              <w:ind w:left="60"/>
              <w:spacing w:after="0" w:line="195" w:lineRule="exact"/>
              <w:rPr>
                <w:sz w:val="20"/>
                <w:szCs w:val="20"/>
                <w:color w:val="auto"/>
              </w:rPr>
            </w:pPr>
            <w:r>
              <w:rPr>
                <w:rFonts w:ascii="Arial" w:cs="Arial" w:eastAsia="Arial" w:hAnsi="Arial"/>
                <w:sz w:val="18"/>
                <w:szCs w:val="18"/>
                <w:color w:val="231F20"/>
              </w:rPr>
              <w:t>Paolo Enoizi</w:t>
            </w:r>
          </w:p>
        </w:tc>
      </w:tr>
      <w:tr>
        <w:trPr>
          <w:trHeight w:val="230"/>
        </w:trPr>
        <w:tc>
          <w:tcPr>
            <w:tcW w:w="6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60"/>
              <w:spacing w:after="0"/>
              <w:rPr>
                <w:sz w:val="20"/>
                <w:szCs w:val="20"/>
                <w:color w:val="auto"/>
              </w:rPr>
            </w:pPr>
            <w:r>
              <w:rPr>
                <w:rFonts w:ascii="Arial" w:cs="Arial" w:eastAsia="Arial" w:hAnsi="Arial"/>
                <w:sz w:val="18"/>
                <w:szCs w:val="18"/>
                <w:i w:val="1"/>
                <w:iCs w:val="1"/>
                <w:color w:val="231F20"/>
              </w:rPr>
              <w:t>Chief Executive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Dated: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94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6100" w:type="dxa"/>
            <w:vAlign w:val="bottom"/>
            <w:gridSpan w:val="6"/>
          </w:tcPr>
          <w:p>
            <w:pPr>
              <w:jc w:val="center"/>
              <w:ind w:right="2820"/>
              <w:spacing w:after="0"/>
              <w:rPr>
                <w:sz w:val="20"/>
                <w:szCs w:val="20"/>
                <w:color w:val="auto"/>
              </w:rPr>
            </w:pPr>
            <w:r>
              <w:rPr>
                <w:rFonts w:ascii="Arial" w:cs="Arial" w:eastAsia="Arial" w:hAnsi="Arial"/>
                <w:sz w:val="18"/>
                <w:szCs w:val="18"/>
                <w:b w:val="1"/>
                <w:bCs w:val="1"/>
                <w:color w:val="auto"/>
                <w:w w:val="97"/>
              </w:rPr>
              <w:t>GASLOG PARTNERS LP</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140" w:type="dxa"/>
            <w:vAlign w:val="bottom"/>
            <w:gridSpan w:val="7"/>
          </w:tcPr>
          <w:p>
            <w:pPr>
              <w:jc w:val="center"/>
              <w:ind w:right="780"/>
              <w:spacing w:after="0"/>
              <w:rPr>
                <w:sz w:val="20"/>
                <w:szCs w:val="20"/>
                <w:color w:val="auto"/>
              </w:rPr>
            </w:pPr>
            <w:r>
              <w:rPr>
                <w:rFonts w:ascii="Arial" w:cs="Arial" w:eastAsia="Arial" w:hAnsi="Arial"/>
                <w:sz w:val="18"/>
                <w:szCs w:val="18"/>
                <w:b w:val="1"/>
                <w:bCs w:val="1"/>
                <w:color w:val="auto"/>
              </w:rPr>
              <w:t>INDEX TO CONSOLIDATED FINANCIAL STATEMENTS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420" w:type="dxa"/>
            <w:vAlign w:val="bottom"/>
            <w:gridSpan w:val="10"/>
            <w:vMerge w:val="restart"/>
          </w:tcPr>
          <w:p>
            <w:pPr>
              <w:spacing w:after="0"/>
              <w:rPr>
                <w:rFonts w:ascii="Arial" w:cs="Arial" w:eastAsia="Arial" w:hAnsi="Arial"/>
                <w:sz w:val="18"/>
                <w:szCs w:val="18"/>
                <w:color w:val="0000EE"/>
                <w:w w:val="95"/>
              </w:rPr>
            </w:pPr>
            <w:hyperlink w:anchor="page127">
              <w:r>
                <w:rPr>
                  <w:rFonts w:ascii="Arial" w:cs="Arial" w:eastAsia="Arial" w:hAnsi="Arial"/>
                  <w:sz w:val="18"/>
                  <w:szCs w:val="18"/>
                  <w:color w:val="0000EE"/>
                  <w:w w:val="95"/>
                </w:rPr>
                <w:t>Report of Independent Registered Public Accounting Firm</w:t>
              </w:r>
            </w:hyperlink>
            <w:r>
              <w:rPr>
                <w:rFonts w:ascii="Arial" w:cs="Arial" w:eastAsia="Arial" w:hAnsi="Arial"/>
                <w:sz w:val="18"/>
                <w:szCs w:val="18"/>
                <w:color w:val="000000"/>
                <w:w w:val="95"/>
              </w:rPr>
              <w:t>—Deloitte</w:t>
            </w:r>
            <w:r>
              <w:rPr>
                <w:rFonts w:ascii="Arial" w:cs="Arial" w:eastAsia="Arial" w:hAnsi="Arial"/>
                <w:sz w:val="18"/>
                <w:szCs w:val="18"/>
                <w:color w:val="0000EE"/>
                <w:w w:val="95"/>
              </w:rPr>
              <w:t xml:space="preserve"> </w:t>
            </w:r>
            <w:r>
              <w:rPr>
                <w:rFonts w:ascii="Arial" w:cs="Arial" w:eastAsia="Arial" w:hAnsi="Arial"/>
                <w:sz w:val="18"/>
                <w:szCs w:val="18"/>
                <w:color w:val="000000"/>
                <w:w w:val="95"/>
              </w:rPr>
              <w:t>Certified Public Accountants S.A. (PCAOB ID No.1163)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69"/>
        </w:trPr>
        <w:tc>
          <w:tcPr>
            <w:tcW w:w="9420" w:type="dxa"/>
            <w:vAlign w:val="bottom"/>
            <w:gridSpan w:val="10"/>
            <w:vMerge w:val="continue"/>
          </w:tcPr>
          <w:p>
            <w:pPr>
              <w:spacing w:after="0"/>
              <w:rPr>
                <w:sz w:val="14"/>
                <w:szCs w:val="14"/>
                <w:color w:val="auto"/>
              </w:rPr>
            </w:pPr>
          </w:p>
        </w:tc>
        <w:tc>
          <w:tcPr>
            <w:tcW w:w="500" w:type="dxa"/>
            <w:vAlign w:val="bottom"/>
          </w:tcPr>
          <w:p>
            <w:pPr>
              <w:jc w:val="center"/>
              <w:spacing w:after="0" w:line="169"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20" w:type="dxa"/>
            <w:vAlign w:val="bottom"/>
            <w:gridSpan w:val="10"/>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Report of Independent Registered Public Accounting Firm</w:t>
              </w:r>
            </w:hyperlink>
            <w:r>
              <w:rPr>
                <w:rFonts w:ascii="Arial" w:cs="Arial" w:eastAsia="Arial" w:hAnsi="Arial"/>
                <w:sz w:val="18"/>
                <w:szCs w:val="18"/>
                <w:color w:val="000000"/>
              </w:rPr>
              <w:t>—Deloitte</w:t>
            </w:r>
            <w:r>
              <w:rPr>
                <w:rFonts w:ascii="Arial" w:cs="Arial" w:eastAsia="Arial" w:hAnsi="Arial"/>
                <w:sz w:val="18"/>
                <w:szCs w:val="18"/>
                <w:color w:val="0000EE"/>
              </w:rPr>
              <w:t xml:space="preserve"> </w:t>
            </w:r>
            <w:r>
              <w:rPr>
                <w:rFonts w:ascii="Arial" w:cs="Arial" w:eastAsia="Arial" w:hAnsi="Arial"/>
                <w:sz w:val="18"/>
                <w:szCs w:val="18"/>
                <w:color w:val="000000"/>
              </w:rPr>
              <w:t>LLP (PCAOB ID No.1147)</w:t>
            </w:r>
          </w:p>
        </w:tc>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28">
              <w:r>
                <w:rPr>
                  <w:rFonts w:ascii="Arial" w:cs="Arial" w:eastAsia="Arial" w:hAnsi="Arial"/>
                  <w:sz w:val="18"/>
                  <w:szCs w:val="18"/>
                  <w:color w:val="0000EE"/>
                  <w:w w:val="90"/>
                </w:rPr>
                <w:t>Consolidated statements of financial position as of December 31, 2020 and 2021</w:t>
              </w:r>
            </w:hyperlink>
          </w:p>
        </w:tc>
        <w:tc>
          <w:tcPr>
            <w:tcW w:w="3600" w:type="dxa"/>
            <w:vAlign w:val="bottom"/>
            <w:gridSpan w:val="4"/>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96"/>
        </w:trPr>
        <w:tc>
          <w:tcPr>
            <w:tcW w:w="9420" w:type="dxa"/>
            <w:vAlign w:val="bottom"/>
            <w:gridSpan w:val="10"/>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Consolidated statements of profit or loss and total comprehensive income or loss for the years ended December 31, 2019, 2020</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89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and 2021</w:t>
              </w:r>
            </w:hyperlink>
          </w:p>
        </w:tc>
        <w:tc>
          <w:tcPr>
            <w:tcW w:w="28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Consolidated statements of changes in owners’/partners’ equity for the years ended December 31, 2019, 2020 and 2021</w:t>
              </w:r>
            </w:hyperlink>
          </w:p>
        </w:tc>
        <w:tc>
          <w:tcPr>
            <w:tcW w:w="800" w:type="dxa"/>
            <w:vAlign w:val="bottom"/>
            <w:gridSpan w:val="2"/>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196"/>
        </w:trPr>
        <w:tc>
          <w:tcPr>
            <w:tcW w:w="9420" w:type="dxa"/>
            <w:vAlign w:val="bottom"/>
            <w:gridSpan w:val="10"/>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Consolidated statements of cash flows for the years ended December 31, 2019, 2020 and 2021</w:t>
              </w:r>
            </w:hyperlink>
          </w:p>
        </w:tc>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196"/>
        </w:trPr>
        <w:tc>
          <w:tcPr>
            <w:tcW w:w="6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Notes to the consolidated financial statements</w:t>
              </w:r>
            </w:hyperlink>
          </w:p>
        </w:tc>
        <w:tc>
          <w:tcPr>
            <w:tcW w:w="2620" w:type="dxa"/>
            <w:vAlign w:val="bottom"/>
            <w:gridSpan w:val="3"/>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898"/>
        </w:trPr>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5200" w:type="dxa"/>
            <w:vAlign w:val="bottom"/>
            <w:gridSpan w:val="5"/>
          </w:tcPr>
          <w:p>
            <w:pPr>
              <w:jc w:val="center"/>
              <w:ind w:right="3720"/>
              <w:spacing w:after="0"/>
              <w:rPr>
                <w:sz w:val="20"/>
                <w:szCs w:val="20"/>
                <w:color w:val="auto"/>
              </w:rPr>
            </w:pPr>
            <w:r>
              <w:rPr>
                <w:rFonts w:ascii="Arial" w:cs="Arial" w:eastAsia="Arial" w:hAnsi="Arial"/>
                <w:sz w:val="18"/>
                <w:szCs w:val="18"/>
                <w:color w:val="auto"/>
                <w:w w:val="88"/>
              </w:rPr>
              <w:t>F-1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99"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 GasLog Partners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GasLog Partners LP and subsidiaries ("the Partnership") as of December 31, 2021, the related consolidated statements of profit or loss, comprehensive income or loss, changes in owners'/partners' equity and cash flows, for the year ended December 31, 2021, and the related notes (collectively referred to as the "financial statements"). In our opinion, the financial statements present fairly, in all material respects, the financial position of the Partnership as of December 31, 2021, and the results of its operations and its cash flows for the year ended December 31, 2021, in conformity with International Financial Reporting Standards as issued by the International Accounting Standards Board.</w:t>
      </w:r>
    </w:p>
    <w:p>
      <w:pPr>
        <w:spacing w:after="0" w:line="16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consolidated financial statements of Partnership for the years ended December 31, 2020 and December 31, 2019, before the effects of the adjustments to retrospectively apply the change in accounting policy discussed in Note 2 to the financial statements, were audited by other auditors whose report, dated March 2, 2021, expressed an unqualified opinion on those statements. We have also audited the adjustments to the 2020 and 2019 financial statements to retrospectively apply the change in accounting policy for the reclassification of interest paid and movements of cash collaterals for swaps in 2021, as discussed in Note 2 to the financial statements. Our procedures included (1) comparing previously reported amounts as per Partnership’s restated analysis to previously audited financial statements; (2) obtaining the Partnership's restated analysis, prepared by management, of the retrospective adjustments for cash flow reclassification of interest paid and movements of cash collaterals for swaps and comparing the retrospectively adjusted amounts per the 2020 and 2019 cash flow to the Partnership’s supporting documentation, and (3) testing the mathematical accuracy of the restated analysis of the retrospective adjustments. In our opinion, such retrospective adjustments are appropriate and have been properly applied. However, we were not engaged to audit, review, or apply any procedures to the 2020 and 2019 consolidated financial statements of the Partnership other than with respect to the retrospective adjustments, and accordingly, we do not express an opinion or any other form of assurance on the 2020 and 2019 consolidated financial statements taken as a whole.</w:t>
      </w:r>
    </w:p>
    <w:p>
      <w:pPr>
        <w:spacing w:after="0" w:line="17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Partnership's internal control over financial reporting as of December 31, 2021,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and our report dated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1, 2022, expressed an unqualified opinion on the Partnership's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Tangible fixed assets — Impairment of vessels — Refer to Notes 2 and 3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 of vessels as of December 31, 2021, was $1,884.5 million, net of an impairment loss of $103.98 million recognized in 2021.</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Partnership's vessels are evaluated for impairment when events or changes in circumstances indicate that the carrying value may not be recoverable, and conversely for reversal of impairment. For each vessel for which impairment indicators or impairment reversal indicators are identified, management estimates the recoverable amount, which is the higher of fair value less cost to sell and value in use and compares it to the carrying value. The Partnership assesses value in use using discounted future cash flows, which requires management to make estimates and assumptions, the most significant of which is charter rates for non-contracted revenue days and discount rate. Management identifies theses as key assumptions to which the outcome of the impairment assessment is most sensitive.</w:t>
      </w:r>
    </w:p>
    <w:p>
      <w:pPr>
        <w:spacing w:after="0" w:line="16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At each reporting date, the Partnership reassesses its impairment assumptions and revises them as appropriate. In its impairment assessment during 2021, the Partnership revised its impairment assessment for its Steam vessels by comparing each vessel’s value in use applying the “expected cash flow” approach instead of the single most likely cash flow (“traditional approach”). The expected cash flow approach was considered more appropriate in light of the increasing uncertainty pertaining to the business outlook for the Partnership’s Steam vessels. As of December 31, 2021, the Partnership’s management established its expectations for recovering each Steam vessel’s carrying amount in the form of two alternative scenarios: (a) continued operation of the vessel until the end of its useful economic life or</w:t>
      </w:r>
    </w:p>
    <w:p>
      <w:pPr>
        <w:spacing w:after="0" w:line="4" w:lineRule="exact"/>
        <w:rPr>
          <w:sz w:val="20"/>
          <w:szCs w:val="20"/>
          <w:color w:val="auto"/>
        </w:rPr>
      </w:pPr>
    </w:p>
    <w:p>
      <w:pPr>
        <w:ind w:right="100" w:firstLine="8"/>
        <w:spacing w:after="0" w:line="271" w:lineRule="auto"/>
        <w:tabs>
          <w:tab w:leader="none" w:pos="255" w:val="left"/>
        </w:tabs>
        <w:numPr>
          <w:ilvl w:val="0"/>
          <w:numId w:val="99"/>
        </w:numPr>
        <w:rPr>
          <w:rFonts w:ascii="Arial" w:cs="Arial" w:eastAsia="Arial" w:hAnsi="Arial"/>
          <w:sz w:val="17"/>
          <w:szCs w:val="17"/>
          <w:color w:val="auto"/>
        </w:rPr>
      </w:pPr>
      <w:r>
        <w:rPr>
          <w:rFonts w:ascii="Arial" w:cs="Arial" w:eastAsia="Arial" w:hAnsi="Arial"/>
          <w:sz w:val="17"/>
          <w:szCs w:val="17"/>
          <w:color w:val="auto"/>
        </w:rPr>
        <w:t>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vessels’ operation and residual value risk management. In both scenarios, expected future cash flows are discounted to their present value using a discount rate that reflects current market assessments of the time value of money and the risks specific to the asset for which the estimates of future cash flows have not been adjusted.</w:t>
      </w:r>
    </w:p>
    <w:p>
      <w:pPr>
        <w:spacing w:after="0" w:line="17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addition to the above, the Partnership revised certain assumptions for charter rates for the period up to December 31, 2022 and from 2023 up to the end of the Steam vessels useful life and its assumptions for the discount rate. For Steam vessels, management’s assumptions for charter rates for non-contracted revenue days decreased from an average of $40 thousand per day to $35 thousand per day compared to 2020, and management’s average discount rate assumption increased to 7.52%, resulting in an impairment loss of $103.98 million recognized on all the Partnership’s Steam vessels during 2021. For all other vessels no impairment indicators were identified as of December 31, 2021 and therefore no impairment was recognized for these remaining vessels.</w:t>
      </w:r>
    </w:p>
    <w:p>
      <w:pPr>
        <w:spacing w:after="0" w:line="16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identified impairment of vessels as a critical audit matter because of the significant judgments made by management to estimate the discount rate, the charter rates for non-contracted revenue days and probabilities scenarios which are particularly subjective as they involve assumptions about the LNG shipping market through the end of the useful lives of the vessels, and due to the sensitivity of the value in use calculations to management's assumptions. Performing audit procedures to evaluate the reasonableness of management's estimates of charter rates for non-contracted revenue days and the discount rate required a high degree of auditor judgment.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audit procedures related to the charter rate assumption for non-contracted revenue days used by management to estimate the recoverable amount of vessels included the following:</w:t>
      </w:r>
    </w:p>
    <w:p>
      <w:pPr>
        <w:spacing w:after="0" w:line="170" w:lineRule="exact"/>
        <w:rPr>
          <w:sz w:val="20"/>
          <w:szCs w:val="20"/>
          <w:color w:val="auto"/>
        </w:rPr>
      </w:pPr>
    </w:p>
    <w:p>
      <w:pPr>
        <w:ind w:left="340" w:right="320" w:hanging="332"/>
        <w:spacing w:after="0" w:line="342"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We tested the controls over management's estimation of the recoverable amount of vessels for which impairment indicators were identified, including controls over the assumption for the charter rate for non-contracted revenue days and the discount rate.</w:t>
      </w:r>
    </w:p>
    <w:p>
      <w:pPr>
        <w:spacing w:after="0" w:line="123" w:lineRule="exact"/>
        <w:rPr>
          <w:rFonts w:ascii="Arial" w:cs="Arial" w:eastAsia="Arial" w:hAnsi="Arial"/>
          <w:sz w:val="16"/>
          <w:szCs w:val="16"/>
          <w:color w:val="auto"/>
        </w:rPr>
      </w:pPr>
    </w:p>
    <w:p>
      <w:pPr>
        <w:ind w:left="340" w:right="220" w:hanging="332"/>
        <w:spacing w:after="0" w:line="342"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reasonableness of the discount rate, including: management's estimation method; testing the source information underlying the determination of the discount rate; the mathematical accuracy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the discount rate calculation; and developing a range of independent estimates and comparing those to the discount rate selected by management.</w:t>
      </w:r>
    </w:p>
    <w:p>
      <w:pPr>
        <w:spacing w:after="0" w:line="170"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We assessed the Partnership's use of the expected cash flow approach by obtaining evidence supporting its appropriateness.</w:t>
      </w:r>
    </w:p>
    <w:p>
      <w:pPr>
        <w:spacing w:after="0" w:line="236" w:lineRule="exact"/>
        <w:rPr>
          <w:rFonts w:ascii="Arial" w:cs="Arial" w:eastAsia="Arial" w:hAnsi="Arial"/>
          <w:sz w:val="17"/>
          <w:szCs w:val="17"/>
          <w:color w:val="auto"/>
        </w:rPr>
      </w:pPr>
    </w:p>
    <w:p>
      <w:pPr>
        <w:ind w:left="340" w:right="220" w:hanging="332"/>
        <w:spacing w:after="0" w:line="263"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evaluated the reasonableness of charter rates for non-contracted revenue days up to December 31, 2022 by comparing management's assumptions for Steam vessels to market data and considered actual time charters agreed with charterers for similar vessels.</w:t>
      </w:r>
    </w:p>
    <w:p>
      <w:pPr>
        <w:spacing w:after="0" w:line="183"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evaluated the reasonableness of management's charter rate assumptions from January 1, 2023 through the end of each vessel's useful life, for which very limited observable market data is available, by evaluating management's rationale and evidence for these assumptions, as follows:</w:t>
      </w:r>
    </w:p>
    <w:p>
      <w:pPr>
        <w:spacing w:after="0" w:line="183" w:lineRule="exact"/>
        <w:rPr>
          <w:rFonts w:ascii="Arial" w:cs="Arial" w:eastAsia="Arial" w:hAnsi="Arial"/>
          <w:sz w:val="18"/>
          <w:szCs w:val="18"/>
          <w:color w:val="auto"/>
        </w:rPr>
      </w:pPr>
    </w:p>
    <w:p>
      <w:pPr>
        <w:jc w:val="both"/>
        <w:ind w:left="1000" w:hanging="317"/>
        <w:spacing w:after="0" w:line="301" w:lineRule="auto"/>
        <w:tabs>
          <w:tab w:leader="none" w:pos="10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We re-assessed the rationale and evidence for the estimated long run costs of building and financing newbuild LNG vessels and the differential between the longer-term charter rates for Steam vessels assumed by management, including comparison to historic new build prices, comparison of the differentials to actual charter rates and to market data available about nearer term charter rates, with particular focus on the charter rate differentials between Steam and non-Steam vessels.</w:t>
      </w:r>
    </w:p>
    <w:p>
      <w:pPr>
        <w:spacing w:after="0" w:line="157" w:lineRule="exact"/>
        <w:rPr>
          <w:rFonts w:ascii="Arial" w:cs="Arial" w:eastAsia="Arial" w:hAnsi="Arial"/>
          <w:sz w:val="16"/>
          <w:szCs w:val="16"/>
          <w:color w:val="auto"/>
        </w:rPr>
      </w:pPr>
    </w:p>
    <w:p>
      <w:pPr>
        <w:ind w:left="1000" w:right="40" w:hanging="317"/>
        <w:spacing w:after="0" w:line="259" w:lineRule="auto"/>
        <w:tabs>
          <w:tab w:leader="none" w:pos="10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We compared them with management's assumptions for the period up to December 31, 2022 for which market data was available and assessed the reasonableness of the changes in management's charter rate assumptions over the forecast period in light of evidence gathered about the potential future evolution of the LNG shipping market, including forecasts and reports published by external industry experts.</w:t>
      </w:r>
    </w:p>
    <w:p>
      <w:pPr>
        <w:spacing w:after="0" w:line="186" w:lineRule="exact"/>
        <w:rPr>
          <w:rFonts w:ascii="Arial" w:cs="Arial" w:eastAsia="Arial" w:hAnsi="Arial"/>
          <w:sz w:val="18"/>
          <w:szCs w:val="18"/>
          <w:color w:val="auto"/>
        </w:rPr>
      </w:pPr>
    </w:p>
    <w:p>
      <w:pPr>
        <w:ind w:left="1000" w:right="20" w:hanging="317"/>
        <w:spacing w:after="0" w:line="277" w:lineRule="auto"/>
        <w:tabs>
          <w:tab w:leader="none" w:pos="10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We considered new evidence arising between Q4 2020 and Q4 2021 in our evaluation of management’s assumption that the long term charter rate for the Steam vessels has changed since the prior year.</w:t>
      </w:r>
    </w:p>
    <w:p>
      <w:pPr>
        <w:spacing w:after="0" w:line="17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also considered other relevant evidence, including shipbrokers’ estimates of market values of Steam vessels that were lower than management’s estimates of values in use as of December 31, 2021.</w:t>
      </w:r>
    </w:p>
    <w:p>
      <w:pPr>
        <w:spacing w:after="0" w:line="17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value in use calculations and agreed the inputs to the source information and underlying assumptions used by management.</w:t>
      </w:r>
    </w:p>
    <w:p>
      <w:pPr>
        <w:spacing w:after="0" w:line="170"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assessed the sensitivity disclosures in Note 3 based on our own sensitivity analysis and checked management’s calculations of those sensitivities.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by comparing actual results to management’s historical forecasts.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 GasLog Partners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audited, before the effects of the adjustments to retrospectively apply the change in accounting discussed in Note 2 to the consolidated financial statements, the accompanying consolidated statement of financial position of GasLog Partners LP and subsidiaries ("the Partnership") as of December 31, 2020, the related consolidated statements of profit or loss, comprehensive income or loss, changes in owners'/partners' equity and cash flows, for each of the two years in the period ended December 31, 2020, and the related notes (collectively referred to as the "financial statements") (the 2020 financial statements before the effects of the retrospective adjustments discussed in Note 2 to the financial statements are not presented herein). In our opinion, the financial statements, before the effects of the adjustments to retrospectively apply the change in accounting discussed in Note 2 to the financial statements, present fairly, in all material respects, the financial position of the Partnership as of December 31, 2020, and the results of its operations and its cash flows for each of the two years in the period ended December 31, 2020, in conformity with International Financial Reporting Standards as issued by the International Accounting Standards Board.</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were not engaged to audit, review, or apply any procedures to the adjustments to retrospectively apply the change in accounting discussed in Note 2 to the financial statements, and accordingly we do not express an opinion or any other form of assurance about whether such retrospective adjustments are appropriate and have been properly applied. Those retrospective adjustments were audited by other auditors.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Partnership's auditor in 2014. In 2021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2020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Note</w:t>
            </w:r>
          </w:p>
        </w:tc>
        <w:tc>
          <w:tcPr>
            <w:tcW w:w="84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69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b w:val="1"/>
                <w:bCs w:val="1"/>
                <w:color w:val="auto"/>
              </w:rPr>
              <w:t>Non-current assets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Tangible fixed assets</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76"/>
              </w:rPr>
              <w:t>3</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2,206,618</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1,888,583</w:t>
            </w:r>
          </w:p>
        </w:tc>
        <w:tc>
          <w:tcPr>
            <w:tcW w:w="0" w:type="dxa"/>
            <w:vAlign w:val="bottom"/>
          </w:tcPr>
          <w:p>
            <w:pPr>
              <w:spacing w:after="0"/>
              <w:rPr>
                <w:sz w:val="1"/>
                <w:szCs w:val="1"/>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Right-of-use assets</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4</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516</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81,996</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non-current assets</w:t>
            </w:r>
          </w:p>
        </w:tc>
        <w:tc>
          <w:tcPr>
            <w:tcW w:w="8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2,207,320</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1,970,623</w:t>
            </w:r>
          </w:p>
        </w:tc>
        <w:tc>
          <w:tcPr>
            <w:tcW w:w="0" w:type="dxa"/>
            <w:vAlign w:val="bottom"/>
          </w:tcPr>
          <w:p>
            <w:pPr>
              <w:spacing w:after="0"/>
              <w:rPr>
                <w:sz w:val="1"/>
                <w:szCs w:val="1"/>
                <w:color w:val="auto"/>
              </w:rPr>
            </w:pPr>
          </w:p>
        </w:tc>
      </w:tr>
      <w:tr>
        <w:trPr>
          <w:trHeight w:val="142"/>
        </w:trPr>
        <w:tc>
          <w:tcPr>
            <w:tcW w:w="6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Trade and other receivables</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76"/>
              </w:rPr>
              <w:t>5</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16,265</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11,156</w:t>
            </w:r>
          </w:p>
        </w:tc>
        <w:tc>
          <w:tcPr>
            <w:tcW w:w="0" w:type="dxa"/>
            <w:vAlign w:val="bottom"/>
          </w:tcPr>
          <w:p>
            <w:pPr>
              <w:spacing w:after="0"/>
              <w:rPr>
                <w:sz w:val="1"/>
                <w:szCs w:val="1"/>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Inventories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2,991</w:t>
            </w:r>
          </w:p>
        </w:tc>
        <w:tc>
          <w:tcPr>
            <w:tcW w:w="0" w:type="dxa"/>
            <w:vAlign w:val="bottom"/>
          </w:tcPr>
          <w:p>
            <w:pPr>
              <w:spacing w:after="0"/>
              <w:rPr>
                <w:sz w:val="1"/>
                <w:szCs w:val="1"/>
                <w:color w:val="auto"/>
              </w:rPr>
            </w:pP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Prepayments and other current assets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2,691</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149"/>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103,736</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145,530</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8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125,728</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161,110</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8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2,333,048</w:t>
            </w:r>
          </w:p>
        </w:tc>
        <w:tc>
          <w:tcPr>
            <w:tcW w:w="2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2,131,733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Partners’ equity and liabilities</w:t>
            </w: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9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Partners’ equity</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980" w:type="dxa"/>
            <w:vAlign w:val="bottom"/>
          </w:tcPr>
          <w:p>
            <w:pPr>
              <w:spacing w:after="0" w:line="130" w:lineRule="exact"/>
              <w:rPr>
                <w:sz w:val="20"/>
                <w:szCs w:val="20"/>
                <w:color w:val="auto"/>
              </w:rPr>
            </w:pPr>
            <w:r>
              <w:rPr>
                <w:rFonts w:ascii="Arial" w:cs="Arial" w:eastAsia="Arial" w:hAnsi="Arial"/>
                <w:sz w:val="14"/>
                <w:szCs w:val="14"/>
                <w:color w:val="auto"/>
                <w:w w:val="95"/>
              </w:rPr>
              <w:t>Common unitholders (47,517,824 units issued and outstanding as of December 31, 2020 and 51,137,201 units issued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980" w:type="dxa"/>
            <w:vAlign w:val="bottom"/>
          </w:tcPr>
          <w:p>
            <w:pPr>
              <w:ind w:left="140"/>
              <w:spacing w:after="0"/>
              <w:rPr>
                <w:sz w:val="20"/>
                <w:szCs w:val="20"/>
                <w:color w:val="auto"/>
              </w:rPr>
            </w:pPr>
            <w:r>
              <w:rPr>
                <w:rFonts w:ascii="Arial" w:cs="Arial" w:eastAsia="Arial" w:hAnsi="Arial"/>
                <w:sz w:val="14"/>
                <w:szCs w:val="14"/>
                <w:color w:val="auto"/>
              </w:rPr>
              <w:t>and outstanding as of December 31, 2021)</w:t>
            </w:r>
          </w:p>
        </w:tc>
        <w:tc>
          <w:tcPr>
            <w:tcW w:w="84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594,901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579,447</w:t>
            </w:r>
          </w:p>
        </w:tc>
        <w:tc>
          <w:tcPr>
            <w:tcW w:w="0" w:type="dxa"/>
            <w:vAlign w:val="bottom"/>
          </w:tcPr>
          <w:p>
            <w:pPr>
              <w:spacing w:after="0"/>
              <w:rPr>
                <w:sz w:val="1"/>
                <w:szCs w:val="1"/>
                <w:color w:val="auto"/>
              </w:rPr>
            </w:pPr>
          </w:p>
        </w:tc>
      </w:tr>
      <w:tr>
        <w:trPr>
          <w:trHeight w:val="130"/>
        </w:trPr>
        <w:tc>
          <w:tcPr>
            <w:tcW w:w="6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General partner (1,021,336 units issued and outstanding as of December 31, 2020 and 1,077,494 units issued and</w:t>
            </w: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as of December 31, 2021)</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6</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11,028</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10,717</w:t>
            </w:r>
          </w:p>
        </w:tc>
        <w:tc>
          <w:tcPr>
            <w:tcW w:w="0" w:type="dxa"/>
            <w:vAlign w:val="bottom"/>
          </w:tcPr>
          <w:p>
            <w:pPr>
              <w:spacing w:after="0"/>
              <w:rPr>
                <w:sz w:val="1"/>
                <w:szCs w:val="1"/>
                <w:color w:val="auto"/>
              </w:rPr>
            </w:pPr>
          </w:p>
        </w:tc>
      </w:tr>
      <w:tr>
        <w:trPr>
          <w:trHeight w:val="130"/>
        </w:trPr>
        <w:tc>
          <w:tcPr>
            <w:tcW w:w="6980" w:type="dxa"/>
            <w:vAlign w:val="bottom"/>
          </w:tcPr>
          <w:p>
            <w:pPr>
              <w:spacing w:after="0" w:line="130" w:lineRule="exact"/>
              <w:rPr>
                <w:sz w:val="20"/>
                <w:szCs w:val="20"/>
                <w:color w:val="auto"/>
              </w:rPr>
            </w:pPr>
            <w:r>
              <w:rPr>
                <w:rFonts w:ascii="Arial" w:cs="Arial" w:eastAsia="Arial" w:hAnsi="Arial"/>
                <w:sz w:val="14"/>
                <w:szCs w:val="14"/>
                <w:color w:val="auto"/>
                <w:w w:val="98"/>
              </w:rPr>
              <w:t>Preference unitholders (5,750,000 Series A Preference Units, 4,600,000 Series B Preference Units and 4,000,000</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80" w:type="dxa"/>
            <w:vAlign w:val="bottom"/>
          </w:tcPr>
          <w:p>
            <w:pPr>
              <w:ind w:left="140"/>
              <w:spacing w:after="0" w:line="149" w:lineRule="exact"/>
              <w:rPr>
                <w:sz w:val="20"/>
                <w:szCs w:val="20"/>
                <w:color w:val="auto"/>
              </w:rPr>
            </w:pPr>
            <w:r>
              <w:rPr>
                <w:rFonts w:ascii="Arial" w:cs="Arial" w:eastAsia="Arial" w:hAnsi="Arial"/>
                <w:sz w:val="14"/>
                <w:szCs w:val="14"/>
                <w:color w:val="auto"/>
                <w:w w:val="98"/>
              </w:rPr>
              <w:t>Series C Preference Units issued and outstanding as of December 31, 2020 and 5,750,000 Series A Preference</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ind w:left="140"/>
              <w:spacing w:after="0" w:line="149" w:lineRule="exact"/>
              <w:rPr>
                <w:sz w:val="20"/>
                <w:szCs w:val="20"/>
                <w:color w:val="auto"/>
              </w:rPr>
            </w:pPr>
            <w:r>
              <w:rPr>
                <w:rFonts w:ascii="Arial" w:cs="Arial" w:eastAsia="Arial" w:hAnsi="Arial"/>
                <w:sz w:val="14"/>
                <w:szCs w:val="14"/>
                <w:color w:val="auto"/>
                <w:w w:val="96"/>
              </w:rPr>
              <w:t>Units, 4,135,571 Series B Preference Units and 3,730,451 Series C Preference Units issued and outstanding as of</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December 31, 2021)</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76"/>
              </w:rPr>
              <w:t>6</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347,889</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329,334</w:t>
            </w:r>
          </w:p>
        </w:tc>
        <w:tc>
          <w:tcPr>
            <w:tcW w:w="0" w:type="dxa"/>
            <w:vAlign w:val="bottom"/>
          </w:tcPr>
          <w:p>
            <w:pPr>
              <w:spacing w:after="0"/>
              <w:rPr>
                <w:sz w:val="1"/>
                <w:szCs w:val="1"/>
                <w:color w:val="auto"/>
              </w:rPr>
            </w:pPr>
          </w:p>
        </w:tc>
      </w:tr>
      <w:tr>
        <w:trPr>
          <w:trHeight w:val="142"/>
        </w:trPr>
        <w:tc>
          <w:tcPr>
            <w:tcW w:w="6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partners’ equity</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953,818</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919,498</w:t>
            </w:r>
          </w:p>
        </w:tc>
        <w:tc>
          <w:tcPr>
            <w:tcW w:w="0" w:type="dxa"/>
            <w:vAlign w:val="bottom"/>
          </w:tcPr>
          <w:p>
            <w:pPr>
              <w:spacing w:after="0"/>
              <w:rPr>
                <w:sz w:val="1"/>
                <w:szCs w:val="1"/>
                <w:color w:val="auto"/>
              </w:rPr>
            </w:pPr>
          </w:p>
        </w:tc>
      </w:tr>
      <w:tr>
        <w:trPr>
          <w:trHeight w:val="142"/>
        </w:trPr>
        <w:tc>
          <w:tcPr>
            <w:tcW w:w="6980" w:type="dxa"/>
            <w:vAlign w:val="bottom"/>
          </w:tcPr>
          <w:p>
            <w:pPr>
              <w:spacing w:after="0" w:line="142" w:lineRule="exact"/>
              <w:rPr>
                <w:sz w:val="20"/>
                <w:szCs w:val="20"/>
                <w:color w:val="auto"/>
              </w:rPr>
            </w:pPr>
            <w:r>
              <w:rPr>
                <w:rFonts w:ascii="Arial" w:cs="Arial" w:eastAsia="Arial" w:hAnsi="Arial"/>
                <w:sz w:val="14"/>
                <w:szCs w:val="14"/>
                <w:b w:val="1"/>
                <w:bCs w:val="1"/>
                <w:color w:val="auto"/>
              </w:rPr>
              <w:t>Current liabilities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accounts payable</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13,578</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9,547</w:t>
            </w:r>
          </w:p>
        </w:tc>
        <w:tc>
          <w:tcPr>
            <w:tcW w:w="0" w:type="dxa"/>
            <w:vAlign w:val="bottom"/>
          </w:tcPr>
          <w:p>
            <w:pPr>
              <w:spacing w:after="0"/>
              <w:rPr>
                <w:sz w:val="1"/>
                <w:szCs w:val="1"/>
                <w:color w:val="auto"/>
              </w:rPr>
            </w:pPr>
          </w:p>
        </w:tc>
      </w:tr>
      <w:tr>
        <w:trPr>
          <w:trHeight w:val="149"/>
        </w:trPr>
        <w:tc>
          <w:tcPr>
            <w:tcW w:w="6980" w:type="dxa"/>
            <w:vAlign w:val="bottom"/>
          </w:tcPr>
          <w:p>
            <w:pPr>
              <w:spacing w:after="0" w:line="149" w:lineRule="exact"/>
              <w:rPr>
                <w:sz w:val="20"/>
                <w:szCs w:val="20"/>
                <w:color w:val="auto"/>
              </w:rPr>
            </w:pPr>
            <w:r>
              <w:rPr>
                <w:rFonts w:ascii="Arial" w:cs="Arial" w:eastAsia="Arial" w:hAnsi="Arial"/>
                <w:sz w:val="14"/>
                <w:szCs w:val="14"/>
                <w:color w:val="auto"/>
              </w:rPr>
              <w:t>Due to related parties</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14</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7,525</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financial instruments—current portion</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8,185</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149"/>
        </w:trPr>
        <w:tc>
          <w:tcPr>
            <w:tcW w:w="6980" w:type="dxa"/>
            <w:vAlign w:val="bottom"/>
          </w:tcPr>
          <w:p>
            <w:pPr>
              <w:spacing w:after="0" w:line="149" w:lineRule="exact"/>
              <w:rPr>
                <w:sz w:val="20"/>
                <w:szCs w:val="20"/>
                <w:color w:val="auto"/>
              </w:rPr>
            </w:pPr>
            <w:r>
              <w:rPr>
                <w:rFonts w:ascii="Arial" w:cs="Arial" w:eastAsia="Arial" w:hAnsi="Arial"/>
                <w:sz w:val="14"/>
                <w:szCs w:val="14"/>
                <w:color w:val="auto"/>
              </w:rPr>
              <w:t>Other payables and accruals</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50,679</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50,171</w:t>
            </w:r>
          </w:p>
        </w:tc>
        <w:tc>
          <w:tcPr>
            <w:tcW w:w="0" w:type="dxa"/>
            <w:vAlign w:val="bottom"/>
          </w:tcPr>
          <w:p>
            <w:pPr>
              <w:spacing w:after="0"/>
              <w:rPr>
                <w:sz w:val="1"/>
                <w:szCs w:val="1"/>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Borrowings—current portion</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104,908</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99,307</w:t>
            </w:r>
          </w:p>
        </w:tc>
        <w:tc>
          <w:tcPr>
            <w:tcW w:w="0" w:type="dxa"/>
            <w:vAlign w:val="bottom"/>
          </w:tcPr>
          <w:p>
            <w:pPr>
              <w:spacing w:after="0"/>
              <w:rPr>
                <w:sz w:val="1"/>
                <w:szCs w:val="1"/>
                <w:color w:val="auto"/>
              </w:rPr>
            </w:pPr>
          </w:p>
        </w:tc>
      </w:tr>
      <w:tr>
        <w:trPr>
          <w:trHeight w:val="148"/>
        </w:trPr>
        <w:tc>
          <w:tcPr>
            <w:tcW w:w="69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Lease liabilities—current portion</w:t>
            </w:r>
          </w:p>
        </w:tc>
        <w:tc>
          <w:tcPr>
            <w:tcW w:w="84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76"/>
              </w:rPr>
              <w:t>4</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332</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10,342</w:t>
            </w:r>
          </w:p>
        </w:tc>
        <w:tc>
          <w:tcPr>
            <w:tcW w:w="0" w:type="dxa"/>
            <w:vAlign w:val="bottom"/>
          </w:tcPr>
          <w:p>
            <w:pPr>
              <w:spacing w:after="0"/>
              <w:rPr>
                <w:sz w:val="1"/>
                <w:szCs w:val="1"/>
                <w:color w:val="auto"/>
              </w:rPr>
            </w:pPr>
          </w:p>
        </w:tc>
      </w:tr>
      <w:tr>
        <w:trPr>
          <w:trHeight w:val="142"/>
        </w:trPr>
        <w:tc>
          <w:tcPr>
            <w:tcW w:w="6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185,207</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175,503</w:t>
            </w:r>
          </w:p>
        </w:tc>
        <w:tc>
          <w:tcPr>
            <w:tcW w:w="0" w:type="dxa"/>
            <w:vAlign w:val="bottom"/>
          </w:tcPr>
          <w:p>
            <w:pPr>
              <w:spacing w:after="0"/>
              <w:rPr>
                <w:sz w:val="1"/>
                <w:szCs w:val="1"/>
                <w:color w:val="auto"/>
              </w:rPr>
            </w:pPr>
          </w:p>
        </w:tc>
      </w:tr>
      <w:tr>
        <w:trPr>
          <w:trHeight w:val="142"/>
        </w:trPr>
        <w:tc>
          <w:tcPr>
            <w:tcW w:w="6980" w:type="dxa"/>
            <w:vAlign w:val="bottom"/>
          </w:tcPr>
          <w:p>
            <w:pPr>
              <w:spacing w:after="0" w:line="142" w:lineRule="exact"/>
              <w:rPr>
                <w:sz w:val="20"/>
                <w:szCs w:val="20"/>
                <w:color w:val="auto"/>
              </w:rPr>
            </w:pPr>
            <w:r>
              <w:rPr>
                <w:rFonts w:ascii="Arial" w:cs="Arial" w:eastAsia="Arial" w:hAnsi="Arial"/>
                <w:sz w:val="14"/>
                <w:szCs w:val="14"/>
                <w:b w:val="1"/>
                <w:bCs w:val="1"/>
                <w:color w:val="auto"/>
              </w:rPr>
              <w:t>Non-current liabilities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financial instruments—non-current portion</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12,152</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4,061</w:t>
            </w:r>
          </w:p>
        </w:tc>
        <w:tc>
          <w:tcPr>
            <w:tcW w:w="0" w:type="dxa"/>
            <w:vAlign w:val="bottom"/>
          </w:tcPr>
          <w:p>
            <w:pPr>
              <w:spacing w:after="0"/>
              <w:rPr>
                <w:sz w:val="1"/>
                <w:szCs w:val="1"/>
                <w:color w:val="auto"/>
              </w:rPr>
            </w:pPr>
          </w:p>
        </w:tc>
      </w:tr>
      <w:tr>
        <w:trPr>
          <w:trHeight w:val="149"/>
        </w:trPr>
        <w:tc>
          <w:tcPr>
            <w:tcW w:w="6980" w:type="dxa"/>
            <w:vAlign w:val="bottom"/>
          </w:tcPr>
          <w:p>
            <w:pPr>
              <w:spacing w:after="0" w:line="149" w:lineRule="exact"/>
              <w:rPr>
                <w:sz w:val="20"/>
                <w:szCs w:val="20"/>
                <w:color w:val="auto"/>
              </w:rPr>
            </w:pPr>
            <w:r>
              <w:rPr>
                <w:rFonts w:ascii="Arial" w:cs="Arial" w:eastAsia="Arial" w:hAnsi="Arial"/>
                <w:sz w:val="14"/>
                <w:szCs w:val="14"/>
                <w:color w:val="auto"/>
              </w:rPr>
              <w:t>Borrowings—non-current portion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76"/>
              </w:rPr>
              <w:t>7</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1,180,635</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986,451</w:t>
            </w:r>
          </w:p>
        </w:tc>
        <w:tc>
          <w:tcPr>
            <w:tcW w:w="0" w:type="dxa"/>
            <w:vAlign w:val="bottom"/>
          </w:tcPr>
          <w:p>
            <w:pPr>
              <w:spacing w:after="0"/>
              <w:rPr>
                <w:sz w:val="1"/>
                <w:szCs w:val="1"/>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liabilities—non-current portion</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4</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45,556</w:t>
            </w:r>
          </w:p>
        </w:tc>
        <w:tc>
          <w:tcPr>
            <w:tcW w:w="0" w:type="dxa"/>
            <w:vAlign w:val="bottom"/>
          </w:tcPr>
          <w:p>
            <w:pPr>
              <w:spacing w:after="0"/>
              <w:rPr>
                <w:sz w:val="1"/>
                <w:szCs w:val="1"/>
                <w:color w:val="auto"/>
              </w:rPr>
            </w:pPr>
          </w:p>
        </w:tc>
      </w:tr>
      <w:tr>
        <w:trPr>
          <w:trHeight w:val="148"/>
        </w:trPr>
        <w:tc>
          <w:tcPr>
            <w:tcW w:w="69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1,124</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42"/>
        </w:trPr>
        <w:tc>
          <w:tcPr>
            <w:tcW w:w="6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non-current liabilities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1,194,023</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1,036,732</w:t>
            </w:r>
          </w:p>
        </w:tc>
        <w:tc>
          <w:tcPr>
            <w:tcW w:w="0" w:type="dxa"/>
            <w:vAlign w:val="bottom"/>
          </w:tcPr>
          <w:p>
            <w:pPr>
              <w:spacing w:after="0"/>
              <w:rPr>
                <w:sz w:val="1"/>
                <w:szCs w:val="1"/>
                <w:color w:val="auto"/>
              </w:rPr>
            </w:pPr>
          </w:p>
        </w:tc>
      </w:tr>
      <w:tr>
        <w:trPr>
          <w:trHeight w:val="142"/>
        </w:trPr>
        <w:tc>
          <w:tcPr>
            <w:tcW w:w="6980" w:type="dxa"/>
            <w:vAlign w:val="bottom"/>
          </w:tcPr>
          <w:p>
            <w:pPr>
              <w:spacing w:after="0" w:line="142" w:lineRule="exact"/>
              <w:rPr>
                <w:sz w:val="20"/>
                <w:szCs w:val="20"/>
                <w:color w:val="auto"/>
              </w:rPr>
            </w:pPr>
            <w:r>
              <w:rPr>
                <w:rFonts w:ascii="Arial" w:cs="Arial" w:eastAsia="Arial" w:hAnsi="Arial"/>
                <w:sz w:val="14"/>
                <w:szCs w:val="14"/>
                <w:b w:val="1"/>
                <w:bCs w:val="1"/>
                <w:color w:val="auto"/>
              </w:rPr>
              <w:t>Total partners’ equity and liabilities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2,333,048</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2,131,733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right="3760"/>
        <w:spacing w:after="0" w:line="261" w:lineRule="auto"/>
        <w:rPr>
          <w:sz w:val="20"/>
          <w:szCs w:val="20"/>
          <w:color w:val="auto"/>
        </w:rPr>
      </w:pPr>
      <w:r>
        <w:rPr>
          <w:rFonts w:ascii="Arial" w:cs="Arial" w:eastAsia="Arial" w:hAnsi="Arial"/>
          <w:sz w:val="18"/>
          <w:szCs w:val="18"/>
          <w:b w:val="1"/>
          <w:bCs w:val="1"/>
          <w:color w:val="auto"/>
        </w:rPr>
        <w:t>Consolidated statements of profit or loss and total comprehensive income or loss For the years ended December 31, 2019, 2020 and 2021</w:t>
      </w: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Note</w:t>
            </w: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2021</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378,687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333,662</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326,142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pool allocation</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9,14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1,058</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(7,308)</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(10,443)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(76,742)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(74,798)</w:t>
            </w:r>
          </w:p>
        </w:tc>
        <w:tc>
          <w:tcPr>
            <w:tcW w:w="780" w:type="dxa"/>
            <w:vAlign w:val="bottom"/>
          </w:tcPr>
          <w:p>
            <w:pPr>
              <w:jc w:val="right"/>
              <w:spacing w:after="0"/>
              <w:rPr>
                <w:sz w:val="20"/>
                <w:szCs w:val="20"/>
                <w:color w:val="auto"/>
              </w:rPr>
            </w:pPr>
            <w:r>
              <w:rPr>
                <w:rFonts w:ascii="Arial" w:cs="Arial" w:eastAsia="Arial" w:hAnsi="Arial"/>
                <w:sz w:val="18"/>
                <w:szCs w:val="18"/>
                <w:color w:val="auto"/>
              </w:rPr>
              <w:t>(75,333)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(89,309)</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(83,058)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(19,401)</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(18,960)</w:t>
            </w:r>
          </w:p>
        </w:tc>
        <w:tc>
          <w:tcPr>
            <w:tcW w:w="780" w:type="dxa"/>
            <w:vAlign w:val="bottom"/>
          </w:tcPr>
          <w:p>
            <w:pPr>
              <w:jc w:val="right"/>
              <w:spacing w:after="0"/>
              <w:rPr>
                <w:sz w:val="20"/>
                <w:szCs w:val="20"/>
                <w:color w:val="auto"/>
              </w:rPr>
            </w:pPr>
            <w:r>
              <w:rPr>
                <w:rFonts w:ascii="Arial" w:cs="Arial" w:eastAsia="Arial" w:hAnsi="Arial"/>
                <w:sz w:val="18"/>
                <w:szCs w:val="18"/>
                <w:color w:val="auto"/>
              </w:rPr>
              <w:t>(13,362)</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vessel</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Impairment loss on vessels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(138,848)</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(23,923)</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(103,977)</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48,137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122,480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40,484</w:t>
            </w: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Financial costs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(71,998)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(50,987)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(37,297)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(12,795)</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(14,929)</w:t>
            </w:r>
          </w:p>
        </w:tc>
        <w:tc>
          <w:tcPr>
            <w:tcW w:w="78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expenses, net</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(82,906)</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(65,621)</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(34,758)</w:t>
            </w:r>
          </w:p>
        </w:tc>
      </w:tr>
      <w:tr>
        <w:trPr>
          <w:trHeight w:val="249"/>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(Loss)/profit and total comprehensive (loss)/income for the year</w:t>
            </w:r>
          </w:p>
        </w:tc>
        <w:tc>
          <w:tcPr>
            <w:tcW w:w="7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(34,769)</w:t>
            </w:r>
          </w:p>
        </w:tc>
        <w:tc>
          <w:tcPr>
            <w:tcW w:w="1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56,859</w:t>
            </w:r>
          </w:p>
        </w:tc>
        <w:tc>
          <w:tcPr>
            <w:tcW w:w="1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5,726</w:t>
            </w:r>
          </w:p>
        </w:tc>
      </w:tr>
      <w:tr>
        <w:trPr>
          <w:trHeight w:val="197"/>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(Loss)/earnings per unit attributable to the Partnership, basic and diluted:</w:t>
            </w:r>
          </w:p>
        </w:tc>
        <w:tc>
          <w:tcPr>
            <w:tcW w:w="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Common unit (basic)</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760" w:type="dxa"/>
            <w:vAlign w:val="bottom"/>
          </w:tcPr>
          <w:p>
            <w:pPr>
              <w:jc w:val="right"/>
              <w:spacing w:after="0"/>
              <w:rPr>
                <w:sz w:val="20"/>
                <w:szCs w:val="20"/>
                <w:color w:val="auto"/>
              </w:rPr>
            </w:pPr>
            <w:r>
              <w:rPr>
                <w:rFonts w:ascii="Arial" w:cs="Arial" w:eastAsia="Arial" w:hAnsi="Arial"/>
                <w:sz w:val="18"/>
                <w:szCs w:val="18"/>
                <w:color w:val="auto"/>
              </w:rPr>
              <w:t>0.55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Common unit (diluted)</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General partner unit</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c>
          <w:tcPr>
            <w:tcW w:w="760" w:type="dxa"/>
            <w:vAlign w:val="bottom"/>
          </w:tcPr>
          <w:p>
            <w:pPr>
              <w:jc w:val="right"/>
              <w:spacing w:after="0"/>
              <w:rPr>
                <w:sz w:val="20"/>
                <w:szCs w:val="20"/>
                <w:color w:val="auto"/>
              </w:rPr>
            </w:pPr>
            <w:r>
              <w:rPr>
                <w:rFonts w:ascii="Arial" w:cs="Arial" w:eastAsia="Arial" w:hAnsi="Arial"/>
                <w:sz w:val="18"/>
                <w:szCs w:val="18"/>
                <w:color w:val="auto"/>
              </w:rPr>
              <w:t>0.55</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(0.46)</w:t>
            </w:r>
          </w:p>
        </w:tc>
      </w:tr>
    </w:tbl>
    <w:p>
      <w:pPr>
        <w:spacing w:after="0" w:line="18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owners’/partners’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9"/>
              </w:rPr>
              <w:t>Class B</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4"/>
          </w:tcPr>
          <w:p>
            <w:pPr>
              <w:jc w:val="right"/>
              <w:ind w:right="480"/>
              <w:spacing w:after="0"/>
              <w:rPr>
                <w:sz w:val="20"/>
                <w:szCs w:val="20"/>
                <w:color w:val="auto"/>
              </w:rPr>
            </w:pPr>
            <w:r>
              <w:rPr>
                <w:rFonts w:ascii="Arial" w:cs="Arial" w:eastAsia="Arial" w:hAnsi="Arial"/>
                <w:sz w:val="11"/>
                <w:szCs w:val="11"/>
                <w:b w:val="1"/>
                <w:bCs w:val="1"/>
                <w:color w:val="auto"/>
              </w:rPr>
              <w:t>Preference</w:t>
            </w: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0"/>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ind w:left="160"/>
              <w:spacing w:after="0"/>
              <w:rPr>
                <w:sz w:val="20"/>
                <w:szCs w:val="20"/>
                <w:color w:val="auto"/>
              </w:rPr>
            </w:pPr>
            <w:r>
              <w:rPr>
                <w:rFonts w:ascii="Arial" w:cs="Arial" w:eastAsia="Arial" w:hAnsi="Arial"/>
                <w:sz w:val="11"/>
                <w:szCs w:val="11"/>
                <w:b w:val="1"/>
                <w:bCs w:val="1"/>
                <w:color w:val="auto"/>
              </w:rPr>
              <w:t>General partner</w:t>
            </w:r>
          </w:p>
        </w:tc>
        <w:tc>
          <w:tcPr>
            <w:tcW w:w="1300" w:type="dxa"/>
            <w:vAlign w:val="bottom"/>
            <w:gridSpan w:val="4"/>
          </w:tcPr>
          <w:p>
            <w:pPr>
              <w:ind w:left="80"/>
              <w:spacing w:after="0"/>
              <w:rPr>
                <w:sz w:val="20"/>
                <w:szCs w:val="20"/>
                <w:color w:val="auto"/>
              </w:rPr>
            </w:pPr>
            <w:r>
              <w:rPr>
                <w:rFonts w:ascii="Arial" w:cs="Arial" w:eastAsia="Arial" w:hAnsi="Arial"/>
                <w:sz w:val="11"/>
                <w:szCs w:val="11"/>
                <w:b w:val="1"/>
                <w:bCs w:val="1"/>
                <w:color w:val="auto"/>
              </w:rPr>
              <w:t>Common unitholders</w:t>
            </w:r>
          </w:p>
        </w:tc>
        <w:tc>
          <w:tcPr>
            <w:tcW w:w="122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6"/>
              </w:rPr>
              <w:t>unitholders</w:t>
            </w:r>
          </w:p>
        </w:tc>
        <w:tc>
          <w:tcPr>
            <w:tcW w:w="5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IDRs</w:t>
            </w:r>
          </w:p>
        </w:tc>
        <w:tc>
          <w:tcPr>
            <w:tcW w:w="1300" w:type="dxa"/>
            <w:vAlign w:val="bottom"/>
            <w:gridSpan w:val="4"/>
          </w:tcPr>
          <w:p>
            <w:pPr>
              <w:jc w:val="right"/>
              <w:ind w:right="460"/>
              <w:spacing w:after="0"/>
              <w:rPr>
                <w:sz w:val="20"/>
                <w:szCs w:val="20"/>
                <w:color w:val="auto"/>
              </w:rPr>
            </w:pPr>
            <w:r>
              <w:rPr>
                <w:rFonts w:ascii="Arial" w:cs="Arial" w:eastAsia="Arial" w:hAnsi="Arial"/>
                <w:sz w:val="11"/>
                <w:szCs w:val="11"/>
                <w:b w:val="1"/>
                <w:bCs w:val="1"/>
                <w:color w:val="auto"/>
              </w:rPr>
              <w:t>unitholders</w:t>
            </w: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Partners’</w:t>
            </w:r>
          </w:p>
        </w:tc>
        <w:tc>
          <w:tcPr>
            <w:tcW w:w="5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Owners’</w:t>
            </w:r>
          </w:p>
        </w:tc>
        <w:tc>
          <w:tcPr>
            <w:tcW w:w="520" w:type="dxa"/>
            <w:vAlign w:val="bottom"/>
          </w:tcPr>
          <w:p>
            <w:pPr>
              <w:spacing w:after="0"/>
              <w:rPr>
                <w:sz w:val="12"/>
                <w:szCs w:val="12"/>
                <w:color w:val="auto"/>
              </w:rPr>
            </w:pPr>
          </w:p>
        </w:tc>
      </w:tr>
      <w:tr>
        <w:trPr>
          <w:trHeight w:val="143"/>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Units</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Amounts</w:t>
            </w:r>
          </w:p>
        </w:tc>
        <w:tc>
          <w:tcPr>
            <w:tcW w:w="700" w:type="dxa"/>
            <w:vAlign w:val="bottom"/>
            <w:gridSpan w:val="2"/>
          </w:tcPr>
          <w:p>
            <w:pPr>
              <w:ind w:left="160"/>
              <w:spacing w:after="0"/>
              <w:rPr>
                <w:sz w:val="20"/>
                <w:szCs w:val="20"/>
                <w:color w:val="auto"/>
              </w:rPr>
            </w:pPr>
            <w:r>
              <w:rPr>
                <w:rFonts w:ascii="Arial" w:cs="Arial" w:eastAsia="Arial" w:hAnsi="Arial"/>
                <w:sz w:val="11"/>
                <w:szCs w:val="11"/>
                <w:b w:val="1"/>
                <w:bCs w:val="1"/>
                <w:color w:val="auto"/>
              </w:rPr>
              <w:t>Units</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Amounts</w:t>
            </w: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Units</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Amounts</w:t>
            </w:r>
          </w:p>
        </w:tc>
        <w:tc>
          <w:tcPr>
            <w:tcW w:w="5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Amounts</w:t>
            </w:r>
          </w:p>
        </w:tc>
        <w:tc>
          <w:tcPr>
            <w:tcW w:w="700" w:type="dxa"/>
            <w:vAlign w:val="bottom"/>
            <w:gridSpan w:val="2"/>
          </w:tcPr>
          <w:p>
            <w:pPr>
              <w:ind w:left="160"/>
              <w:spacing w:after="0"/>
              <w:rPr>
                <w:sz w:val="20"/>
                <w:szCs w:val="20"/>
                <w:color w:val="auto"/>
              </w:rPr>
            </w:pPr>
            <w:r>
              <w:rPr>
                <w:rFonts w:ascii="Arial" w:cs="Arial" w:eastAsia="Arial" w:hAnsi="Arial"/>
                <w:sz w:val="11"/>
                <w:szCs w:val="11"/>
                <w:b w:val="1"/>
                <w:bCs w:val="1"/>
                <w:color w:val="auto"/>
              </w:rPr>
              <w:t>Units</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88"/>
              </w:rPr>
              <w:t>Amounts</w:t>
            </w: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equity</w:t>
            </w:r>
          </w:p>
        </w:tc>
        <w:tc>
          <w:tcPr>
            <w:tcW w:w="5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capital</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Total</w:t>
            </w:r>
          </w:p>
        </w:tc>
      </w:tr>
      <w:tr>
        <w:trPr>
          <w:trHeight w:val="115"/>
        </w:trPr>
        <w:tc>
          <w:tcPr>
            <w:tcW w:w="258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as of December 31, 2018</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927,532</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13,289</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45,448,993</w:t>
            </w: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812,863</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ind w:left="300"/>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5,176</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14,350,000</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5"/>
              </w:rPr>
              <w:t>348,331</w:t>
            </w: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5"/>
              </w:rPr>
              <w:t>1,179,659</w:t>
            </w:r>
          </w:p>
        </w:tc>
        <w:tc>
          <w:tcPr>
            <w:tcW w:w="1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73,134</w:t>
            </w: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1,252,793</w:t>
            </w:r>
          </w:p>
        </w:tc>
      </w:tr>
      <w:tr>
        <w:trPr>
          <w:trHeight w:val="122"/>
        </w:trPr>
        <w:tc>
          <w:tcPr>
            <w:tcW w:w="2580" w:type="dxa"/>
            <w:vAlign w:val="bottom"/>
            <w:gridSpan w:val="2"/>
          </w:tcPr>
          <w:p>
            <w:pPr>
              <w:spacing w:after="0" w:line="122" w:lineRule="exact"/>
              <w:rPr>
                <w:sz w:val="20"/>
                <w:szCs w:val="20"/>
                <w:color w:val="auto"/>
              </w:rPr>
            </w:pPr>
            <w:r>
              <w:rPr>
                <w:rFonts w:ascii="Arial" w:cs="Arial" w:eastAsia="Arial" w:hAnsi="Arial"/>
                <w:sz w:val="10"/>
                <w:szCs w:val="10"/>
                <w:color w:val="auto"/>
              </w:rPr>
              <w:t xml:space="preserve">IFRS 16 adjustment </w:t>
            </w:r>
            <w:r>
              <w:rPr>
                <w:rFonts w:ascii="Arial" w:cs="Arial" w:eastAsia="Arial" w:hAnsi="Arial"/>
                <w:sz w:val="14"/>
                <w:szCs w:val="14"/>
                <w:color w:val="auto"/>
                <w:vertAlign w:val="superscript"/>
              </w:rPr>
              <w:t>(1)</w:t>
            </w: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4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173</w:t>
            </w:r>
          </w:p>
        </w:tc>
        <w:tc>
          <w:tcPr>
            <w:tcW w:w="140" w:type="dxa"/>
            <w:vAlign w:val="bottom"/>
          </w:tcPr>
          <w:p>
            <w:pPr>
              <w:spacing w:after="0"/>
              <w:rPr>
                <w:sz w:val="10"/>
                <w:szCs w:val="10"/>
                <w:color w:val="auto"/>
              </w:rPr>
            </w:pP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177</w:t>
            </w:r>
          </w:p>
        </w:tc>
        <w:tc>
          <w:tcPr>
            <w:tcW w:w="16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15</w:t>
            </w: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192</w:t>
            </w:r>
          </w:p>
        </w:tc>
      </w:tr>
      <w:tr>
        <w:trPr>
          <w:trHeight w:val="115"/>
        </w:trPr>
        <w:tc>
          <w:tcPr>
            <w:tcW w:w="258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9"/>
                <w:szCs w:val="9"/>
                <w:b w:val="1"/>
                <w:bCs w:val="1"/>
                <w:color w:val="auto"/>
              </w:rPr>
              <w:t>Balance as of January 1, 2019 (as restated</w:t>
            </w:r>
            <w:r>
              <w:rPr>
                <w:rFonts w:ascii="Arial" w:cs="Arial" w:eastAsia="Arial" w:hAnsi="Arial"/>
                <w:sz w:val="13"/>
                <w:szCs w:val="13"/>
                <w:b w:val="1"/>
                <w:bCs w:val="1"/>
                <w:color w:val="auto"/>
                <w:vertAlign w:val="superscript"/>
              </w:rPr>
              <w:t>(1)</w:t>
            </w:r>
            <w:r>
              <w:rPr>
                <w:rFonts w:ascii="Arial" w:cs="Arial" w:eastAsia="Arial" w:hAnsi="Arial"/>
                <w:sz w:val="9"/>
                <w:szCs w:val="9"/>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927,532</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13,293</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45,448,993</w:t>
            </w: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813,036</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ind w:left="300"/>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5,176</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14,350,000</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5"/>
              </w:rPr>
              <w:t>348,331</w:t>
            </w: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5"/>
              </w:rPr>
              <w:t>1,179,836</w:t>
            </w:r>
          </w:p>
        </w:tc>
        <w:tc>
          <w:tcPr>
            <w:tcW w:w="1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73,149</w:t>
            </w: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1,252,985</w:t>
            </w:r>
          </w:p>
        </w:tc>
      </w:tr>
      <w:tr>
        <w:trPr>
          <w:trHeight w:val="92"/>
        </w:trPr>
        <w:tc>
          <w:tcPr>
            <w:tcW w:w="2580" w:type="dxa"/>
            <w:vAlign w:val="bottom"/>
            <w:gridSpan w:val="2"/>
          </w:tcPr>
          <w:p>
            <w:pPr>
              <w:spacing w:after="0" w:line="92" w:lineRule="exact"/>
              <w:rPr>
                <w:sz w:val="20"/>
                <w:szCs w:val="20"/>
                <w:color w:val="auto"/>
              </w:rPr>
            </w:pPr>
            <w:r>
              <w:rPr>
                <w:rFonts w:ascii="Arial" w:cs="Arial" w:eastAsia="Arial" w:hAnsi="Arial"/>
                <w:sz w:val="10"/>
                <w:szCs w:val="10"/>
                <w:color w:val="auto"/>
              </w:rPr>
              <w:t>Profit and total comprehensive income attributable to</w:t>
            </w: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131"/>
        </w:trPr>
        <w:tc>
          <w:tcPr>
            <w:tcW w:w="2580" w:type="dxa"/>
            <w:vAlign w:val="bottom"/>
            <w:gridSpan w:val="2"/>
          </w:tcPr>
          <w:p>
            <w:pPr>
              <w:ind w:left="140"/>
              <w:spacing w:after="0"/>
              <w:rPr>
                <w:sz w:val="20"/>
                <w:szCs w:val="20"/>
                <w:color w:val="auto"/>
              </w:rPr>
            </w:pPr>
            <w:r>
              <w:rPr>
                <w:rFonts w:ascii="Arial" w:cs="Arial" w:eastAsia="Arial" w:hAnsi="Arial"/>
                <w:sz w:val="11"/>
                <w:szCs w:val="11"/>
                <w:color w:val="auto"/>
              </w:rPr>
              <w:t>GasLog Ltd. (“GasLog”)’s operations (Note 20)</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2,650</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2,650</w:t>
            </w:r>
          </w:p>
        </w:tc>
      </w:tr>
      <w:tr>
        <w:trPr>
          <w:trHeight w:val="122"/>
        </w:trPr>
        <w:tc>
          <w:tcPr>
            <w:tcW w:w="2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Equity offering costs</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(288)</w:t>
            </w: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266</w:t>
            </w: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(22)</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r>
      <w:tr>
        <w:trPr>
          <w:trHeight w:val="122"/>
        </w:trPr>
        <w:tc>
          <w:tcPr>
            <w:tcW w:w="2580" w:type="dxa"/>
            <w:vAlign w:val="bottom"/>
            <w:gridSpan w:val="2"/>
          </w:tcPr>
          <w:p>
            <w:pPr>
              <w:spacing w:after="0" w:line="122" w:lineRule="exact"/>
              <w:rPr>
                <w:sz w:val="20"/>
                <w:szCs w:val="20"/>
                <w:color w:val="auto"/>
              </w:rPr>
            </w:pPr>
            <w:r>
              <w:rPr>
                <w:rFonts w:ascii="Arial" w:cs="Arial" w:eastAsia="Arial" w:hAnsi="Arial"/>
                <w:sz w:val="11"/>
                <w:szCs w:val="11"/>
                <w:color w:val="auto"/>
              </w:rPr>
              <w:t>Repurchases of common units (Note 6)</w:t>
            </w: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w w:val="95"/>
              </w:rPr>
              <w:t>(1,171,572)</w:t>
            </w:r>
          </w:p>
        </w:tc>
        <w:tc>
          <w:tcPr>
            <w:tcW w:w="14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(22,890)</w:t>
            </w:r>
          </w:p>
        </w:tc>
        <w:tc>
          <w:tcPr>
            <w:tcW w:w="140" w:type="dxa"/>
            <w:vAlign w:val="bottom"/>
          </w:tcPr>
          <w:p>
            <w:pPr>
              <w:spacing w:after="0"/>
              <w:rPr>
                <w:sz w:val="10"/>
                <w:szCs w:val="10"/>
                <w:color w:val="auto"/>
              </w:rPr>
            </w:pP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(22,890)</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(22,890)</w:t>
            </w:r>
          </w:p>
        </w:tc>
      </w:tr>
      <w:tr>
        <w:trPr>
          <w:trHeight w:val="112"/>
        </w:trPr>
        <w:tc>
          <w:tcPr>
            <w:tcW w:w="25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Elimination of incentive distribution rights ("IDRs")</w:t>
            </w: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r>
      <w:tr>
        <w:trPr>
          <w:trHeight w:val="131"/>
        </w:trPr>
        <w:tc>
          <w:tcPr>
            <w:tcW w:w="25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w w:val="95"/>
              </w:rPr>
              <w:t>and issuance of common and Class B units (Note 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2,532,911</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1,796</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2,490,000</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(2,391)</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(595)</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(595)</w:t>
            </w:r>
          </w:p>
        </w:tc>
      </w:tr>
      <w:tr>
        <w:trPr>
          <w:trHeight w:val="121"/>
        </w:trPr>
        <w:tc>
          <w:tcPr>
            <w:tcW w:w="2580" w:type="dxa"/>
            <w:vAlign w:val="bottom"/>
            <w:gridSpan w:val="2"/>
          </w:tcPr>
          <w:p>
            <w:pPr>
              <w:spacing w:after="0" w:line="122" w:lineRule="exact"/>
              <w:rPr>
                <w:sz w:val="20"/>
                <w:szCs w:val="20"/>
                <w:color w:val="auto"/>
              </w:rPr>
            </w:pPr>
            <w:r>
              <w:rPr>
                <w:rFonts w:ascii="Arial" w:cs="Arial" w:eastAsia="Arial" w:hAnsi="Arial"/>
                <w:sz w:val="11"/>
                <w:szCs w:val="11"/>
                <w:color w:val="auto"/>
              </w:rPr>
              <w:t>Issuance of general partner units (Note 6)</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93,804</w:t>
            </w:r>
          </w:p>
        </w:tc>
        <w:tc>
          <w:tcPr>
            <w:tcW w:w="1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1,996</w:t>
            </w:r>
          </w:p>
        </w:tc>
        <w:tc>
          <w:tcPr>
            <w:tcW w:w="14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1,996</w:t>
            </w:r>
          </w:p>
        </w:tc>
        <w:tc>
          <w:tcPr>
            <w:tcW w:w="16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1,996</w:t>
            </w:r>
          </w:p>
        </w:tc>
      </w:tr>
      <w:tr>
        <w:trPr>
          <w:trHeight w:val="122"/>
        </w:trPr>
        <w:tc>
          <w:tcPr>
            <w:tcW w:w="2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9"/>
              </w:rPr>
              <w:t>Settlement of awards vested during the year (Note 6)</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49,850</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12"/>
        </w:trPr>
        <w:tc>
          <w:tcPr>
            <w:tcW w:w="2580" w:type="dxa"/>
            <w:vAlign w:val="bottom"/>
            <w:gridSpan w:val="2"/>
          </w:tcPr>
          <w:p>
            <w:pPr>
              <w:spacing w:after="0" w:line="112" w:lineRule="exact"/>
              <w:rPr>
                <w:sz w:val="20"/>
                <w:szCs w:val="20"/>
                <w:color w:val="auto"/>
              </w:rPr>
            </w:pPr>
            <w:r>
              <w:rPr>
                <w:rFonts w:ascii="Arial" w:cs="Arial" w:eastAsia="Arial" w:hAnsi="Arial"/>
                <w:sz w:val="11"/>
                <w:szCs w:val="11"/>
                <w:color w:val="auto"/>
                <w:w w:val="95"/>
              </w:rPr>
              <w:t>Cash distribution to GasLog in exchange for net assets</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31"/>
        </w:trPr>
        <w:tc>
          <w:tcPr>
            <w:tcW w:w="2580" w:type="dxa"/>
            <w:vAlign w:val="bottom"/>
            <w:gridSpan w:val="2"/>
          </w:tcPr>
          <w:p>
            <w:pPr>
              <w:ind w:left="140"/>
              <w:spacing w:after="0"/>
              <w:rPr>
                <w:sz w:val="20"/>
                <w:szCs w:val="20"/>
                <w:color w:val="auto"/>
              </w:rPr>
            </w:pPr>
            <w:r>
              <w:rPr>
                <w:rFonts w:ascii="Arial" w:cs="Arial" w:eastAsia="Arial" w:hAnsi="Arial"/>
                <w:sz w:val="11"/>
                <w:szCs w:val="11"/>
                <w:color w:val="auto"/>
              </w:rPr>
              <w:t>contribution to the Partnership</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w w:val="97"/>
              </w:rPr>
              <w:t>(93,646)</w:t>
            </w:r>
          </w:p>
        </w:tc>
        <w:tc>
          <w:tcPr>
            <w:tcW w:w="520" w:type="dxa"/>
            <w:vAlign w:val="bottom"/>
          </w:tcPr>
          <w:p>
            <w:pPr>
              <w:jc w:val="right"/>
              <w:spacing w:after="0"/>
              <w:rPr>
                <w:sz w:val="20"/>
                <w:szCs w:val="20"/>
                <w:color w:val="auto"/>
              </w:rPr>
            </w:pPr>
            <w:r>
              <w:rPr>
                <w:rFonts w:ascii="Arial" w:cs="Arial" w:eastAsia="Arial" w:hAnsi="Arial"/>
                <w:sz w:val="11"/>
                <w:szCs w:val="11"/>
                <w:color w:val="auto"/>
              </w:rPr>
              <w:t>(93,646)</w:t>
            </w:r>
          </w:p>
        </w:tc>
      </w:tr>
      <w:tr>
        <w:trPr>
          <w:trHeight w:val="112"/>
        </w:trPr>
        <w:tc>
          <w:tcPr>
            <w:tcW w:w="25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Difference between net book values of acquired</w:t>
            </w: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r>
      <w:tr>
        <w:trPr>
          <w:trHeight w:val="131"/>
        </w:trPr>
        <w:tc>
          <w:tcPr>
            <w:tcW w:w="25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subsidiary and consideration paid</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(17,490)</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(17,847)</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17,847</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tcPr>
          <w:p>
            <w:pPr>
              <w:spacing w:after="0" w:line="122" w:lineRule="exact"/>
              <w:rPr>
                <w:sz w:val="20"/>
                <w:szCs w:val="20"/>
                <w:color w:val="auto"/>
              </w:rPr>
            </w:pPr>
            <w:r>
              <w:rPr>
                <w:rFonts w:ascii="Arial" w:cs="Arial" w:eastAsia="Arial" w:hAnsi="Arial"/>
                <w:sz w:val="11"/>
                <w:szCs w:val="11"/>
                <w:color w:val="auto"/>
              </w:rPr>
              <w:t>Distributions declared (Note 6)</w:t>
            </w: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(2,200)</w:t>
            </w:r>
          </w:p>
        </w:tc>
        <w:tc>
          <w:tcPr>
            <w:tcW w:w="14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w w:val="93"/>
              </w:rPr>
              <w:t>(101,932)</w:t>
            </w:r>
          </w:p>
        </w:tc>
        <w:tc>
          <w:tcPr>
            <w:tcW w:w="140" w:type="dxa"/>
            <w:vAlign w:val="bottom"/>
          </w:tcPr>
          <w:p>
            <w:pPr>
              <w:spacing w:after="0"/>
              <w:rPr>
                <w:sz w:val="10"/>
                <w:szCs w:val="10"/>
                <w:color w:val="auto"/>
              </w:rPr>
            </w:pP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(2,785)</w:t>
            </w:r>
          </w:p>
        </w:tc>
        <w:tc>
          <w:tcPr>
            <w:tcW w:w="14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(31,036)</w:t>
            </w: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(137,953)</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(137,953)</w:t>
            </w:r>
          </w:p>
        </w:tc>
      </w:tr>
      <w:tr>
        <w:trPr>
          <w:trHeight w:val="122"/>
        </w:trPr>
        <w:tc>
          <w:tcPr>
            <w:tcW w:w="2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6"/>
              </w:rPr>
              <w:t>Share-based compensation, net of accrued distribution</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847</w:t>
            </w: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865</w:t>
            </w:r>
          </w:p>
        </w:tc>
        <w:tc>
          <w:tcPr>
            <w:tcW w:w="1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865</w:t>
            </w:r>
          </w:p>
        </w:tc>
      </w:tr>
      <w:tr>
        <w:trPr>
          <w:trHeight w:val="112"/>
        </w:trPr>
        <w:tc>
          <w:tcPr>
            <w:tcW w:w="2580" w:type="dxa"/>
            <w:vAlign w:val="bottom"/>
            <w:gridSpan w:val="2"/>
          </w:tcPr>
          <w:p>
            <w:pPr>
              <w:spacing w:after="0" w:line="112" w:lineRule="exact"/>
              <w:rPr>
                <w:sz w:val="20"/>
                <w:szCs w:val="20"/>
                <w:color w:val="auto"/>
              </w:rPr>
            </w:pPr>
            <w:r>
              <w:rPr>
                <w:rFonts w:ascii="Arial" w:cs="Arial" w:eastAsia="Arial" w:hAnsi="Arial"/>
                <w:sz w:val="11"/>
                <w:szCs w:val="11"/>
                <w:color w:val="auto"/>
              </w:rPr>
              <w:t>Partnership’s (loss)/income and total</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31"/>
        </w:trPr>
        <w:tc>
          <w:tcPr>
            <w:tcW w:w="2580" w:type="dxa"/>
            <w:vAlign w:val="bottom"/>
            <w:gridSpan w:val="2"/>
          </w:tcPr>
          <w:p>
            <w:pPr>
              <w:ind w:left="140"/>
              <w:spacing w:after="0"/>
              <w:rPr>
                <w:sz w:val="20"/>
                <w:szCs w:val="20"/>
                <w:color w:val="auto"/>
              </w:rPr>
            </w:pPr>
            <w:r>
              <w:rPr>
                <w:rFonts w:ascii="Arial" w:cs="Arial" w:eastAsia="Arial" w:hAnsi="Arial"/>
                <w:sz w:val="11"/>
                <w:szCs w:val="11"/>
                <w:color w:val="auto"/>
              </w:rPr>
              <w:t>comprehensive(loss)/income (Note 20)</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(1,479)</w:t>
            </w:r>
          </w:p>
        </w:tc>
        <w:tc>
          <w:tcPr>
            <w:tcW w:w="14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(66,268)</w:t>
            </w:r>
          </w:p>
        </w:tc>
        <w:tc>
          <w:tcPr>
            <w:tcW w:w="14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30,328</w:t>
            </w:r>
          </w:p>
        </w:tc>
        <w:tc>
          <w:tcPr>
            <w:tcW w:w="16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(37,419)</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(37,419)</w:t>
            </w:r>
          </w:p>
        </w:tc>
      </w:tr>
      <w:tr>
        <w:trPr>
          <w:trHeight w:val="115"/>
        </w:trPr>
        <w:tc>
          <w:tcPr>
            <w:tcW w:w="258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as of December 31, 2019</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1,021,336</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11,271</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46,860,182</w:t>
            </w: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606,811</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2,490,000</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ind w:left="300"/>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14,350,000</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5"/>
              </w:rPr>
              <w:t>347,889</w:t>
            </w: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965,971</w:t>
            </w:r>
          </w:p>
        </w:tc>
        <w:tc>
          <w:tcPr>
            <w:tcW w:w="1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965,971</w:t>
            </w:r>
          </w:p>
        </w:tc>
      </w:tr>
      <w:tr>
        <w:trPr>
          <w:trHeight w:val="115"/>
        </w:trPr>
        <w:tc>
          <w:tcPr>
            <w:tcW w:w="2580" w:type="dxa"/>
            <w:vAlign w:val="bottom"/>
            <w:gridSpan w:val="2"/>
          </w:tcPr>
          <w:p>
            <w:pPr>
              <w:spacing w:after="0" w:line="115" w:lineRule="exact"/>
              <w:rPr>
                <w:sz w:val="20"/>
                <w:szCs w:val="20"/>
                <w:color w:val="auto"/>
              </w:rPr>
            </w:pPr>
            <w:r>
              <w:rPr>
                <w:rFonts w:ascii="Arial" w:cs="Arial" w:eastAsia="Arial" w:hAnsi="Arial"/>
                <w:sz w:val="11"/>
                <w:szCs w:val="11"/>
                <w:color w:val="auto"/>
              </w:rPr>
              <w:t>Equity offering costs</w:t>
            </w: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Arial" w:cs="Arial" w:eastAsia="Arial" w:hAnsi="Arial"/>
                <w:sz w:val="11"/>
                <w:szCs w:val="11"/>
                <w:color w:val="auto"/>
              </w:rPr>
              <w:t>(132)</w:t>
            </w:r>
          </w:p>
        </w:tc>
        <w:tc>
          <w:tcPr>
            <w:tcW w:w="140" w:type="dxa"/>
            <w:vAlign w:val="bottom"/>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40" w:type="dxa"/>
            <w:vAlign w:val="bottom"/>
          </w:tcPr>
          <w:p>
            <w:pPr>
              <w:ind w:left="300"/>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(132)</w:t>
            </w:r>
          </w:p>
        </w:tc>
        <w:tc>
          <w:tcPr>
            <w:tcW w:w="160" w:type="dxa"/>
            <w:vAlign w:val="bottom"/>
          </w:tcPr>
          <w:p>
            <w:pPr>
              <w:spacing w:after="0"/>
              <w:rPr>
                <w:sz w:val="10"/>
                <w:szCs w:val="10"/>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(132)</w:t>
            </w:r>
          </w:p>
        </w:tc>
      </w:tr>
      <w:tr>
        <w:trPr>
          <w:trHeight w:val="121"/>
        </w:trPr>
        <w:tc>
          <w:tcPr>
            <w:tcW w:w="2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Repurchases of common units (Note 6)</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(191,490)</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(996)</w:t>
            </w: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(996)</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(996)</w:t>
            </w:r>
          </w:p>
        </w:tc>
      </w:tr>
      <w:tr>
        <w:trPr>
          <w:trHeight w:val="122"/>
        </w:trPr>
        <w:tc>
          <w:tcPr>
            <w:tcW w:w="2580" w:type="dxa"/>
            <w:vAlign w:val="bottom"/>
            <w:gridSpan w:val="2"/>
          </w:tcPr>
          <w:p>
            <w:pPr>
              <w:spacing w:after="0" w:line="122" w:lineRule="exact"/>
              <w:rPr>
                <w:sz w:val="20"/>
                <w:szCs w:val="20"/>
                <w:color w:val="auto"/>
              </w:rPr>
            </w:pPr>
            <w:r>
              <w:rPr>
                <w:rFonts w:ascii="Arial" w:cs="Arial" w:eastAsia="Arial" w:hAnsi="Arial"/>
                <w:sz w:val="11"/>
                <w:szCs w:val="11"/>
                <w:color w:val="auto"/>
                <w:w w:val="97"/>
              </w:rPr>
              <w:t>Conversion of Class B units to common units (Note 6)</w:t>
            </w: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415,000</w:t>
            </w:r>
          </w:p>
        </w:tc>
        <w:tc>
          <w:tcPr>
            <w:tcW w:w="140" w:type="dxa"/>
            <w:vAlign w:val="bottom"/>
          </w:tcPr>
          <w:p>
            <w:pPr>
              <w:spacing w:after="0"/>
              <w:rPr>
                <w:sz w:val="10"/>
                <w:szCs w:val="10"/>
                <w:color w:val="auto"/>
              </w:rPr>
            </w:pPr>
          </w:p>
        </w:tc>
        <w:tc>
          <w:tcPr>
            <w:tcW w:w="6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(415,000)</w:t>
            </w:r>
          </w:p>
        </w:tc>
        <w:tc>
          <w:tcPr>
            <w:tcW w:w="140" w:type="dxa"/>
            <w:vAlign w:val="bottom"/>
          </w:tcPr>
          <w:p>
            <w:pPr>
              <w:spacing w:after="0"/>
              <w:rPr>
                <w:sz w:val="10"/>
                <w:szCs w:val="10"/>
                <w:color w:val="auto"/>
              </w:rPr>
            </w:pPr>
          </w:p>
        </w:tc>
        <w:tc>
          <w:tcPr>
            <w:tcW w:w="58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9"/>
              </w:rPr>
              <w:t>Settlement of awards vested during the year (Note 6)</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434,132</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tcPr>
          <w:p>
            <w:pPr>
              <w:spacing w:after="0" w:line="122" w:lineRule="exact"/>
              <w:rPr>
                <w:sz w:val="20"/>
                <w:szCs w:val="20"/>
                <w:color w:val="auto"/>
              </w:rPr>
            </w:pPr>
            <w:r>
              <w:rPr>
                <w:rFonts w:ascii="Arial" w:cs="Arial" w:eastAsia="Arial" w:hAnsi="Arial"/>
                <w:sz w:val="11"/>
                <w:szCs w:val="11"/>
                <w:color w:val="auto"/>
              </w:rPr>
              <w:t>Distributions declared (Note 6)</w:t>
            </w: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(839)</w:t>
            </w:r>
          </w:p>
        </w:tc>
        <w:tc>
          <w:tcPr>
            <w:tcW w:w="14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(38,389)</w:t>
            </w:r>
          </w:p>
        </w:tc>
        <w:tc>
          <w:tcPr>
            <w:tcW w:w="140" w:type="dxa"/>
            <w:vAlign w:val="bottom"/>
          </w:tcPr>
          <w:p>
            <w:pPr>
              <w:spacing w:after="0"/>
              <w:rPr>
                <w:sz w:val="10"/>
                <w:szCs w:val="10"/>
                <w:color w:val="auto"/>
              </w:rPr>
            </w:pP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(30,328)</w:t>
            </w: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(69,556)</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(69,556)</w:t>
            </w:r>
          </w:p>
        </w:tc>
      </w:tr>
      <w:tr>
        <w:trPr>
          <w:trHeight w:val="121"/>
        </w:trPr>
        <w:tc>
          <w:tcPr>
            <w:tcW w:w="2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6"/>
              </w:rPr>
              <w:t>Share-based compensation, net of accrued distribution</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1,637</w:t>
            </w: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1,672</w:t>
            </w:r>
          </w:p>
        </w:tc>
        <w:tc>
          <w:tcPr>
            <w:tcW w:w="1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1,672</w:t>
            </w:r>
          </w:p>
        </w:tc>
      </w:tr>
      <w:tr>
        <w:trPr>
          <w:trHeight w:val="112"/>
        </w:trPr>
        <w:tc>
          <w:tcPr>
            <w:tcW w:w="2580" w:type="dxa"/>
            <w:vAlign w:val="bottom"/>
            <w:gridSpan w:val="2"/>
          </w:tcPr>
          <w:p>
            <w:pPr>
              <w:spacing w:after="0" w:line="112" w:lineRule="exact"/>
              <w:rPr>
                <w:sz w:val="20"/>
                <w:szCs w:val="20"/>
                <w:color w:val="auto"/>
              </w:rPr>
            </w:pPr>
            <w:r>
              <w:rPr>
                <w:rFonts w:ascii="Arial" w:cs="Arial" w:eastAsia="Arial" w:hAnsi="Arial"/>
                <w:sz w:val="11"/>
                <w:szCs w:val="11"/>
                <w:color w:val="auto"/>
              </w:rPr>
              <w:t>Partnership’s profit and total comprehensive income</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31"/>
        </w:trPr>
        <w:tc>
          <w:tcPr>
            <w:tcW w:w="2580" w:type="dxa"/>
            <w:vAlign w:val="bottom"/>
            <w:gridSpan w:val="2"/>
          </w:tcPr>
          <w:p>
            <w:pPr>
              <w:ind w:left="140"/>
              <w:spacing w:after="0"/>
              <w:rPr>
                <w:sz w:val="20"/>
                <w:szCs w:val="20"/>
                <w:color w:val="auto"/>
              </w:rPr>
            </w:pPr>
            <w:r>
              <w:rPr>
                <w:rFonts w:ascii="Arial" w:cs="Arial" w:eastAsia="Arial" w:hAnsi="Arial"/>
                <w:sz w:val="11"/>
                <w:szCs w:val="11"/>
                <w:color w:val="auto"/>
              </w:rPr>
              <w:t>(Note 20)</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561</w:t>
            </w:r>
          </w:p>
        </w:tc>
        <w:tc>
          <w:tcPr>
            <w:tcW w:w="14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25,970</w:t>
            </w:r>
          </w:p>
        </w:tc>
        <w:tc>
          <w:tcPr>
            <w:tcW w:w="14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30,328</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56,859</w:t>
            </w:r>
          </w:p>
        </w:tc>
        <w:tc>
          <w:tcPr>
            <w:tcW w:w="1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56,859</w:t>
            </w:r>
          </w:p>
        </w:tc>
      </w:tr>
      <w:tr>
        <w:trPr>
          <w:trHeight w:val="115"/>
        </w:trPr>
        <w:tc>
          <w:tcPr>
            <w:tcW w:w="258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as of December 31, 2020</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1,021,336</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11,028</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47,517,824</w:t>
            </w: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594,901</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2,075,000</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ind w:left="300"/>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14,350,000</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5"/>
              </w:rPr>
              <w:t>347,889</w:t>
            </w: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953,818</w:t>
            </w:r>
          </w:p>
        </w:tc>
        <w:tc>
          <w:tcPr>
            <w:tcW w:w="1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953,818</w:t>
            </w:r>
          </w:p>
        </w:tc>
      </w:tr>
      <w:tr>
        <w:trPr>
          <w:trHeight w:val="92"/>
        </w:trPr>
        <w:tc>
          <w:tcPr>
            <w:tcW w:w="2580" w:type="dxa"/>
            <w:vAlign w:val="bottom"/>
            <w:gridSpan w:val="2"/>
          </w:tcPr>
          <w:p>
            <w:pPr>
              <w:spacing w:after="0" w:line="92" w:lineRule="exact"/>
              <w:rPr>
                <w:sz w:val="20"/>
                <w:szCs w:val="20"/>
                <w:color w:val="auto"/>
              </w:rPr>
            </w:pPr>
            <w:r>
              <w:rPr>
                <w:rFonts w:ascii="Arial" w:cs="Arial" w:eastAsia="Arial" w:hAnsi="Arial"/>
                <w:sz w:val="10"/>
                <w:szCs w:val="10"/>
                <w:color w:val="auto"/>
              </w:rPr>
              <w:t>Net proceeds from public offerings of common units</w:t>
            </w: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131"/>
        </w:trPr>
        <w:tc>
          <w:tcPr>
            <w:tcW w:w="2580" w:type="dxa"/>
            <w:vAlign w:val="bottom"/>
            <w:gridSpan w:val="2"/>
          </w:tcPr>
          <w:p>
            <w:pPr>
              <w:ind w:left="140"/>
              <w:spacing w:after="0"/>
              <w:rPr>
                <w:sz w:val="20"/>
                <w:szCs w:val="20"/>
                <w:color w:val="auto"/>
              </w:rPr>
            </w:pPr>
            <w:r>
              <w:rPr>
                <w:rFonts w:ascii="Arial" w:cs="Arial" w:eastAsia="Arial" w:hAnsi="Arial"/>
                <w:sz w:val="11"/>
                <w:szCs w:val="11"/>
                <w:color w:val="auto"/>
              </w:rPr>
              <w:t>and issuances of general partner units (Note 6)</w:t>
            </w:r>
          </w:p>
        </w:tc>
        <w:tc>
          <w:tcPr>
            <w:tcW w:w="500" w:type="dxa"/>
            <w:vAlign w:val="bottom"/>
          </w:tcPr>
          <w:p>
            <w:pPr>
              <w:jc w:val="right"/>
              <w:spacing w:after="0"/>
              <w:rPr>
                <w:sz w:val="20"/>
                <w:szCs w:val="20"/>
                <w:color w:val="auto"/>
              </w:rPr>
            </w:pPr>
            <w:r>
              <w:rPr>
                <w:rFonts w:ascii="Arial" w:cs="Arial" w:eastAsia="Arial" w:hAnsi="Arial"/>
                <w:sz w:val="11"/>
                <w:szCs w:val="11"/>
                <w:color w:val="auto"/>
              </w:rPr>
              <w:t>56,158</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205</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3,195,401</w:t>
            </w: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9,634</w:t>
            </w:r>
          </w:p>
        </w:tc>
        <w:tc>
          <w:tcPr>
            <w:tcW w:w="14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9,839</w:t>
            </w:r>
          </w:p>
        </w:tc>
        <w:tc>
          <w:tcPr>
            <w:tcW w:w="1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9,839</w:t>
            </w:r>
          </w:p>
        </w:tc>
      </w:tr>
      <w:tr>
        <w:trPr>
          <w:trHeight w:val="122"/>
        </w:trPr>
        <w:tc>
          <w:tcPr>
            <w:tcW w:w="2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Repurchases of preference units (Note 6)</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(733,978)</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(18,386)</w:t>
            </w: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(18,388)</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(18,388)</w:t>
            </w:r>
          </w:p>
        </w:tc>
      </w:tr>
      <w:tr>
        <w:trPr>
          <w:trHeight w:val="121"/>
        </w:trPr>
        <w:tc>
          <w:tcPr>
            <w:tcW w:w="2580" w:type="dxa"/>
            <w:vAlign w:val="bottom"/>
            <w:gridSpan w:val="2"/>
          </w:tcPr>
          <w:p>
            <w:pPr>
              <w:spacing w:after="0" w:line="122" w:lineRule="exact"/>
              <w:rPr>
                <w:sz w:val="20"/>
                <w:szCs w:val="20"/>
                <w:color w:val="auto"/>
              </w:rPr>
            </w:pPr>
            <w:r>
              <w:rPr>
                <w:rFonts w:ascii="Arial" w:cs="Arial" w:eastAsia="Arial" w:hAnsi="Arial"/>
                <w:sz w:val="11"/>
                <w:szCs w:val="11"/>
                <w:color w:val="auto"/>
                <w:w w:val="97"/>
              </w:rPr>
              <w:t>Conversion of Class B units to common units (Note 6)</w:t>
            </w: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415,000</w:t>
            </w:r>
          </w:p>
        </w:tc>
        <w:tc>
          <w:tcPr>
            <w:tcW w:w="140" w:type="dxa"/>
            <w:vAlign w:val="bottom"/>
          </w:tcPr>
          <w:p>
            <w:pPr>
              <w:spacing w:after="0"/>
              <w:rPr>
                <w:sz w:val="10"/>
                <w:szCs w:val="10"/>
                <w:color w:val="auto"/>
              </w:rPr>
            </w:pPr>
          </w:p>
        </w:tc>
        <w:tc>
          <w:tcPr>
            <w:tcW w:w="6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(415,000)</w:t>
            </w:r>
          </w:p>
        </w:tc>
        <w:tc>
          <w:tcPr>
            <w:tcW w:w="140" w:type="dxa"/>
            <w:vAlign w:val="bottom"/>
          </w:tcPr>
          <w:p>
            <w:pPr>
              <w:spacing w:after="0"/>
              <w:rPr>
                <w:sz w:val="10"/>
                <w:szCs w:val="10"/>
                <w:color w:val="auto"/>
              </w:rPr>
            </w:pPr>
          </w:p>
        </w:tc>
        <w:tc>
          <w:tcPr>
            <w:tcW w:w="58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9"/>
              </w:rPr>
              <w:t>Settlement of awards vested during the year (Note 6)</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8,976</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tcPr>
          <w:p>
            <w:pPr>
              <w:spacing w:after="0" w:line="122" w:lineRule="exact"/>
              <w:rPr>
                <w:sz w:val="20"/>
                <w:szCs w:val="20"/>
                <w:color w:val="auto"/>
              </w:rPr>
            </w:pPr>
            <w:r>
              <w:rPr>
                <w:rFonts w:ascii="Arial" w:cs="Arial" w:eastAsia="Arial" w:hAnsi="Arial"/>
                <w:sz w:val="11"/>
                <w:szCs w:val="11"/>
                <w:color w:val="auto"/>
              </w:rPr>
              <w:t>Distributions declared (Note 6)</w:t>
            </w: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(42)</w:t>
            </w:r>
          </w:p>
        </w:tc>
        <w:tc>
          <w:tcPr>
            <w:tcW w:w="14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(1,972)</w:t>
            </w:r>
          </w:p>
        </w:tc>
        <w:tc>
          <w:tcPr>
            <w:tcW w:w="140" w:type="dxa"/>
            <w:vAlign w:val="bottom"/>
          </w:tcPr>
          <w:p>
            <w:pPr>
              <w:spacing w:after="0"/>
              <w:rPr>
                <w:sz w:val="10"/>
                <w:szCs w:val="10"/>
                <w:color w:val="auto"/>
              </w:rPr>
            </w:pP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(29,863)</w:t>
            </w: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(31,877)</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(31,877)</w:t>
            </w:r>
          </w:p>
        </w:tc>
      </w:tr>
      <w:tr>
        <w:trPr>
          <w:trHeight w:val="121"/>
        </w:trPr>
        <w:tc>
          <w:tcPr>
            <w:tcW w:w="2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6"/>
              </w:rPr>
              <w:t>Share-based compensation, net of accrued distribution</w:t>
            </w: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372</w:t>
            </w: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380</w:t>
            </w:r>
          </w:p>
        </w:tc>
        <w:tc>
          <w:tcPr>
            <w:tcW w:w="1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380</w:t>
            </w:r>
          </w:p>
        </w:tc>
      </w:tr>
      <w:tr>
        <w:trPr>
          <w:trHeight w:val="112"/>
        </w:trPr>
        <w:tc>
          <w:tcPr>
            <w:tcW w:w="2580" w:type="dxa"/>
            <w:vAlign w:val="bottom"/>
            <w:gridSpan w:val="2"/>
          </w:tcPr>
          <w:p>
            <w:pPr>
              <w:spacing w:after="0" w:line="112" w:lineRule="exact"/>
              <w:rPr>
                <w:sz w:val="20"/>
                <w:szCs w:val="20"/>
                <w:color w:val="auto"/>
              </w:rPr>
            </w:pPr>
            <w:r>
              <w:rPr>
                <w:rFonts w:ascii="Arial" w:cs="Arial" w:eastAsia="Arial" w:hAnsi="Arial"/>
                <w:sz w:val="11"/>
                <w:szCs w:val="11"/>
                <w:color w:val="auto"/>
              </w:rPr>
              <w:t>Partnership’s(loss)/income and total comprehensive</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31"/>
        </w:trPr>
        <w:tc>
          <w:tcPr>
            <w:tcW w:w="2580" w:type="dxa"/>
            <w:vAlign w:val="bottom"/>
            <w:gridSpan w:val="2"/>
          </w:tcPr>
          <w:p>
            <w:pPr>
              <w:ind w:left="140"/>
              <w:spacing w:after="0"/>
              <w:rPr>
                <w:sz w:val="20"/>
                <w:szCs w:val="20"/>
                <w:color w:val="auto"/>
              </w:rPr>
            </w:pPr>
            <w:r>
              <w:rPr>
                <w:rFonts w:ascii="Arial" w:cs="Arial" w:eastAsia="Arial" w:hAnsi="Arial"/>
                <w:sz w:val="11"/>
                <w:szCs w:val="11"/>
                <w:color w:val="auto"/>
              </w:rPr>
              <w:t>(loss)/income (Note 20)</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(482)</w:t>
            </w:r>
          </w:p>
        </w:tc>
        <w:tc>
          <w:tcPr>
            <w:tcW w:w="14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(23,486)</w:t>
            </w:r>
          </w:p>
        </w:tc>
        <w:tc>
          <w:tcPr>
            <w:tcW w:w="14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29,694</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5,726</w:t>
            </w:r>
          </w:p>
        </w:tc>
        <w:tc>
          <w:tcPr>
            <w:tcW w:w="1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5,726</w:t>
            </w:r>
          </w:p>
        </w:tc>
      </w:tr>
      <w:tr>
        <w:trPr>
          <w:trHeight w:val="115"/>
        </w:trPr>
        <w:tc>
          <w:tcPr>
            <w:tcW w:w="2580" w:type="dxa"/>
            <w:vAlign w:val="bottom"/>
            <w:tcBorders>
              <w:top w:val="single" w:sz="8" w:color="CCEEFF"/>
              <w:bottom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as of December 31, 2021</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1,077,494</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10,717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51,137,201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579,447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1,660,000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ind w:left="300"/>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13,616,022</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5"/>
              </w:rPr>
              <w:t>329,334</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919,498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919,498</w:t>
            </w: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r>
    </w:tbl>
    <w:p>
      <w:pPr>
        <w:spacing w:after="0" w:line="80" w:lineRule="exact"/>
        <w:rPr>
          <w:sz w:val="20"/>
          <w:szCs w:val="20"/>
          <w:color w:val="auto"/>
        </w:rPr>
      </w:pPr>
    </w:p>
    <w:p>
      <w:pPr>
        <w:ind w:left="340" w:right="340" w:hanging="332"/>
        <w:spacing w:after="0" w:line="207" w:lineRule="auto"/>
        <w:tabs>
          <w:tab w:leader="none" w:pos="340" w:val="left"/>
        </w:tabs>
        <w:numPr>
          <w:ilvl w:val="0"/>
          <w:numId w:val="102"/>
        </w:numPr>
        <w:rPr>
          <w:rFonts w:ascii="Arial" w:cs="Arial" w:eastAsia="Arial" w:hAnsi="Arial"/>
          <w:sz w:val="27"/>
          <w:szCs w:val="27"/>
          <w:color w:val="auto"/>
          <w:vertAlign w:val="superscript"/>
        </w:rPr>
      </w:pPr>
      <w:r>
        <w:rPr>
          <w:rFonts w:ascii="Arial" w:cs="Arial" w:eastAsia="Arial" w:hAnsi="Arial"/>
          <w:sz w:val="18"/>
          <w:szCs w:val="18"/>
          <w:color w:val="auto"/>
        </w:rPr>
        <w:t xml:space="preserve">Restated so as to reflect an adjustment introduced due to the adoption of International Financial Reporting Standard (“IFRS”) 16 </w:t>
      </w:r>
      <w:r>
        <w:rPr>
          <w:rFonts w:ascii="Arial" w:cs="Arial" w:eastAsia="Arial" w:hAnsi="Arial"/>
          <w:sz w:val="18"/>
          <w:szCs w:val="18"/>
          <w:i w:val="1"/>
          <w:iCs w:val="1"/>
          <w:color w:val="auto"/>
        </w:rPr>
        <w:t xml:space="preserve">Leases </w:t>
      </w:r>
      <w:r>
        <w:rPr>
          <w:rFonts w:ascii="Arial" w:cs="Arial" w:eastAsia="Arial" w:hAnsi="Arial"/>
          <w:sz w:val="18"/>
          <w:szCs w:val="18"/>
          <w:color w:val="auto"/>
        </w:rPr>
        <w:t>on January 1, 2019.</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7" w:lineRule="auto"/>
        <w:rPr>
          <w:sz w:val="20"/>
          <w:szCs w:val="20"/>
          <w:color w:val="auto"/>
        </w:rPr>
      </w:pPr>
      <w:r>
        <w:rPr>
          <w:rFonts w:ascii="Arial" w:cs="Arial" w:eastAsia="Arial" w:hAnsi="Arial"/>
          <w:sz w:val="18"/>
          <w:szCs w:val="18"/>
          <w:b w:val="1"/>
          <w:bCs w:val="1"/>
          <w:color w:val="auto"/>
        </w:rPr>
        <w:t>For the years ended December 31, 2019, 2020 and 2021</w:t>
      </w: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Note</w:t>
            </w:r>
          </w:p>
        </w:tc>
        <w:tc>
          <w:tcPr>
            <w:tcW w:w="760" w:type="dxa"/>
            <w:vAlign w:val="bottom"/>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40" w:type="dxa"/>
            <w:vAlign w:val="bottom"/>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4"/>
                <w:szCs w:val="14"/>
                <w:b w:val="1"/>
                <w:bCs w:val="1"/>
                <w:color w:val="auto"/>
              </w:rPr>
              <w:t>2021</w:t>
            </w:r>
          </w:p>
        </w:tc>
      </w:tr>
      <w:tr>
        <w:trPr>
          <w:trHeight w:val="142"/>
        </w:trPr>
        <w:tc>
          <w:tcPr>
            <w:tcW w:w="24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1"/>
                <w:szCs w:val="11"/>
                <w:i w:val="1"/>
                <w:iCs w:val="1"/>
                <w:color w:val="auto"/>
              </w:rPr>
              <w:t>(restated)</w:t>
            </w:r>
            <w:r>
              <w:rPr>
                <w:rFonts w:ascii="Arial" w:cs="Arial" w:eastAsia="Arial" w:hAnsi="Arial"/>
                <w:sz w:val="16"/>
                <w:szCs w:val="16"/>
                <w:i w:val="1"/>
                <w:iCs w:val="1"/>
                <w:color w:val="auto"/>
                <w:vertAlign w:val="superscript"/>
              </w:rPr>
              <w:t>(1)</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1"/>
                <w:szCs w:val="11"/>
                <w:i w:val="1"/>
                <w:iCs w:val="1"/>
                <w:color w:val="auto"/>
              </w:rPr>
              <w:t>(restated)</w:t>
            </w:r>
            <w:r>
              <w:rPr>
                <w:rFonts w:ascii="Arial" w:cs="Arial" w:eastAsia="Arial" w:hAnsi="Arial"/>
                <w:sz w:val="16"/>
                <w:szCs w:val="16"/>
                <w:i w:val="1"/>
                <w:iCs w:val="1"/>
                <w:color w:val="auto"/>
                <w:vertAlign w:val="superscript"/>
              </w:rPr>
              <w:t>(1)</w:t>
            </w: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flows from operating activities: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(Loss)/profit for the year</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(34,769)</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56,859</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5,726</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Adjustments for:</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Depreciation</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8"/>
              </w:rPr>
              <w:t>3,4</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89,309</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83,058</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85,493</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Impairment loss on vessels</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138,848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23,923</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103,977</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Loss on disposal of vessel</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rPr>
              <w:t>3</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630</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Financial costs</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13</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71,998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50,987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37,297</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Financial income</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2"/>
              </w:rPr>
              <w:t>13</w:t>
            </w: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(1,887)</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(295)</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(43)</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Loss/(gain) on derivatives (excluding realized loss on forward foreign exchange contracts held for trading)</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18</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11,500</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14,868</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(2,496)</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Share-based compensation</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2"/>
              </w:rPr>
              <w:t>11</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1,158</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1,908</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378</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Realized foreign exchange losses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542</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8"/>
        </w:trPr>
        <w:tc>
          <w:tcPr>
            <w:tcW w:w="24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276,699</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231,308</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230,962</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Movements in operating assets and liabilities: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Decrease/(increase) in trade and other receivables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6,601</w:t>
            </w:r>
          </w:p>
        </w:tc>
        <w:tc>
          <w:tcPr>
            <w:tcW w:w="20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(9,150)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5,109</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Decrease in inventories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Change in related parties, net</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17,559</w:t>
            </w:r>
          </w:p>
        </w:tc>
        <w:tc>
          <w:tcPr>
            <w:tcW w:w="20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(1,971)</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(3,330)</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(Increase)/decrease in prepayments and other current assets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(352)</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(814)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978</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Decrease/(increase) in other non-current assets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672</w:t>
            </w:r>
          </w:p>
        </w:tc>
        <w:tc>
          <w:tcPr>
            <w:tcW w:w="20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(58)</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142</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Decrease in other non-current liabilities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(1,245)</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(281)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(482)</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Increase/(decrease) in trade accounts payable</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3,651</w:t>
            </w:r>
          </w:p>
        </w:tc>
        <w:tc>
          <w:tcPr>
            <w:tcW w:w="20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(1,807)</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(2,403)</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Increase in other payables and accruals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263</w:t>
            </w:r>
          </w:p>
        </w:tc>
        <w:tc>
          <w:tcPr>
            <w:tcW w:w="20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808</w:t>
            </w:r>
          </w:p>
        </w:tc>
        <w:tc>
          <w:tcPr>
            <w:tcW w:w="2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2,365</w:t>
            </w:r>
          </w:p>
        </w:tc>
      </w:tr>
      <w:tr>
        <w:trPr>
          <w:trHeight w:val="128"/>
        </w:trPr>
        <w:tc>
          <w:tcPr>
            <w:tcW w:w="63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Net cash provided by operating activities</w:t>
            </w:r>
          </w:p>
        </w:tc>
        <w:tc>
          <w:tcPr>
            <w:tcW w:w="7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303,874</w:t>
            </w:r>
          </w:p>
        </w:tc>
        <w:tc>
          <w:tcPr>
            <w:tcW w:w="2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218,352</w:t>
            </w:r>
          </w:p>
        </w:tc>
        <w:tc>
          <w:tcPr>
            <w:tcW w:w="2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233,386</w:t>
            </w:r>
          </w:p>
        </w:tc>
      </w:tr>
      <w:tr>
        <w:trPr>
          <w:trHeight w:val="129"/>
        </w:trPr>
        <w:tc>
          <w:tcPr>
            <w:tcW w:w="63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investing activities: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Proceeds from sale and leaseback, net of commissions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rPr>
              <w:t>4</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117,569</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Payments for tangible fixed asset additions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(13,940)</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(23,618)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(19,443)</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Return of capital expenditures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7,465</w:t>
            </w:r>
          </w:p>
        </w:tc>
        <w:tc>
          <w:tcPr>
            <w:tcW w:w="2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Financial income received</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1,950</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326</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Purchase of short-term investments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(33,000)</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(2,500)</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Maturity of short-term investments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43,000</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2,500</w:t>
            </w:r>
          </w:p>
        </w:tc>
      </w:tr>
      <w:tr>
        <w:trPr>
          <w:trHeight w:val="128"/>
        </w:trPr>
        <w:tc>
          <w:tcPr>
            <w:tcW w:w="63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Net cash provided by/(used in) investing activities</w:t>
            </w:r>
          </w:p>
        </w:tc>
        <w:tc>
          <w:tcPr>
            <w:tcW w:w="7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5,475</w:t>
            </w:r>
          </w:p>
        </w:tc>
        <w:tc>
          <w:tcPr>
            <w:tcW w:w="20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(23,292)</w:t>
            </w:r>
          </w:p>
        </w:tc>
        <w:tc>
          <w:tcPr>
            <w:tcW w:w="20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98,169</w:t>
            </w:r>
          </w:p>
        </w:tc>
      </w:tr>
      <w:tr>
        <w:trPr>
          <w:trHeight w:val="129"/>
        </w:trPr>
        <w:tc>
          <w:tcPr>
            <w:tcW w:w="63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financing activities: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Borrowings drawdowns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2"/>
              </w:rPr>
              <w:t>19</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445,000</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479,984</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Borrowings repayments</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19</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(465,195)</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(540,701)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(205,179)</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Interest paid</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(64,813)</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(51,457)</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(42,239)</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Payments of cash collateral for interest rate swaps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(16,730)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Release of cash collateral for interest rate swaps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16,450</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280</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Payment of loan issuance costs</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19</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(6,173)</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(7,362)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Proceeds from entering into interest rate swaps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2"/>
              </w:rPr>
              <w:t>18</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16,056</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Payments for termination of interest rate swaps</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18</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(13,210)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6300" w:type="dxa"/>
            <w:vAlign w:val="bottom"/>
            <w:gridSpan w:val="2"/>
          </w:tcPr>
          <w:p>
            <w:pPr>
              <w:spacing w:after="0" w:line="121" w:lineRule="exact"/>
              <w:rPr>
                <w:sz w:val="20"/>
                <w:szCs w:val="20"/>
                <w:color w:val="auto"/>
              </w:rPr>
            </w:pPr>
            <w:r>
              <w:rPr>
                <w:rFonts w:ascii="Arial" w:cs="Arial" w:eastAsia="Arial" w:hAnsi="Arial"/>
                <w:sz w:val="13"/>
                <w:szCs w:val="13"/>
                <w:color w:val="auto"/>
                <w:w w:val="93"/>
              </w:rPr>
              <w:t>Proceeds from public offerings of common units and issuances of general partner units (net of underwriting discounts</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6300" w:type="dxa"/>
            <w:vAlign w:val="bottom"/>
            <w:gridSpan w:val="2"/>
          </w:tcPr>
          <w:p>
            <w:pPr>
              <w:ind w:left="140"/>
              <w:spacing w:after="0"/>
              <w:rPr>
                <w:sz w:val="20"/>
                <w:szCs w:val="20"/>
                <w:color w:val="auto"/>
              </w:rPr>
            </w:pPr>
            <w:r>
              <w:rPr>
                <w:rFonts w:ascii="Arial" w:cs="Arial" w:eastAsia="Arial" w:hAnsi="Arial"/>
                <w:sz w:val="13"/>
                <w:szCs w:val="13"/>
                <w:color w:val="auto"/>
              </w:rPr>
              <w:t>and commissions)</w:t>
            </w:r>
          </w:p>
        </w:tc>
        <w:tc>
          <w:tcPr>
            <w:tcW w:w="760" w:type="dxa"/>
            <w:vAlign w:val="bottom"/>
          </w:tcPr>
          <w:p>
            <w:pPr>
              <w:jc w:val="center"/>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1,996</w:t>
            </w:r>
          </w:p>
        </w:tc>
        <w:tc>
          <w:tcPr>
            <w:tcW w:w="2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10,205</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Repurchases of common and preference units</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(22,890)</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(996)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(18,388)</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Payment of offering costs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(1,670)</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(146)</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(346)</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Cash distributions to GasLog in exchange for contribution of net assets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(93,646)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Distributions paid</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rPr>
              <w:t>6</w:t>
            </w: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(137,953)</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(69,556)</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(31,877)</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Payments for lease liabilities</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4, 19</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(491)</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(540)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(2,217)</w:t>
            </w:r>
          </w:p>
        </w:tc>
      </w:tr>
      <w:tr>
        <w:trPr>
          <w:trHeight w:val="129"/>
        </w:trPr>
        <w:tc>
          <w:tcPr>
            <w:tcW w:w="63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Net cash used in financing activities</w:t>
            </w:r>
          </w:p>
        </w:tc>
        <w:tc>
          <w:tcPr>
            <w:tcW w:w="7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(345,835)</w:t>
            </w:r>
          </w:p>
        </w:tc>
        <w:tc>
          <w:tcPr>
            <w:tcW w:w="20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(188,208)</w:t>
            </w:r>
          </w:p>
        </w:tc>
        <w:tc>
          <w:tcPr>
            <w:tcW w:w="20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b w:val="1"/>
                <w:bCs w:val="1"/>
                <w:color w:val="auto"/>
              </w:rPr>
              <w:t>(289,761)</w:t>
            </w:r>
          </w:p>
        </w:tc>
      </w:tr>
      <w:tr>
        <w:trPr>
          <w:trHeight w:val="128"/>
        </w:trPr>
        <w:tc>
          <w:tcPr>
            <w:tcW w:w="63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(Decrease)/increase in cash and cash equivalents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(36,486)</w:t>
            </w:r>
          </w:p>
        </w:tc>
        <w:tc>
          <w:tcPr>
            <w:tcW w:w="20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6,852</w:t>
            </w:r>
          </w:p>
        </w:tc>
        <w:tc>
          <w:tcPr>
            <w:tcW w:w="2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41,794</w:t>
            </w:r>
          </w:p>
        </w:tc>
      </w:tr>
      <w:tr>
        <w:trPr>
          <w:trHeight w:val="128"/>
        </w:trPr>
        <w:tc>
          <w:tcPr>
            <w:tcW w:w="63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Cash and cash equivalents, beginning of the year</w:t>
            </w:r>
          </w:p>
        </w:tc>
        <w:tc>
          <w:tcPr>
            <w:tcW w:w="7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133,370</w:t>
            </w:r>
          </w:p>
        </w:tc>
        <w:tc>
          <w:tcPr>
            <w:tcW w:w="2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96,884</w:t>
            </w:r>
          </w:p>
        </w:tc>
        <w:tc>
          <w:tcPr>
            <w:tcW w:w="2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103,736</w:t>
            </w:r>
          </w:p>
        </w:tc>
      </w:tr>
      <w:tr>
        <w:trPr>
          <w:trHeight w:val="129"/>
        </w:trPr>
        <w:tc>
          <w:tcPr>
            <w:tcW w:w="63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and cash equivalents, end of the year</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96,884</w:t>
            </w:r>
          </w:p>
        </w:tc>
        <w:tc>
          <w:tcPr>
            <w:tcW w:w="20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103,736</w:t>
            </w:r>
          </w:p>
        </w:tc>
        <w:tc>
          <w:tcPr>
            <w:tcW w:w="2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145,530</w:t>
            </w:r>
          </w:p>
        </w:tc>
      </w:tr>
      <w:tr>
        <w:trPr>
          <w:trHeight w:val="128"/>
        </w:trPr>
        <w:tc>
          <w:tcPr>
            <w:tcW w:w="63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Non-Cash Investing and Financing Activities: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Capital expenditures included in liabilities at the end of the year</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10,261</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13,261</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7,261</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Financing costs included in liabilities at the end of the year</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2"/>
              </w:rPr>
              <w:t>19</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164</w:t>
            </w:r>
          </w:p>
        </w:tc>
        <w:tc>
          <w:tcPr>
            <w:tcW w:w="2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Offering costs included in liabilities at the end of the year</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r>
      <w:tr>
        <w:trPr>
          <w:trHeight w:val="135"/>
        </w:trPr>
        <w:tc>
          <w:tcPr>
            <w:tcW w:w="6300" w:type="dxa"/>
            <w:vAlign w:val="bottom"/>
            <w:gridSpan w:val="2"/>
          </w:tcPr>
          <w:p>
            <w:pPr>
              <w:spacing w:after="0" w:line="135" w:lineRule="exact"/>
              <w:rPr>
                <w:sz w:val="20"/>
                <w:szCs w:val="20"/>
                <w:color w:val="auto"/>
              </w:rPr>
            </w:pPr>
            <w:r>
              <w:rPr>
                <w:rFonts w:ascii="Arial" w:cs="Arial" w:eastAsia="Arial" w:hAnsi="Arial"/>
                <w:sz w:val="13"/>
                <w:szCs w:val="13"/>
                <w:color w:val="auto"/>
              </w:rPr>
              <w:t>Liabilities related to leases at the end of the year</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2"/>
              </w:rPr>
              <w:t>19</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2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Non-cash prepayment of lease payments</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4</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27,365</w:t>
            </w:r>
          </w:p>
        </w:tc>
      </w:tr>
      <w:tr>
        <w:trPr>
          <w:trHeight w:val="108"/>
        </w:trPr>
        <w:tc>
          <w:tcPr>
            <w:tcW w:w="248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80" w:lineRule="exact"/>
        <w:rPr>
          <w:sz w:val="20"/>
          <w:szCs w:val="20"/>
          <w:color w:val="auto"/>
        </w:rPr>
      </w:pPr>
    </w:p>
    <w:p>
      <w:pPr>
        <w:ind w:left="680" w:right="360" w:hanging="321"/>
        <w:spacing w:after="0" w:line="207" w:lineRule="auto"/>
        <w:tabs>
          <w:tab w:leader="none" w:pos="680" w:val="left"/>
        </w:tabs>
        <w:numPr>
          <w:ilvl w:val="0"/>
          <w:numId w:val="103"/>
        </w:numPr>
        <w:rPr>
          <w:rFonts w:ascii="Arial" w:cs="Arial" w:eastAsia="Arial" w:hAnsi="Arial"/>
          <w:sz w:val="27"/>
          <w:szCs w:val="27"/>
          <w:color w:val="auto"/>
          <w:vertAlign w:val="superscript"/>
        </w:rPr>
      </w:pPr>
      <w:r>
        <w:rPr>
          <w:rFonts w:ascii="Arial" w:cs="Arial" w:eastAsia="Arial" w:hAnsi="Arial"/>
          <w:sz w:val="18"/>
          <w:szCs w:val="18"/>
          <w:color w:val="auto"/>
        </w:rPr>
        <w:t>Restated so as to reflect a change in accounting policy introduced on January 1, 2021, with respect to the reclassification of interest paid and movements of cash collaterals for interest rate swaps (Note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07"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Operations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GasLog Partners LP (“GasLog Partners” or the “Partnership”) was formed as a limited partnership under the laws of the Marshall Islands on January 23, 2014, being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 on May 12, 2014.</w:t>
      </w:r>
    </w:p>
    <w:p>
      <w:pPr>
        <w:spacing w:after="0" w:line="187"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The Partnership’s principal business is the acquisition and operation of LNG vessels, providing LNG transportation services on a worldwide basis. GasLog LNG Services Ltd. (“GasLog LNG Services” or the “Manager”), a related party and a wholly owned subsidiary of GasLog, incorporated under the laws of Bermuda, provides technical and commercial services to the Partnership.</w:t>
      </w:r>
    </w:p>
    <w:p>
      <w:pPr>
        <w:spacing w:after="0" w:line="14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 xml:space="preserve">On April 1, 2019, GasLog Partners acquired 100% of the ownership interests in GAS-twelve Ltd., the entity that owns a 174,000 cbm LNG carrier, the </w:t>
      </w:r>
      <w:r>
        <w:rPr>
          <w:rFonts w:ascii="Arial" w:cs="Arial" w:eastAsia="Arial" w:hAnsi="Arial"/>
          <w:sz w:val="18"/>
          <w:szCs w:val="18"/>
          <w:i w:val="1"/>
          <w:iCs w:val="1"/>
          <w:color w:val="auto"/>
        </w:rPr>
        <w:t>GasLog Glasgow</w:t>
      </w:r>
      <w:r>
        <w:rPr>
          <w:rFonts w:ascii="Arial" w:cs="Arial" w:eastAsia="Arial" w:hAnsi="Arial"/>
          <w:sz w:val="18"/>
          <w:szCs w:val="18"/>
          <w:color w:val="auto"/>
        </w:rPr>
        <w:t>, for an aggregate purchase price of $214,000.</w:t>
      </w:r>
    </w:p>
    <w:p>
      <w:pPr>
        <w:spacing w:after="0" w:line="17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Since its IPO, the Partnership has acquired from GasLog 100% of the ownership interests in 15 vessel-owning entities in aggregate, including the one mentioned above. The acquisitions were accounted for as reorganizations of companies under common control.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spacing w:after="0" w:line="17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On May 18, 2018, the Partnership through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entered the Cool Pool, an LNG carrier pooling arrangement operated by GasLog and Golar LNG Ltd. (the “Cool Pool”) to market their vessels operating in the LNG shipping spot market. The Cool Pool allowed the participating owners to optimize the operation of the pool vessels through improved scheduling ability, cost efficiencies and common marketing. The objective of the Cool Pool was to serve the growing LNG market by providing customers with reliable, flexible and innovative solutions to meet their increasingly complex shipping requirements. The Cool Pool chartered vessels (tri-fuel diesel electric (“TFDE”) LNG carriers in the 155,000-170,000 cbm range) for periods up to one year in duration as agents for the owners, who each remained responsible for the technical and commercial operation of their vessels and performance of the contracts. The Partnership through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exited the Cool Pool on June 23, 2019.</w:t>
      </w:r>
    </w:p>
    <w:p>
      <w:pPr>
        <w:spacing w:after="0" w:line="178"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 xml:space="preserve">On October 26, 2021, GasLog Partners completed the sale and leaseback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with a wholly-owned subsidiary of China Development Bank Financial Leasing Co., Ltd. (“CDBL”). The vessel was sold and leased back under a bareboat charter with CDBL for a period of five years with no repurchase option or obligation.</w:t>
      </w:r>
    </w:p>
    <w:p>
      <w:pPr>
        <w:spacing w:after="0" w:line="18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of December 31, 2021, GasLog held a 33.3%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of December 31, 2021, the companies listed below were 100% held by the Partnership. The Partnership wholly owned 14 LNG vessels and operated one LNG vessel leased back under a bareboat charter, as described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Place of</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Cargo</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Principal activities</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Vessel</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Capacity</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171"/>
        </w:trPr>
        <w:tc>
          <w:tcPr>
            <w:tcW w:w="2500" w:type="dxa"/>
            <w:vAlign w:val="bottom"/>
            <w:gridSpan w:val="2"/>
            <w:vMerge w:val="continue"/>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incorporation</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incorporation</w:t>
            </w:r>
          </w:p>
        </w:tc>
        <w:tc>
          <w:tcPr>
            <w:tcW w:w="178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(cbm)</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GAS-three Ltd.</w:t>
            </w: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Bermuda</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April 2010</w:t>
            </w:r>
          </w:p>
        </w:tc>
        <w:tc>
          <w:tcPr>
            <w:tcW w:w="14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Right-of-use asset company</w:t>
            </w:r>
          </w:p>
        </w:tc>
        <w:tc>
          <w:tcPr>
            <w:tcW w:w="14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i w:val="1"/>
                <w:iCs w:val="1"/>
                <w:color w:val="auto"/>
                <w:w w:val="92"/>
              </w:rPr>
              <w:t>GasLog Shanghai</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155,000</w:t>
            </w: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January 2013</w:t>
            </w:r>
          </w:p>
        </w:tc>
        <w:tc>
          <w:tcPr>
            <w:tcW w:w="0" w:type="dxa"/>
            <w:vAlign w:val="bottom"/>
          </w:tcPr>
          <w:p>
            <w:pPr>
              <w:spacing w:after="0"/>
              <w:rPr>
                <w:sz w:val="1"/>
                <w:szCs w:val="1"/>
                <w:color w:val="auto"/>
              </w:rPr>
            </w:pPr>
          </w:p>
        </w:tc>
      </w:tr>
      <w:tr>
        <w:trPr>
          <w:trHeight w:val="148"/>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8"/>
              </w:rPr>
              <w:t>April 2010</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Santiago</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2013</w:t>
            </w:r>
          </w:p>
        </w:tc>
        <w:tc>
          <w:tcPr>
            <w:tcW w:w="0" w:type="dxa"/>
            <w:vAlign w:val="bottom"/>
          </w:tcPr>
          <w:p>
            <w:pPr>
              <w:spacing w:after="0"/>
              <w:rPr>
                <w:sz w:val="1"/>
                <w:szCs w:val="1"/>
                <w:color w:val="auto"/>
              </w:rPr>
            </w:pPr>
          </w:p>
        </w:tc>
      </w:tr>
      <w:tr>
        <w:trPr>
          <w:trHeight w:val="148"/>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GAS-five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February 2011</w:t>
            </w:r>
          </w:p>
        </w:tc>
        <w:tc>
          <w:tcPr>
            <w:tcW w:w="17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i w:val="1"/>
                <w:iCs w:val="1"/>
                <w:color w:val="auto"/>
                <w:w w:val="90"/>
              </w:rPr>
              <w:t>GasLog Sydney</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May 2013</w:t>
            </w:r>
          </w:p>
        </w:tc>
        <w:tc>
          <w:tcPr>
            <w:tcW w:w="0" w:type="dxa"/>
            <w:vAlign w:val="bottom"/>
          </w:tcPr>
          <w:p>
            <w:pPr>
              <w:spacing w:after="0"/>
              <w:rPr>
                <w:sz w:val="1"/>
                <w:szCs w:val="1"/>
                <w:color w:val="auto"/>
              </w:rPr>
            </w:pPr>
          </w:p>
        </w:tc>
      </w:tr>
      <w:tr>
        <w:trPr>
          <w:trHeight w:val="148"/>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GAS-seven Ltd.</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March 2011</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Seattle</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2013</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GAS-eight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4"/>
              </w:rPr>
              <w:t>March 2011</w:t>
            </w:r>
          </w:p>
        </w:tc>
        <w:tc>
          <w:tcPr>
            <w:tcW w:w="17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i w:val="1"/>
                <w:iCs w:val="1"/>
                <w:color w:val="auto"/>
                <w:w w:val="98"/>
              </w:rPr>
              <w:t>Solaris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0" w:type="dxa"/>
            <w:vAlign w:val="bottom"/>
          </w:tcPr>
          <w:p>
            <w:pPr>
              <w:spacing w:after="0"/>
              <w:rPr>
                <w:sz w:val="1"/>
                <w:szCs w:val="1"/>
                <w:color w:val="auto"/>
              </w:rPr>
            </w:pPr>
          </w:p>
        </w:tc>
      </w:tr>
      <w:tr>
        <w:trPr>
          <w:trHeight w:val="148"/>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GAS-eleven Ltd.</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December 2012</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1"/>
              </w:rPr>
              <w:t>GasLog Greece</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2016</w:t>
            </w:r>
          </w:p>
        </w:tc>
        <w:tc>
          <w:tcPr>
            <w:tcW w:w="0" w:type="dxa"/>
            <w:vAlign w:val="bottom"/>
          </w:tcPr>
          <w:p>
            <w:pPr>
              <w:spacing w:after="0"/>
              <w:rPr>
                <w:sz w:val="1"/>
                <w:szCs w:val="1"/>
                <w:color w:val="auto"/>
              </w:rPr>
            </w:pPr>
          </w:p>
        </w:tc>
      </w:tr>
      <w:tr>
        <w:trPr>
          <w:trHeight w:val="148"/>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GAS-twelve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December 2012</w:t>
            </w:r>
          </w:p>
        </w:tc>
        <w:tc>
          <w:tcPr>
            <w:tcW w:w="17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GasLog Glasgow</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June 2016</w:t>
            </w:r>
          </w:p>
        </w:tc>
        <w:tc>
          <w:tcPr>
            <w:tcW w:w="0" w:type="dxa"/>
            <w:vAlign w:val="bottom"/>
          </w:tcPr>
          <w:p>
            <w:pPr>
              <w:spacing w:after="0"/>
              <w:rPr>
                <w:sz w:val="1"/>
                <w:szCs w:val="1"/>
                <w:color w:val="auto"/>
              </w:rPr>
            </w:pPr>
          </w:p>
        </w:tc>
      </w:tr>
      <w:tr>
        <w:trPr>
          <w:trHeight w:val="148"/>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GAS-thirteen Ltd.</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July 2013</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2"/>
              </w:rPr>
              <w:t>GasLog Geneva</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2016</w:t>
            </w:r>
          </w:p>
        </w:tc>
        <w:tc>
          <w:tcPr>
            <w:tcW w:w="0" w:type="dxa"/>
            <w:vAlign w:val="bottom"/>
          </w:tcPr>
          <w:p>
            <w:pPr>
              <w:spacing w:after="0"/>
              <w:rPr>
                <w:sz w:val="1"/>
                <w:szCs w:val="1"/>
                <w:color w:val="auto"/>
              </w:rPr>
            </w:pPr>
          </w:p>
        </w:tc>
      </w:tr>
      <w:tr>
        <w:trPr>
          <w:trHeight w:val="148"/>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GAS-fourteen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July 2013</w:t>
            </w:r>
          </w:p>
        </w:tc>
        <w:tc>
          <w:tcPr>
            <w:tcW w:w="17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i w:val="1"/>
                <w:iCs w:val="1"/>
                <w:color w:val="auto"/>
                <w:w w:val="97"/>
              </w:rPr>
              <w:t>GasLog Gibraltar</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October 2016</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GAS-sixteen Ltd.</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January 2014</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2"/>
              </w:rPr>
              <w:t>Methane Rita Andrea</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2014</w:t>
            </w:r>
          </w:p>
        </w:tc>
        <w:tc>
          <w:tcPr>
            <w:tcW w:w="0" w:type="dxa"/>
            <w:vAlign w:val="bottom"/>
          </w:tcPr>
          <w:p>
            <w:pPr>
              <w:spacing w:after="0"/>
              <w:rPr>
                <w:sz w:val="1"/>
                <w:szCs w:val="1"/>
                <w:color w:val="auto"/>
              </w:rPr>
            </w:pPr>
          </w:p>
        </w:tc>
      </w:tr>
      <w:tr>
        <w:trPr>
          <w:trHeight w:val="148"/>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GAS-seventeen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January 2014</w:t>
            </w:r>
          </w:p>
        </w:tc>
        <w:tc>
          <w:tcPr>
            <w:tcW w:w="17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i w:val="1"/>
                <w:iCs w:val="1"/>
                <w:color w:val="auto"/>
                <w:w w:val="91"/>
              </w:rPr>
              <w:t>Methane Jane Elizabeth</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April 2014</w:t>
            </w:r>
          </w:p>
        </w:tc>
        <w:tc>
          <w:tcPr>
            <w:tcW w:w="0" w:type="dxa"/>
            <w:vAlign w:val="bottom"/>
          </w:tcPr>
          <w:p>
            <w:pPr>
              <w:spacing w:after="0"/>
              <w:rPr>
                <w:sz w:val="1"/>
                <w:szCs w:val="1"/>
                <w:color w:val="auto"/>
              </w:rPr>
            </w:pPr>
          </w:p>
        </w:tc>
      </w:tr>
      <w:tr>
        <w:trPr>
          <w:trHeight w:val="148"/>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GAS-nineteen Ltd.</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8"/>
              </w:rPr>
              <w:t>April 2014</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Methane Alison Victoria</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0" w:type="dxa"/>
            <w:vAlign w:val="bottom"/>
          </w:tcPr>
          <w:p>
            <w:pPr>
              <w:spacing w:after="0"/>
              <w:rPr>
                <w:sz w:val="1"/>
                <w:szCs w:val="1"/>
                <w:color w:val="auto"/>
              </w:rPr>
            </w:pPr>
          </w:p>
        </w:tc>
      </w:tr>
      <w:tr>
        <w:trPr>
          <w:trHeight w:val="148"/>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GAS-twenty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8"/>
              </w:rPr>
              <w:t>April 2014</w:t>
            </w:r>
          </w:p>
        </w:tc>
        <w:tc>
          <w:tcPr>
            <w:tcW w:w="17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i w:val="1"/>
                <w:iCs w:val="1"/>
                <w:color w:val="auto"/>
                <w:w w:val="94"/>
              </w:rPr>
              <w:t>Methane Shirley Elisabeth</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0" w:type="dxa"/>
            <w:vAlign w:val="bottom"/>
          </w:tcPr>
          <w:p>
            <w:pPr>
              <w:spacing w:after="0"/>
              <w:rPr>
                <w:sz w:val="1"/>
                <w:szCs w:val="1"/>
                <w:color w:val="auto"/>
              </w:rPr>
            </w:pPr>
          </w:p>
        </w:tc>
      </w:tr>
      <w:tr>
        <w:trPr>
          <w:trHeight w:val="148"/>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GAS-twenty one Ltd.</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8"/>
              </w:rPr>
              <w:t>April 2014</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4"/>
              </w:rPr>
              <w:t>Methane Heather Sally</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GAS-twenty seven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4"/>
              </w:rPr>
              <w:t>Bermuda</w:t>
            </w:r>
          </w:p>
        </w:tc>
        <w:tc>
          <w:tcPr>
            <w:tcW w:w="10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January 2015</w:t>
            </w:r>
          </w:p>
        </w:tc>
        <w:tc>
          <w:tcPr>
            <w:tcW w:w="17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Vessel-owning company</w:t>
            </w:r>
          </w:p>
        </w:tc>
        <w:tc>
          <w:tcPr>
            <w:tcW w:w="17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i w:val="1"/>
                <w:iCs w:val="1"/>
                <w:color w:val="auto"/>
                <w:w w:val="91"/>
              </w:rPr>
              <w:t>Methane Becki Anne</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170,000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March 2015</w:t>
            </w:r>
          </w:p>
        </w:tc>
        <w:tc>
          <w:tcPr>
            <w:tcW w:w="0" w:type="dxa"/>
            <w:vAlign w:val="bottom"/>
          </w:tcPr>
          <w:p>
            <w:pPr>
              <w:spacing w:after="0"/>
              <w:rPr>
                <w:sz w:val="1"/>
                <w:szCs w:val="1"/>
                <w:color w:val="auto"/>
              </w:rPr>
            </w:pPr>
          </w:p>
        </w:tc>
      </w:tr>
      <w:tr>
        <w:trPr>
          <w:trHeight w:val="182"/>
        </w:trPr>
        <w:tc>
          <w:tcPr>
            <w:tcW w:w="2500" w:type="dxa"/>
            <w:vAlign w:val="bottom"/>
            <w:gridSpan w:val="2"/>
          </w:tcPr>
          <w:p>
            <w:pPr>
              <w:spacing w:after="0"/>
              <w:rPr>
                <w:sz w:val="20"/>
                <w:szCs w:val="20"/>
                <w:color w:val="auto"/>
              </w:rPr>
            </w:pPr>
            <w:r>
              <w:rPr>
                <w:rFonts w:ascii="Arial" w:cs="Arial" w:eastAsia="Arial" w:hAnsi="Arial"/>
                <w:sz w:val="14"/>
                <w:szCs w:val="14"/>
                <w:color w:val="auto"/>
              </w:rPr>
              <w:t>GasLog Partners Holdings LLC</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Marshall Islands</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April 2014</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Holding company</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consolidated financial statements of the Partnership have been prepared in accordance with IFRS as issued by the International Accounting Standards Board (the “IASB”).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225"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The consolidated financial statements have been prepared on the historical cost basis, except for the revaluation of derivative financial instruments. Historical cost is generally based on the fair value of the consideration given in exchange for assets.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accounting policies are set out below.</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Until December 31, 2020, interest paid and movements of cash collateral were presented in the consolidated statement of cash flows under cash provided by operating activities. IAS 7 </w:t>
      </w:r>
      <w:r>
        <w:rPr>
          <w:rFonts w:ascii="Arial" w:cs="Arial" w:eastAsia="Arial" w:hAnsi="Arial"/>
          <w:sz w:val="17"/>
          <w:szCs w:val="17"/>
          <w:i w:val="1"/>
          <w:iCs w:val="1"/>
          <w:color w:val="auto"/>
        </w:rPr>
        <w:t>Cash Flow Statement</w:t>
      </w:r>
      <w:r>
        <w:rPr>
          <w:rFonts w:ascii="Arial" w:cs="Arial" w:eastAsia="Arial" w:hAnsi="Arial"/>
          <w:sz w:val="17"/>
          <w:szCs w:val="17"/>
          <w:color w:val="auto"/>
        </w:rPr>
        <w:t xml:space="preserve"> does not dictate how interest cash flows should be classified, but rather allows an entity to determine the classification appropriate to its business. The standard permits entities to present payments for interest under either operating or financing activities, provided that the elected presentation is applied consistently from period to period. In 2021, management elected to reclassify interest paid including cash paid for interest rate swaps held for trading and the movements of cash collateral related to the Partnership’s interest rate swaps under cash used in financing activities. Management believes that the revised classification provides a more comprehensive view on the cost of financing the Partnership’s operations and it better reflects management’s view of the financing nature of these transactions. Comparative figures have been retrospectively adjusted to reflect this change in policy in the statement of cash flows,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2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w w:val="93"/>
              </w:rPr>
              <w:t>Year ended December 31, 2019</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1"/>
              </w:rPr>
              <w:t>As previously reported</w:t>
            </w:r>
          </w:p>
        </w:tc>
        <w:tc>
          <w:tcPr>
            <w:tcW w:w="14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Adjustments</w:t>
            </w:r>
          </w:p>
        </w:tc>
        <w:tc>
          <w:tcPr>
            <w:tcW w:w="10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2"/>
                <w:szCs w:val="12"/>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239,061</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303,874</w:t>
            </w:r>
          </w:p>
        </w:tc>
        <w:tc>
          <w:tcPr>
            <w:tcW w:w="20" w:type="dxa"/>
            <w:vAlign w:val="bottom"/>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5,475</w:t>
            </w:r>
          </w:p>
        </w:tc>
        <w:tc>
          <w:tcPr>
            <w:tcW w:w="140" w:type="dxa"/>
            <w:vAlign w:val="bottom"/>
          </w:tcPr>
          <w:p>
            <w:pPr>
              <w:spacing w:after="0"/>
              <w:rPr>
                <w:sz w:val="18"/>
                <w:szCs w:val="18"/>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5,475</w:t>
            </w:r>
          </w:p>
        </w:tc>
        <w:tc>
          <w:tcPr>
            <w:tcW w:w="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(281,022)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(64,813)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(345,835)</w:t>
            </w:r>
          </w:p>
        </w:tc>
        <w:tc>
          <w:tcPr>
            <w:tcW w:w="20" w:type="dxa"/>
            <w:vAlign w:val="bottom"/>
          </w:tcPr>
          <w:p>
            <w:pPr>
              <w:spacing w:after="0"/>
              <w:rPr>
                <w:sz w:val="18"/>
                <w:szCs w:val="18"/>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20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(36,486)</w:t>
            </w:r>
          </w:p>
        </w:tc>
        <w:tc>
          <w:tcPr>
            <w:tcW w:w="1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(36,486)</w:t>
            </w:r>
          </w:p>
        </w:tc>
        <w:tc>
          <w:tcPr>
            <w:tcW w:w="20" w:type="dxa"/>
            <w:vAlign w:val="bottom"/>
          </w:tcPr>
          <w:p>
            <w:pPr>
              <w:spacing w:after="0"/>
              <w:rPr>
                <w:sz w:val="18"/>
                <w:szCs w:val="18"/>
                <w:color w:val="auto"/>
              </w:rPr>
            </w:pPr>
          </w:p>
        </w:tc>
      </w:tr>
      <w:tr>
        <w:trPr>
          <w:trHeight w:val="858"/>
        </w:trPr>
        <w:tc>
          <w:tcPr>
            <w:tcW w:w="3880" w:type="dxa"/>
            <w:vAlign w:val="bottom"/>
          </w:tcPr>
          <w:p>
            <w:pPr>
              <w:spacing w:after="0"/>
              <w:rPr>
                <w:sz w:val="24"/>
                <w:szCs w:val="24"/>
                <w:color w:val="auto"/>
              </w:rPr>
            </w:pPr>
          </w:p>
        </w:tc>
        <w:tc>
          <w:tcPr>
            <w:tcW w:w="3600" w:type="dxa"/>
            <w:vAlign w:val="bottom"/>
            <w:gridSpan w:val="3"/>
          </w:tcPr>
          <w:p>
            <w:pPr>
              <w:jc w:val="right"/>
              <w:ind w:right="2340"/>
              <w:spacing w:after="0"/>
              <w:rPr>
                <w:sz w:val="20"/>
                <w:szCs w:val="20"/>
                <w:color w:val="auto"/>
              </w:rPr>
            </w:pPr>
            <w:r>
              <w:rPr>
                <w:rFonts w:ascii="Arial" w:cs="Arial" w:eastAsia="Arial" w:hAnsi="Arial"/>
                <w:sz w:val="18"/>
                <w:szCs w:val="18"/>
                <w:color w:val="auto"/>
              </w:rPr>
              <w:t>F-11</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8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302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w w:val="93"/>
              </w:rPr>
              <w:t>Year ended December 31, 2020</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5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1"/>
              </w:rPr>
              <w:t>As previously reported</w:t>
            </w:r>
          </w:p>
        </w:tc>
        <w:tc>
          <w:tcPr>
            <w:tcW w:w="14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Adjustments</w:t>
            </w:r>
          </w:p>
        </w:tc>
        <w:tc>
          <w:tcPr>
            <w:tcW w:w="10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2"/>
                <w:szCs w:val="12"/>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166,615</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218,352</w:t>
            </w:r>
          </w:p>
        </w:tc>
        <w:tc>
          <w:tcPr>
            <w:tcW w:w="2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(23,292)</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(23,292)</w:t>
            </w:r>
          </w:p>
        </w:tc>
        <w:tc>
          <w:tcPr>
            <w:tcW w:w="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(136,471)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(51,737)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(188,208)</w:t>
            </w:r>
          </w:p>
        </w:tc>
        <w:tc>
          <w:tcPr>
            <w:tcW w:w="20" w:type="dxa"/>
            <w:vAlign w:val="bottom"/>
          </w:tcPr>
          <w:p>
            <w:pPr>
              <w:spacing w:after="0"/>
              <w:rPr>
                <w:sz w:val="18"/>
                <w:szCs w:val="18"/>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6,852</w:t>
            </w:r>
          </w:p>
        </w:tc>
        <w:tc>
          <w:tcPr>
            <w:tcW w:w="1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6,852</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consolidated financial statements are expressed in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6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As of December 31, 2021, the Partnership’s current assets totaled $161,110 while current liabilities totaled $175,503, resulting in a negative working capital position of $14,393. Current liabilities include an amount of $28,325 of unearned revenue in relation to vessel hires received in advance (which represents a non-cash liability that will be recognized as revenues after December 31, 2021 as the services are rendered). In considering going concern, management has reviewed the Partnership’s future cash requirements, covenant compliance and earnings projections.</w:t>
      </w:r>
    </w:p>
    <w:p>
      <w:pPr>
        <w:spacing w:after="0" w:line="18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Management anticipates that the Partnership’s primary sources of funds for at least twelve months from the date of this report will be available cash and cash from operations. Management believes that these anticipated sources of funds, as well as its ability to access the debt or equity capital markets if needed, will be sufficient for the Partnership to meet its liquidity needs and to comply with its banking covenants for at least twelve months from the date of this report and therefore it is appropriate to prepare the financial statements on a going concern basis. Additionally, the Partnership may enter into new debt facilities in the future, as well as public equity or debt instruments, although there can be no assurance that the Partnership will be able to obtain additional debt or equity financing on terms acceptable to the Partnership, which will also depend on financial, commercial and other factors, as well as a significant recovery in capital market conditions and a sustainable improvement in the LNG charter market, that are beyond the Partnership’s control.</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March 1, 2022, the Partnership’s board of directors authorized the consolidated financial statements for issuance and filing.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Partnership and its subsidiaries assuming that they are consolidated from the date of their incorporation by GasLog, as they were under the common control of GasLog. All intra-group transactions and balances are eliminated 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 revenues and related operating expenses and (ii) voyage expenses and commissions</w:t>
      </w:r>
    </w:p>
    <w:p>
      <w:pPr>
        <w:spacing w:after="0" w:line="22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Revenues comprise revenues from time charters for the charter hire of the Partnership’s vessels earned during the period in accordance with existing contracts and gross pool revenues.</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any off-hire period, when a charter agreement exists, the vessel is made available and services are provided to the charterer and collection of the related revenue is reasonably assured. Unearned revenue includes cash received prior to the reporting date relating to services to be rendered after the reporting date. Accrued revenue represents income recognized in advance as a result of the straight-line revenue recognition in respect of charter agreements that provide for varying charter rates.</w:t>
      </w:r>
    </w:p>
    <w:p>
      <w:pPr>
        <w:spacing w:after="0" w:line="19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 xml:space="preserve">Under a time charter arrangement, the hire rate per the charter agreement has two components: the lease component and the service component relating to the vessel operating costs. The revenue in relation to the lease component of the agreements is accounted for under IFRS 16 </w:t>
      </w:r>
      <w:r>
        <w:rPr>
          <w:rFonts w:ascii="Arial" w:cs="Arial" w:eastAsia="Arial" w:hAnsi="Arial"/>
          <w:sz w:val="17"/>
          <w:szCs w:val="17"/>
          <w:i w:val="1"/>
          <w:iCs w:val="1"/>
          <w:color w:val="auto"/>
        </w:rPr>
        <w:t>Leases</w:t>
      </w:r>
      <w:r>
        <w:rPr>
          <w:rFonts w:ascii="Arial" w:cs="Arial" w:eastAsia="Arial" w:hAnsi="Arial"/>
          <w:sz w:val="17"/>
          <w:szCs w:val="17"/>
          <w:color w:val="auto"/>
        </w:rPr>
        <w:t>. The revenue in relation to the service component relates to vessel operating expenses, which include expenses that are paid by the vessel owner such as management fees, crew wages, provisions and stores, technical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84"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Pool revenues were recognized on a gross basis representing time charter revenues earned by a GasLog Partners vessel participating in the pool under charter agreements where GasLog Partners contracted directly with charterers. Revenue was recognized on a monthly basis, when the vessel was made available and services were provided to the charterer during the period, the amount could be estimated reliably and collection of the related revenue was reasonably assured.</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Time charter hires are received monthly in advance and are classified as liabilities until such time as the criteria for recognizing the revenue as earned are met.</w:t>
      </w:r>
    </w:p>
    <w:p>
      <w:pPr>
        <w:spacing w:after="0" w:line="170"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Under a time charter arrangement the vessel operating expenses such as management fees, crew wages, provisions and stores, technical maintenance and insurance expenses, as well as broker’s commissions, are paid by the vessel owner, whereas the majority of voyage expenses such as bunkers, port expenses, agents’ fees and extra war risk insurance are paid by the charterer.</w:t>
      </w:r>
    </w:p>
    <w:p>
      <w:pPr>
        <w:spacing w:after="0" w:line="14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are recognized over the period of each contract, and not at a certain point in time, in accordance with the requirements of IFRS 15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to match the recognition of the respective hire revenues realized. All other voyage expenses and vessel operating costs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expensed as incurred, with the exception of commissions, which are also recognized on a pro-rata basis over the period of the time charter. Bunkers’ consumption included in voyage expenses represents mainly bunkers consumed during vessels’ unemployment and off-hire.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Partnership because of its participation in the Cool Pool (until June 23, 2019) also received a net allocation from the pool, which was recognized separately in the consolidated statement of profit or loss under “Net Pool Allocation” and represented GasLog Partners’ share of the net revenues earned from the other pool participants’ vessels less the other participants’ share of the net revenues earned by GasLog Partners’ vessels included in the pool. Each participant’s share of the net pool revenues was based on the number of pool points attributable to its vessels and the number of days such vessels participated in the pool.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costs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income, interest expense, other borrowing costs and realized loss/gain on derivatives are recognized on an accrual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Transactions in currencies other than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Commitment, arrangement, structuring, legal and agency fees incurred for obtaining new loans or refinancing existing facilities are recorded as deferred loan issuance costs and classified contra debt while the fees incurred for the undrawn facilities are classified under non-current assets in the statement of financial position and are classified contra debt on the drawdown dates.</w:t>
      </w:r>
    </w:p>
    <w:p>
      <w:pPr>
        <w:spacing w:after="0" w:line="149"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Non-current assets held for sale</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Non-current assets (such as vessels) are classified as held for sale if their carrying amount will be recovered principally through a sale transaction rather than through continuing use and a sale is considered highly probable. They are measured at the lower of their carrying amount and fair value less costs to sell. An impairment loss is recognized for any initial or subsequent write-down of the asset to fair value less costs to sell. A gain is recognized for any subsequent increases in fair value less costs to sell of an asset, but not in excess of any cumulative impairment loss previously recognized. A gain or loss not previously recognized by the date of the sale of the non-current asset is recognized at the date of derecognition. Non-current assets held for sale are presented separately from the other assets in the statement of financial position and are not depreciated or amortized while they are classified as held for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fixed assets: Vessels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Vessels are stated at cost less accumulated depreciation and any accumulated impairment loss. The initial cost of an asset comprises its purchase price and any directly attributable costs of bringing the asset to its working condition.</w:t>
      </w:r>
    </w:p>
    <w:p>
      <w:pPr>
        <w:spacing w:after="0" w:line="1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value of the vessels. Residual values are based on management’s estimation of the amount that the Partnership would currently obtain from disposal of its vessels, after deducting the estimated costs of disposal, if the vessels were already of the age and in the condition expected at the end of their useful life.</w:t>
      </w:r>
    </w:p>
    <w:p>
      <w:pPr>
        <w:spacing w:after="0" w:line="17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LNG vessels are required to undergo a dry-docking overhaul every five years that cannot be performed while the vessels are operating to restore their service potential and to meet their classification requirements. The dry-docking component is estimated at the time of a vessel’s delivery from the shipyard or acquisition from the previous owner and is measured based on the estimated cost of the first dry-docking, subsequent to its acquisition, based on the Partnership’s historical experience with similar types of vessels. For subsequent dry-dockings, actual costs are capitalized when incurred. The dry-docking component is depreciated over the period of five years in the case of new vessels, and until the next dry-docking for secondhand vessels (which is performed within five years from the vessel’s last dry-docking).</w:t>
      </w:r>
    </w:p>
    <w:p>
      <w:pPr>
        <w:spacing w:after="0" w:line="19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spacing w:after="0" w:line="19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LNG vessels are also required to undergo an underwater survey in lieu of dry-docking (“intermediate survey”) in order to meet certain classification requirements. The intermediate survey component is estimated after the first intermediate survey, which takes place between the first and the second dry-docking and is amortized over the period until the next dry-docking which is estimated to be two and a half years. The extent of the underwater inspection is to be sufficient to include all items which would normally be examined if the vessel was on dry-docking. If the intermediate survey reveals a damage or deterioration that requires further attention, the surveyor may require that the vessel be dry-docked earlier than scheduled in order to undertake a detailed survey and necessary repairs.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useful lives are as follows: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Vessel</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LNG vessel component</w:t>
            </w:r>
          </w:p>
        </w:tc>
        <w:tc>
          <w:tcPr>
            <w:tcW w:w="2400" w:type="dxa"/>
            <w:vAlign w:val="bottom"/>
            <w:tcBorders>
              <w:top w:val="single" w:sz="8" w:color="auto"/>
            </w:tcBorders>
            <w:shd w:val="clear" w:color="auto" w:fill="CCEEFF"/>
          </w:tcPr>
          <w:p>
            <w:pPr>
              <w:spacing w:after="0"/>
              <w:rPr>
                <w:sz w:val="18"/>
                <w:szCs w:val="18"/>
                <w:color w:val="auto"/>
              </w:rPr>
            </w:pPr>
          </w:p>
        </w:tc>
        <w:tc>
          <w:tcPr>
            <w:tcW w:w="3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35 years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Dry-docking component</w:t>
            </w:r>
          </w:p>
        </w:tc>
        <w:tc>
          <w:tcPr>
            <w:tcW w:w="240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5 years</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Intermediate survey component</w:t>
            </w:r>
          </w:p>
        </w:tc>
        <w:tc>
          <w:tcPr>
            <w:tcW w:w="2400" w:type="dxa"/>
            <w:vAlign w:val="bottom"/>
            <w:shd w:val="clear" w:color="auto" w:fill="CCEEFF"/>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the period until the next dry-docking (i.e. 1-3 years)</w:t>
            </w:r>
          </w:p>
        </w:tc>
      </w:tr>
      <w:tr>
        <w:trPr>
          <w:trHeight w:val="864"/>
        </w:trPr>
        <w:tc>
          <w:tcPr>
            <w:tcW w:w="3540" w:type="dxa"/>
            <w:vAlign w:val="bottom"/>
          </w:tcPr>
          <w:p>
            <w:pPr>
              <w:spacing w:after="0"/>
              <w:rPr>
                <w:sz w:val="24"/>
                <w:szCs w:val="24"/>
                <w:color w:val="auto"/>
              </w:rPr>
            </w:pP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F-14</w:t>
            </w:r>
          </w:p>
        </w:tc>
      </w:tr>
      <w:tr>
        <w:trPr>
          <w:trHeight w:val="547"/>
        </w:trPr>
        <w:tc>
          <w:tcPr>
            <w:tcW w:w="35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70"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useful lives and the depreciation method are reviewed annually to ensure that the method and period of depreciation are consistent with the expected pattern of economic benefits from the Partnership’s vessels. The residual value is also reviewed at each financial period end. If expectations differ from previous estimates, the changes are accounted for prospectively in profit or loss in the period of the change and future periods.</w:t>
      </w:r>
    </w:p>
    <w:p>
      <w:pPr>
        <w:spacing w:after="0" w:line="18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Management estimates the residual value of its vessels to be equal to the product of their lightweight tonnage (''LWT'') and an estimated scrap rate per LWT. Effective December 31, 2021, following management's annual reassessment, the estimated scrap rate per LWT was increased. This change in estimate is expected to decrease the future annual depreciation by $448. The estimated residual value of the vessels may not represent the fair market value at any time partly because market prices of scrap values tend to fluctuate. The Partnership might revise the estimate of the residual values of the vessels in the future in response to changing market conditions.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When vessels are sold, they are derecognized and any gain or loss resulting from their disposals is included in profit or loss. Gain or loss on disposal is determined by comparing proceeds from sale, net of costs attributable to such sale, with the carrying amount of the vessel sold.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tangible fixed assets and right-of-use assets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costs of disposal is the amount obtainable from the sale of an asset in an arm’s length transaction less the costs of disposal, while “value in use” is the expected value of all expectations about possible estimated future cash flows, discounted to their present value. Recoverable amounts are estimated for individual assets. Each vessel is considered to be a single cash-generating unit. The fair value less costs of disposal of the vessels is estimated from market-based evidence by appraisal that is normally undertaken by professionally qualified brokers.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capital expenditures</w:t>
      </w:r>
    </w:p>
    <w:p>
      <w:pPr>
        <w:spacing w:after="0" w:line="2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Costs eligible for capitalization that are contractually reimbursable by our charterers are recognized on a gross basis in the period incurred under “Vessels”. Concurrently, an equal amount is deferred as a liability and amortized to profit or loss as income over the remaining tenure of the charter party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Lease income from operating leases of vessels where the Partnership is a lessor is recognized in the statement of profit or loss on a straight-line basis over the lease term. The respective leased assets are included in the statement of financial position based on their nature under “Tangible fixed assets”.</w:t>
      </w:r>
    </w:p>
    <w:p>
      <w:pPr>
        <w:spacing w:after="0" w:line="18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Partnership is a lessee under a vessel sale and leaseback arrangement and also leases vessel communication equipment. Rental contracts are typically made for fixed periods but may have extension options. Lease terms are negotiated on an individual basis and contain a wide range of different terms and conditions. Following the implementation of IFRS 16, a lease is recognized as a right-of-use asset and a corresponding liability at the date at which the leased asset is available for use by the Partnership. The corresponding rental obligations, net of finance charges, are included in current and non-current liabilities as lease liabilities. The lease liability is subsequently measured by increasing the carrying amount to reflect interest on the lease liability (using the effective interest rate method) and by reducing the carrying amount to reflect lease payment made. Lease payments to be made under reasonably certain extension options are also included in the measurement of the liability. Each lease payment is allocated between the liability and finance cost. The finance cost is charged to profit or loss over the lease period so as to produce a constant periodic rate 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on the remaining balance of the liability for each period. The right-of-use asset is depreciated over the shorter of the asset’s useful life and the lease term on a straight-line basis.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Assets and liabilities arising from a lease are initially measured on a present value basis. Lease liabilities include the net present</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value of the following lease payments: (a) fixed payments (including in-substance fixed payments), less any lease incentives receivable,</w:t>
      </w:r>
    </w:p>
    <w:p>
      <w:pPr>
        <w:spacing w:after="0" w:line="32" w:lineRule="exact"/>
        <w:rPr>
          <w:sz w:val="20"/>
          <w:szCs w:val="20"/>
          <w:color w:val="auto"/>
        </w:rPr>
      </w:pPr>
    </w:p>
    <w:p>
      <w:pPr>
        <w:ind w:right="20" w:firstLine="8"/>
        <w:spacing w:after="0" w:line="285" w:lineRule="auto"/>
        <w:tabs>
          <w:tab w:leader="none" w:pos="25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variable lease payments that are based on an index or a rate (if any), initially measured using the index or rate as at the commencement date,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Partnership’s incremental borrowing rate, which is the Partnership’s current average borrowing rate. Right-of-use assets are measured at cost comprising the following: (a) the amount of the initial measurement of lease liability, (b) any lease payments made at or before the commencement date less any lease incentives received, (c) any initial direct costs, and (d) restoration costs. The right-of-use asset is depreciated over its useful life or over the shorter of its useful life and the lease term if there is no reasonable certainty that the Partnership will obtain ownership at the end of the lease term. Payments associated with short-term leases and leases of low-value assets are recognized on a straight-line basis as an expense in profit or loss. Short-term leases are leases with a lease term of 12 months or less. Low-value items comprise of low value vessel equipment.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Provisions are recognized when the Partnership has a present obligation (legal or constructive) as a result of a past event, it is probable that the Partnership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Inventories represent lubricants on board the vessel and, in the event of a vessel not being employed under a time charter, bunkers on board the vessel. Inventories are stated at the lower of cost calculated on a first-in, first-out basis, and net realizable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Financial assets and liabilities are recognized when the Partnership has become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184" w:lineRule="exact"/>
        <w:rPr>
          <w:sz w:val="20"/>
          <w:szCs w:val="20"/>
          <w:color w:val="auto"/>
        </w:rPr>
      </w:pPr>
    </w:p>
    <w:p>
      <w:pPr>
        <w:ind w:left="680" w:hanging="32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p>
      <w:pPr>
        <w:spacing w:after="0" w:line="180" w:lineRule="exact"/>
        <w:rPr>
          <w:sz w:val="20"/>
          <w:szCs w:val="20"/>
          <w:color w:val="auto"/>
        </w:rPr>
      </w:pPr>
    </w:p>
    <w:p>
      <w:pPr>
        <w:ind w:left="680" w:hanging="321"/>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ind w:left="340" w:right="280"/>
        <w:spacing w:after="0" w:line="263" w:lineRule="auto"/>
        <w:rPr>
          <w:sz w:val="20"/>
          <w:szCs w:val="20"/>
          <w:color w:val="auto"/>
        </w:rPr>
      </w:pPr>
      <w:r>
        <w:rPr>
          <w:rFonts w:ascii="Arial" w:cs="Arial" w:eastAsia="Arial" w:hAnsi="Arial"/>
          <w:sz w:val="18"/>
          <w:szCs w:val="18"/>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321"/>
        <w:spacing w:after="0"/>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Trade receivables</w:t>
      </w:r>
    </w:p>
    <w:p>
      <w:pPr>
        <w:spacing w:after="0" w:line="229" w:lineRule="exact"/>
        <w:rPr>
          <w:sz w:val="20"/>
          <w:szCs w:val="20"/>
          <w:color w:val="auto"/>
        </w:rPr>
      </w:pPr>
    </w:p>
    <w:p>
      <w:pPr>
        <w:ind w:left="340"/>
        <w:spacing w:after="0" w:line="275" w:lineRule="auto"/>
        <w:rPr>
          <w:sz w:val="20"/>
          <w:szCs w:val="20"/>
          <w:color w:val="auto"/>
        </w:rPr>
      </w:pPr>
      <w:r>
        <w:rPr>
          <w:rFonts w:ascii="Arial" w:cs="Arial" w:eastAsia="Arial" w:hAnsi="Arial"/>
          <w:sz w:val="17"/>
          <w:szCs w:val="17"/>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5 for further information about the Partnership’s accounting for trade receivables.</w:t>
      </w:r>
    </w:p>
    <w:p>
      <w:pPr>
        <w:spacing w:after="0" w:line="176" w:lineRule="exact"/>
        <w:rPr>
          <w:sz w:val="20"/>
          <w:szCs w:val="20"/>
          <w:color w:val="auto"/>
        </w:rPr>
      </w:pPr>
    </w:p>
    <w:p>
      <w:pPr>
        <w:ind w:left="340" w:right="440"/>
        <w:spacing w:after="0" w:line="308" w:lineRule="auto"/>
        <w:rPr>
          <w:sz w:val="20"/>
          <w:szCs w:val="20"/>
          <w:color w:val="auto"/>
        </w:rPr>
      </w:pPr>
      <w:r>
        <w:rPr>
          <w:rFonts w:ascii="Arial" w:cs="Arial" w:eastAsia="Arial" w:hAnsi="Arial"/>
          <w:sz w:val="17"/>
          <w:szCs w:val="17"/>
          <w:color w:val="auto"/>
        </w:rPr>
        <w:t>The simplified approach is applied to trade and other receivables and the Partnership recognizes lifetime expected credit losses (“ECLs”) on the trade receivables. Under the simplified approach, the loss allowance is always equal to ECLs.</w:t>
      </w:r>
    </w:p>
    <w:p>
      <w:pPr>
        <w:spacing w:after="0" w:line="142" w:lineRule="exact"/>
        <w:rPr>
          <w:sz w:val="20"/>
          <w:szCs w:val="20"/>
          <w:color w:val="auto"/>
        </w:rPr>
      </w:pPr>
    </w:p>
    <w:p>
      <w:pPr>
        <w:ind w:left="680" w:hanging="321"/>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ind w:left="340" w:right="580"/>
        <w:spacing w:after="0" w:line="263" w:lineRule="auto"/>
        <w:rPr>
          <w:sz w:val="20"/>
          <w:szCs w:val="20"/>
          <w:color w:val="auto"/>
        </w:rPr>
      </w:pPr>
      <w:r>
        <w:rPr>
          <w:rFonts w:ascii="Arial" w:cs="Arial" w:eastAsia="Arial" w:hAnsi="Arial"/>
          <w:sz w:val="18"/>
          <w:szCs w:val="18"/>
          <w:color w:val="auto"/>
        </w:rPr>
        <w:t>Borrowings are measured at amortized cost, using the effective interest method. Any difference between the proceeds (net of transaction costs) and the settlement of the borrowings is recognized in the statement of profit or loss over the term of the borrowings.</w:t>
      </w:r>
    </w:p>
    <w:p>
      <w:pPr>
        <w:spacing w:after="0" w:line="180" w:lineRule="exact"/>
        <w:rPr>
          <w:sz w:val="20"/>
          <w:szCs w:val="20"/>
          <w:color w:val="auto"/>
        </w:rPr>
      </w:pPr>
    </w:p>
    <w:p>
      <w:pPr>
        <w:ind w:left="680" w:hanging="321"/>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340" w:right="80"/>
        <w:spacing w:after="0" w:line="293" w:lineRule="auto"/>
        <w:rPr>
          <w:sz w:val="20"/>
          <w:szCs w:val="20"/>
          <w:color w:val="auto"/>
        </w:rPr>
      </w:pPr>
      <w:r>
        <w:rPr>
          <w:rFonts w:ascii="Arial" w:cs="Arial" w:eastAsia="Arial" w:hAnsi="Arial"/>
          <w:sz w:val="16"/>
          <w:szCs w:val="16"/>
          <w:color w:val="auto"/>
        </w:rPr>
        <w:t>Derivative financial instruments, such as interest rate swaps or forward foreign exchange contracts, are used to economically hedge the Partnership’s exposure to interest rate or foreign exchange rate risks. Derivative financial instruments are initially recognized at fair value and are subsequently remeasured to their fair value at each reporting date. The resulting changes in fair value are recognized in profit or loss immediately, unless the derivative is designated and effective as a hedging instrument, in which case the timing of the recognition in profit or loss depends on the nature of the hedge relationship. Derivatives are presented as assets when their valuation is favorable to the Partnership and as liabilities when unfavorable to the Partnership.</w:t>
      </w:r>
    </w:p>
    <w:p>
      <w:pPr>
        <w:spacing w:after="0" w:line="164" w:lineRule="exact"/>
        <w:rPr>
          <w:sz w:val="20"/>
          <w:szCs w:val="20"/>
          <w:color w:val="auto"/>
        </w:rPr>
      </w:pPr>
    </w:p>
    <w:p>
      <w:pPr>
        <w:jc w:val="both"/>
        <w:ind w:left="340" w:right="60"/>
        <w:spacing w:after="0" w:line="301" w:lineRule="auto"/>
        <w:rPr>
          <w:sz w:val="20"/>
          <w:szCs w:val="20"/>
          <w:color w:val="auto"/>
        </w:rPr>
      </w:pPr>
      <w:r>
        <w:rPr>
          <w:rFonts w:ascii="Arial" w:cs="Arial" w:eastAsia="Arial" w:hAnsi="Arial"/>
          <w:sz w:val="16"/>
          <w:szCs w:val="16"/>
          <w:color w:val="auto"/>
        </w:rPr>
        <w:t>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 (3) there is adequate documentation of the hedging relationships at the inception of the hedge; and (4) for cash flow hedges, the forecasted transaction that is the hedged item in the hedging relationship must be considered highly probable.</w:t>
      </w:r>
    </w:p>
    <w:p>
      <w:pPr>
        <w:spacing w:after="0" w:line="157" w:lineRule="exact"/>
        <w:rPr>
          <w:sz w:val="20"/>
          <w:szCs w:val="20"/>
          <w:color w:val="auto"/>
        </w:rPr>
      </w:pPr>
    </w:p>
    <w:p>
      <w:pPr>
        <w:ind w:left="340" w:right="40"/>
        <w:spacing w:after="0" w:line="271" w:lineRule="auto"/>
        <w:rPr>
          <w:sz w:val="20"/>
          <w:szCs w:val="20"/>
          <w:color w:val="auto"/>
        </w:rPr>
      </w:pPr>
      <w:r>
        <w:rPr>
          <w:rFonts w:ascii="Arial" w:cs="Arial" w:eastAsia="Arial" w:hAnsi="Arial"/>
          <w:sz w:val="17"/>
          <w:szCs w:val="17"/>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the consolidated statement of profit or loss. Hedge accounting is discontinued when the Partnership terminates the hedging relationship, when the hedging instrument expires or is sold, terminated or exercised, or when it no longer qualifies for hedge accounting. When a forecast transaction designated as the hedged item in a cash flow hedge is no longer expected to occur, the gain or loss accumulated in equity is recycled immediately to the consolidated statement of profit or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Each vessel-owning company owns one LNG carrier which is operated under a time charter with similar operating and economic characteristics. Consequently, the information provided to the Chief Executive Officer (the Partnership’s chief operating decision maker) to review the Partnership’s operating results and allocate resources is on a consolidated basis for a single reportable segment. Furthermore, when the Partnership charters a vessel to a charterer, the charterer is free to trade the vessel worldwide and, as a result, the disclosure of geographic information is impracticable.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21" w:lineRule="exact"/>
        <w:rPr>
          <w:sz w:val="20"/>
          <w:szCs w:val="20"/>
          <w:color w:val="auto"/>
        </w:rPr>
      </w:pPr>
    </w:p>
    <w:p>
      <w:pPr>
        <w:ind w:left="680" w:hanging="321"/>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Short-term employee benefits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Liabilities for wages and salaries that are expected to be settled wholly within 12 months after the end of the annual reporting period in which the employees render the related service are recognized in respect of employees’ services up to the end of the reporting period and are measured at the amounts expected to be paid when the liabilities are settled. The liabilities are presented as current liabilities in the consolidated statement of financial position.</w:t>
      </w:r>
    </w:p>
    <w:p>
      <w:pPr>
        <w:spacing w:after="0" w:line="183" w:lineRule="exact"/>
        <w:rPr>
          <w:sz w:val="20"/>
          <w:szCs w:val="20"/>
          <w:color w:val="auto"/>
        </w:rPr>
      </w:pPr>
    </w:p>
    <w:p>
      <w:pPr>
        <w:ind w:left="680" w:hanging="321"/>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Long-term employee benefits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Long-term employee benefits are employee benefits that are not expected to be settled wholly before 12 months after the end of the annual reporting period in which the employees render the service that gives rise to the benefit. These obligations are classified as Long-term liabilities and are measured as the present value of expected future payments to be made with any unwinding in the discount reflected in the consolidated statement of profit or loss.</w:t>
      </w:r>
    </w:p>
    <w:p>
      <w:pPr>
        <w:spacing w:after="0" w:line="183" w:lineRule="exact"/>
        <w:rPr>
          <w:sz w:val="20"/>
          <w:szCs w:val="20"/>
          <w:color w:val="auto"/>
        </w:rPr>
      </w:pPr>
    </w:p>
    <w:p>
      <w:pPr>
        <w:ind w:left="680" w:hanging="321"/>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Share-based compensation to executives and others providing similar services is measured at the fair value of the equity instruments on the grant date. Details regarding the determination of the fair value of share-based transactions are set out in Note 21.</w:t>
      </w:r>
    </w:p>
    <w:p>
      <w:pPr>
        <w:spacing w:after="0" w:line="12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fair value determined at the grant date of the equity-settled share-based compensation is expensed on a straight-line basis over the vesting period, based on the Partnership’s estimate of equity instruments that will eventually vest, with a corresponding increase in equity. At the end of each reporting period, the Partnership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6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If a grant of equity instruments is cancelled or settled during the vesting period (other than a grant cancelled by forfeiture when the vesting conditions are not satisfied) (a) the Partnership shall account for the cancellation or settlement as an acceleration of vesting, and shall therefore recognize immediately the amount that otherwise would have been recognized for services received over the remainder of the vesting period and (b) any payment made to the employee on the cancellation or settlement of the grant shall be accounted for as the repurchase of an equity interest, i.e. as a deduction from equity, except to the extent that the payment exceeds the fair value of the equity instruments granted, measured at the repurchase date. Any such excess shall be recognized as an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 and key sources of estimation uncertainty</w:t>
      </w:r>
    </w:p>
    <w:p>
      <w:pPr>
        <w:spacing w:after="0" w:line="225" w:lineRule="exact"/>
        <w:rPr>
          <w:sz w:val="20"/>
          <w:szCs w:val="20"/>
          <w:color w:val="auto"/>
        </w:rPr>
      </w:pPr>
    </w:p>
    <w:p>
      <w:pPr>
        <w:ind w:right="360" w:firstLine="324"/>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IFRS requires management to make estimates and assumptions that affect the reported amounts of assets, liabilities, revenues and expenses recognized in the consolidated financial statements. The Partnership’s management evaluates whether estimates should be made on an ongoing basis, utilizing historical experience, consultation with experts and other methods which management considers reasonable in the particular circumstances. However, uncertainty about these assumptions and estimates could result in outcomes that could require a material adjustment to the carrying amount of the asset or liability in the future. Critical accounting judgments are those that reflect significant judgments of uncertainties and potentially result in materially different results under different assumptions and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w:t>
      </w:r>
    </w:p>
    <w:p>
      <w:pPr>
        <w:spacing w:after="0" w:line="22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In the process of applying the Partnership’s accounting policies, management has made the following judgments, apart from those involving estimations, that had the most significant effect on the amounts recognized in the consolidated financial statements.</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Classification of the Partnership interests: </w:t>
      </w:r>
      <w:r>
        <w:rPr>
          <w:rFonts w:ascii="Arial" w:cs="Arial" w:eastAsia="Arial" w:hAnsi="Arial"/>
          <w:sz w:val="17"/>
          <w:szCs w:val="17"/>
          <w:color w:val="auto"/>
        </w:rPr>
        <w:t>The interests in the Partnership comprise common units, preference units and a general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interest.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member is a party or by which it is bound or its assets are subject and/or (iii) provide funds for certain distributions relating to future periods.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reaching a judgment as to whether the interests in the Partnership should be classified as liabilities or equity interests, the Partnership has considered the wide discretion of the board of 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management has concluded that the Partnership interests do not represent a contractual obligation on the Partnership to deliver cash and therefore should be classified as equity within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sources of estimation uncertainty are as follows: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Impairment of vessels: </w:t>
      </w:r>
      <w:r>
        <w:rPr>
          <w:rFonts w:ascii="Arial" w:cs="Arial" w:eastAsia="Arial" w:hAnsi="Arial"/>
          <w:sz w:val="16"/>
          <w:szCs w:val="16"/>
          <w:color w:val="auto"/>
        </w:rPr>
        <w:t>The Partnership evaluates the carrying amounts of each of its vessels to determine whether there is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indication that those vessels have suffered an impairment loss by considering both internal and external sources of information. If any such indication exists, the recoverable amount of vessels is estimated in order to determine the extent of the impairment loss, if any. The total carrying amount of the Partnership’s vessels as of December 31, 2021, was $1,884,494 (December 31, 2020: $2,203,899). Recoverable amount is the higher of fair value less costs to sell and value in use. The Partnership’s estimates of recoverable value assume that the vessels are all in seaworthy condition without need for repair and certified in class without notations of any kind.</w:t>
      </w:r>
    </w:p>
    <w:p>
      <w:pPr>
        <w:spacing w:after="0" w:line="164" w:lineRule="exact"/>
        <w:rPr>
          <w:sz w:val="20"/>
          <w:szCs w:val="20"/>
          <w:color w:val="auto"/>
        </w:rPr>
      </w:pPr>
    </w:p>
    <w:p>
      <w:pPr>
        <w:ind w:right="120" w:firstLine="369"/>
        <w:spacing w:after="0" w:line="257" w:lineRule="auto"/>
        <w:rPr>
          <w:sz w:val="20"/>
          <w:szCs w:val="20"/>
          <w:color w:val="auto"/>
        </w:rPr>
      </w:pPr>
      <w:r>
        <w:rPr>
          <w:rFonts w:ascii="Arial" w:cs="Arial" w:eastAsia="Arial" w:hAnsi="Arial"/>
          <w:sz w:val="18"/>
          <w:szCs w:val="18"/>
          <w:color w:val="auto"/>
        </w:rPr>
        <w:t>In assessing the fair value less cost to sell of the vessel, the Partnership obtains charter-free market values for its vessels from independent and internationally recognized ship brokers on a semi-annual basis, which are also commonly used and accepted by the Partnership’s lenders for determining compliance with the relevant covenants in the Partnership’s credit facilities. Vessel values can be highly volatile, so the charter-free market values may not be indicative of the current or future market value of the Partnership’s vessels, or prices that could be achieved if it were to sell them.</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As of December 31, 2021, a number of negative indicators such as differences between the charter-free market values of the Partnership’s Steam vessels, as estimated by ship brokers, and their respective carrying amounts, combined with reduced expectations of the rates at which the Partnership could expect to secure term employment for the remaining economic lives of the Steam vessels and significant uncertainties regarding future demand for such vessels in light of the continued addition of modern, larger and more fuel efficient LNG carriers to the global fleet, influenced management’s strategic decisions and prompted the Partnership to conclude that events and circumstances triggered the existence of potential impairment of Steam vessels, with no impairment indicators identified with respect to the owned and bareboat TFDE fleet as of December 31, 2021.</w:t>
      </w:r>
    </w:p>
    <w:p>
      <w:pPr>
        <w:spacing w:after="0" w:line="17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Partnership performed an impairment assessment for the Steam vessels by comparing each vessel’s value in use applying the “expected cash flow” approach, i.e. using all expectations about possible cash flows, instead of the single most likely cash flow known as the “traditional approach”. The expected cash flow approach was considered more appropriate in light of the increasing uncertainty pertaining to the business outlook for the Partnership’s Steam vessels. As of December 31, 2021, the Partnership’s management established its expectations for recovering each Steam vessel’s carrying amount in the form of two alternative scenarios: (a) continued operation of the vessel until the end of its useful economic life or (b) 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vessels’ operation and residual value risk management. In both scenarios,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The assumptions that the Partnership used in its discounted projected net operating cash flow analysis included, among others, utilization, operating revenues, voyage expenses and commissions, dry-docking costs, operating expenses (including vessel management costs), residual values, fair values less costs to sell and the discount rate. The key assumptions, being those to which the outcome of the impairment assessment is most sensitive, are the estimates of long-term charter rates for non-contracted revenue days and the discount rate.</w:t>
      </w:r>
    </w:p>
    <w:p>
      <w:pPr>
        <w:spacing w:after="0" w:line="18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2021, (iii) historical average time charter rates, based on publications by independent third party maritime research services (“maritime research publications”), (iv) estimated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future time charter rates, based on maritime research publications that provide such forecasts and (v) management’s internal assessment of long-term charter rates achievable by each class of vessel.</w:t>
      </w:r>
    </w:p>
    <w:p>
      <w:pPr>
        <w:spacing w:after="0" w:line="17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More specifically, for vessels whose charters expire within the next twelve months, the estimated charter rates and utilization for the first year from the assessment date were based on the approved annual budget for the respective year, which was formed based on the anticipated market conditions for that period and the latest available maritime research publications from ship brokers for short-term (less than 12 months) employment of a vessel operating in the spot market on less than one-year time charter contracts.</w:t>
      </w:r>
    </w:p>
    <w:p>
      <w:pPr>
        <w:spacing w:after="0" w:line="15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For non-contracted periods starting on the second year for already expired charters or upon the expiration of the firm charter period of a vessel through the end of each vessel’s useful life, the estimated average time charter rates for Steam vessels were based on analysis of future supply and demand for LNG, internally estimated and market-derived costs of building and financing newbuild LNG vessels, the technical characteristics of each vessel and an assessment of the appropriate discount for Steam vessels’ charter rates compared to modern newbuild LNG carriers, which is driven largely by unit freight cost differentials and utilization of such vessels. The Partnership also considered estimated future time charter rates taking into account the significant uncertainties regarding future demand for such vessels in light of the continued addition of modern, larger and more fuel efficient LNG carriers to the global fleet and the anticipated developments in terms of environmental regulations.</w:t>
      </w:r>
    </w:p>
    <w:p>
      <w:pPr>
        <w:spacing w:after="0" w:line="17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Recognizing that the LNG industry is cyclical and subject to significant volatility based on factors beyond the Partnership’s control, management believes that the use of the revenue estimates discussed above to be reasonable as of the reporting date. The Partnership has assumed no inflation or any other revenue escalation or growth factors in determining forecasted time charter rates beyond the contracted charter period through the end of a vessel’s useful life, consistent with long-run historical evidence and industry expectations.</w:t>
      </w:r>
    </w:p>
    <w:p>
      <w:pPr>
        <w:spacing w:after="0" w:line="15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Partnership used an annual operating expenses escalation factor equal to 1% based on its historical data and experience, as well as its expectations of future inflation on operating and dry-docking costs. Estimates for the remaining useful lives of the current fleet and residual and scrap values are the same as those used for the Partnership's depreciation policy. All estimates used and assumptions made were in accordance with the Partnership’s internal budgets and historical experience of the shipping industry.</w:t>
      </w:r>
    </w:p>
    <w:p>
      <w:pPr>
        <w:spacing w:after="0" w:line="15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the Partnership’s impairment assessment as of December 31, 2021, the rate used to discount future estimated cash flows to their present values was 7.5% (6.4% as of December 31, 2020). This was based on an estimated weighted average cost of capital calculated using cost of equity and cost of debt components, adjusted also for vessel-specific risks and uncertainties, as applicable to each probable outcome.</w:t>
      </w:r>
    </w:p>
    <w:p>
      <w:pPr>
        <w:spacing w:after="0" w:line="18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recoverable amounts (values in use) for all five Steam vessels calculated as per above were lower than the respective carrying amounts of those vessels and, consequently, an impairment loss of $103,977 was recognized in the year ended December 31, 2021 (Note 3).</w:t>
      </w:r>
    </w:p>
    <w:p>
      <w:pPr>
        <w:spacing w:after="0" w:line="184"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connection with the impairment testing of our vessels as of December 31, 2021, we performed a sensitivity analysis on the most difficult, subjective, or complex assumptions that have the potential to affect the outcome of the impairment assessment, which are the projected charter hire rate used to forecast future cash flows for non-contracted revenue days and the discount rate used, in particular for the Steam vessels (Note 3). It is reasonably possible that changes to these assumptions within the next financial year could require a material adjustment of the carrying amount of the Partnership’s Steam vessels.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Standards and interpretations adopted in the current period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standards and amendments relevant to the Partnership were effective in the current year:</w:t>
      </w:r>
    </w:p>
    <w:p>
      <w:pPr>
        <w:spacing w:after="0" w:line="225"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 xml:space="preserve">In August 2020, the IASB issued the Phase 2 amendments to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IFRS 7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IFRS 4 and IFRS 16 in connection with the Phase 2 of the interest rate benchmark reform. The amendments address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issues arising from the implementation of the reforms, including the replacement of one benchmark with an alternative one. The amendments are effective for annual periods beginning on or after January 1, 2021 and did not have a material impact on the Partnership's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All other IFRS standards and amendments that became effective in the current year are not relevant to the Partnership or are not material with respect to the Partnership’s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Standards and amendments in issue not yet adopted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date of authorization of these consolidated financial statements, the following standards and amendments relevant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Partnership were in issue but not yet effective:</w:t>
      </w:r>
    </w:p>
    <w:p>
      <w:pPr>
        <w:spacing w:after="0" w:line="21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In January 2020, the IASB issued a narrow-scope amendment to IAS 1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 Changes in Accounting Estimates and Errors</w:t>
      </w:r>
      <w:r>
        <w:rPr>
          <w:rFonts w:ascii="Arial" w:cs="Arial" w:eastAsia="Arial" w:hAnsi="Arial"/>
          <w:sz w:val="17"/>
          <w:szCs w:val="17"/>
          <w:color w:val="auto"/>
        </w:rPr>
        <w:t>. Earlier application is permitted. Management anticipates that this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will not have a material impact on the Partnership’s financial statements.</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In February 2021, the IASB amended IAS 1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IFRS Practice Statement 2 and IAS 8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Changes in Accounting Estimates and Errors </w:t>
      </w:r>
      <w:r>
        <w:rPr>
          <w:rFonts w:ascii="Arial" w:cs="Arial" w:eastAsia="Arial" w:hAnsi="Arial"/>
          <w:sz w:val="18"/>
          <w:szCs w:val="18"/>
          <w:color w:val="auto"/>
        </w:rPr>
        <w:t>to improve accounting policy disclosures and help the users of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to distinguish between changes in accounting estimates and changes in accounting policies. The amendments will be effective for annual periods beginning on or after January 1, 2023. Management anticipates that these amendments will not have a material impact on the Partnership’s financial statements.</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impact of all other IFRS standards and amendments issued but not yet adopted is not expected to be material with respect to the Partnership’s financial statements.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Tangible fixed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movements in tangible fixed assets (i.e. vessels and their associated depot spares) are reported in the following table:</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Other tangible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Cost</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Vessels</w:t>
            </w:r>
          </w:p>
        </w:tc>
        <w:tc>
          <w:tcPr>
            <w:tcW w:w="1200" w:type="dxa"/>
            <w:vAlign w:val="bottom"/>
            <w:gridSpan w:val="3"/>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tangible fixed</w:t>
            </w:r>
          </w:p>
        </w:tc>
        <w:tc>
          <w:tcPr>
            <w:tcW w:w="0" w:type="dxa"/>
            <w:vAlign w:val="bottom"/>
          </w:tcPr>
          <w:p>
            <w:pPr>
              <w:spacing w:after="0"/>
              <w:rPr>
                <w:sz w:val="1"/>
                <w:szCs w:val="1"/>
                <w:color w:val="auto"/>
              </w:rPr>
            </w:pPr>
          </w:p>
        </w:tc>
      </w:tr>
      <w:tr>
        <w:trPr>
          <w:trHeight w:val="171"/>
        </w:trPr>
        <w:tc>
          <w:tcPr>
            <w:tcW w:w="5040" w:type="dxa"/>
            <w:vAlign w:val="bottom"/>
            <w:gridSpan w:val="5"/>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As of January 1, 2020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2,859,172</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2,859,172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820" w:type="dxa"/>
            <w:vAlign w:val="bottom"/>
          </w:tcPr>
          <w:p>
            <w:pPr>
              <w:jc w:val="right"/>
              <w:spacing w:after="0"/>
              <w:rPr>
                <w:sz w:val="20"/>
                <w:szCs w:val="20"/>
                <w:color w:val="auto"/>
              </w:rPr>
            </w:pPr>
            <w:r>
              <w:rPr>
                <w:rFonts w:ascii="Arial" w:cs="Arial" w:eastAsia="Arial" w:hAnsi="Arial"/>
                <w:sz w:val="18"/>
                <w:szCs w:val="18"/>
                <w:color w:val="auto"/>
              </w:rPr>
              <w:t>23,899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2,719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dry-docking component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As of December 31,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2,873,829</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2,719</w:t>
            </w:r>
          </w:p>
        </w:tc>
        <w:tc>
          <w:tcPr>
            <w:tcW w:w="1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2,876,548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Disposals</w:t>
            </w:r>
          </w:p>
        </w:tc>
        <w:tc>
          <w:tcPr>
            <w:tcW w:w="820" w:type="dxa"/>
            <w:vAlign w:val="bottom"/>
          </w:tcPr>
          <w:p>
            <w:pPr>
              <w:jc w:val="right"/>
              <w:spacing w:after="0"/>
              <w:rPr>
                <w:sz w:val="20"/>
                <w:szCs w:val="20"/>
                <w:color w:val="auto"/>
              </w:rPr>
            </w:pPr>
            <w:r>
              <w:rPr>
                <w:rFonts w:ascii="Arial" w:cs="Arial" w:eastAsia="Arial" w:hAnsi="Arial"/>
                <w:sz w:val="18"/>
                <w:szCs w:val="18"/>
                <w:color w:val="auto"/>
              </w:rPr>
              <w:t>(190,295)</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dry-docking component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As of December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2,681,095</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w:t>
            </w:r>
          </w:p>
        </w:tc>
        <w:tc>
          <w:tcPr>
            <w:tcW w:w="1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2,685,184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2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Accumulated depreciation</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 of January 1, 2020</w:t>
            </w:r>
          </w:p>
        </w:tc>
        <w:tc>
          <w:tcPr>
            <w:tcW w:w="302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572,742</w:t>
            </w: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572,742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Impairment loss on vessels</w:t>
            </w:r>
          </w:p>
        </w:tc>
        <w:tc>
          <w:tcPr>
            <w:tcW w:w="820" w:type="dxa"/>
            <w:vAlign w:val="bottom"/>
          </w:tcPr>
          <w:p>
            <w:pPr>
              <w:jc w:val="right"/>
              <w:spacing w:after="0"/>
              <w:rPr>
                <w:sz w:val="20"/>
                <w:szCs w:val="20"/>
                <w:color w:val="auto"/>
              </w:rPr>
            </w:pPr>
            <w:r>
              <w:rPr>
                <w:rFonts w:ascii="Arial" w:cs="Arial" w:eastAsia="Arial" w:hAnsi="Arial"/>
                <w:sz w:val="18"/>
                <w:szCs w:val="18"/>
                <w:color w:val="auto"/>
              </w:rPr>
              <w:t>23,923</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dry-docking component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As of December 31,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669,930</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669,930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Disposals</w:t>
            </w:r>
          </w:p>
        </w:tc>
        <w:tc>
          <w:tcPr>
            <w:tcW w:w="820" w:type="dxa"/>
            <w:vAlign w:val="bottom"/>
          </w:tcPr>
          <w:p>
            <w:pPr>
              <w:jc w:val="right"/>
              <w:spacing w:after="0"/>
              <w:rPr>
                <w:sz w:val="20"/>
                <w:szCs w:val="20"/>
                <w:color w:val="auto"/>
              </w:rPr>
            </w:pPr>
            <w:r>
              <w:rPr>
                <w:rFonts w:ascii="Arial" w:cs="Arial" w:eastAsia="Arial" w:hAnsi="Arial"/>
                <w:sz w:val="18"/>
                <w:szCs w:val="18"/>
                <w:color w:val="auto"/>
              </w:rPr>
              <w:t>(44,731)</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Impairment loss on vessels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Fully amortized dry-docking component</w:t>
            </w:r>
          </w:p>
        </w:tc>
        <w:tc>
          <w:tcPr>
            <w:tcW w:w="820" w:type="dxa"/>
            <w:vAlign w:val="bottom"/>
          </w:tcPr>
          <w:p>
            <w:pPr>
              <w:jc w:val="right"/>
              <w:spacing w:after="0"/>
              <w:rPr>
                <w:sz w:val="20"/>
                <w:szCs w:val="20"/>
                <w:color w:val="auto"/>
              </w:rPr>
            </w:pPr>
            <w:r>
              <w:rPr>
                <w:rFonts w:ascii="Arial" w:cs="Arial" w:eastAsia="Arial" w:hAnsi="Arial"/>
                <w:sz w:val="18"/>
                <w:szCs w:val="18"/>
                <w:color w:val="auto"/>
              </w:rPr>
              <w:t>(14,512)</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796,601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796,601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20" w:type="dxa"/>
            <w:vAlign w:val="bottom"/>
            <w:gridSpan w:val="4"/>
          </w:tcPr>
          <w:p>
            <w:pPr>
              <w:spacing w:after="0" w:line="169" w:lineRule="exact"/>
              <w:rPr>
                <w:sz w:val="20"/>
                <w:szCs w:val="20"/>
                <w:color w:val="auto"/>
              </w:rPr>
            </w:pPr>
            <w:r>
              <w:rPr>
                <w:rFonts w:ascii="Arial" w:cs="Arial" w:eastAsia="Arial" w:hAnsi="Arial"/>
                <w:sz w:val="18"/>
                <w:szCs w:val="18"/>
                <w:b w:val="1"/>
                <w:bCs w:val="1"/>
                <w:color w:val="auto"/>
              </w:rPr>
              <w:t>Net book value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2,203,899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2,719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2,206,618</w:t>
            </w:r>
          </w:p>
        </w:tc>
        <w:tc>
          <w:tcPr>
            <w:tcW w:w="0" w:type="dxa"/>
            <w:vAlign w:val="bottom"/>
          </w:tcPr>
          <w:p>
            <w:pPr>
              <w:spacing w:after="0"/>
              <w:rPr>
                <w:sz w:val="1"/>
                <w:szCs w:val="1"/>
                <w:color w:val="auto"/>
              </w:rPr>
            </w:pPr>
          </w:p>
        </w:tc>
      </w:tr>
      <w:tr>
        <w:trPr>
          <w:trHeight w:val="250"/>
        </w:trPr>
        <w:tc>
          <w:tcPr>
            <w:tcW w:w="5040" w:type="dxa"/>
            <w:vAlign w:val="bottom"/>
            <w:gridSpan w:val="5"/>
          </w:tcPr>
          <w:p>
            <w:pPr>
              <w:spacing w:after="0"/>
              <w:rPr>
                <w:sz w:val="20"/>
                <w:szCs w:val="20"/>
                <w:color w:val="auto"/>
              </w:rPr>
            </w:pPr>
            <w:r>
              <w:rPr>
                <w:rFonts w:ascii="Arial" w:cs="Arial" w:eastAsia="Arial" w:hAnsi="Arial"/>
                <w:sz w:val="18"/>
                <w:szCs w:val="18"/>
                <w:b w:val="1"/>
                <w:bCs w:val="1"/>
                <w:color w:val="auto"/>
              </w:rPr>
              <w:t>As of December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1,884,494</w:t>
            </w:r>
          </w:p>
        </w:tc>
        <w:tc>
          <w:tcPr>
            <w:tcW w:w="16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w:t>
            </w:r>
          </w:p>
        </w:tc>
        <w:tc>
          <w:tcPr>
            <w:tcW w:w="14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1,888,583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vessels have been pledged as collateral under the terms of the Partnership’s credit facilities (Note 7).</w:t>
      </w:r>
    </w:p>
    <w:p>
      <w:pPr>
        <w:spacing w:after="0" w:line="225"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 xml:space="preserve">On October 26, 2021, GAS-three Ltd. completed the sale and leaseback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with CDBL (Note 4). During the year ended December 31, 2021, a loss of $630 arising from the sale and leaseback transaction was recorded in profit or loss.</w:t>
      </w:r>
    </w:p>
    <w:p>
      <w:pPr>
        <w:spacing w:after="0" w:line="12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of December 31, 2021, a number of negative indicators such as differences between the charter-free market values of the Partnership’s Steam vessels, as estimated by ship brokers, and their respective carrying amounts, combined with reduced expectations of the rates at which the Partnership could expect to secure term employment for the remaining economic lives of the Steam vessels and significant uncertainties regarding future demand for such vessels in light of the continued addition of modern, larger and more fuel efficient LNG carriers to the global fleet, influenced management’s strategic decisions and prompted the Partnership to conclude that events and circumstances triggered the existence of potential impairment of its Steam vessels in accordance with its accounting policy (Note 2), with no impairment indicators identified with respect to the owned and bareboat TFDE fleet as of December 31, 2021. The recoverable amounts (values in use) for the five Steam vessels owned by the Partnership (in the table below) were lower than the</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respective carrying amounts of these vessels and, consequently, an aggregate impairment loss of $103,977 was recognized in profit or loss in the year ended December 31, 2021.</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w:t>
            </w:r>
          </w:p>
        </w:tc>
        <w:tc>
          <w:tcPr>
            <w:tcW w:w="31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w w:val="94"/>
              </w:rPr>
              <w:t>As of and for the year ended December 31, 2021</w:t>
            </w:r>
          </w:p>
        </w:tc>
        <w:tc>
          <w:tcPr>
            <w:tcW w:w="0" w:type="dxa"/>
            <w:vAlign w:val="bottom"/>
          </w:tcPr>
          <w:p>
            <w:pPr>
              <w:spacing w:after="0"/>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1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Impairment loss on vessels</w:t>
            </w:r>
          </w:p>
        </w:tc>
        <w:tc>
          <w:tcPr>
            <w:tcW w:w="1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Recoverable amount</w:t>
            </w:r>
          </w:p>
        </w:tc>
        <w:tc>
          <w:tcPr>
            <w:tcW w:w="0" w:type="dxa"/>
            <w:vAlign w:val="bottom"/>
          </w:tcPr>
          <w:p>
            <w:pPr>
              <w:spacing w:after="0"/>
              <w:rPr>
                <w:sz w:val="1"/>
                <w:szCs w:val="1"/>
                <w:color w:val="auto"/>
              </w:rPr>
            </w:pPr>
          </w:p>
        </w:tc>
      </w:tr>
      <w:tr>
        <w:trPr>
          <w:trHeight w:val="209"/>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Methane Rita Andrea</w:t>
            </w:r>
          </w:p>
        </w:tc>
        <w:tc>
          <w:tcPr>
            <w:tcW w:w="1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(23,234)</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67,697</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1660" w:type="dxa"/>
            <w:vAlign w:val="bottom"/>
          </w:tcPr>
          <w:p>
            <w:pPr>
              <w:jc w:val="right"/>
              <w:spacing w:after="0"/>
              <w:rPr>
                <w:sz w:val="20"/>
                <w:szCs w:val="20"/>
                <w:color w:val="auto"/>
              </w:rPr>
            </w:pPr>
            <w:r>
              <w:rPr>
                <w:rFonts w:ascii="Arial" w:cs="Arial" w:eastAsia="Arial" w:hAnsi="Arial"/>
                <w:sz w:val="18"/>
                <w:szCs w:val="18"/>
                <w:color w:val="auto"/>
              </w:rPr>
              <w:t>(22,573)</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70,149</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Alison Victoria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71,587</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Methane Shirley Elisabeth</w:t>
            </w:r>
          </w:p>
        </w:tc>
        <w:tc>
          <w:tcPr>
            <w:tcW w:w="1660" w:type="dxa"/>
            <w:vAlign w:val="bottom"/>
          </w:tcPr>
          <w:p>
            <w:pPr>
              <w:jc w:val="right"/>
              <w:spacing w:after="0"/>
              <w:rPr>
                <w:sz w:val="20"/>
                <w:szCs w:val="20"/>
                <w:color w:val="auto"/>
              </w:rPr>
            </w:pPr>
            <w:r>
              <w:rPr>
                <w:rFonts w:ascii="Arial" w:cs="Arial" w:eastAsia="Arial" w:hAnsi="Arial"/>
                <w:sz w:val="18"/>
                <w:szCs w:val="18"/>
                <w:color w:val="auto"/>
              </w:rPr>
              <w:t>(16,869)</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69,069</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Heather Sally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(21,183)</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75,964</w:t>
            </w:r>
          </w:p>
        </w:tc>
        <w:tc>
          <w:tcPr>
            <w:tcW w:w="0" w:type="dxa"/>
            <w:vAlign w:val="bottom"/>
          </w:tcPr>
          <w:p>
            <w:pPr>
              <w:spacing w:after="0"/>
              <w:rPr>
                <w:sz w:val="1"/>
                <w:szCs w:val="1"/>
                <w:color w:val="auto"/>
              </w:rPr>
            </w:pPr>
          </w:p>
        </w:tc>
      </w:tr>
      <w:tr>
        <w:trPr>
          <w:trHeight w:val="209"/>
        </w:trPr>
        <w:tc>
          <w:tcPr>
            <w:tcW w:w="4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(103,977)</w:t>
            </w:r>
          </w:p>
        </w:tc>
        <w:tc>
          <w:tcPr>
            <w:tcW w:w="16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354,466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of December 31, 2021, the most sensitive and/or subjective assumptions that have the potential to affect the outcome of the impairment assessment for the Steam vessels are the projected charter hire rate used to forecast future cash flows for non-contracted revenue days (the “re-chartering rate”) and the discount rate used. The average long-term re-chartering rate over the remaining useful life of the vessels used in our impairment exercise for the Steam vessels was $35 per day ($40 per day as of December 31, 2020). Increasing/decreasing the average re-chartering rate used by $5 per day would decrease/increase the impairment loss by $41,645. The discount rate used for the Steam vessels was 7.5% (6.4% as of December 31, 2020). Increasing/decreasing the discount rate by 0.5% would increase/(decrease) the impairment loss by $8,177/ ($8,719),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movements in right-of use assets are reported in the following table:</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Right-of-Use Assets</w:t>
            </w: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Vessel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Vessels’</w:t>
            </w:r>
          </w:p>
        </w:tc>
        <w:tc>
          <w:tcPr>
            <w:tcW w:w="6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Equipment</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2020</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1,033</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Additions, net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As of December 31,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w:t>
            </w:r>
          </w:p>
        </w:tc>
        <w:tc>
          <w:tcPr>
            <w:tcW w:w="16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w:t>
            </w:r>
          </w:p>
        </w:tc>
        <w:tc>
          <w:tcPr>
            <w:tcW w:w="0" w:type="dxa"/>
            <w:vAlign w:val="bottom"/>
          </w:tcPr>
          <w:p>
            <w:pPr>
              <w:spacing w:after="0"/>
              <w:rPr>
                <w:sz w:val="1"/>
                <w:szCs w:val="1"/>
                <w:color w:val="auto"/>
              </w:rPr>
            </w:pPr>
          </w:p>
        </w:tc>
      </w:tr>
      <w:tr>
        <w:trPr>
          <w:trHeight w:val="196"/>
        </w:trPr>
        <w:tc>
          <w:tcPr>
            <w:tcW w:w="5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Additions, net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84,761</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85,036</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Depreciation expense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81,651</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 xml:space="preserve">On October 26, 2021, GasLog Partners completed the sale and leaseback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with a wholly-owned subsidiary of CDBL. CDBL has the right to sell the vessel to third parties. The vessel was sold to CDBL for net proceeds of $117,569. GasLog leased back the vessel under bareboat charter from CDBL for a period of five years with no repurchase option or obligation. This sale and leaseback met the definition of a lease under IFRS 16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resulting in the recognition of a right-of-use asset of $84,761 and a corresponding lease liability of $57,396.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the lease liabilities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Lease Liabilities</w:t>
            </w:r>
          </w:p>
        </w:tc>
        <w:tc>
          <w:tcPr>
            <w:tcW w:w="0" w:type="dxa"/>
            <w:vAlign w:val="bottom"/>
          </w:tcPr>
          <w:p>
            <w:pPr>
              <w:spacing w:after="0"/>
              <w:rPr>
                <w:sz w:val="1"/>
                <w:szCs w:val="1"/>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w:t>
            </w:r>
          </w:p>
        </w:tc>
        <w:tc>
          <w:tcPr>
            <w:tcW w:w="40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Additions, net</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57,671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Lease expense (Note 13)</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Payments</w:t>
            </w:r>
          </w:p>
        </w:tc>
        <w:tc>
          <w:tcPr>
            <w:tcW w:w="5220" w:type="dxa"/>
            <w:vAlign w:val="bottom"/>
            <w:gridSpan w:val="3"/>
          </w:tcPr>
          <w:p>
            <w:pPr>
              <w:jc w:val="right"/>
              <w:ind w:right="220"/>
              <w:spacing w:after="0"/>
              <w:rPr>
                <w:sz w:val="20"/>
                <w:szCs w:val="20"/>
                <w:color w:val="auto"/>
              </w:rPr>
            </w:pPr>
            <w:r>
              <w:rPr>
                <w:rFonts w:ascii="Arial" w:cs="Arial" w:eastAsia="Arial" w:hAnsi="Arial"/>
                <w:sz w:val="18"/>
                <w:szCs w:val="18"/>
                <w:color w:val="auto"/>
              </w:rPr>
              <w:t>(509)</w:t>
            </w:r>
          </w:p>
        </w:tc>
        <w:tc>
          <w:tcPr>
            <w:tcW w:w="94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40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55,898</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Lease liabilities—current portion</w:t>
            </w:r>
          </w:p>
        </w:tc>
        <w:tc>
          <w:tcPr>
            <w:tcW w:w="406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vMerge w:val="continue"/>
          </w:tcPr>
          <w:p>
            <w:pPr>
              <w:spacing w:after="0"/>
              <w:rPr>
                <w:sz w:val="17"/>
                <w:szCs w:val="17"/>
                <w:color w:val="auto"/>
              </w:rPr>
            </w:pPr>
          </w:p>
        </w:tc>
        <w:tc>
          <w:tcPr>
            <w:tcW w:w="4060" w:type="dxa"/>
            <w:vAlign w:val="bottom"/>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332</w:t>
            </w: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liabilities—non-current portion</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45,556</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55,898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760" w:type="dxa"/>
            <w:vAlign w:val="bottom"/>
          </w:tcPr>
          <w:p>
            <w:pPr>
              <w:spacing w:after="0"/>
              <w:rPr>
                <w:sz w:val="24"/>
                <w:szCs w:val="24"/>
                <w:color w:val="auto"/>
              </w:rPr>
            </w:pPr>
          </w:p>
        </w:tc>
        <w:tc>
          <w:tcPr>
            <w:tcW w:w="5220" w:type="dxa"/>
            <w:vAlign w:val="bottom"/>
            <w:gridSpan w:val="3"/>
          </w:tcPr>
          <w:p>
            <w:pPr>
              <w:ind w:left="1040"/>
              <w:spacing w:after="0"/>
              <w:rPr>
                <w:sz w:val="20"/>
                <w:szCs w:val="20"/>
                <w:color w:val="auto"/>
              </w:rPr>
            </w:pPr>
            <w:r>
              <w:rPr>
                <w:rFonts w:ascii="Arial" w:cs="Arial" w:eastAsia="Arial" w:hAnsi="Arial"/>
                <w:sz w:val="18"/>
                <w:szCs w:val="18"/>
                <w:color w:val="auto"/>
              </w:rPr>
              <w:t>F-23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Trade and Other Receivables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and other receivables consisted of the following:</w:t>
      </w:r>
    </w:p>
    <w:p>
      <w:pPr>
        <w:spacing w:after="0" w:line="230"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As of</w:t>
      </w:r>
    </w:p>
    <w:p>
      <w:pPr>
        <w:jc w:val="center"/>
        <w:ind w:left="78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Due from charterers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VAT receivable</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Insurance claims</w:t>
            </w:r>
          </w:p>
        </w:tc>
        <w:tc>
          <w:tcPr>
            <w:tcW w:w="940" w:type="dxa"/>
            <w:vAlign w:val="bottom"/>
          </w:tcPr>
          <w:p>
            <w:pPr>
              <w:jc w:val="right"/>
              <w:spacing w:after="0"/>
              <w:rPr>
                <w:sz w:val="20"/>
                <w:szCs w:val="20"/>
                <w:color w:val="auto"/>
              </w:rPr>
            </w:pPr>
            <w:r>
              <w:rPr>
                <w:rFonts w:ascii="Arial" w:cs="Arial" w:eastAsia="Arial" w:hAnsi="Arial"/>
                <w:sz w:val="18"/>
                <w:szCs w:val="18"/>
                <w:color w:val="auto"/>
              </w:rPr>
              <w:t>3,584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10"/>
        </w:trPr>
        <w:tc>
          <w:tcPr>
            <w:tcW w:w="7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16,265</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11,156</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Accrued income represents net revenues receivable from charterers, which have not yet been invoiced; all other amounts not yet invoiced are included under Other receivables.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Partners’ Equity</w:t>
      </w:r>
    </w:p>
    <w:p>
      <w:pPr>
        <w:spacing w:after="0" w:line="229"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During the year ended December 31, 2019, GasLog Partners repurchased and cancelled 1,171,572 common units at a weighted average price of $19.52 per common unit, for a total cost of $22,890 including commissions.</w:t>
      </w:r>
    </w:p>
    <w:p>
      <w:pPr>
        <w:spacing w:after="0" w:line="17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Under the Partnership’s “at-the-market” common equity offering programme (the “ATM Programme”) established in 2017, the Partnership entered into a Third Amended and Restated Equity Distribution Agreement on February 26, 2019, to further increase the size of the ATM Programme from $144,040 to $250,000.</w:t>
      </w:r>
    </w:p>
    <w:p>
      <w:pPr>
        <w:spacing w:after="0" w:line="18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On April 1, 2019, GasLog Partners issued 49,850 common units in connection with the vesting of 24,925 Restricted Common Units (“RCUs”) and 24,925 Performance Common Units (“PCUs”) under its 2015 Long-Term Incentive Plan (the “2015 Plan”).</w:t>
      </w:r>
    </w:p>
    <w:p>
      <w:pPr>
        <w:spacing w:after="0" w:line="14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June 24, 2019, the Partnership Agreement was amended to eliminate the IDRs, effective as of June 30, 2019,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w:t>
      </w:r>
    </w:p>
    <w:p>
      <w:pPr>
        <w:spacing w:after="0" w:line="187"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With respect to the aforementioned transactions during the year ended December 31, 2019, the Partnership also issued 93,804 general partner units to its general partner in order for GasLog to retain its 2.0% general partner interest. The net proceeds from the issuance of the general partner units were $1,996.</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February 5, 2020, the board of directors of GasLog Partners authorized a renewal of the unit repurchase programme taking the total authority outstanding under the programme to $25,000, to be utilized from February 10, 2020 to December 31, 2021. During the year ended December 31, 2020, GasLog Partners repurchased and cancelled a total of 191,490 units at a weighted average price of $5.18 per common unit for a total amount of $996, including commissions.</w:t>
      </w:r>
    </w:p>
    <w:p>
      <w:pPr>
        <w:spacing w:after="0" w:line="18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On April 3, 2020, GasLog Partners issued 46,843 common units in connection with the vesting of 25,551 RCUs and 21,292 PCUs under its 2015 Plan. On June 30, 2020, GasLog Partners issued an additional 21,589 common units in connection with the vesting of 11,776 RCUs and 9,813 PCUs under its 2015 Plan.</w:t>
      </w:r>
    </w:p>
    <w:p>
      <w:pPr>
        <w:spacing w:after="0" w:line="184"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On July 1, 2020, GasLog Partners issued 415,000 common units in connection with GasLog’s option to convert the first tranche of its Class B units issued upon the elimination of IDRs in June 2019. Finally, on September 25, 2020, GasLog Partners issued 365,700 common units in connection with the vesting of 182,850 RCUs and 182,850 PCUs under its 2015 Plan.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March 31, 2021, the Partnership entered into a Fourth Amended and Restated Equity Distribution Agreement to renew the ATM Programme. Under the ATM Programme, in the year ended December 31, 2021, GasLog Partners issued and received payment for 3,195,401 common units at a weighted average price of $3.19 per common unit for total net proceeds, after deducting fees and other expenses, of $9,634. As of December 31, 2021, the unutilized portion of the ATM Programme was $116,351.</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April 6, 2021, GasLog Partners issued 8,976 common units in connection with the vesting of 5,984 RCUs and 2,992 PCUs under its 2015 Plan.</w:t>
      </w:r>
    </w:p>
    <w:p>
      <w:pPr>
        <w:spacing w:after="0" w:line="17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connection with the aforementioned transactions during this year ended December 31, 2021, the Partnership also issued 56,158 general partner units to its general partner in order for GasLog to retain its 2.0% general partner interest. The net proceeds from the issuance of the general partner units were $205.</w:t>
      </w:r>
    </w:p>
    <w:p>
      <w:pPr>
        <w:spacing w:after="0" w:line="18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 July 1, 2021, GasLog Partners issued 415,000 common units in connection with GasLog’s option to convert the second tranche of its Class B units issued upon the elimination of IDRs in June 2019.</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Finally, under the Partnership’s preference unit repurchase programme established in March 2021 and covering the period March 11, 2021 to March 31, 2023, GasLog Partners repurchased and cancelled a total of 464,429 Series B Preference Units and 269,549 Series C Preference Units at a weighted average price of $25.00 per preference unit for both Series. The aggregate amount paid during the period for repurchases of preference units was $18,388, including commissions.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of December 31, 2021, the Partnership’s capital consisted of 51,137,201 outstanding common units, 1,077,494 outstanding general partner units, 1,660,000 Class B units and 13,616,022 Preference Units (5,750,000 Series A Preference Units, 4,135,571 Series B Preference Units and 3,730,451 Series C Preference Units).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Partnership’s cash distributions for the years ended December 31, 2019, 2020 and 2021 are presented in the following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Declaration date</w:t>
            </w:r>
          </w:p>
        </w:tc>
        <w:tc>
          <w:tcPr>
            <w:tcW w:w="2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Type of</w:t>
            </w:r>
          </w:p>
        </w:tc>
        <w:tc>
          <w:tcPr>
            <w:tcW w:w="440" w:type="dxa"/>
            <w:vAlign w:val="bottom"/>
          </w:tcPr>
          <w:p>
            <w:pPr>
              <w:spacing w:after="0"/>
              <w:rPr>
                <w:sz w:val="14"/>
                <w:szCs w:val="14"/>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Distribution</w:t>
            </w:r>
          </w:p>
        </w:tc>
        <w:tc>
          <w:tcPr>
            <w:tcW w:w="1740" w:type="dxa"/>
            <w:vAlign w:val="bottom"/>
            <w:gridSpan w:val="3"/>
          </w:tcPr>
          <w:p>
            <w:pPr>
              <w:jc w:val="center"/>
              <w:ind w:right="167"/>
              <w:spacing w:after="0"/>
              <w:rPr>
                <w:sz w:val="20"/>
                <w:szCs w:val="20"/>
                <w:color w:val="auto"/>
              </w:rPr>
            </w:pPr>
            <w:r>
              <w:rPr>
                <w:rFonts w:ascii="Arial" w:cs="Arial" w:eastAsia="Arial" w:hAnsi="Arial"/>
                <w:sz w:val="14"/>
                <w:szCs w:val="14"/>
                <w:b w:val="1"/>
                <w:bCs w:val="1"/>
                <w:color w:val="auto"/>
                <w:w w:val="92"/>
              </w:rPr>
              <w:t>Payment</w:t>
            </w:r>
          </w:p>
        </w:tc>
        <w:tc>
          <w:tcPr>
            <w:tcW w:w="680" w:type="dxa"/>
            <w:vAlign w:val="bottom"/>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units</w:t>
            </w:r>
          </w:p>
        </w:tc>
        <w:tc>
          <w:tcPr>
            <w:tcW w:w="440" w:type="dxa"/>
            <w:vAlign w:val="bottom"/>
          </w:tcPr>
          <w:p>
            <w:pPr>
              <w:spacing w:after="0"/>
              <w:rPr>
                <w:sz w:val="14"/>
                <w:szCs w:val="14"/>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per unit</w:t>
            </w:r>
          </w:p>
        </w:tc>
        <w:tc>
          <w:tcPr>
            <w:tcW w:w="1740" w:type="dxa"/>
            <w:vAlign w:val="bottom"/>
            <w:gridSpan w:val="3"/>
          </w:tcPr>
          <w:p>
            <w:pPr>
              <w:jc w:val="center"/>
              <w:ind w:right="167"/>
              <w:spacing w:after="0"/>
              <w:rPr>
                <w:sz w:val="20"/>
                <w:szCs w:val="20"/>
                <w:color w:val="auto"/>
              </w:rPr>
            </w:pPr>
            <w:r>
              <w:rPr>
                <w:rFonts w:ascii="Arial" w:cs="Arial" w:eastAsia="Arial" w:hAnsi="Arial"/>
                <w:sz w:val="14"/>
                <w:szCs w:val="14"/>
                <w:b w:val="1"/>
                <w:bCs w:val="1"/>
                <w:color w:val="auto"/>
                <w:w w:val="90"/>
              </w:rPr>
              <w:t>date</w:t>
            </w: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209"/>
        </w:trPr>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29, 2019</w:t>
            </w:r>
          </w:p>
        </w:tc>
        <w:tc>
          <w:tcPr>
            <w:tcW w:w="1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tcBorders>
            <w:shd w:val="clear" w:color="auto" w:fill="CCEEFF"/>
          </w:tcPr>
          <w:p>
            <w:pPr>
              <w:jc w:val="center"/>
              <w:ind w:right="253"/>
              <w:spacing w:after="0"/>
              <w:rPr>
                <w:sz w:val="20"/>
                <w:szCs w:val="20"/>
                <w:color w:val="auto"/>
              </w:rPr>
            </w:pPr>
            <w:r>
              <w:rPr>
                <w:rFonts w:ascii="Arial" w:cs="Arial" w:eastAsia="Arial" w:hAnsi="Arial"/>
                <w:sz w:val="18"/>
                <w:szCs w:val="18"/>
                <w:color w:val="auto"/>
                <w:w w:val="91"/>
              </w:rPr>
              <w:t>0.55</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13, 2019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26,929</w:t>
            </w:r>
          </w:p>
        </w:tc>
        <w:tc>
          <w:tcPr>
            <w:tcW w:w="0" w:type="dxa"/>
            <w:vAlign w:val="bottom"/>
          </w:tcPr>
          <w:p>
            <w:pPr>
              <w:spacing w:after="0"/>
              <w:rPr>
                <w:sz w:val="1"/>
                <w:szCs w:val="1"/>
                <w:color w:val="auto"/>
              </w:rPr>
            </w:pPr>
          </w:p>
        </w:tc>
      </w:tr>
      <w:tr>
        <w:trPr>
          <w:trHeight w:val="216"/>
        </w:trPr>
        <w:tc>
          <w:tcPr>
            <w:tcW w:w="2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February 22, 2019</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Preference (Series A, B,C)</w:t>
            </w:r>
          </w:p>
        </w:tc>
        <w:tc>
          <w:tcPr>
            <w:tcW w:w="2340" w:type="dxa"/>
            <w:vAlign w:val="bottom"/>
            <w:gridSpan w:val="2"/>
          </w:tcPr>
          <w:p>
            <w:pPr>
              <w:spacing w:after="0"/>
              <w:rPr>
                <w:sz w:val="20"/>
                <w:szCs w:val="20"/>
                <w:color w:val="auto"/>
              </w:rPr>
            </w:pPr>
            <w:r>
              <w:rPr>
                <w:rFonts w:ascii="Arial" w:cs="Arial" w:eastAsia="Arial" w:hAnsi="Arial"/>
                <w:sz w:val="18"/>
                <w:szCs w:val="18"/>
                <w:color w:val="auto"/>
                <w:w w:val="92"/>
              </w:rPr>
              <w:t>$ 0.5390625, $0.5125, $0.7083</w:t>
            </w:r>
          </w:p>
        </w:tc>
        <w:tc>
          <w:tcPr>
            <w:tcW w:w="140" w:type="dxa"/>
            <w:vAlign w:val="bottom"/>
          </w:tcPr>
          <w:p>
            <w:pPr>
              <w:spacing w:after="0"/>
              <w:rPr>
                <w:sz w:val="18"/>
                <w:szCs w:val="18"/>
                <w:color w:val="auto"/>
              </w:rPr>
            </w:pPr>
          </w:p>
        </w:tc>
        <w:tc>
          <w:tcPr>
            <w:tcW w:w="1740" w:type="dxa"/>
            <w:vAlign w:val="bottom"/>
            <w:gridSpan w:val="3"/>
          </w:tcPr>
          <w:p>
            <w:pPr>
              <w:jc w:val="center"/>
              <w:ind w:right="167"/>
              <w:spacing w:after="0"/>
              <w:rPr>
                <w:sz w:val="20"/>
                <w:szCs w:val="20"/>
                <w:color w:val="auto"/>
              </w:rPr>
            </w:pPr>
            <w:r>
              <w:rPr>
                <w:rFonts w:ascii="Arial" w:cs="Arial" w:eastAsia="Arial" w:hAnsi="Arial"/>
                <w:sz w:val="18"/>
                <w:szCs w:val="18"/>
                <w:color w:val="auto"/>
                <w:w w:val="91"/>
              </w:rPr>
              <w:t>March 15, 2019</w:t>
            </w:r>
          </w:p>
        </w:tc>
        <w:tc>
          <w:tcPr>
            <w:tcW w:w="680" w:type="dxa"/>
            <w:vAlign w:val="bottom"/>
          </w:tcPr>
          <w:p>
            <w:pPr>
              <w:jc w:val="right"/>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April 24, 2019</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Common</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91"/>
              </w:rPr>
              <w:t>0.55</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87"/>
              <w:spacing w:after="0"/>
              <w:rPr>
                <w:sz w:val="20"/>
                <w:szCs w:val="20"/>
                <w:color w:val="auto"/>
              </w:rPr>
            </w:pPr>
            <w:r>
              <w:rPr>
                <w:rFonts w:ascii="Arial" w:cs="Arial" w:eastAsia="Arial" w:hAnsi="Arial"/>
                <w:sz w:val="18"/>
                <w:szCs w:val="18"/>
                <w:color w:val="auto"/>
                <w:w w:val="91"/>
              </w:rPr>
              <w:t>May 10,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26,911</w:t>
            </w:r>
          </w:p>
        </w:tc>
        <w:tc>
          <w:tcPr>
            <w:tcW w:w="0" w:type="dxa"/>
            <w:vAlign w:val="bottom"/>
          </w:tcPr>
          <w:p>
            <w:pPr>
              <w:spacing w:after="0"/>
              <w:rPr>
                <w:sz w:val="1"/>
                <w:szCs w:val="1"/>
                <w:color w:val="auto"/>
              </w:rPr>
            </w:pPr>
          </w:p>
        </w:tc>
      </w:tr>
      <w:tr>
        <w:trPr>
          <w:trHeight w:val="216"/>
        </w:trPr>
        <w:tc>
          <w:tcPr>
            <w:tcW w:w="28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May 10, 2019</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Preference (Series A, B, C)</w:t>
            </w:r>
          </w:p>
        </w:tc>
        <w:tc>
          <w:tcPr>
            <w:tcW w:w="2340" w:type="dxa"/>
            <w:vAlign w:val="bottom"/>
            <w:gridSpan w:val="2"/>
          </w:tcPr>
          <w:p>
            <w:pPr>
              <w:spacing w:after="0"/>
              <w:rPr>
                <w:sz w:val="20"/>
                <w:szCs w:val="20"/>
                <w:color w:val="auto"/>
              </w:rPr>
            </w:pPr>
            <w:r>
              <w:rPr>
                <w:rFonts w:ascii="Arial" w:cs="Arial" w:eastAsia="Arial" w:hAnsi="Arial"/>
                <w:sz w:val="18"/>
                <w:szCs w:val="18"/>
                <w:color w:val="auto"/>
                <w:w w:val="89"/>
              </w:rPr>
              <w:t>$ 0.5390625, $0.5125, $0.53125</w:t>
            </w:r>
          </w:p>
        </w:tc>
        <w:tc>
          <w:tcPr>
            <w:tcW w:w="140" w:type="dxa"/>
            <w:vAlign w:val="bottom"/>
          </w:tcPr>
          <w:p>
            <w:pPr>
              <w:spacing w:after="0"/>
              <w:rPr>
                <w:sz w:val="18"/>
                <w:szCs w:val="18"/>
                <w:color w:val="auto"/>
              </w:rPr>
            </w:pPr>
          </w:p>
        </w:tc>
        <w:tc>
          <w:tcPr>
            <w:tcW w:w="1740" w:type="dxa"/>
            <w:vAlign w:val="bottom"/>
            <w:gridSpan w:val="3"/>
          </w:tcPr>
          <w:p>
            <w:pPr>
              <w:jc w:val="center"/>
              <w:ind w:right="187"/>
              <w:spacing w:after="0"/>
              <w:rPr>
                <w:sz w:val="20"/>
                <w:szCs w:val="20"/>
                <w:color w:val="auto"/>
              </w:rPr>
            </w:pPr>
            <w:r>
              <w:rPr>
                <w:rFonts w:ascii="Arial" w:cs="Arial" w:eastAsia="Arial" w:hAnsi="Arial"/>
                <w:sz w:val="18"/>
                <w:szCs w:val="18"/>
                <w:color w:val="auto"/>
                <w:w w:val="87"/>
              </w:rPr>
              <w:t>June 17, 2019</w:t>
            </w:r>
          </w:p>
        </w:tc>
        <w:tc>
          <w:tcPr>
            <w:tcW w:w="680" w:type="dxa"/>
            <w:vAlign w:val="bottom"/>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July 24, 2019</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Common</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91"/>
              </w:rPr>
              <w:t>0.55</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67"/>
              <w:spacing w:after="0"/>
              <w:rPr>
                <w:sz w:val="20"/>
                <w:szCs w:val="20"/>
                <w:color w:val="auto"/>
              </w:rPr>
            </w:pPr>
            <w:r>
              <w:rPr>
                <w:rFonts w:ascii="Arial" w:cs="Arial" w:eastAsia="Arial" w:hAnsi="Arial"/>
                <w:sz w:val="18"/>
                <w:szCs w:val="18"/>
                <w:color w:val="auto"/>
                <w:w w:val="90"/>
              </w:rPr>
              <w:t>August 9,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0" w:type="dxa"/>
            <w:vAlign w:val="bottom"/>
          </w:tcPr>
          <w:p>
            <w:pPr>
              <w:spacing w:after="0"/>
              <w:rPr>
                <w:sz w:val="1"/>
                <w:szCs w:val="1"/>
                <w:color w:val="auto"/>
              </w:rPr>
            </w:pPr>
          </w:p>
        </w:tc>
      </w:tr>
      <w:tr>
        <w:trPr>
          <w:trHeight w:val="216"/>
        </w:trPr>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July 24, 2019</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Preference (Series A, B, C)</w:t>
            </w:r>
          </w:p>
        </w:tc>
        <w:tc>
          <w:tcPr>
            <w:tcW w:w="2340" w:type="dxa"/>
            <w:vAlign w:val="bottom"/>
            <w:gridSpan w:val="2"/>
          </w:tcPr>
          <w:p>
            <w:pPr>
              <w:spacing w:after="0"/>
              <w:rPr>
                <w:sz w:val="20"/>
                <w:szCs w:val="20"/>
                <w:color w:val="auto"/>
              </w:rPr>
            </w:pPr>
            <w:r>
              <w:rPr>
                <w:rFonts w:ascii="Arial" w:cs="Arial" w:eastAsia="Arial" w:hAnsi="Arial"/>
                <w:sz w:val="18"/>
                <w:szCs w:val="18"/>
                <w:color w:val="auto"/>
                <w:w w:val="89"/>
              </w:rPr>
              <w:t>$ 0.5390625, $0.5125, $0.53125</w:t>
            </w:r>
          </w:p>
        </w:tc>
        <w:tc>
          <w:tcPr>
            <w:tcW w:w="140" w:type="dxa"/>
            <w:vAlign w:val="bottom"/>
          </w:tcPr>
          <w:p>
            <w:pPr>
              <w:spacing w:after="0"/>
              <w:rPr>
                <w:sz w:val="18"/>
                <w:szCs w:val="18"/>
                <w:color w:val="auto"/>
              </w:rPr>
            </w:pPr>
          </w:p>
        </w:tc>
        <w:tc>
          <w:tcPr>
            <w:tcW w:w="1740" w:type="dxa"/>
            <w:vAlign w:val="bottom"/>
            <w:gridSpan w:val="3"/>
          </w:tcPr>
          <w:p>
            <w:pPr>
              <w:jc w:val="center"/>
              <w:ind w:right="187"/>
              <w:spacing w:after="0"/>
              <w:rPr>
                <w:sz w:val="20"/>
                <w:szCs w:val="20"/>
                <w:color w:val="auto"/>
              </w:rPr>
            </w:pPr>
            <w:r>
              <w:rPr>
                <w:rFonts w:ascii="Arial" w:cs="Arial" w:eastAsia="Arial" w:hAnsi="Arial"/>
                <w:sz w:val="18"/>
                <w:szCs w:val="18"/>
                <w:color w:val="auto"/>
                <w:w w:val="88"/>
              </w:rPr>
              <w:t>September 16, 2019</w:t>
            </w:r>
          </w:p>
        </w:tc>
        <w:tc>
          <w:tcPr>
            <w:tcW w:w="680" w:type="dxa"/>
            <w:vAlign w:val="bottom"/>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October 29, 2019</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Common</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91"/>
              </w:rPr>
              <w:t>0.55</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87"/>
              <w:spacing w:after="0"/>
              <w:rPr>
                <w:sz w:val="20"/>
                <w:szCs w:val="20"/>
                <w:color w:val="auto"/>
              </w:rPr>
            </w:pPr>
            <w:r>
              <w:rPr>
                <w:rFonts w:ascii="Arial" w:cs="Arial" w:eastAsia="Arial" w:hAnsi="Arial"/>
                <w:sz w:val="18"/>
                <w:szCs w:val="18"/>
                <w:color w:val="auto"/>
                <w:w w:val="91"/>
              </w:rPr>
              <w:t>November 13,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26,437</w:t>
            </w:r>
          </w:p>
        </w:tc>
        <w:tc>
          <w:tcPr>
            <w:tcW w:w="0" w:type="dxa"/>
            <w:vAlign w:val="bottom"/>
          </w:tcPr>
          <w:p>
            <w:pPr>
              <w:spacing w:after="0"/>
              <w:rPr>
                <w:sz w:val="1"/>
                <w:szCs w:val="1"/>
                <w:color w:val="auto"/>
              </w:rPr>
            </w:pPr>
          </w:p>
        </w:tc>
      </w:tr>
      <w:tr>
        <w:trPr>
          <w:trHeight w:val="216"/>
        </w:trPr>
        <w:tc>
          <w:tcPr>
            <w:tcW w:w="28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November 14, 2019</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Preference (Series A, B, C)</w:t>
            </w:r>
          </w:p>
        </w:tc>
        <w:tc>
          <w:tcPr>
            <w:tcW w:w="2340" w:type="dxa"/>
            <w:vAlign w:val="bottom"/>
            <w:gridSpan w:val="2"/>
          </w:tcPr>
          <w:p>
            <w:pPr>
              <w:spacing w:after="0"/>
              <w:rPr>
                <w:sz w:val="20"/>
                <w:szCs w:val="20"/>
                <w:color w:val="auto"/>
              </w:rPr>
            </w:pPr>
            <w:r>
              <w:rPr>
                <w:rFonts w:ascii="Arial" w:cs="Arial" w:eastAsia="Arial" w:hAnsi="Arial"/>
                <w:sz w:val="18"/>
                <w:szCs w:val="18"/>
                <w:color w:val="auto"/>
                <w:w w:val="89"/>
              </w:rPr>
              <w:t xml:space="preserve">$ 0.5390625,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0.5125,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0.53125</w:t>
            </w:r>
          </w:p>
        </w:tc>
        <w:tc>
          <w:tcPr>
            <w:tcW w:w="140" w:type="dxa"/>
            <w:vAlign w:val="bottom"/>
          </w:tcPr>
          <w:p>
            <w:pPr>
              <w:spacing w:after="0"/>
              <w:rPr>
                <w:sz w:val="18"/>
                <w:szCs w:val="18"/>
                <w:color w:val="auto"/>
              </w:rPr>
            </w:pPr>
          </w:p>
        </w:tc>
        <w:tc>
          <w:tcPr>
            <w:tcW w:w="1740" w:type="dxa"/>
            <w:vAlign w:val="bottom"/>
            <w:gridSpan w:val="3"/>
          </w:tcPr>
          <w:p>
            <w:pPr>
              <w:jc w:val="center"/>
              <w:ind w:right="167"/>
              <w:spacing w:after="0"/>
              <w:rPr>
                <w:sz w:val="20"/>
                <w:szCs w:val="20"/>
                <w:color w:val="auto"/>
              </w:rPr>
            </w:pPr>
            <w:r>
              <w:rPr>
                <w:rFonts w:ascii="Arial" w:cs="Arial" w:eastAsia="Arial" w:hAnsi="Arial"/>
                <w:sz w:val="18"/>
                <w:szCs w:val="18"/>
                <w:color w:val="auto"/>
                <w:w w:val="89"/>
              </w:rPr>
              <w:t>December 16, 2019</w:t>
            </w:r>
          </w:p>
        </w:tc>
        <w:tc>
          <w:tcPr>
            <w:tcW w:w="680" w:type="dxa"/>
            <w:vAlign w:val="bottom"/>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09"/>
        </w:trPr>
        <w:tc>
          <w:tcPr>
            <w:tcW w:w="2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137,953</w:t>
            </w:r>
          </w:p>
        </w:tc>
        <w:tc>
          <w:tcPr>
            <w:tcW w:w="0" w:type="dxa"/>
            <w:vAlign w:val="bottom"/>
          </w:tcPr>
          <w:p>
            <w:pPr>
              <w:spacing w:after="0"/>
              <w:rPr>
                <w:sz w:val="1"/>
                <w:szCs w:val="1"/>
                <w:color w:val="auto"/>
              </w:rPr>
            </w:pPr>
          </w:p>
        </w:tc>
      </w:tr>
      <w:tr>
        <w:trPr>
          <w:trHeight w:val="209"/>
        </w:trPr>
        <w:tc>
          <w:tcPr>
            <w:tcW w:w="2720" w:type="dxa"/>
            <w:vAlign w:val="bottom"/>
          </w:tcPr>
          <w:p>
            <w:pPr>
              <w:jc w:val="center"/>
              <w:spacing w:after="0"/>
              <w:rPr>
                <w:sz w:val="20"/>
                <w:szCs w:val="20"/>
                <w:color w:val="auto"/>
              </w:rPr>
            </w:pPr>
            <w:r>
              <w:rPr>
                <w:rFonts w:ascii="Arial" w:cs="Arial" w:eastAsia="Arial" w:hAnsi="Arial"/>
                <w:sz w:val="18"/>
                <w:szCs w:val="18"/>
                <w:color w:val="auto"/>
                <w:w w:val="90"/>
              </w:rPr>
              <w:t>February 5, 2020</w:t>
            </w:r>
          </w:p>
        </w:tc>
        <w:tc>
          <w:tcPr>
            <w:tcW w:w="1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jc w:val="center"/>
              <w:ind w:right="253"/>
              <w:spacing w:after="0"/>
              <w:rPr>
                <w:sz w:val="20"/>
                <w:szCs w:val="20"/>
                <w:color w:val="auto"/>
              </w:rPr>
            </w:pPr>
            <w:r>
              <w:rPr>
                <w:rFonts w:ascii="Arial" w:cs="Arial" w:eastAsia="Arial" w:hAnsi="Arial"/>
                <w:sz w:val="18"/>
                <w:szCs w:val="18"/>
                <w:color w:val="auto"/>
                <w:w w:val="88"/>
              </w:rPr>
              <w:t>0.561</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21, 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26,754</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February 5, 2020</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Preference (Series A, B, C)</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$ 0.5390625, $0.5125, $0.53125</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67"/>
              <w:spacing w:after="0"/>
              <w:rPr>
                <w:sz w:val="20"/>
                <w:szCs w:val="20"/>
                <w:color w:val="auto"/>
              </w:rPr>
            </w:pPr>
            <w:r>
              <w:rPr>
                <w:rFonts w:ascii="Arial" w:cs="Arial" w:eastAsia="Arial" w:hAnsi="Arial"/>
                <w:sz w:val="18"/>
                <w:szCs w:val="18"/>
                <w:color w:val="auto"/>
                <w:w w:val="91"/>
              </w:rPr>
              <w:t>March 16, 2020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16"/>
        </w:trPr>
        <w:tc>
          <w:tcPr>
            <w:tcW w:w="28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May 6, 2020</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Common</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jc w:val="center"/>
              <w:ind w:right="253"/>
              <w:spacing w:after="0"/>
              <w:rPr>
                <w:sz w:val="20"/>
                <w:szCs w:val="20"/>
                <w:color w:val="auto"/>
              </w:rPr>
            </w:pPr>
            <w:r>
              <w:rPr>
                <w:rFonts w:ascii="Arial" w:cs="Arial" w:eastAsia="Arial" w:hAnsi="Arial"/>
                <w:sz w:val="18"/>
                <w:szCs w:val="18"/>
                <w:color w:val="auto"/>
                <w:w w:val="88"/>
              </w:rPr>
              <w:t>0.125</w:t>
            </w:r>
          </w:p>
        </w:tc>
        <w:tc>
          <w:tcPr>
            <w:tcW w:w="140" w:type="dxa"/>
            <w:vAlign w:val="bottom"/>
          </w:tcPr>
          <w:p>
            <w:pPr>
              <w:spacing w:after="0"/>
              <w:rPr>
                <w:sz w:val="18"/>
                <w:szCs w:val="18"/>
                <w:color w:val="auto"/>
              </w:rPr>
            </w:pPr>
          </w:p>
        </w:tc>
        <w:tc>
          <w:tcPr>
            <w:tcW w:w="1740" w:type="dxa"/>
            <w:vAlign w:val="bottom"/>
            <w:gridSpan w:val="3"/>
          </w:tcPr>
          <w:p>
            <w:pPr>
              <w:jc w:val="center"/>
              <w:ind w:right="187"/>
              <w:spacing w:after="0"/>
              <w:rPr>
                <w:sz w:val="20"/>
                <w:szCs w:val="20"/>
                <w:color w:val="auto"/>
              </w:rPr>
            </w:pPr>
            <w:r>
              <w:rPr>
                <w:rFonts w:ascii="Arial" w:cs="Arial" w:eastAsia="Arial" w:hAnsi="Arial"/>
                <w:sz w:val="18"/>
                <w:szCs w:val="18"/>
                <w:color w:val="auto"/>
                <w:w w:val="91"/>
              </w:rPr>
              <w:t>May 21, 2020</w:t>
            </w:r>
          </w:p>
        </w:tc>
        <w:tc>
          <w:tcPr>
            <w:tcW w:w="680" w:type="dxa"/>
            <w:vAlign w:val="bottom"/>
          </w:tcPr>
          <w:p>
            <w:pPr>
              <w:jc w:val="right"/>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May 14, 2020</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Preference (Series A, B, C)</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$ 0.5390625, $0.5125, $0.53125</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87"/>
              <w:spacing w:after="0"/>
              <w:rPr>
                <w:sz w:val="20"/>
                <w:szCs w:val="20"/>
                <w:color w:val="auto"/>
              </w:rPr>
            </w:pPr>
            <w:r>
              <w:rPr>
                <w:rFonts w:ascii="Arial" w:cs="Arial" w:eastAsia="Arial" w:hAnsi="Arial"/>
                <w:sz w:val="18"/>
                <w:szCs w:val="18"/>
                <w:color w:val="auto"/>
                <w:w w:val="87"/>
              </w:rPr>
              <w:t>June 15, 2020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16"/>
        </w:trPr>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August 4, 2020</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Common</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jc w:val="center"/>
              <w:ind w:right="253"/>
              <w:spacing w:after="0"/>
              <w:rPr>
                <w:sz w:val="20"/>
                <w:szCs w:val="20"/>
                <w:color w:val="auto"/>
              </w:rPr>
            </w:pPr>
            <w:r>
              <w:rPr>
                <w:rFonts w:ascii="Arial" w:cs="Arial" w:eastAsia="Arial" w:hAnsi="Arial"/>
                <w:sz w:val="18"/>
                <w:szCs w:val="18"/>
                <w:color w:val="auto"/>
                <w:w w:val="88"/>
              </w:rPr>
              <w:t>0.125</w:t>
            </w:r>
          </w:p>
        </w:tc>
        <w:tc>
          <w:tcPr>
            <w:tcW w:w="140" w:type="dxa"/>
            <w:vAlign w:val="bottom"/>
          </w:tcPr>
          <w:p>
            <w:pPr>
              <w:spacing w:after="0"/>
              <w:rPr>
                <w:sz w:val="18"/>
                <w:szCs w:val="18"/>
                <w:color w:val="auto"/>
              </w:rPr>
            </w:pPr>
          </w:p>
        </w:tc>
        <w:tc>
          <w:tcPr>
            <w:tcW w:w="1740" w:type="dxa"/>
            <w:vAlign w:val="bottom"/>
            <w:gridSpan w:val="3"/>
          </w:tcPr>
          <w:p>
            <w:pPr>
              <w:jc w:val="center"/>
              <w:ind w:right="187"/>
              <w:spacing w:after="0"/>
              <w:rPr>
                <w:sz w:val="20"/>
                <w:szCs w:val="20"/>
                <w:color w:val="auto"/>
              </w:rPr>
            </w:pPr>
            <w:r>
              <w:rPr>
                <w:rFonts w:ascii="Arial" w:cs="Arial" w:eastAsia="Arial" w:hAnsi="Arial"/>
                <w:sz w:val="18"/>
                <w:szCs w:val="18"/>
                <w:color w:val="auto"/>
                <w:w w:val="91"/>
              </w:rPr>
              <w:t>August 20, 2020</w:t>
            </w:r>
          </w:p>
        </w:tc>
        <w:tc>
          <w:tcPr>
            <w:tcW w:w="680" w:type="dxa"/>
            <w:vAlign w:val="bottom"/>
          </w:tcPr>
          <w:p>
            <w:pPr>
              <w:jc w:val="right"/>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August 4, 2020</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Preference (Series A, B, C)</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$ 0.5390625, $0.5125, $0.53125</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87"/>
              <w:spacing w:after="0"/>
              <w:rPr>
                <w:sz w:val="20"/>
                <w:szCs w:val="20"/>
                <w:color w:val="auto"/>
              </w:rPr>
            </w:pPr>
            <w:r>
              <w:rPr>
                <w:rFonts w:ascii="Arial" w:cs="Arial" w:eastAsia="Arial" w:hAnsi="Arial"/>
                <w:sz w:val="18"/>
                <w:szCs w:val="18"/>
                <w:color w:val="auto"/>
                <w:w w:val="88"/>
              </w:rPr>
              <w:t>September 15, 2020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16"/>
        </w:trPr>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November 9, 2020</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Common</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jc w:val="center"/>
              <w:ind w:right="253"/>
              <w:spacing w:after="0"/>
              <w:rPr>
                <w:sz w:val="20"/>
                <w:szCs w:val="20"/>
                <w:color w:val="auto"/>
              </w:rPr>
            </w:pPr>
            <w:r>
              <w:rPr>
                <w:rFonts w:ascii="Arial" w:cs="Arial" w:eastAsia="Arial" w:hAnsi="Arial"/>
                <w:sz w:val="18"/>
                <w:szCs w:val="18"/>
                <w:color w:val="auto"/>
                <w:w w:val="91"/>
              </w:rPr>
              <w:t>0.01</w:t>
            </w:r>
          </w:p>
        </w:tc>
        <w:tc>
          <w:tcPr>
            <w:tcW w:w="140" w:type="dxa"/>
            <w:vAlign w:val="bottom"/>
          </w:tcPr>
          <w:p>
            <w:pPr>
              <w:spacing w:after="0"/>
              <w:rPr>
                <w:sz w:val="18"/>
                <w:szCs w:val="18"/>
                <w:color w:val="auto"/>
              </w:rPr>
            </w:pPr>
          </w:p>
        </w:tc>
        <w:tc>
          <w:tcPr>
            <w:tcW w:w="1740" w:type="dxa"/>
            <w:vAlign w:val="bottom"/>
            <w:gridSpan w:val="3"/>
          </w:tcPr>
          <w:p>
            <w:pPr>
              <w:jc w:val="center"/>
              <w:ind w:right="187"/>
              <w:spacing w:after="0"/>
              <w:rPr>
                <w:sz w:val="20"/>
                <w:szCs w:val="20"/>
                <w:color w:val="auto"/>
              </w:rPr>
            </w:pPr>
            <w:r>
              <w:rPr>
                <w:rFonts w:ascii="Arial" w:cs="Arial" w:eastAsia="Arial" w:hAnsi="Arial"/>
                <w:sz w:val="18"/>
                <w:szCs w:val="18"/>
                <w:color w:val="auto"/>
                <w:w w:val="91"/>
              </w:rPr>
              <w:t>November 25, 2020</w:t>
            </w:r>
          </w:p>
        </w:tc>
        <w:tc>
          <w:tcPr>
            <w:tcW w:w="68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November 9, 2020</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Preference (Series A, B, C)</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 xml:space="preserve">$ 0.5390625,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0.5125,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0.53125</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67"/>
              <w:spacing w:after="0"/>
              <w:rPr>
                <w:sz w:val="20"/>
                <w:szCs w:val="20"/>
                <w:color w:val="auto"/>
              </w:rPr>
            </w:pPr>
            <w:r>
              <w:rPr>
                <w:rFonts w:ascii="Arial" w:cs="Arial" w:eastAsia="Arial" w:hAnsi="Arial"/>
                <w:sz w:val="18"/>
                <w:szCs w:val="18"/>
                <w:color w:val="auto"/>
                <w:w w:val="89"/>
              </w:rPr>
              <w:t>December 15, 2020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09"/>
        </w:trPr>
        <w:tc>
          <w:tcPr>
            <w:tcW w:w="2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Borders>
              <w:bottom w:val="single" w:sz="8" w:color="CCEEFF"/>
            </w:tcBorders>
          </w:tcPr>
          <w:p>
            <w:pPr>
              <w:spacing w:after="0"/>
              <w:rPr>
                <w:sz w:val="18"/>
                <w:szCs w:val="18"/>
                <w:color w:val="auto"/>
              </w:rPr>
            </w:pPr>
          </w:p>
        </w:tc>
        <w:tc>
          <w:tcPr>
            <w:tcW w:w="198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69,556</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27, 2021</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91"/>
              </w:rPr>
              <w:t>0.01</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11, 2021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February 19, 2021</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Preference (Series A, B, C)</w:t>
            </w:r>
          </w:p>
        </w:tc>
        <w:tc>
          <w:tcPr>
            <w:tcW w:w="2340" w:type="dxa"/>
            <w:vAlign w:val="bottom"/>
            <w:gridSpan w:val="2"/>
          </w:tcPr>
          <w:p>
            <w:pPr>
              <w:spacing w:after="0"/>
              <w:rPr>
                <w:sz w:val="20"/>
                <w:szCs w:val="20"/>
                <w:color w:val="auto"/>
              </w:rPr>
            </w:pPr>
            <w:r>
              <w:rPr>
                <w:rFonts w:ascii="Arial" w:cs="Arial" w:eastAsia="Arial" w:hAnsi="Arial"/>
                <w:sz w:val="18"/>
                <w:szCs w:val="18"/>
                <w:color w:val="auto"/>
                <w:w w:val="89"/>
              </w:rPr>
              <w:t>$ 0.5390625, $0.5125, $0.53125</w:t>
            </w:r>
          </w:p>
        </w:tc>
        <w:tc>
          <w:tcPr>
            <w:tcW w:w="140" w:type="dxa"/>
            <w:vAlign w:val="bottom"/>
          </w:tcPr>
          <w:p>
            <w:pPr>
              <w:spacing w:after="0"/>
              <w:rPr>
                <w:sz w:val="18"/>
                <w:szCs w:val="18"/>
                <w:color w:val="auto"/>
              </w:rPr>
            </w:pPr>
          </w:p>
        </w:tc>
        <w:tc>
          <w:tcPr>
            <w:tcW w:w="1740" w:type="dxa"/>
            <w:vAlign w:val="bottom"/>
            <w:gridSpan w:val="3"/>
          </w:tcPr>
          <w:p>
            <w:pPr>
              <w:jc w:val="center"/>
              <w:ind w:right="167"/>
              <w:spacing w:after="0"/>
              <w:rPr>
                <w:sz w:val="20"/>
                <w:szCs w:val="20"/>
                <w:color w:val="auto"/>
              </w:rPr>
            </w:pPr>
            <w:r>
              <w:rPr>
                <w:rFonts w:ascii="Arial" w:cs="Arial" w:eastAsia="Arial" w:hAnsi="Arial"/>
                <w:sz w:val="18"/>
                <w:szCs w:val="18"/>
                <w:color w:val="auto"/>
                <w:w w:val="91"/>
              </w:rPr>
              <w:t>March 15, 2021</w:t>
            </w:r>
          </w:p>
        </w:tc>
        <w:tc>
          <w:tcPr>
            <w:tcW w:w="680" w:type="dxa"/>
            <w:vAlign w:val="bottom"/>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April 28, 2021</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Common</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91"/>
              </w:rPr>
              <w:t>0.01</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87"/>
              <w:spacing w:after="0"/>
              <w:rPr>
                <w:sz w:val="20"/>
                <w:szCs w:val="20"/>
                <w:color w:val="auto"/>
              </w:rPr>
            </w:pPr>
            <w:r>
              <w:rPr>
                <w:rFonts w:ascii="Arial" w:cs="Arial" w:eastAsia="Arial" w:hAnsi="Arial"/>
                <w:sz w:val="18"/>
                <w:szCs w:val="18"/>
                <w:color w:val="auto"/>
                <w:w w:val="91"/>
              </w:rPr>
              <w:t>May 13, 2021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8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May 13, 2021</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Preference (Series A, B, C)</w:t>
            </w:r>
          </w:p>
        </w:tc>
        <w:tc>
          <w:tcPr>
            <w:tcW w:w="2340" w:type="dxa"/>
            <w:vAlign w:val="bottom"/>
            <w:gridSpan w:val="2"/>
          </w:tcPr>
          <w:p>
            <w:pPr>
              <w:spacing w:after="0"/>
              <w:rPr>
                <w:sz w:val="20"/>
                <w:szCs w:val="20"/>
                <w:color w:val="auto"/>
              </w:rPr>
            </w:pPr>
            <w:r>
              <w:rPr>
                <w:rFonts w:ascii="Arial" w:cs="Arial" w:eastAsia="Arial" w:hAnsi="Arial"/>
                <w:sz w:val="18"/>
                <w:szCs w:val="18"/>
                <w:color w:val="auto"/>
                <w:w w:val="89"/>
              </w:rPr>
              <w:t>$ 0.5390625, $0.5125, $0.53125</w:t>
            </w:r>
          </w:p>
        </w:tc>
        <w:tc>
          <w:tcPr>
            <w:tcW w:w="140" w:type="dxa"/>
            <w:vAlign w:val="bottom"/>
          </w:tcPr>
          <w:p>
            <w:pPr>
              <w:spacing w:after="0"/>
              <w:rPr>
                <w:sz w:val="18"/>
                <w:szCs w:val="18"/>
                <w:color w:val="auto"/>
              </w:rPr>
            </w:pPr>
          </w:p>
        </w:tc>
        <w:tc>
          <w:tcPr>
            <w:tcW w:w="1740" w:type="dxa"/>
            <w:vAlign w:val="bottom"/>
            <w:gridSpan w:val="3"/>
          </w:tcPr>
          <w:p>
            <w:pPr>
              <w:jc w:val="center"/>
              <w:ind w:right="187"/>
              <w:spacing w:after="0"/>
              <w:rPr>
                <w:sz w:val="20"/>
                <w:szCs w:val="20"/>
                <w:color w:val="auto"/>
              </w:rPr>
            </w:pPr>
            <w:r>
              <w:rPr>
                <w:rFonts w:ascii="Arial" w:cs="Arial" w:eastAsia="Arial" w:hAnsi="Arial"/>
                <w:sz w:val="18"/>
                <w:szCs w:val="18"/>
                <w:color w:val="auto"/>
                <w:w w:val="87"/>
              </w:rPr>
              <w:t>June 14, 2021</w:t>
            </w:r>
          </w:p>
        </w:tc>
        <w:tc>
          <w:tcPr>
            <w:tcW w:w="680" w:type="dxa"/>
            <w:vAlign w:val="bottom"/>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July 26, 2021</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Common</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91"/>
              </w:rPr>
              <w:t>0.01</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87"/>
              <w:spacing w:after="0"/>
              <w:rPr>
                <w:sz w:val="20"/>
                <w:szCs w:val="20"/>
                <w:color w:val="auto"/>
              </w:rPr>
            </w:pPr>
            <w:r>
              <w:rPr>
                <w:rFonts w:ascii="Arial" w:cs="Arial" w:eastAsia="Arial" w:hAnsi="Arial"/>
                <w:sz w:val="18"/>
                <w:szCs w:val="18"/>
                <w:color w:val="auto"/>
                <w:w w:val="91"/>
              </w:rPr>
              <w:t>August 12, 2021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July 26, 2021</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Preference (Series A, B, C)</w:t>
            </w:r>
          </w:p>
        </w:tc>
        <w:tc>
          <w:tcPr>
            <w:tcW w:w="2340" w:type="dxa"/>
            <w:vAlign w:val="bottom"/>
            <w:gridSpan w:val="2"/>
          </w:tcPr>
          <w:p>
            <w:pPr>
              <w:spacing w:after="0"/>
              <w:rPr>
                <w:sz w:val="20"/>
                <w:szCs w:val="20"/>
                <w:color w:val="auto"/>
              </w:rPr>
            </w:pPr>
            <w:r>
              <w:rPr>
                <w:rFonts w:ascii="Arial" w:cs="Arial" w:eastAsia="Arial" w:hAnsi="Arial"/>
                <w:sz w:val="18"/>
                <w:szCs w:val="18"/>
                <w:color w:val="auto"/>
                <w:w w:val="89"/>
              </w:rPr>
              <w:t>$ 0.5390625, $0.5125, $0.53125</w:t>
            </w:r>
          </w:p>
        </w:tc>
        <w:tc>
          <w:tcPr>
            <w:tcW w:w="140" w:type="dxa"/>
            <w:vAlign w:val="bottom"/>
          </w:tcPr>
          <w:p>
            <w:pPr>
              <w:spacing w:after="0"/>
              <w:rPr>
                <w:sz w:val="18"/>
                <w:szCs w:val="18"/>
                <w:color w:val="auto"/>
              </w:rPr>
            </w:pPr>
          </w:p>
        </w:tc>
        <w:tc>
          <w:tcPr>
            <w:tcW w:w="1740" w:type="dxa"/>
            <w:vAlign w:val="bottom"/>
            <w:gridSpan w:val="3"/>
          </w:tcPr>
          <w:p>
            <w:pPr>
              <w:jc w:val="center"/>
              <w:ind w:right="187"/>
              <w:spacing w:after="0"/>
              <w:rPr>
                <w:sz w:val="20"/>
                <w:szCs w:val="20"/>
                <w:color w:val="auto"/>
              </w:rPr>
            </w:pPr>
            <w:r>
              <w:rPr>
                <w:rFonts w:ascii="Arial" w:cs="Arial" w:eastAsia="Arial" w:hAnsi="Arial"/>
                <w:sz w:val="18"/>
                <w:szCs w:val="18"/>
                <w:color w:val="auto"/>
                <w:w w:val="88"/>
              </w:rPr>
              <w:t>September 13, 2021</w:t>
            </w:r>
          </w:p>
        </w:tc>
        <w:tc>
          <w:tcPr>
            <w:tcW w:w="680" w:type="dxa"/>
            <w:vAlign w:val="bottom"/>
          </w:tcPr>
          <w:p>
            <w:pPr>
              <w:jc w:val="right"/>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October 26, 2021</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Common</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91"/>
              </w:rPr>
              <w:t>0.01</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87"/>
              <w:spacing w:after="0"/>
              <w:rPr>
                <w:sz w:val="20"/>
                <w:szCs w:val="20"/>
                <w:color w:val="auto"/>
              </w:rPr>
            </w:pPr>
            <w:r>
              <w:rPr>
                <w:rFonts w:ascii="Arial" w:cs="Arial" w:eastAsia="Arial" w:hAnsi="Arial"/>
                <w:sz w:val="18"/>
                <w:szCs w:val="18"/>
                <w:color w:val="auto"/>
                <w:w w:val="91"/>
              </w:rPr>
              <w:t>November 12, 2021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8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November 16, 2021</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Preference (Series A, B, C)</w:t>
            </w:r>
          </w:p>
        </w:tc>
        <w:tc>
          <w:tcPr>
            <w:tcW w:w="2340" w:type="dxa"/>
            <w:vAlign w:val="bottom"/>
            <w:gridSpan w:val="2"/>
          </w:tcPr>
          <w:p>
            <w:pPr>
              <w:spacing w:after="0"/>
              <w:rPr>
                <w:sz w:val="20"/>
                <w:szCs w:val="20"/>
                <w:color w:val="auto"/>
              </w:rPr>
            </w:pPr>
            <w:r>
              <w:rPr>
                <w:rFonts w:ascii="Arial" w:cs="Arial" w:eastAsia="Arial" w:hAnsi="Arial"/>
                <w:sz w:val="18"/>
                <w:szCs w:val="18"/>
                <w:color w:val="auto"/>
                <w:w w:val="89"/>
              </w:rPr>
              <w:t xml:space="preserve">$ 0.5390625,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0.5125,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0.53125</w:t>
            </w:r>
          </w:p>
        </w:tc>
        <w:tc>
          <w:tcPr>
            <w:tcW w:w="140" w:type="dxa"/>
            <w:vAlign w:val="bottom"/>
          </w:tcPr>
          <w:p>
            <w:pPr>
              <w:spacing w:after="0"/>
              <w:rPr>
                <w:sz w:val="18"/>
                <w:szCs w:val="18"/>
                <w:color w:val="auto"/>
              </w:rPr>
            </w:pPr>
          </w:p>
        </w:tc>
        <w:tc>
          <w:tcPr>
            <w:tcW w:w="1740" w:type="dxa"/>
            <w:vAlign w:val="bottom"/>
            <w:gridSpan w:val="3"/>
          </w:tcPr>
          <w:p>
            <w:pPr>
              <w:jc w:val="center"/>
              <w:ind w:right="167"/>
              <w:spacing w:after="0"/>
              <w:rPr>
                <w:sz w:val="20"/>
                <w:szCs w:val="20"/>
                <w:color w:val="auto"/>
              </w:rPr>
            </w:pPr>
            <w:r>
              <w:rPr>
                <w:rFonts w:ascii="Arial" w:cs="Arial" w:eastAsia="Arial" w:hAnsi="Arial"/>
                <w:sz w:val="18"/>
                <w:szCs w:val="18"/>
                <w:color w:val="auto"/>
                <w:w w:val="89"/>
              </w:rPr>
              <w:t>December 14, 2021</w:t>
            </w:r>
          </w:p>
        </w:tc>
        <w:tc>
          <w:tcPr>
            <w:tcW w:w="680" w:type="dxa"/>
            <w:vAlign w:val="bottom"/>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10"/>
        </w:trPr>
        <w:tc>
          <w:tcPr>
            <w:tcW w:w="2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31,877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following is a summary of the unitholder vote required for the approval of the matters specified below. Matters that require the approval of a “unit majority” require the approval of a majority of the outstanding common units voting as a single class.</w:t>
      </w:r>
    </w:p>
    <w:p>
      <w:pPr>
        <w:spacing w:after="0" w:line="124" w:lineRule="exact"/>
        <w:rPr>
          <w:sz w:val="20"/>
          <w:szCs w:val="20"/>
          <w:color w:val="auto"/>
        </w:rPr>
      </w:pPr>
    </w:p>
    <w:p>
      <w:pPr>
        <w:jc w:val="both"/>
        <w:ind w:right="620" w:firstLine="324"/>
        <w:spacing w:after="0" w:line="263" w:lineRule="auto"/>
        <w:rPr>
          <w:sz w:val="20"/>
          <w:szCs w:val="20"/>
          <w:color w:val="auto"/>
        </w:rPr>
      </w:pPr>
      <w:r>
        <w:rPr>
          <w:rFonts w:ascii="Arial" w:cs="Arial" w:eastAsia="Arial" w:hAnsi="Arial"/>
          <w:sz w:val="18"/>
          <w:szCs w:val="18"/>
          <w:color w:val="auto"/>
        </w:rPr>
        <w:t>In voting their common units the general partner and its affiliates will have no fiduciary duty or obligation whatsoever to the Partnership or the limited partners, including any duty to act in good faith or in the best interests of the Partnership or the limited partners.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Each outstanding common unit is entitled to one vote on matters subject to a vote of common unitholders. However, to preserve the Partnership’s ability to claim an exemption from U.S. federal income tax under Section 883 of the United States Internal Revenue Code of 1986,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the board of directors), determining the presence of a quorum or for other similar purposes under the Partnership Agreement, unless otherwise required by law. Effectively, this means that the voting rights of any such unitholders in excess of 4.9% will be redistributed pro rata among the other common unitholders holding less than 4.9% of the voting power of all classes of units entitled to vote. The general partner, its affiliates and persons who acquired common units with the prior approval of the board of directors will not be subject to this 4.9% limitation except with respect to voting their common units in the election of the elected directors. This loss of voting rights does not apply to the preference units.</w:t>
      </w:r>
    </w:p>
    <w:p>
      <w:pPr>
        <w:sectPr>
          <w:pgSz w:w="11900" w:h="16838" w:orient="portrait"/>
          <w:cols w:equalWidth="0" w:num="1">
            <w:col w:w="9920"/>
          </w:cols>
          <w:pgMar w:left="980" w:top="517"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Partnership holds a meeting of the limited partners every year to elect one or more members of the board of directors and to vote on any other matters that are properly brought before the meeting. The general partner retains the right to appoint three out of the five directors.</w:t>
      </w:r>
    </w:p>
    <w:p>
      <w:pPr>
        <w:spacing w:after="0" w:line="18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Preference unitholders generally have no voting rights. However, the consent of at least two thirds of the outstanding preference units, voting as a single class, is required prior to any amendment to the Partnership Agreement that would have a material adverse effect on the existing terms of the preference units, the issuance of securities that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the preference units if distributions are in arrears, or the issuance of securities that rank senior to the preference units. In addition, preference unitholders become entitled to elect one director to the Partnership’s board of directors if and whenever distributions payable are in arrears for six or more quarterly periods, whether or not consecutive. In such a case, the general partner will also be entitled to appoint one additional director to the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Partnership Agreement provides that the general partner initially will be entitled to 2.0% of all distributions that the Partnership makes prior to its liquidation. The general partner has the right, but not the obligation, to contribute a proportionate amount of capital to the Partnership to maintain its 2.0% general partner interest if the Partnership issues additional units. The general partner’s 2.0% interest, and the percentage of the Partnership’s cash distributions to which it is entitled, will be proportionately reduced if the Partnership issues additional units in the future and the general partner does not contribute a proportionate amount of capital to the Partnership in order to maintain its 2.0% general partner interest. The general partner will be entitled to make a capital contribution in order to maintain its 2.0% general partner interest in the form of the contribution to the Partnership of common units based on the current market value of the contributed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IDRs represented the right to receive an increasing percentage of quarterly distributions of available cash from operating surplus after the payment of preference unit distributions and after the minimum quarterly distribution and the target distribution levels had been achieved. Since completion of the IPO, GasLog had held 100% of the IDRs.</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Following the IDR elimination, 98% of the available cash is distributed to the common unitholders and 2% is distributed to the general partner. The updated earnings allocation has been applied to the Partnership’s earnings for the three months ended June 30, 2019 and onwards (Note 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units</w:t>
      </w:r>
    </w:p>
    <w:p>
      <w:pPr>
        <w:spacing w:after="0" w:line="229"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Class B units have all of the rights and obligations attached to the common units, except for voting rights and participation in distributions until such time as GasLog exercises its right to convert the Class B units to common units. After the conversion of the first and second tranches of 415,000 Class B units to common units on July 1, 2020 and 2021, the remaining 1,660,000 Class B units will become eligible for conversion on a one-for-one basis into common units at GasLog’s option on July 1, 2022, July 1, 2023, July 1, 2024 and July 1, 2025 for the Class B-3 units, Class B-4 units, Class B-5 units and Class B-6 units,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Units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and including the original issue date to, but excluding, June 15, 2027, distributions on the 8.625% Series A Cumulative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Redeemable Perpetual Fixed to Floating Rate Preference Units (the ‘‘Series A Preference Units’’) will accrue at 8.625% per annum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 of liquidation preference per unit. From and including June 15, 2027, the distribution rate will be a floating rate equal to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USD London Interbank Offered Rate (“LIBOR”)* plus a spread of 6.31% per annum per $25.00 of liquidation preference per unit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Series A Preference Units.</w:t>
      </w:r>
    </w:p>
    <w:p>
      <w:pPr>
        <w:spacing w:after="0" w:line="211"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From and including the original issue date to, but excluding, March 15, 2023, distributions on the 8.200% Series B Cumulative Redeemable Perpetual Fixed to Floating Rate Preference Units (the “Series B Preference Units”) will accrue at 8.200% per annum per $25.00 of liquidation preference per unit. From and including March 15, 2023, the distribution rate will be a floating rate equal to three-month LIBOR* plus a spread of 5.839% per annum per $25.00 of liquidation preference per unit of Series B Preference Units.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From and including the original issue date to, but excluding, March 15, 2024, the distribution rate for the 8.500% Series C Cumulative Redeemable Perpetual Fixed to Floating Rate Preference Units (the “Series C Preference Units”, and together with the Series A Preference Units and Series B Preference Units, the “Preference Units”) will accrue at 8.500% per annum per $25.00 of liquidation preference per unit. From and including March 15, 2024, the distribution rate will be a floating rate equal to the three-month LIBOR* plus a spread of 5.317% per annum per $25.00 of liquidation preference per unit of Series C Preference Units.</w:t>
      </w:r>
    </w:p>
    <w:p>
      <w:pPr>
        <w:spacing w:after="0" w:line="176"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The Preference Units issued are not convertible into common units and have been accounted for as equity instruments based on certain characteristics such as the absolute discretion held by our board of directors over distributions, which can be deferred and accumulated, as well as the redemption rights held only by the Partnership. The Series A, Series B and Series C Preference Units have preference upon liquidation and the holders would receive $25.00 per unit plus any accumulated and unpaid distributions.</w:t>
      </w:r>
    </w:p>
    <w:p>
      <w:pPr>
        <w:spacing w:after="0" w:line="162" w:lineRule="exact"/>
        <w:rPr>
          <w:sz w:val="20"/>
          <w:szCs w:val="20"/>
          <w:color w:val="auto"/>
        </w:rPr>
      </w:pPr>
    </w:p>
    <w:p>
      <w:pPr>
        <w:ind w:right="20" w:firstLine="332"/>
        <w:spacing w:after="0" w:line="300" w:lineRule="auto"/>
        <w:tabs>
          <w:tab w:leader="none" w:pos="486" w:val="left"/>
        </w:tabs>
        <w:numPr>
          <w:ilvl w:val="1"/>
          <w:numId w:val="114"/>
        </w:numPr>
        <w:rPr>
          <w:rFonts w:ascii="Arial" w:cs="Arial" w:eastAsia="Arial" w:hAnsi="Arial"/>
          <w:sz w:val="16"/>
          <w:szCs w:val="16"/>
          <w:color w:val="auto"/>
        </w:rPr>
      </w:pPr>
      <w:r>
        <w:rPr>
          <w:rFonts w:ascii="Arial" w:cs="Arial" w:eastAsia="Arial" w:hAnsi="Arial"/>
          <w:sz w:val="16"/>
          <w:szCs w:val="16"/>
          <w:color w:val="auto"/>
        </w:rPr>
        <w:t>Upon discontinuance of the LIBOR base rate, the appointed calculation agent will use a substitute or successor base rate that it has determined in its discretion, after consultation with the Partnership, and which is most comparable to the LIBOR base rate</w:t>
      </w:r>
      <w:r>
        <w:rPr>
          <w:rFonts w:ascii="Arial" w:cs="Arial" w:eastAsia="Arial" w:hAnsi="Arial"/>
          <w:sz w:val="17"/>
          <w:szCs w:val="17"/>
          <w:color w:val="auto"/>
        </w:rPr>
        <w:t>.</w:t>
      </w:r>
    </w:p>
    <w:p>
      <w:pPr>
        <w:spacing w:after="0" w:line="151" w:lineRule="exact"/>
        <w:rPr>
          <w:rFonts w:ascii="Arial" w:cs="Arial" w:eastAsia="Arial" w:hAnsi="Arial"/>
          <w:sz w:val="16"/>
          <w:szCs w:val="16"/>
          <w:color w:val="auto"/>
        </w:rPr>
      </w:pPr>
    </w:p>
    <w:p>
      <w:pPr>
        <w:ind w:left="180" w:hanging="172"/>
        <w:spacing w:after="0"/>
        <w:tabs>
          <w:tab w:leader="none" w:pos="1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Borrowings as of December 31, 2020 and 2021 consisted of the following:</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103,493</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deferred loan issuance costs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Borrowings—current portion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104,908</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99,307</w:t>
            </w: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1,195,241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996,242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loan issuance costs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(9,791)</w:t>
            </w:r>
          </w:p>
        </w:tc>
      </w:tr>
      <w:tr>
        <w:trPr>
          <w:trHeight w:val="210"/>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Borrowings—non-current portion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1,180,635</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986,451</w:t>
            </w:r>
          </w:p>
        </w:tc>
      </w:tr>
      <w:tr>
        <w:trPr>
          <w:trHeight w:val="210"/>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1,285,543</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1,085,758</w:t>
            </w:r>
          </w:p>
        </w:tc>
      </w:tr>
      <w:tr>
        <w:trPr>
          <w:trHeight w:val="20"/>
        </w:trPr>
        <w:tc>
          <w:tcPr>
            <w:tcW w:w="6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Terminated Facilities:</w:t>
      </w:r>
    </w:p>
    <w:p>
      <w:pPr>
        <w:spacing w:after="0" w:line="225" w:lineRule="exact"/>
        <w:rPr>
          <w:sz w:val="20"/>
          <w:szCs w:val="20"/>
          <w:color w:val="auto"/>
        </w:rPr>
      </w:pPr>
    </w:p>
    <w:p>
      <w:pPr>
        <w:ind w:left="340" w:right="360" w:hanging="332"/>
        <w:spacing w:after="0" w:line="282" w:lineRule="auto"/>
        <w:tabs>
          <w:tab w:leader="none" w:pos="3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Nordea Bank Finland PLC London Branch, DVB Bank America N.V., ABN Amro Bank N.V., Skandinaviska Enskilda Banken AB and BNP Paribas facility</w:t>
      </w:r>
    </w:p>
    <w:p>
      <w:pPr>
        <w:spacing w:after="0" w:line="166"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On November 12, 2014, GAS-three Ltd., GAS-four Ltd., GAS-five Ltd., GAS-sixteen Ltd., GAS-seventeen Ltd, GasLog Partners LP and GasLog Partners Holdings LLC entered into a loan agreement with Citibank N.A., London Branch, acting as security agent and trustee for and on behalf of the other finance parties mentioned above, for a credit facility for up to $450,000 (the “Terminated Partnership Facility”) for the purpose of refinancing in full the existing debt facilities. The agreement provided for a single tranche that was drawn on November 18, 2014. The credit facility bore interest at LIBOR plus a margin. On March 6, 2019, the Partnership prepaid an amount of $354,375 for the aggregate outstanding debt of GAS-three Ltd., GAS-four Ltd., GAS-five Ltd., GAS-sixteen Ltd. and GAS-seventeen Ltd., which would have been due in November 2019. On March 7, 2019, the facility was terminated and the respective unamortized loan fees of $988 were written-off to profit or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Five Vessel Refinancing</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On February 18, 2016, subsidiaries of the Partnership and GasLog entered into credit agreements (the “Five Vessel Refinancing”) to refinance the debt maturities that were scheduled to become due in 2016 and 2017. The Five Vessel Refinancing was comprised of a five-year senior tranche facility of up to $396,500 and a two-year bullet junior tranche of up to $180,000. The vessels covered by the Five Vessel Refinancing were the Partnership-owned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Methane Becki Anne </w:t>
      </w:r>
      <w:r>
        <w:rPr>
          <w:rFonts w:ascii="Arial" w:cs="Arial" w:eastAsia="Arial" w:hAnsi="Arial"/>
          <w:sz w:val="18"/>
          <w:szCs w:val="18"/>
          <w:color w:val="auto"/>
        </w:rPr>
        <w:t>and the GasLog-owned</w:t>
      </w:r>
      <w:r>
        <w:rPr>
          <w:rFonts w:ascii="Arial" w:cs="Arial" w:eastAsia="Arial" w:hAnsi="Arial"/>
          <w:sz w:val="18"/>
          <w:szCs w:val="18"/>
          <w:i w:val="1"/>
          <w:iCs w:val="1"/>
          <w:color w:val="auto"/>
        </w:rPr>
        <w:t xml:space="preserve"> Methane Lydon Volney</w:t>
      </w:r>
      <w:r>
        <w:rPr>
          <w:rFonts w:ascii="Arial" w:cs="Arial" w:eastAsia="Arial" w:hAnsi="Arial"/>
          <w:sz w:val="18"/>
          <w:szCs w:val="18"/>
          <w:color w:val="auto"/>
        </w:rPr>
        <w:t>. ABN AMRO Bank N.V. and DNB (UK) Ltd. were mandated lead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arrangers to the transaction. The other banks in the syndicate were: DVB Bank America N.V., Commonwealth Bank of Australia, ING Bank N.V., London Branch, Credit Agricole Corporate and Investment Bank and National Australia Bank Limited. Following the acquisition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on November 14, 2018, the Partnership assumed $93,896 of outstanding indebtedness of the acquired entity.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On April 5, 2016, $323,162 and $149,792 under the senior and junior tranche, respectively, of the Five Vessel Refinancing were drawn to refinance $535,500 of the outstanding debt of GAS-nineteen Ltd., GAS-twenty Ltd., GAS-twenty one Ltd. and GAS-twenty seven Ltd. The balance outstanding for the entities owned by the Partnership as of December 31, 2019 was $240,422 under the senior tranche. Amounts drawn bore interest at LIBOR plus a margin. The balance under the junior tranche was prepaid by the Partnership on April 5, 2017 and January 5, 2018, in amounts of $120,042 and $29,750, respectively, with the junior tranche subsequently cancelled. The senior tranche was terminated on July 16, 2020, with the subsequent prepayment of the remaining outstanding amount of $221,553 and the respective unamortized loan fees of $977 written-off to profit or loss.</w:t>
      </w:r>
    </w:p>
    <w:p>
      <w:pPr>
        <w:spacing w:after="0" w:line="173" w:lineRule="exact"/>
        <w:rPr>
          <w:sz w:val="20"/>
          <w:szCs w:val="20"/>
          <w:color w:val="auto"/>
        </w:rPr>
      </w:pPr>
    </w:p>
    <w:p>
      <w:pPr>
        <w:jc w:val="both"/>
        <w:ind w:left="340" w:right="140" w:hanging="332"/>
        <w:spacing w:after="0" w:line="266" w:lineRule="auto"/>
        <w:tabs>
          <w:tab w:leader="none" w:pos="3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Citigroup Global Market Limited, Credit Suisse AG, Nordea Bank AB, Skandinaviska Enskilda Banken AB (publ), HSBC Bank Plc, ING Bank N.V., London Branch, Danmarks Skibskredit A/S, Korea Development Bank and DVB Bank America N.V. facility</w:t>
      </w:r>
    </w:p>
    <w:p>
      <w:pPr>
        <w:spacing w:after="0" w:line="18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On July 19, 2016, GasLog entered into a credit agreement to refinance the existing indebtedness on eight of its on-the-water vessels of up to $1,050,000 (the “Legacy Facility Refinancing”) with a number of international banks, extending the maturities of six existing credit facilities to 2021. The vessels covered by the Legacy Facility Refinancing were the </w:t>
      </w:r>
      <w:r>
        <w:rPr>
          <w:rFonts w:ascii="Arial" w:cs="Arial" w:eastAsia="Arial" w:hAnsi="Arial"/>
          <w:sz w:val="17"/>
          <w:szCs w:val="17"/>
          <w:i w:val="1"/>
          <w:iCs w:val="1"/>
          <w:color w:val="auto"/>
        </w:rPr>
        <w:t>GasLog Savannah</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Singapore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Skagen</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Seattle</w:t>
      </w:r>
      <w:r>
        <w:rPr>
          <w:rFonts w:ascii="Arial" w:cs="Arial" w:eastAsia="Arial" w:hAnsi="Arial"/>
          <w:sz w:val="17"/>
          <w:szCs w:val="17"/>
          <w:color w:val="auto"/>
        </w:rPr>
        <w:t>, the</w:t>
      </w:r>
      <w:r>
        <w:rPr>
          <w:rFonts w:ascii="Arial" w:cs="Arial" w:eastAsia="Arial" w:hAnsi="Arial"/>
          <w:sz w:val="17"/>
          <w:szCs w:val="17"/>
          <w:i w:val="1"/>
          <w:iCs w:val="1"/>
          <w:color w:val="auto"/>
        </w:rPr>
        <w:t xml:space="preserve"> Solaris</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Saratoga</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Salem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Chelsea</w:t>
      </w:r>
      <w:r>
        <w:rPr>
          <w:rFonts w:ascii="Arial" w:cs="Arial" w:eastAsia="Arial" w:hAnsi="Arial"/>
          <w:sz w:val="17"/>
          <w:szCs w:val="17"/>
          <w:color w:val="auto"/>
        </w:rPr>
        <w:t>. Citigroup Global</w:t>
      </w:r>
      <w:r>
        <w:rPr>
          <w:rFonts w:ascii="Arial" w:cs="Arial" w:eastAsia="Arial" w:hAnsi="Arial"/>
          <w:sz w:val="17"/>
          <w:szCs w:val="17"/>
          <w:i w:val="1"/>
          <w:iCs w:val="1"/>
          <w:color w:val="auto"/>
        </w:rPr>
        <w:t xml:space="preserve"> </w:t>
      </w:r>
      <w:r>
        <w:rPr>
          <w:rFonts w:ascii="Arial" w:cs="Arial" w:eastAsia="Arial" w:hAnsi="Arial"/>
          <w:sz w:val="17"/>
          <w:szCs w:val="17"/>
          <w:color w:val="auto"/>
        </w:rPr>
        <w:t>Market Limited, Credit Suisse AG and Nordea Bank AB were mandated lead arrangers to the transaction. The other banks in the syndicate were: Skandinaviska Enskilda Banken AB (publ), HSBC Bank Plc, ING Bank N.V., London Branch, Danmarks Skibskredit A/S, Korea Development Bank and DVB Bank America N.V. Nordea Bank AB, London Branch was the agent and security agent for the transaction. The Legacy Facility Refinancing was comprised of a five-year term loan facility of up to $950,000 and a revolving credit facility of up to $100,000.</w:t>
      </w:r>
    </w:p>
    <w:p>
      <w:pPr>
        <w:spacing w:after="0" w:line="18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Following the acquisitions of GAS-seven Ltd. and GAS-eight Ltd., the Partnership assumed $122,292 and $124,141 of indebtedness drawn on July 25, 2016 under the term loan facility to refinance the existing indebtedness of $124,000 and $127,080 for GAS-seven Ltd. and GAS-eight Ltd., respectively. Amounts drawn bore interest at LIBOR plus a margin. On November 13, 2018, $25,940 was drawn under the revolving credit facility, which was repaid on December 12, 2018. The balance outstanding for the entities owned by the Partnership as of December 31, 2019 was $201,037. On March 18, 2020, $25,940 was drawn under the revolving credit facility. Finally, the facility was terminated on July 16, 2020, with the subsequent prepayment of the remaining outstanding amount of $211,846 and the respective unamortized loan fees of $941 written-off to profit or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GAS-eleven Ltd., GAS-twelve Ltd., GAS-thirteen Ltd. and GAS-fourteen Ltd. facility</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Following the acquisitions of GAS-eleven Ltd. on May 3, 2017, GAS-thirteen Ltd. on July 3, 2017, GAS-fourteen Ltd. on April 26, 2018 and GAS-twelve Ltd. on April 1, 2019, the Partnership assumed $151,423, $155,005, $143,622 and $134,107 of outstanding indebtedness of the acquired entities, respectively, under a debt financing agreement dated October 16, 2015 with 14 international banks, with Citibank N.A. London Branch and Nordea Bank AB, London Branch acting as agents on behalf of the other finance parties. The financing is backed by the Export Import Bank of Korea (“KEXIM”) and the Korea Trade Insurance Corporation (“K-Sure”), who are either directly lending or providing cover for over 60% of the facility (the “Assumed October 2015 Facility”).</w:t>
      </w:r>
    </w:p>
    <w:p>
      <w:pPr>
        <w:spacing w:after="0" w:line="164"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 xml:space="preserve">The loan agreements with GAS-eleven Ltd. and GAS-twelve Ltd., with respect to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respectively, provided for four tranches of $51,257, $25,615, $24,991 and $61,104, while the loan agreements with GAS-thirteen Ltd. and GAS-fourteen Ltd., with respect to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respectively, each provided for four tranches of $50,544, $25,258, $24,643 and $60,252. Under the terms of the agreement, each drawing under the first three tranches would be repaid in 24 consecutive semi-annual equal installments commencing six months after the actual deliveries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Glasgow</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Geneva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Gibraltar</w:t>
      </w:r>
      <w:r>
        <w:rPr>
          <w:rFonts w:ascii="Arial" w:cs="Arial" w:eastAsia="Arial" w:hAnsi="Arial"/>
          <w:sz w:val="17"/>
          <w:szCs w:val="17"/>
          <w:color w:val="auto"/>
        </w:rPr>
        <w:t>, respectively, according to a 12-year profile. Each drawing under the fourth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tranche would be repaid in 20 consecutive semi-annual equal installments commencing six months after the actual delivery of the relevant vessel according to a 20-year profile, with a balloon payment together with the final installment. On March 22, 2016 and on June 24, 2016, $162,967 was drawn down on each date to partially finance the delivery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respectively, while on September 26, 2016 and on October 25, 2016, $160,697 was drawn down on each date to partially finance the deliveries of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respectively. The aggregate balance outstanding for the entities owned by the Partnership as of December 31, 2021 is $406,516 (December 31, 2020: $452,369). Amounts drawn under each applicable tranche bear interest at LIBOR plus a margin.</w:t>
      </w:r>
    </w:p>
    <w:p>
      <w:pPr>
        <w:sectPr>
          <w:pgSz w:w="11900" w:h="16838" w:orient="portrait"/>
          <w:cols w:equalWidth="0" w:num="1">
            <w:col w:w="9880"/>
          </w:cols>
          <w:pgMar w:left="980" w:top="517" w:right="10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type w:val="continuous"/>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2019 GasLog Partners Facility</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of up to $450,000 (the “2019 GasLog Partners Facility”). Subsequently, on the same date, the Development Bank of Japan, Inc. entered the facility as lender via transfer certificate. The vessels covered by the 2019 GasLog Partners Facility are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w:t>
      </w:r>
      <w:r>
        <w:rPr>
          <w:rFonts w:ascii="Arial" w:cs="Arial" w:eastAsia="Arial" w:hAnsi="Arial"/>
          <w:sz w:val="18"/>
          <w:szCs w:val="18"/>
          <w:color w:val="auto"/>
        </w:rPr>
        <w:t xml:space="preserve"> </w:t>
      </w:r>
      <w:r>
        <w:rPr>
          <w:rFonts w:ascii="Arial" w:cs="Arial" w:eastAsia="Arial" w:hAnsi="Arial"/>
          <w:sz w:val="18"/>
          <w:szCs w:val="18"/>
          <w:i w:val="1"/>
          <w:iCs w:val="1"/>
          <w:color w:val="auto"/>
        </w:rPr>
        <w:t>Elizabeth</w:t>
      </w:r>
      <w:r>
        <w:rPr>
          <w:rFonts w:ascii="Arial" w:cs="Arial" w:eastAsia="Arial" w:hAnsi="Arial"/>
          <w:sz w:val="18"/>
          <w:szCs w:val="18"/>
          <w:color w:val="auto"/>
        </w:rPr>
        <w:t>.</w:t>
      </w:r>
    </w:p>
    <w:p>
      <w:pPr>
        <w:spacing w:after="0" w:line="19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75.0%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LIBOR plus a margin. On March 6, 2019, the Partnership drew down $360,000 under the 2019 GasLog Partners Facility, out of which $354,375 was used to prepay the outstanding debt under the Terminated Partnership Facility, which would have been due in November 2019. On April 1, 2019, the Partnership drew down an additional $75,000 under the 2019 GasLog Partners Facility.</w:t>
      </w:r>
    </w:p>
    <w:p>
      <w:pPr>
        <w:spacing w:after="0" w:line="166"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On October 26, 2021, the outstanding indebtedness of GAS-three Ltd., in the amount of $97,050 was prepaid pursuant to the sale and leaseback agreement entered into with a wholly-owned subsidiary of CDBL (refer to Note 4). The relevant advance of the loan agreement was cancelled and the respective unamortized loan fees of $604 were written-off to profit or loss. The aggregate balance outstanding as of December 31, 2021 is $273,568 (December 31, 2020: $398,501), with no amount available to be redrawn as of December 31, 2021 (December 31, 2020: nil).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BNP Paribas, Credit Suisse AG and Alpha Bank S.A.</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July 16, 2020, GasLog Partners entered into a credit agreement of $260,331 (the “GasLog Partners $260.3M Facility”) with BNP Paribas, Credit Suisse AG and Alpha Bank S.A., each an original lender, with BNP Paribas acting as security agent and trustee for and on behalf of the other finance parties mentioned above, in order to refinance the existing indebtedness due in 2021 on three of its vessels.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facility will amortize over ten equal semi-annual installments of $8,597 beginning in January 2021, with a final balloon amount of $174,361 payable concurrently with the last installment in July 2025. Interest on the facility will be payable at a rate of LIBOR plus a margin. The relevant amount of $260,331 was drawn on July 21, 2020, out of which $258,532 was used to refinance the outstanding indebtedness of GAS-twenty Ltd., GAS-seven Ltd. and GAS-eight Ltd., the respective entities owning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GasLog Seattle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Solaris</w:t>
      </w:r>
      <w:r>
        <w:rPr>
          <w:rFonts w:ascii="Arial" w:cs="Arial" w:eastAsia="Arial" w:hAnsi="Arial"/>
          <w:sz w:val="18"/>
          <w:szCs w:val="18"/>
          <w:color w:val="auto"/>
        </w:rPr>
        <w:t>. The balance outstanding under the facility as of December 31, 2021 is $243,137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$260,331).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DNB Bank ASA, London Branch, and ING Bank N.V., London Branch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July 16, 2020, GasLog Partners entered into a credit agreement of $193,713 (the “GasLog Partners $193.7M Facility”) with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DNB Bank ASA, London Branch, and ING Bank N.V., London Branch, each an original lender, with DNB Bank ASA, London Branch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acting as security agent and trustee for and on behalf of the other finance party mentioned above, in order to refinance the existing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indebtedness due in 2021 on three of its vessels. The facility will amortize over ten equal semi-annual installments of $8,599 beginning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January 2021, with a final balloon amount of $107,723 payable concurrently with the last installment in July 2025. Interest 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facility will be payable at a rate of LIBOR plus a margin. An amount of $193,713 was drawn down on July 21, 2020, out of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$174,867 was used to refinance the outstanding indebtedness of GAS-nineteen Ltd., GAS-twenty one Ltd. and GAS-twenty seven Ltd.,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respective entities owning the </w:t>
      </w:r>
      <w:r>
        <w:rPr>
          <w:rFonts w:ascii="Arial" w:cs="Arial" w:eastAsia="Arial" w:hAnsi="Arial"/>
          <w:sz w:val="17"/>
          <w:szCs w:val="17"/>
          <w:i w:val="1"/>
          <w:iCs w:val="1"/>
          <w:color w:val="auto"/>
        </w:rPr>
        <w:t>Methane Alison Victoria</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Heather Sally</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Becki Anne</w:t>
      </w:r>
      <w:r>
        <w:rPr>
          <w:rFonts w:ascii="Arial" w:cs="Arial" w:eastAsia="Arial" w:hAnsi="Arial"/>
          <w:sz w:val="17"/>
          <w:szCs w:val="17"/>
          <w:color w:val="auto"/>
        </w:rPr>
        <w:t>. The balance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 under the facility as of December 31, 2021 is $176,514 (December 31, 2020: $193,713).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Covenants and Guarantees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obligations under the credit agreements are secured as follows:</w:t>
      </w:r>
    </w:p>
    <w:p>
      <w:pPr>
        <w:spacing w:after="0" w:line="225" w:lineRule="exact"/>
        <w:rPr>
          <w:sz w:val="20"/>
          <w:szCs w:val="20"/>
          <w:color w:val="auto"/>
        </w:rPr>
      </w:pPr>
    </w:p>
    <w:p>
      <w:pPr>
        <w:ind w:left="4800" w:right="3920" w:hanging="4441"/>
        <w:spacing w:after="0" w:line="905" w:lineRule="auto"/>
        <w:tabs>
          <w:tab w:leader="none" w:pos="68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first priority mortgages over the ships owned by the respective borrowers; 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40" w:hanging="321"/>
        <w:spacing w:after="0" w:line="296" w:lineRule="auto"/>
        <w:tabs>
          <w:tab w:leader="none" w:pos="6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in the case of the 2019 GasLog Partners Facility, the GasLog Partners $260.3M Facility and the GasLog Partners $193.7M Facility guarantees from the Partnership and the Partnership’s subsidiary GasLog Partners Holdings LLC, and in the case of the Assumed October 2015 Facility, guarantees from the Partnership and GasLog Partners Holdings LLC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guarantees from GasLog and GasLog Carriers Ltd. for up to the value of the commitments on the remaining vessels;</w:t>
      </w:r>
    </w:p>
    <w:p>
      <w:pPr>
        <w:spacing w:after="0" w:line="161" w:lineRule="exact"/>
        <w:rPr>
          <w:rFonts w:ascii="Arial" w:cs="Arial" w:eastAsia="Arial" w:hAnsi="Arial"/>
          <w:sz w:val="16"/>
          <w:szCs w:val="16"/>
          <w:color w:val="auto"/>
        </w:rPr>
      </w:pPr>
    </w:p>
    <w:p>
      <w:pPr>
        <w:ind w:left="680" w:hanging="32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pledge or a negative pledge of the share capital of the respective borrower;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first priority assignment of all earnings and insurance related to the ships owned by the respective borrower.</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Certain of the credit facilities also impose certain restrictions relating to the Partnership and GasLog, and their other subsidiaries, including restrictions that limit the Partnership’s and GasLog’s ability to make any substantial change in the nature of the Partnership’s or GasLog’s business or to change the corporate structure without approval from lenders.</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credit facilities contain customary events of default, including non-payment of principal or interest, breach of covenants or material inaccuracy of representations, default under other material indebtedness and bankruptcy. In addition, the credit facilities contain covenants requiring the Partnership and certain of the Partnership’s subsidiaries to maintain the aggregate of (i) the market value, on a charter exclusive basis, of the mortgaged vessel or vessels and (ii) the market value of any additional security provided to the lenders, at a value of not less than 120.0% of the then outstanding amount under the applicable facility (130.0% of the aggregate outstanding principal balance plus any hedging exposure for the GasLog Partners $193.7M Facility). If the Partnership fails to comply with these covenants and are not able to obtain covenant waivers or modifications, the lenders could require the Partnership to make prepayments or provide additional collateral sufficient to bring the Partnership into compliance with such covenants, and if we fail to do so the lenders could accelerate the indebtedness.</w:t>
      </w:r>
    </w:p>
    <w:p>
      <w:pPr>
        <w:spacing w:after="0" w:line="18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credit facilities impose certain operating and financial restrictions on the Partnership and GasLog. These restrictions generally limit the Partnership’s and GasLog’s collective subsidiaries’ ability to, among other things: (a) incur additional indebtedness, create liens or provide guarantees, (b) provide any form of credit or financial assistance to, or enter into any non-arms’ length transactions with, the Partnership, GasLog or any of their affiliates, (c) sell or otherwise dispose of assets, including ships, (d) engage in merger transactions,</w:t>
      </w:r>
    </w:p>
    <w:p>
      <w:pPr>
        <w:spacing w:after="0" w:line="1" w:lineRule="exact"/>
        <w:rPr>
          <w:sz w:val="20"/>
          <w:szCs w:val="20"/>
          <w:color w:val="auto"/>
        </w:rPr>
      </w:pPr>
    </w:p>
    <w:p>
      <w:pPr>
        <w:ind w:right="260" w:firstLine="8"/>
        <w:spacing w:after="0" w:line="253" w:lineRule="auto"/>
        <w:tabs>
          <w:tab w:leader="none" w:pos="24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terminate any charter, (f) change the manager of ships, or (g) acquire assets, make investments or enter into any joint venture arrangements outside of the ordinary course of business. In addition, under each facility, the respective vessel-owning entities are also required to maintain at all times minimum liquidity of $1,500 per entity ($5,500 for GAS-twenty Ltd.) and were in compliance as of December 31, 2021.</w:t>
      </w:r>
    </w:p>
    <w:p>
      <w:pPr>
        <w:spacing w:after="0" w:line="19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Partnership, as corporate guarantor is also subject to specified financial covenants on a consolidated basis. These financial covenants include the following as defined in the agreements:</w:t>
      </w:r>
    </w:p>
    <w:p>
      <w:pPr>
        <w:spacing w:after="0" w:line="170" w:lineRule="exact"/>
        <w:rPr>
          <w:sz w:val="20"/>
          <w:szCs w:val="20"/>
          <w:color w:val="auto"/>
        </w:rPr>
      </w:pPr>
    </w:p>
    <w:p>
      <w:pPr>
        <w:ind w:left="1340" w:right="480" w:hanging="333"/>
        <w:spacing w:after="0" w:line="342" w:lineRule="auto"/>
        <w:tabs>
          <w:tab w:leader="none" w:pos="1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aggregate amount of cash and cash equivalents, short-term investments and available undrawn facilities with remaining maturities of at least six months (excluding loans from affiliates) must be at least $45,000;</w:t>
      </w:r>
    </w:p>
    <w:p>
      <w:pPr>
        <w:spacing w:after="0" w:line="123" w:lineRule="exact"/>
        <w:rPr>
          <w:rFonts w:ascii="Arial" w:cs="Arial" w:eastAsia="Arial" w:hAnsi="Arial"/>
          <w:sz w:val="16"/>
          <w:szCs w:val="16"/>
          <w:color w:val="auto"/>
        </w:rPr>
      </w:pPr>
    </w:p>
    <w:p>
      <w:pPr>
        <w:ind w:left="1340" w:hanging="333"/>
        <w:spacing w:after="0"/>
        <w:tabs>
          <w:tab w:leader="none" w:pos="1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w:t>
      </w:r>
    </w:p>
    <w:p>
      <w:pPr>
        <w:spacing w:after="0" w:line="225" w:lineRule="exact"/>
        <w:rPr>
          <w:rFonts w:ascii="Arial" w:cs="Arial" w:eastAsia="Arial" w:hAnsi="Arial"/>
          <w:sz w:val="18"/>
          <w:szCs w:val="18"/>
          <w:color w:val="auto"/>
        </w:rPr>
      </w:pPr>
    </w:p>
    <w:p>
      <w:pPr>
        <w:ind w:left="1340" w:right="460" w:hanging="333"/>
        <w:spacing w:after="0" w:line="277" w:lineRule="auto"/>
        <w:tabs>
          <w:tab w:leader="none" w:pos="13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distributions, subject to no event of default having occurred or occurring as a consequence of the payment of such distributions.</w:t>
      </w:r>
    </w:p>
    <w:p>
      <w:pPr>
        <w:spacing w:after="0" w:line="17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Assumed October 2015 Facility also imposes specified financial covenants that apply to GasLog and its subsidiaries on a consolidated basis:</w:t>
      </w:r>
    </w:p>
    <w:p>
      <w:pPr>
        <w:spacing w:after="0" w:line="170" w:lineRule="exact"/>
        <w:rPr>
          <w:sz w:val="20"/>
          <w:szCs w:val="20"/>
          <w:color w:val="auto"/>
        </w:rPr>
      </w:pPr>
    </w:p>
    <w:p>
      <w:pPr>
        <w:ind w:left="1340" w:hanging="333"/>
        <w:spacing w:after="0"/>
        <w:tabs>
          <w:tab w:leader="none" w:pos="1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25" w:lineRule="exact"/>
        <w:rPr>
          <w:rFonts w:ascii="Arial" w:cs="Arial" w:eastAsia="Arial" w:hAnsi="Arial"/>
          <w:sz w:val="18"/>
          <w:szCs w:val="18"/>
          <w:color w:val="auto"/>
        </w:rPr>
      </w:pPr>
    </w:p>
    <w:p>
      <w:pPr>
        <w:ind w:left="1340" w:hanging="333"/>
        <w:spacing w:after="0"/>
        <w:tabs>
          <w:tab w:leader="none" w:pos="1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25" w:lineRule="exact"/>
        <w:rPr>
          <w:rFonts w:ascii="Arial" w:cs="Arial" w:eastAsia="Arial" w:hAnsi="Arial"/>
          <w:sz w:val="18"/>
          <w:szCs w:val="18"/>
          <w:color w:val="auto"/>
        </w:rPr>
      </w:pPr>
    </w:p>
    <w:p>
      <w:pPr>
        <w:ind w:left="1340" w:right="280" w:hanging="333"/>
        <w:spacing w:after="0" w:line="342" w:lineRule="auto"/>
        <w:tabs>
          <w:tab w:leader="none" w:pos="1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ratio of EBITDA over debt service obligations as defined in the GasLog guarantees (including interest and debt repayments, but excluding any prepayments) on a trailing 12 months basis must be not less than 110.0%; the ratio</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40" w:right="200"/>
        <w:spacing w:after="0" w:line="277" w:lineRule="auto"/>
        <w:rPr>
          <w:sz w:val="20"/>
          <w:szCs w:val="20"/>
          <w:color w:val="auto"/>
        </w:rPr>
      </w:pPr>
      <w:r>
        <w:rPr>
          <w:rFonts w:ascii="Arial" w:cs="Arial" w:eastAsia="Arial" w:hAnsi="Arial"/>
          <w:sz w:val="18"/>
          <w:szCs w:val="18"/>
          <w:color w:val="auto"/>
        </w:rPr>
        <w:t>shall be regarded as having been complied with even if the ratio falls below the stipulated 110% when cash and cash equivalents and short-term investments are at least $110,000;</w:t>
      </w:r>
    </w:p>
    <w:p>
      <w:pPr>
        <w:spacing w:after="0" w:line="170" w:lineRule="exact"/>
        <w:rPr>
          <w:sz w:val="20"/>
          <w:szCs w:val="20"/>
          <w:color w:val="auto"/>
        </w:rPr>
      </w:pPr>
    </w:p>
    <w:p>
      <w:pPr>
        <w:ind w:left="1340" w:hanging="333"/>
        <w:spacing w:after="0"/>
        <w:tabs>
          <w:tab w:leader="none" w:pos="1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aggregate amount of cash and cash equivalents and short-term investments must be not less than $75,000; and</w:t>
      </w:r>
    </w:p>
    <w:p>
      <w:pPr>
        <w:spacing w:after="0" w:line="248" w:lineRule="exact"/>
        <w:rPr>
          <w:rFonts w:ascii="Arial" w:cs="Arial" w:eastAsia="Arial" w:hAnsi="Arial"/>
          <w:sz w:val="16"/>
          <w:szCs w:val="16"/>
          <w:color w:val="auto"/>
        </w:rPr>
      </w:pPr>
    </w:p>
    <w:p>
      <w:pPr>
        <w:ind w:left="1340" w:hanging="333"/>
        <w:spacing w:after="0"/>
        <w:tabs>
          <w:tab w:leader="none" w:pos="1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$350,000.</w:t>
      </w:r>
    </w:p>
    <w:p>
      <w:pPr>
        <w:spacing w:after="0" w:line="225"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The second set of covenants could also be applicable to GasLog and its subsidiaries on a consolidated basis under the GasLog Partners $193.7M Facility in the event of a reverse drop-down of a vessel from the Partnership to GasLog.</w:t>
      </w:r>
    </w:p>
    <w:p>
      <w:pPr>
        <w:spacing w:after="0" w:line="14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connection with the de-listing of GasLog’s common shares from the New York Stock Exchange completed in June 2021, supplemental agreements have been signed with certain of the Partnership’s lenders with respect to clauses relating to GasLog. All costs relating to such amendments have been covered by GasLog directly.</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Compliance with financial covenants is required to be reported to the Partnership’s lenders on a semi-annual basis. GasLog Partners and GasLog were in compliance with all financial covenants as of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From Related Parties: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April 3, 2017, GasLog Partners entered into an unsecured five-year term loan of $45,000 and a five-year revolving credit facility of $30,000 with GasLog (together, the “Sponsor Credit Facility”). The term loan facility was terminated on March 23, 2018. The revolving credit facility provides for an availability period of five years and accrues interest at a rate of 9.125% per annum with an annual 1.0% commitment fee on the undrawn balance.</w:t>
      </w:r>
    </w:p>
    <w:p>
      <w:pPr>
        <w:spacing w:after="0" w:line="187"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On November 14, 2019, the Partnership drew down $10,000 under the revolving credit facility, which was subsequently repaid on December 31, 2019. As of December 31, 2021, the outstanding balance of the Sponsor Credit Facility is nil.</w:t>
      </w:r>
    </w:p>
    <w:p>
      <w:pPr>
        <w:spacing w:after="0" w:line="14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Sponsor Credit Facility contains customary events of default, including non-payment of principal or interest, breach of covenants or material inaccuracy of representations, default under other material indebtedness and bankruptcy. In addition, the Sponsor Credit Facility covenants require that at all times GasLog must continue to control, directly or indirectly, the affairs or composition of the Partnership’s board of directors and any amendment to our Partnership Agreement, in the reasonable opinion of the lender, must not be adverse to its interests in connection with the Sponsor Credit 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Repayment Schedule</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maturity table below reflects the principal repayments of the borrowings outstanding as of December 31, 2021 based on their repayment schedules: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69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9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000" w:type="dxa"/>
            <w:vAlign w:val="bottom"/>
          </w:tcPr>
          <w:p>
            <w:pPr>
              <w:jc w:val="right"/>
              <w:spacing w:after="0"/>
              <w:rPr>
                <w:sz w:val="20"/>
                <w:szCs w:val="20"/>
                <w:color w:val="auto"/>
              </w:rPr>
            </w:pPr>
            <w:r>
              <w:rPr>
                <w:rFonts w:ascii="Arial" w:cs="Arial" w:eastAsia="Arial" w:hAnsi="Arial"/>
                <w:sz w:val="18"/>
                <w:szCs w:val="18"/>
                <w:color w:val="auto"/>
              </w:rPr>
              <w:t>410,810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526,485</w:t>
            </w: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Later than five years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58,947</w:t>
            </w:r>
          </w:p>
        </w:tc>
      </w:tr>
      <w:tr>
        <w:trPr>
          <w:trHeight w:val="210"/>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1,099,735</w:t>
            </w:r>
          </w:p>
        </w:tc>
      </w:tr>
      <w:tr>
        <w:trPr>
          <w:trHeight w:val="20"/>
        </w:trPr>
        <w:tc>
          <w:tcPr>
            <w:tcW w:w="6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The weighted average interest rate for the abovementioned credit facilities in the year ended December 31, 2021 is 2.4% (December 31, 2020: 3.1%).</w:t>
      </w:r>
    </w:p>
    <w:p>
      <w:pPr>
        <w:spacing w:after="0" w:line="1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As the bank facilities bear interest at variable interest rates, their aggregate fair value as of December 31, 2021 is equal to the principal amount outstanding of $1,099,735.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Payables and Accruals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other payables and accruals is as follows:</w:t>
      </w:r>
    </w:p>
    <w:p>
      <w:pPr>
        <w:spacing w:after="0" w:line="230"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As of</w:t>
      </w:r>
    </w:p>
    <w:p>
      <w:pPr>
        <w:jc w:val="center"/>
        <w:ind w:left="6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Accrued off-hire</w:t>
            </w:r>
          </w:p>
        </w:tc>
        <w:tc>
          <w:tcPr>
            <w:tcW w:w="740" w:type="dxa"/>
            <w:vAlign w:val="bottom"/>
          </w:tcPr>
          <w:p>
            <w:pPr>
              <w:jc w:val="right"/>
              <w:spacing w:after="0"/>
              <w:rPr>
                <w:sz w:val="20"/>
                <w:szCs w:val="20"/>
                <w:color w:val="auto"/>
              </w:rPr>
            </w:pPr>
            <w:r>
              <w:rPr>
                <w:rFonts w:ascii="Arial" w:cs="Arial" w:eastAsia="Arial" w:hAnsi="Arial"/>
                <w:sz w:val="18"/>
                <w:szCs w:val="18"/>
                <w:color w:val="auto"/>
              </w:rPr>
              <w:t>1,802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1,768</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Accrued interest</w:t>
            </w:r>
          </w:p>
        </w:tc>
        <w:tc>
          <w:tcPr>
            <w:tcW w:w="740" w:type="dxa"/>
            <w:vAlign w:val="bottom"/>
          </w:tcPr>
          <w:p>
            <w:pPr>
              <w:jc w:val="right"/>
              <w:spacing w:after="0"/>
              <w:rPr>
                <w:sz w:val="20"/>
                <w:szCs w:val="20"/>
                <w:color w:val="auto"/>
              </w:rPr>
            </w:pPr>
            <w:r>
              <w:rPr>
                <w:rFonts w:ascii="Arial" w:cs="Arial" w:eastAsia="Arial" w:hAnsi="Arial"/>
                <w:sz w:val="18"/>
                <w:szCs w:val="18"/>
                <w:color w:val="auto"/>
              </w:rPr>
              <w:t>10,855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9,180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r>
      <w:tr>
        <w:trPr>
          <w:trHeight w:val="209"/>
        </w:trPr>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50,679</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50,171</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unearned revenue of $28,325 represents monthly charter hires received in advance as of December 31, 2021 relating to January 2022 (December 31, 2020: $25,828).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Partnership has recognized the following amounts relating to revenues:</w:t>
      </w:r>
    </w:p>
    <w:p>
      <w:pPr>
        <w:spacing w:after="0" w:line="230"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For the year ended</w:t>
      </w:r>
    </w:p>
    <w:p>
      <w:pPr>
        <w:jc w:val="center"/>
        <w:ind w:left="55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55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long-term time charters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312,978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243,288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177,275</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Revenues from spot time charters</w:t>
            </w:r>
          </w:p>
        </w:tc>
        <w:tc>
          <w:tcPr>
            <w:tcW w:w="680" w:type="dxa"/>
            <w:vAlign w:val="bottom"/>
          </w:tcPr>
          <w:p>
            <w:pPr>
              <w:jc w:val="right"/>
              <w:spacing w:after="0"/>
              <w:rPr>
                <w:sz w:val="20"/>
                <w:szCs w:val="20"/>
                <w:color w:val="auto"/>
              </w:rPr>
            </w:pPr>
            <w:r>
              <w:rPr>
                <w:rFonts w:ascii="Arial" w:cs="Arial" w:eastAsia="Arial" w:hAnsi="Arial"/>
                <w:sz w:val="18"/>
                <w:szCs w:val="18"/>
                <w:color w:val="auto"/>
              </w:rPr>
              <w:t>60,715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90,374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148,867</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the Cool Pool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378,687</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333,662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326,142</w:t>
            </w:r>
          </w:p>
        </w:tc>
      </w:tr>
      <w:tr>
        <w:trPr>
          <w:trHeight w:val="20"/>
        </w:trPr>
        <w:tc>
          <w:tcPr>
            <w:tcW w:w="5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Partnership defines long-term time charters as charter party agreements with an initial duration of more than five years (excluding any optional periods), while all charter party agreements of an initial duration of less than (or equal to) five years (excluding any optional periods) are classified as spot time charters.</w:t>
      </w:r>
    </w:p>
    <w:p>
      <w:pPr>
        <w:spacing w:after="0" w:line="18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 xml:space="preserve">Revenues from the Cool Pool relate only to the pool revenues received from a GasLog Partners vessel operating in the Cool Pool and do not include the Net pool allocation to GasLog Partners of a gain of $1,058 for the year ended December 31, 2019. On June 23, 2019,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exited the pool following a termination agreement dated June 6, 2019 that GasLog entered into with the Cool Pool and Golar in order to assume commercial control of GasLog’s and GasLog Partners’ vessels operating in the spot market.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Voyage Expenses and Commissions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voyage expenses and commissions is as follows:</w:t>
      </w:r>
    </w:p>
    <w:p>
      <w:pPr>
        <w:spacing w:after="0" w:line="230"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For the year ended</w:t>
      </w:r>
    </w:p>
    <w:p>
      <w:pPr>
        <w:jc w:val="center"/>
        <w:ind w:left="56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Brokers’ commissions on revenues</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4,258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Bunkers’ consumption and other voyage expenses</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3,050</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w:t>
            </w:r>
          </w:p>
        </w:tc>
      </w:tr>
      <w:tr>
        <w:trPr>
          <w:trHeight w:val="209"/>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7,308</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10,443</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6,863</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Bunkers’ consumption represents mainly bunkers consumed during periods when a vessel is not employed under a charter or off-hire periods (including bunkers consumed during dry-docking).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General and Administrative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30"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For the year ended</w:t>
      </w:r>
    </w:p>
    <w:p>
      <w:pPr>
        <w:jc w:val="center"/>
        <w:ind w:left="56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tcBorders>
            <w:gridSpan w:val="2"/>
          </w:tcPr>
          <w:p>
            <w:pPr>
              <w:jc w:val="center"/>
              <w:ind w:left="57"/>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services fees (Note 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Commercial management fees (Note 14)</w:t>
            </w:r>
          </w:p>
        </w:tc>
        <w:tc>
          <w:tcPr>
            <w:tcW w:w="660" w:type="dxa"/>
            <w:vAlign w:val="bottom"/>
          </w:tcPr>
          <w:p>
            <w:pPr>
              <w:jc w:val="right"/>
              <w:spacing w:after="0"/>
              <w:rPr>
                <w:sz w:val="20"/>
                <w:szCs w:val="20"/>
                <w:color w:val="auto"/>
              </w:rPr>
            </w:pPr>
            <w:r>
              <w:rPr>
                <w:rFonts w:ascii="Arial" w:cs="Arial" w:eastAsia="Arial" w:hAnsi="Arial"/>
                <w:sz w:val="18"/>
                <w:szCs w:val="18"/>
                <w:color w:val="auto"/>
              </w:rPr>
              <w:t>5,400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(Note 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3,880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13,362</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Vessel Operating Costs</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gridSpan w:val="2"/>
          </w:tcPr>
          <w:p>
            <w:pPr>
              <w:ind w:left="340"/>
              <w:spacing w:after="0"/>
              <w:rPr>
                <w:sz w:val="20"/>
                <w:szCs w:val="20"/>
                <w:color w:val="auto"/>
              </w:rPr>
            </w:pPr>
            <w:r>
              <w:rPr>
                <w:rFonts w:ascii="Arial" w:cs="Arial" w:eastAsia="Arial" w:hAnsi="Arial"/>
                <w:sz w:val="18"/>
                <w:szCs w:val="18"/>
                <w:color w:val="auto"/>
              </w:rPr>
              <w:t>An analysis of vessel operating costs is as follows: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0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740" w:type="dxa"/>
            <w:vAlign w:val="bottom"/>
            <w:gridSpan w:val="5"/>
          </w:tcPr>
          <w:p>
            <w:pPr>
              <w:jc w:val="center"/>
              <w:ind w:left="455"/>
              <w:spacing w:after="0"/>
              <w:rPr>
                <w:sz w:val="20"/>
                <w:szCs w:val="20"/>
                <w:color w:val="auto"/>
              </w:rPr>
            </w:pPr>
            <w:r>
              <w:rPr>
                <w:rFonts w:ascii="Arial" w:cs="Arial" w:eastAsia="Arial" w:hAnsi="Arial"/>
                <w:sz w:val="14"/>
                <w:szCs w:val="14"/>
                <w:b w:val="1"/>
                <w:bCs w:val="1"/>
                <w:color w:val="auto"/>
                <w:w w:val="92"/>
              </w:rPr>
              <w:t>For the year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6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gridSpan w:val="2"/>
          </w:tcPr>
          <w:p>
            <w:pPr>
              <w:jc w:val="center"/>
              <w:ind w:left="57"/>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Crew costs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38,768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Technical maintenance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20,987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21,295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19,342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17,223</w:t>
            </w:r>
          </w:p>
        </w:tc>
        <w:tc>
          <w:tcPr>
            <w:tcW w:w="0" w:type="dxa"/>
            <w:vAlign w:val="bottom"/>
          </w:tcPr>
          <w:p>
            <w:pPr>
              <w:spacing w:after="0"/>
              <w:rPr>
                <w:sz w:val="1"/>
                <w:szCs w:val="1"/>
                <w:color w:val="auto"/>
              </w:rPr>
            </w:pPr>
          </w:p>
        </w:tc>
      </w:tr>
      <w:tr>
        <w:trPr>
          <w:trHeight w:val="210"/>
        </w:trPr>
        <w:tc>
          <w:tcPr>
            <w:tcW w:w="6620" w:type="dxa"/>
            <w:vAlign w:val="bottom"/>
            <w:gridSpan w:val="2"/>
          </w:tcPr>
          <w:p>
            <w:pPr>
              <w:ind w:left="1000"/>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76,742</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74,798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75,333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Financial Income and Costs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financial income and financial costs is as follows:</w:t>
      </w:r>
    </w:p>
    <w:p>
      <w:pPr>
        <w:spacing w:after="0" w:line="230"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For the year ended</w:t>
      </w:r>
    </w:p>
    <w:p>
      <w:pPr>
        <w:jc w:val="center"/>
        <w:ind w:left="56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Financial income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1,887</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Financial costs</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write-off of deferred loan issuance costs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660" w:type="dxa"/>
            <w:vAlign w:val="bottom"/>
          </w:tcPr>
          <w:p>
            <w:pPr>
              <w:jc w:val="right"/>
              <w:spacing w:after="0"/>
              <w:rPr>
                <w:sz w:val="20"/>
                <w:szCs w:val="20"/>
                <w:color w:val="auto"/>
              </w:rPr>
            </w:pPr>
            <w:r>
              <w:rPr>
                <w:rFonts w:ascii="Arial" w:cs="Arial" w:eastAsia="Arial" w:hAnsi="Arial"/>
                <w:sz w:val="18"/>
                <w:szCs w:val="18"/>
                <w:color w:val="auto"/>
              </w:rPr>
              <w:t>63,912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42,459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30,114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Lease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Commitment fees</w:t>
            </w:r>
          </w:p>
        </w:tc>
        <w:tc>
          <w:tcPr>
            <w:tcW w:w="660" w:type="dxa"/>
            <w:vAlign w:val="bottom"/>
          </w:tcPr>
          <w:p>
            <w:pPr>
              <w:jc w:val="right"/>
              <w:spacing w:after="0"/>
              <w:rPr>
                <w:sz w:val="20"/>
                <w:szCs w:val="20"/>
                <w:color w:val="auto"/>
              </w:rPr>
            </w:pPr>
            <w:r>
              <w:rPr>
                <w:rFonts w:ascii="Arial" w:cs="Arial" w:eastAsia="Arial" w:hAnsi="Arial"/>
                <w:sz w:val="18"/>
                <w:szCs w:val="18"/>
                <w:color w:val="auto"/>
              </w:rPr>
              <w:t>729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costs including bank commissions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financial costs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71,998</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50,987</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37,297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year ended December 31, 2021, an amount of $604 representing the write-off of the unamortized deferred loan issuance costs in connection with the termination of the GAS-three Ltd. advance of 2019 GasLog Partners Facility (Note 7) was included in Amortization and write-off of deferred loan issuance costs (December 31, 2020: $1,918 in connection with the termination of the Five Vessel Refinancing and the Legacy Facility Refinancing, December 31, 2019: $988 in connection with the termination of the Terminated Partnership Facility).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Partnership has the following balances with related parties which are included in the consolidated statements of financial position:</w:t>
      </w:r>
    </w:p>
    <w:p>
      <w:pPr>
        <w:spacing w:after="0" w:line="175"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As of</w:t>
      </w:r>
    </w:p>
    <w:p>
      <w:pPr>
        <w:jc w:val="center"/>
        <w:ind w:left="6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10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60" w:type="dxa"/>
            <w:vAlign w:val="bottom"/>
            <w:gridSpan w:val="2"/>
          </w:tcPr>
          <w:p>
            <w:pPr>
              <w:spacing w:after="0" w:line="216" w:lineRule="exact"/>
              <w:rPr>
                <w:sz w:val="20"/>
                <w:szCs w:val="20"/>
                <w:color w:val="auto"/>
              </w:rPr>
            </w:pPr>
            <w:r>
              <w:rPr>
                <w:rFonts w:ascii="Arial" w:cs="Arial" w:eastAsia="Arial" w:hAnsi="Arial"/>
                <w:sz w:val="17"/>
                <w:szCs w:val="17"/>
                <w:color w:val="auto"/>
              </w:rPr>
              <w:t>Due to GasLog LNG Services</w:t>
            </w:r>
            <w:r>
              <w:rPr>
                <w:rFonts w:ascii="Arial" w:cs="Arial" w:eastAsia="Arial" w:hAnsi="Arial"/>
                <w:sz w:val="25"/>
                <w:szCs w:val="25"/>
                <w:color w:val="auto"/>
                <w:vertAlign w:val="superscript"/>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7,361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000" w:type="dxa"/>
            <w:vAlign w:val="bottom"/>
          </w:tcPr>
          <w:p>
            <w:pPr>
              <w:spacing w:after="0"/>
              <w:rPr>
                <w:sz w:val="18"/>
                <w:szCs w:val="18"/>
                <w:color w:val="auto"/>
              </w:rPr>
            </w:pPr>
          </w:p>
        </w:tc>
        <w:tc>
          <w:tcPr>
            <w:tcW w:w="62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Due to GasLog </w:t>
            </w:r>
            <w:r>
              <w:rPr>
                <w:rFonts w:ascii="Arial" w:cs="Arial" w:eastAsia="Arial" w:hAnsi="Arial"/>
                <w:sz w:val="25"/>
                <w:szCs w:val="25"/>
                <w:color w:val="auto"/>
                <w:vertAlign w:val="superscript"/>
              </w:rPr>
              <w:t>(b)</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09"/>
        </w:trPr>
        <w:tc>
          <w:tcPr>
            <w:tcW w:w="7260" w:type="dxa"/>
            <w:vAlign w:val="bottom"/>
            <w:gridSpan w:val="3"/>
          </w:tcPr>
          <w:p>
            <w:pPr>
              <w:ind w:left="1000"/>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7,525</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952</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76"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3"/>
          <w:szCs w:val="13"/>
          <w:color w:val="auto"/>
        </w:rPr>
      </w:pPr>
      <w:r>
        <w:rPr>
          <w:rFonts w:ascii="Arial" w:cs="Arial" w:eastAsia="Arial" w:hAnsi="Arial"/>
          <w:sz w:val="14"/>
          <w:szCs w:val="14"/>
          <w:color w:val="auto"/>
        </w:rPr>
        <w:t>The balances represent mainly payments made by GasLog LNG Services on behalf of the Partnership.</w:t>
      </w:r>
    </w:p>
    <w:p>
      <w:pPr>
        <w:spacing w:after="0" w:line="203" w:lineRule="exact"/>
        <w:rPr>
          <w:rFonts w:ascii="Arial" w:cs="Arial" w:eastAsia="Arial" w:hAnsi="Arial"/>
          <w:sz w:val="13"/>
          <w:szCs w:val="13"/>
          <w:color w:val="auto"/>
        </w:rPr>
      </w:pPr>
    </w:p>
    <w:p>
      <w:pPr>
        <w:ind w:left="340" w:hanging="332"/>
        <w:spacing w:after="0"/>
        <w:tabs>
          <w:tab w:leader="none" w:pos="340" w:val="left"/>
        </w:tabs>
        <w:numPr>
          <w:ilvl w:val="0"/>
          <w:numId w:val="123"/>
        </w:numPr>
        <w:rPr>
          <w:rFonts w:ascii="Arial" w:cs="Arial" w:eastAsia="Arial" w:hAnsi="Arial"/>
          <w:sz w:val="13"/>
          <w:szCs w:val="13"/>
          <w:color w:val="auto"/>
        </w:rPr>
      </w:pPr>
      <w:r>
        <w:rPr>
          <w:rFonts w:ascii="Arial" w:cs="Arial" w:eastAsia="Arial" w:hAnsi="Arial"/>
          <w:sz w:val="14"/>
          <w:szCs w:val="14"/>
          <w:color w:val="auto"/>
        </w:rPr>
        <w:t>The balances represent payments made by GasLog on behalf of the Partnership.</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the credit facility with GasLog are disclosed in Note 7.</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the year ended December 31, 2021, the Partnership acquired vessel depot spares from GasLog for an amount of $1,370 ($2,719 in the year ended December 31, 2020) (Note 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Partnership had the following transactions with related parties for the years ended December 31, 2019, 2020 and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Details</w:t>
            </w:r>
          </w:p>
        </w:tc>
        <w:tc>
          <w:tcPr>
            <w:tcW w:w="1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Account</w:t>
            </w: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3"/>
        </w:trPr>
        <w:tc>
          <w:tcPr>
            <w:tcW w:w="2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18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Commercial management fee</w:t>
            </w:r>
            <w:r>
              <w:rPr>
                <w:rFonts w:ascii="Arial" w:cs="Arial" w:eastAsia="Arial" w:hAnsi="Arial"/>
                <w:sz w:val="21"/>
                <w:szCs w:val="21"/>
                <w:color w:val="auto"/>
                <w:vertAlign w:val="superscript"/>
              </w:rPr>
              <w:t>(i)</w:t>
            </w:r>
          </w:p>
        </w:tc>
        <w:tc>
          <w:tcPr>
            <w:tcW w:w="15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General and</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GasLog/ GasLog LNG Services</w:t>
            </w:r>
          </w:p>
        </w:tc>
        <w:tc>
          <w:tcPr>
            <w:tcW w:w="4180" w:type="dxa"/>
            <w:vAlign w:val="bottom"/>
            <w:gridSpan w:val="3"/>
            <w:vMerge w:val="continue"/>
            <w:shd w:val="clear" w:color="auto" w:fill="CCEEFF"/>
          </w:tcPr>
          <w:p>
            <w:pPr>
              <w:spacing w:after="0"/>
              <w:rPr>
                <w:sz w:val="14"/>
                <w:szCs w:val="1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administrative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180" w:type="dxa"/>
            <w:vAlign w:val="bottom"/>
            <w:gridSpan w:val="3"/>
            <w:vMerge w:val="restart"/>
          </w:tcPr>
          <w:p>
            <w:pPr>
              <w:spacing w:after="0"/>
              <w:rPr>
                <w:sz w:val="20"/>
                <w:szCs w:val="20"/>
                <w:color w:val="auto"/>
              </w:rPr>
            </w:pPr>
            <w:r>
              <w:rPr>
                <w:rFonts w:ascii="Arial" w:cs="Arial" w:eastAsia="Arial" w:hAnsi="Arial"/>
                <w:sz w:val="14"/>
                <w:szCs w:val="14"/>
                <w:color w:val="auto"/>
              </w:rPr>
              <w:t>Administrative services fee</w:t>
            </w:r>
            <w:r>
              <w:rPr>
                <w:rFonts w:ascii="Arial" w:cs="Arial" w:eastAsia="Arial" w:hAnsi="Arial"/>
                <w:sz w:val="21"/>
                <w:szCs w:val="21"/>
                <w:color w:val="auto"/>
                <w:vertAlign w:val="superscript"/>
              </w:rPr>
              <w:t>(ii)</w:t>
            </w:r>
          </w:p>
        </w:tc>
        <w:tc>
          <w:tcPr>
            <w:tcW w:w="1640" w:type="dxa"/>
            <w:vAlign w:val="bottom"/>
            <w:gridSpan w:val="2"/>
          </w:tcPr>
          <w:p>
            <w:pPr>
              <w:spacing w:after="0" w:line="130" w:lineRule="exact"/>
              <w:rPr>
                <w:sz w:val="20"/>
                <w:szCs w:val="20"/>
                <w:color w:val="auto"/>
              </w:rPr>
            </w:pPr>
            <w:r>
              <w:rPr>
                <w:rFonts w:ascii="Arial" w:cs="Arial" w:eastAsia="Arial" w:hAnsi="Arial"/>
                <w:sz w:val="14"/>
                <w:szCs w:val="14"/>
                <w:color w:val="auto"/>
              </w:rPr>
              <w:t>General and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GasLog</w:t>
            </w:r>
          </w:p>
        </w:tc>
        <w:tc>
          <w:tcPr>
            <w:tcW w:w="4180" w:type="dxa"/>
            <w:vAlign w:val="bottom"/>
            <w:gridSpan w:val="3"/>
            <w:vMerge w:val="continue"/>
          </w:tcPr>
          <w:p>
            <w:pPr>
              <w:spacing w:after="0"/>
              <w:rPr>
                <w:sz w:val="14"/>
                <w:szCs w:val="14"/>
                <w:color w:val="auto"/>
              </w:rPr>
            </w:pPr>
          </w:p>
        </w:tc>
        <w:tc>
          <w:tcPr>
            <w:tcW w:w="1640" w:type="dxa"/>
            <w:vAlign w:val="bottom"/>
            <w:gridSpan w:val="2"/>
          </w:tcPr>
          <w:p>
            <w:pPr>
              <w:spacing w:after="0"/>
              <w:rPr>
                <w:sz w:val="20"/>
                <w:szCs w:val="20"/>
                <w:color w:val="auto"/>
              </w:rPr>
            </w:pPr>
            <w:r>
              <w:rPr>
                <w:rFonts w:ascii="Arial" w:cs="Arial" w:eastAsia="Arial" w:hAnsi="Arial"/>
                <w:sz w:val="14"/>
                <w:szCs w:val="14"/>
                <w:color w:val="auto"/>
              </w:rPr>
              <w:t>administrative expenses</w:t>
            </w:r>
          </w:p>
        </w:tc>
        <w:tc>
          <w:tcPr>
            <w:tcW w:w="540" w:type="dxa"/>
            <w:vAlign w:val="bottom"/>
          </w:tcPr>
          <w:p>
            <w:pPr>
              <w:jc w:val="right"/>
              <w:spacing w:after="0"/>
              <w:rPr>
                <w:sz w:val="20"/>
                <w:szCs w:val="20"/>
                <w:color w:val="auto"/>
              </w:rPr>
            </w:pPr>
            <w:r>
              <w:rPr>
                <w:rFonts w:ascii="Arial" w:cs="Arial" w:eastAsia="Arial" w:hAnsi="Arial"/>
                <w:sz w:val="14"/>
                <w:szCs w:val="14"/>
                <w:color w:val="auto"/>
              </w:rPr>
              <w:t>8,963</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7,838</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4,708</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GasLog LNG Services</w:t>
            </w:r>
          </w:p>
        </w:tc>
        <w:tc>
          <w:tcPr>
            <w:tcW w:w="4180" w:type="dxa"/>
            <w:vAlign w:val="bottom"/>
            <w:gridSpan w:val="3"/>
            <w:shd w:val="clear" w:color="auto" w:fill="CCEEFF"/>
          </w:tcPr>
          <w:p>
            <w:pPr>
              <w:spacing w:after="0" w:line="149" w:lineRule="exact"/>
              <w:rPr>
                <w:sz w:val="20"/>
                <w:szCs w:val="20"/>
                <w:color w:val="auto"/>
              </w:rPr>
            </w:pPr>
            <w:r>
              <w:rPr>
                <w:rFonts w:ascii="Arial" w:cs="Arial" w:eastAsia="Arial" w:hAnsi="Arial"/>
                <w:sz w:val="12"/>
                <w:szCs w:val="12"/>
                <w:color w:val="auto"/>
              </w:rPr>
              <w:t xml:space="preserve">Management fees </w:t>
            </w:r>
            <w:r>
              <w:rPr>
                <w:rFonts w:ascii="Arial" w:cs="Arial" w:eastAsia="Arial" w:hAnsi="Arial"/>
                <w:sz w:val="17"/>
                <w:szCs w:val="17"/>
                <w:color w:val="auto"/>
                <w:vertAlign w:val="superscript"/>
              </w:rPr>
              <w:t>(iii)</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Vessel operating costs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7,728</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GasLog LNG Services</w:t>
            </w:r>
          </w:p>
        </w:tc>
        <w:tc>
          <w:tcPr>
            <w:tcW w:w="4180" w:type="dxa"/>
            <w:vAlign w:val="bottom"/>
            <w:gridSpan w:val="3"/>
          </w:tcPr>
          <w:p>
            <w:pPr>
              <w:spacing w:after="0" w:line="149" w:lineRule="exact"/>
              <w:rPr>
                <w:sz w:val="20"/>
                <w:szCs w:val="20"/>
                <w:color w:val="auto"/>
              </w:rPr>
            </w:pPr>
            <w:r>
              <w:rPr>
                <w:rFonts w:ascii="Arial" w:cs="Arial" w:eastAsia="Arial" w:hAnsi="Arial"/>
                <w:sz w:val="14"/>
                <w:szCs w:val="14"/>
                <w:color w:val="auto"/>
              </w:rPr>
              <w:t>Other vessel operating costs</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Vessel operating costs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GasLog</w:t>
            </w:r>
          </w:p>
        </w:tc>
        <w:tc>
          <w:tcPr>
            <w:tcW w:w="4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 expense under Sponsor Credit Facility (Note 7)</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4180" w:type="dxa"/>
            <w:vAlign w:val="bottom"/>
            <w:gridSpan w:val="3"/>
          </w:tcPr>
          <w:p>
            <w:pPr>
              <w:spacing w:after="0" w:line="149" w:lineRule="exact"/>
              <w:rPr>
                <w:sz w:val="20"/>
                <w:szCs w:val="20"/>
                <w:color w:val="auto"/>
              </w:rPr>
            </w:pPr>
            <w:r>
              <w:rPr>
                <w:rFonts w:ascii="Arial" w:cs="Arial" w:eastAsia="Arial" w:hAnsi="Arial"/>
                <w:sz w:val="14"/>
                <w:szCs w:val="14"/>
                <w:color w:val="auto"/>
              </w:rPr>
              <w:t>Commitment fee under Sponsor Credit Facility (Note 7)</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Financial costs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305</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(Loss)/gain on</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GasLog</w:t>
            </w:r>
          </w:p>
        </w:tc>
        <w:tc>
          <w:tcPr>
            <w:tcW w:w="418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8"/>
              </w:rPr>
              <w:t>Realized (gain)/loss on interest rate swaps held for trading (Note 18)</w:t>
            </w: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derivatives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(2,358)</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4,347</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4,586</w:t>
            </w: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180" w:type="dxa"/>
            <w:vAlign w:val="bottom"/>
            <w:gridSpan w:val="3"/>
          </w:tcPr>
          <w:p>
            <w:pPr>
              <w:spacing w:after="0" w:line="130" w:lineRule="exact"/>
              <w:rPr>
                <w:sz w:val="20"/>
                <w:szCs w:val="20"/>
                <w:color w:val="auto"/>
              </w:rPr>
            </w:pPr>
            <w:r>
              <w:rPr>
                <w:rFonts w:ascii="Arial" w:cs="Arial" w:eastAsia="Arial" w:hAnsi="Arial"/>
                <w:sz w:val="14"/>
                <w:szCs w:val="14"/>
                <w:color w:val="auto"/>
                <w:w w:val="98"/>
              </w:rPr>
              <w:t>Realized loss on forward foreign exchange contracts held for trading</w:t>
            </w:r>
          </w:p>
        </w:tc>
        <w:tc>
          <w:tcPr>
            <w:tcW w:w="1640" w:type="dxa"/>
            <w:vAlign w:val="bottom"/>
            <w:gridSpan w:val="2"/>
          </w:tcPr>
          <w:p>
            <w:pPr>
              <w:spacing w:after="0" w:line="130" w:lineRule="exact"/>
              <w:rPr>
                <w:sz w:val="20"/>
                <w:szCs w:val="20"/>
                <w:color w:val="auto"/>
              </w:rPr>
            </w:pPr>
            <w:r>
              <w:rPr>
                <w:rFonts w:ascii="Arial" w:cs="Arial" w:eastAsia="Arial" w:hAnsi="Arial"/>
                <w:sz w:val="14"/>
                <w:szCs w:val="14"/>
                <w:color w:val="auto"/>
              </w:rPr>
              <w:t>(Loss)/gain 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GasLog</w:t>
            </w:r>
          </w:p>
        </w:tc>
        <w:tc>
          <w:tcPr>
            <w:tcW w:w="4180" w:type="dxa"/>
            <w:vAlign w:val="bottom"/>
            <w:gridSpan w:val="3"/>
          </w:tcPr>
          <w:p>
            <w:pPr>
              <w:spacing w:after="0"/>
              <w:rPr>
                <w:sz w:val="20"/>
                <w:szCs w:val="20"/>
                <w:color w:val="auto"/>
              </w:rPr>
            </w:pPr>
            <w:r>
              <w:rPr>
                <w:rFonts w:ascii="Arial" w:cs="Arial" w:eastAsia="Arial" w:hAnsi="Arial"/>
                <w:sz w:val="14"/>
                <w:szCs w:val="14"/>
                <w:color w:val="auto"/>
              </w:rPr>
              <w:t>(Note 18)</w:t>
            </w:r>
          </w:p>
        </w:tc>
        <w:tc>
          <w:tcPr>
            <w:tcW w:w="1640" w:type="dxa"/>
            <w:vAlign w:val="bottom"/>
            <w:gridSpan w:val="2"/>
          </w:tcPr>
          <w:p>
            <w:pPr>
              <w:spacing w:after="0"/>
              <w:rPr>
                <w:sz w:val="20"/>
                <w:szCs w:val="20"/>
                <w:color w:val="auto"/>
              </w:rPr>
            </w:pPr>
            <w:r>
              <w:rPr>
                <w:rFonts w:ascii="Arial" w:cs="Arial" w:eastAsia="Arial" w:hAnsi="Arial"/>
                <w:sz w:val="14"/>
                <w:szCs w:val="14"/>
                <w:color w:val="auto"/>
              </w:rPr>
              <w:t>derivatives</w:t>
            </w:r>
          </w:p>
        </w:tc>
        <w:tc>
          <w:tcPr>
            <w:tcW w:w="540" w:type="dxa"/>
            <w:vAlign w:val="bottom"/>
          </w:tcPr>
          <w:p>
            <w:pPr>
              <w:jc w:val="right"/>
              <w:spacing w:after="0"/>
              <w:rPr>
                <w:sz w:val="20"/>
                <w:szCs w:val="20"/>
                <w:color w:val="auto"/>
              </w:rPr>
            </w:pPr>
            <w:r>
              <w:rPr>
                <w:rFonts w:ascii="Arial" w:cs="Arial" w:eastAsia="Arial" w:hAnsi="Arial"/>
                <w:sz w:val="14"/>
                <w:szCs w:val="14"/>
                <w:color w:val="auto"/>
              </w:rPr>
              <w:t>1,295</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Cool Pool</w:t>
            </w:r>
          </w:p>
        </w:tc>
        <w:tc>
          <w:tcPr>
            <w:tcW w:w="4180" w:type="dxa"/>
            <w:vAlign w:val="bottom"/>
            <w:gridSpan w:val="3"/>
            <w:shd w:val="clear" w:color="auto" w:fill="CCEEFF"/>
          </w:tcPr>
          <w:p>
            <w:pPr>
              <w:spacing w:after="0" w:line="149" w:lineRule="exact"/>
              <w:rPr>
                <w:sz w:val="20"/>
                <w:szCs w:val="20"/>
                <w:color w:val="auto"/>
              </w:rPr>
            </w:pPr>
            <w:r>
              <w:rPr>
                <w:rFonts w:ascii="Arial" w:cs="Arial" w:eastAsia="Arial" w:hAnsi="Arial"/>
                <w:sz w:val="12"/>
                <w:szCs w:val="12"/>
                <w:color w:val="auto"/>
              </w:rPr>
              <w:t xml:space="preserve">Adjustment for net pool allocation </w:t>
            </w:r>
            <w:r>
              <w:rPr>
                <w:rFonts w:ascii="Arial" w:cs="Arial" w:eastAsia="Arial" w:hAnsi="Arial"/>
                <w:sz w:val="17"/>
                <w:szCs w:val="17"/>
                <w:color w:val="auto"/>
                <w:vertAlign w:val="superscript"/>
              </w:rPr>
              <w:t>(iv)</w:t>
            </w: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pool allocation</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(1,058)</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24"/>
        </w:numPr>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Commercial Management Agreements</w:t>
      </w:r>
    </w:p>
    <w:p>
      <w:pPr>
        <w:spacing w:after="0" w:line="201" w:lineRule="exact"/>
        <w:rPr>
          <w:rFonts w:ascii="Arial" w:cs="Arial" w:eastAsia="Arial" w:hAnsi="Arial"/>
          <w:sz w:val="27"/>
          <w:szCs w:val="27"/>
          <w:color w:val="auto"/>
          <w:vertAlign w:val="superscript"/>
        </w:rPr>
      </w:pPr>
    </w:p>
    <w:p>
      <w:pPr>
        <w:ind w:left="340" w:right="180"/>
        <w:spacing w:after="0" w:line="254" w:lineRule="auto"/>
        <w:rPr>
          <w:rFonts w:ascii="Arial" w:cs="Arial" w:eastAsia="Arial" w:hAnsi="Arial"/>
          <w:sz w:val="27"/>
          <w:szCs w:val="27"/>
          <w:color w:val="auto"/>
          <w:vertAlign w:val="superscript"/>
        </w:rPr>
      </w:pPr>
      <w:r>
        <w:rPr>
          <w:rFonts w:ascii="Arial" w:cs="Arial" w:eastAsia="Arial" w:hAnsi="Arial"/>
          <w:sz w:val="18"/>
          <w:szCs w:val="18"/>
          <w:color w:val="auto"/>
        </w:rPr>
        <w:t>The vessel-owning subsidiaries of GasLog Partners have entered into commercial management agreements with GasLog (collectively, the “Commercial Management Agreements”), pursuant to which GasLog provided certain commercial management services, including chartering services, consultancy services on market issues and invoicing and collection of hire payables, to the Partnership. The annual commercial management fee under the agreements is $360 for each vessel payable quarterly in advance in lump sum amounts. With effect from January 1, 2022, the annual commercial management fee will change from a fixed annual amount to a fixed commission of 1.25% on gross charter revenues of each vessel, which will continue to be payable monthly in advance.</w:t>
      </w:r>
    </w:p>
    <w:p>
      <w:pPr>
        <w:spacing w:after="0" w:line="194" w:lineRule="exact"/>
        <w:rPr>
          <w:rFonts w:ascii="Arial" w:cs="Arial" w:eastAsia="Arial" w:hAnsi="Arial"/>
          <w:sz w:val="27"/>
          <w:szCs w:val="27"/>
          <w:color w:val="auto"/>
          <w:vertAlign w:val="superscript"/>
        </w:rPr>
      </w:pPr>
    </w:p>
    <w:p>
      <w:pPr>
        <w:ind w:left="340" w:right="480"/>
        <w:spacing w:after="0" w:line="342" w:lineRule="auto"/>
        <w:rPr>
          <w:rFonts w:ascii="Arial" w:cs="Arial" w:eastAsia="Arial" w:hAnsi="Arial"/>
          <w:sz w:val="27"/>
          <w:szCs w:val="27"/>
          <w:color w:val="auto"/>
          <w:vertAlign w:val="superscript"/>
        </w:rPr>
      </w:pPr>
      <w:r>
        <w:rPr>
          <w:rFonts w:ascii="Arial" w:cs="Arial" w:eastAsia="Arial" w:hAnsi="Arial"/>
          <w:sz w:val="16"/>
          <w:szCs w:val="16"/>
          <w:color w:val="auto"/>
        </w:rPr>
        <w:t>Effective July 21, 2020, October 1, 2020 and November 1, 2020, the commercial management agreements between the vessel-owning entities and GasLog were novated to GasLog LNG Services as the provider of commercial management services.</w:t>
      </w:r>
    </w:p>
    <w:p>
      <w:pPr>
        <w:spacing w:after="0" w:line="43" w:lineRule="exact"/>
        <w:rPr>
          <w:rFonts w:ascii="Arial" w:cs="Arial" w:eastAsia="Arial" w:hAnsi="Arial"/>
          <w:sz w:val="27"/>
          <w:szCs w:val="27"/>
          <w:color w:val="auto"/>
          <w:vertAlign w:val="superscript"/>
        </w:rPr>
      </w:pPr>
    </w:p>
    <w:p>
      <w:pPr>
        <w:ind w:left="340" w:hanging="332"/>
        <w:spacing w:after="0"/>
        <w:tabs>
          <w:tab w:leader="none" w:pos="340" w:val="left"/>
        </w:tabs>
        <w:numPr>
          <w:ilvl w:val="0"/>
          <w:numId w:val="124"/>
        </w:numPr>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Administrative Services Agreement</w:t>
      </w:r>
    </w:p>
    <w:p>
      <w:pPr>
        <w:spacing w:after="0" w:line="201" w:lineRule="exact"/>
        <w:rPr>
          <w:rFonts w:ascii="Arial" w:cs="Arial" w:eastAsia="Arial" w:hAnsi="Arial"/>
          <w:sz w:val="27"/>
          <w:szCs w:val="27"/>
          <w:color w:val="auto"/>
          <w:vertAlign w:val="superscript"/>
        </w:rPr>
      </w:pPr>
    </w:p>
    <w:p>
      <w:pPr>
        <w:ind w:left="340" w:right="320"/>
        <w:spacing w:after="0" w:line="311" w:lineRule="auto"/>
        <w:rPr>
          <w:rFonts w:ascii="Arial" w:cs="Arial" w:eastAsia="Arial" w:hAnsi="Arial"/>
          <w:sz w:val="27"/>
          <w:szCs w:val="27"/>
          <w:color w:val="auto"/>
          <w:vertAlign w:val="superscript"/>
        </w:rPr>
      </w:pPr>
      <w:r>
        <w:rPr>
          <w:rFonts w:ascii="Arial" w:cs="Arial" w:eastAsia="Arial" w:hAnsi="Arial"/>
          <w:sz w:val="16"/>
          <w:szCs w:val="16"/>
          <w:color w:val="auto"/>
        </w:rPr>
        <w:t>The Partnership has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60"/>
        <w:spacing w:after="0" w:line="301" w:lineRule="auto"/>
        <w:rPr>
          <w:sz w:val="20"/>
          <w:szCs w:val="20"/>
          <w:color w:val="auto"/>
        </w:rPr>
      </w:pPr>
      <w:r>
        <w:rPr>
          <w:rFonts w:ascii="Arial" w:cs="Arial" w:eastAsia="Arial" w:hAnsi="Arial"/>
          <w:sz w:val="16"/>
          <w:szCs w:val="16"/>
          <w:color w:val="auto"/>
        </w:rPr>
        <w:t>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For the years ended December 31, 2019, 2020 and 2021, the annual service fee was $608, $523 and $314 per vessel per year, respectively. With effect from January 1, 2022, the service fee was changed to $579 per vessel per year.</w:t>
      </w:r>
    </w:p>
    <w:p>
      <w:pPr>
        <w:spacing w:after="0" w:line="77"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Ship Management Agreements</w:t>
      </w:r>
    </w:p>
    <w:p>
      <w:pPr>
        <w:spacing w:after="0" w:line="201" w:lineRule="exact"/>
        <w:rPr>
          <w:rFonts w:ascii="Arial" w:cs="Arial" w:eastAsia="Arial" w:hAnsi="Arial"/>
          <w:sz w:val="27"/>
          <w:szCs w:val="27"/>
          <w:color w:val="auto"/>
          <w:vertAlign w:val="superscript"/>
        </w:rPr>
      </w:pPr>
    </w:p>
    <w:p>
      <w:pPr>
        <w:ind w:left="340" w:right="120"/>
        <w:spacing w:after="0" w:line="272" w:lineRule="auto"/>
        <w:rPr>
          <w:rFonts w:ascii="Arial" w:cs="Arial" w:eastAsia="Arial" w:hAnsi="Arial"/>
          <w:sz w:val="27"/>
          <w:szCs w:val="27"/>
          <w:color w:val="auto"/>
          <w:vertAlign w:val="superscript"/>
        </w:rPr>
      </w:pPr>
      <w:r>
        <w:rPr>
          <w:rFonts w:ascii="Arial" w:cs="Arial" w:eastAsia="Arial" w:hAnsi="Arial"/>
          <w:sz w:val="17"/>
          <w:szCs w:val="17"/>
          <w:color w:val="auto"/>
        </w:rPr>
        <w:t>Each of the vessel owning subsidiaries of GasLog Partners has entered into a ship management agreement and subsequent amendments (collectively, the “Ship Management Agreements”) under which the vessel owning subsidiaries pay a management fee of $46 per month to the Manager and reimburse the Manager for all expenses incurred on their behalf and contain clauses for decreased management fees in case of a vessel’s lay-up. The management fees are subject to an annual adjustment, agreed between the parties in good faith, on the basis of general inflation and proof of increases in actual costs incurred by the Manager. Each Ship Management Agreement continues indefinitely until terminated by either party. With effect from January 1, 2022, the management fee was reduced to $37.5 per vessel per month.</w:t>
      </w:r>
    </w:p>
    <w:p>
      <w:pPr>
        <w:spacing w:after="0" w:line="177" w:lineRule="exact"/>
        <w:rPr>
          <w:rFonts w:ascii="Arial" w:cs="Arial" w:eastAsia="Arial" w:hAnsi="Arial"/>
          <w:sz w:val="27"/>
          <w:szCs w:val="27"/>
          <w:color w:val="auto"/>
          <w:vertAlign w:val="superscript"/>
        </w:rPr>
      </w:pPr>
    </w:p>
    <w:p>
      <w:pPr>
        <w:ind w:left="340" w:right="20" w:hanging="332"/>
        <w:spacing w:after="0" w:line="207" w:lineRule="auto"/>
        <w:tabs>
          <w:tab w:leader="none" w:pos="340" w:val="left"/>
        </w:tabs>
        <w:numPr>
          <w:ilvl w:val="0"/>
          <w:numId w:val="125"/>
        </w:numPr>
        <w:rPr>
          <w:rFonts w:ascii="Arial" w:cs="Arial" w:eastAsia="Arial" w:hAnsi="Arial"/>
          <w:sz w:val="27"/>
          <w:szCs w:val="27"/>
          <w:color w:val="auto"/>
          <w:vertAlign w:val="superscript"/>
        </w:rPr>
      </w:pPr>
      <w:r>
        <w:rPr>
          <w:rFonts w:ascii="Arial" w:cs="Arial" w:eastAsia="Arial" w:hAnsi="Arial"/>
          <w:sz w:val="18"/>
          <w:szCs w:val="18"/>
          <w:color w:val="auto"/>
        </w:rPr>
        <w:t xml:space="preserve">In the period from May 2018 until June 2019, the Partnership, through the </w:t>
      </w:r>
      <w:r>
        <w:rPr>
          <w:rFonts w:ascii="Arial" w:cs="Arial" w:eastAsia="Arial" w:hAnsi="Arial"/>
          <w:sz w:val="18"/>
          <w:szCs w:val="18"/>
          <w:i w:val="1"/>
          <w:iCs w:val="1"/>
          <w:color w:val="auto"/>
        </w:rPr>
        <w:t>GasLog Shanghai</w:t>
      </w:r>
      <w:r>
        <w:rPr>
          <w:rFonts w:ascii="Arial" w:cs="Arial" w:eastAsia="Arial" w:hAnsi="Arial"/>
          <w:sz w:val="18"/>
          <w:szCs w:val="18"/>
          <w:color w:val="auto"/>
        </w:rPr>
        <w:t>, participated in the Cool Pool to market their vessels operating in the LNG shipping spot market.</w:t>
      </w:r>
    </w:p>
    <w:p>
      <w:pPr>
        <w:spacing w:after="0" w:line="201" w:lineRule="exact"/>
        <w:rPr>
          <w:rFonts w:ascii="Arial" w:cs="Arial" w:eastAsia="Arial" w:hAnsi="Arial"/>
          <w:sz w:val="27"/>
          <w:szCs w:val="27"/>
          <w:color w:val="auto"/>
          <w:vertAlign w:val="superscript"/>
        </w:rPr>
      </w:pPr>
    </w:p>
    <w:p>
      <w:pPr>
        <w:ind w:left="340" w:right="80" w:hanging="332"/>
        <w:spacing w:after="0" w:line="226" w:lineRule="auto"/>
        <w:tabs>
          <w:tab w:leader="none" w:pos="340" w:val="left"/>
        </w:tabs>
        <w:numPr>
          <w:ilvl w:val="0"/>
          <w:numId w:val="125"/>
        </w:numPr>
        <w:rPr>
          <w:rFonts w:ascii="Arial" w:cs="Arial" w:eastAsia="Arial" w:hAnsi="Arial"/>
          <w:sz w:val="27"/>
          <w:szCs w:val="27"/>
          <w:color w:val="auto"/>
          <w:vertAlign w:val="superscript"/>
        </w:rPr>
      </w:pPr>
      <w:r>
        <w:rPr>
          <w:rFonts w:ascii="Arial" w:cs="Arial" w:eastAsia="Arial" w:hAnsi="Arial"/>
          <w:sz w:val="18"/>
          <w:szCs w:val="18"/>
          <w:color w:val="auto"/>
        </w:rPr>
        <w:t>In the year ended December 31, 2020, Ceres Shipping Enterprises S.A., an entity controlled by the Livanos family, received a fee of $400 from the Partnership for consultancy services provided in relation to the Partnership’s debt re-financings completed in July 2020. This amount is classified under Deferred loan issuance costs (i.e. contra debt) and will be amortized over the duration of the respective facilities.</w:t>
      </w:r>
    </w:p>
    <w:p>
      <w:pPr>
        <w:spacing w:after="0" w:line="122" w:lineRule="exact"/>
        <w:rPr>
          <w:rFonts w:ascii="Arial" w:cs="Arial" w:eastAsia="Arial" w:hAnsi="Arial"/>
          <w:sz w:val="27"/>
          <w:szCs w:val="27"/>
          <w:color w:val="auto"/>
          <w:vertAlign w:val="superscript"/>
        </w:rPr>
      </w:pPr>
    </w:p>
    <w:p>
      <w:pPr>
        <w:ind w:left="340" w:hanging="332"/>
        <w:spacing w:after="0"/>
        <w:tabs>
          <w:tab w:leader="none" w:pos="340" w:val="left"/>
        </w:tabs>
        <w:numPr>
          <w:ilvl w:val="0"/>
          <w:numId w:val="125"/>
        </w:numPr>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Omnibus Agreement</w:t>
      </w:r>
    </w:p>
    <w:p>
      <w:pPr>
        <w:spacing w:after="0" w:line="201" w:lineRule="exact"/>
        <w:rPr>
          <w:rFonts w:ascii="Arial" w:cs="Arial" w:eastAsia="Arial" w:hAnsi="Arial"/>
          <w:sz w:val="27"/>
          <w:szCs w:val="27"/>
          <w:color w:val="auto"/>
          <w:vertAlign w:val="superscript"/>
        </w:rPr>
      </w:pPr>
    </w:p>
    <w:p>
      <w:pPr>
        <w:ind w:left="340" w:right="40"/>
        <w:spacing w:after="0" w:line="273" w:lineRule="auto"/>
        <w:rPr>
          <w:rFonts w:ascii="Arial" w:cs="Arial" w:eastAsia="Arial" w:hAnsi="Arial"/>
          <w:sz w:val="27"/>
          <w:szCs w:val="27"/>
          <w:color w:val="auto"/>
          <w:vertAlign w:val="superscript"/>
        </w:rPr>
      </w:pPr>
      <w:r>
        <w:rPr>
          <w:rFonts w:ascii="Arial" w:cs="Arial" w:eastAsia="Arial" w:hAnsi="Arial"/>
          <w:sz w:val="17"/>
          <w:szCs w:val="17"/>
          <w:color w:val="auto"/>
        </w:rPr>
        <w:t xml:space="preserve">The Partnership has entered into an omnibus agreement with GasLog, our general partner and certain of our other subsidiaries. The omnibus agreement governs among other things (i) when and the extent to which the Partnership and GasLog may compete against each other, (ii) the time and the value at which the Partnership may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 On March 7, 2019, the Partnership exercised the option to acquire the </w:t>
      </w:r>
      <w:r>
        <w:rPr>
          <w:rFonts w:ascii="Arial" w:cs="Arial" w:eastAsia="Arial" w:hAnsi="Arial"/>
          <w:sz w:val="17"/>
          <w:szCs w:val="17"/>
          <w:i w:val="1"/>
          <w:iCs w:val="1"/>
          <w:color w:val="auto"/>
        </w:rPr>
        <w:t>GasLog Glasgow</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Future gross minimum lease payments receivable in relation to non-cancellable time charter agreements for vessels in operation, including a vessel under a lease (Note 4) as of December 31, 2021,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6"/>
        </w:trPr>
        <w:tc>
          <w:tcPr>
            <w:tcW w:w="4720" w:type="dxa"/>
            <w:vAlign w:val="bottom"/>
            <w:gridSpan w:val="2"/>
            <w:vMerge w:val="restart"/>
          </w:tcPr>
          <w:p>
            <w:pPr>
              <w:ind w:left="1000"/>
              <w:spacing w:after="0"/>
              <w:rPr>
                <w:sz w:val="20"/>
                <w:szCs w:val="20"/>
                <w:color w:val="auto"/>
              </w:rPr>
            </w:pPr>
            <w:r>
              <w:rPr>
                <w:rFonts w:ascii="Arial" w:cs="Arial" w:eastAsia="Arial" w:hAnsi="Arial"/>
                <w:sz w:val="18"/>
                <w:szCs w:val="18"/>
                <w:b w:val="1"/>
                <w:bCs w:val="1"/>
                <w:i w:val="1"/>
                <w:iCs w:val="1"/>
                <w:color w:val="auto"/>
              </w:rPr>
              <w:t>Period</w:t>
            </w:r>
          </w:p>
        </w:tc>
        <w:tc>
          <w:tcPr>
            <w:tcW w:w="3340" w:type="dxa"/>
            <w:vAlign w:val="bottom"/>
          </w:tcPr>
          <w:p>
            <w:pPr>
              <w:spacing w:after="0"/>
              <w:rPr>
                <w:sz w:val="16"/>
                <w:szCs w:val="16"/>
                <w:color w:val="auto"/>
              </w:rPr>
            </w:pPr>
          </w:p>
        </w:tc>
        <w:tc>
          <w:tcPr>
            <w:tcW w:w="18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1"/>
        </w:trPr>
        <w:tc>
          <w:tcPr>
            <w:tcW w:w="4720" w:type="dxa"/>
            <w:vAlign w:val="bottom"/>
            <w:gridSpan w:val="2"/>
            <w:vMerge w:val="continue"/>
          </w:tcPr>
          <w:p>
            <w:pPr>
              <w:spacing w:after="0"/>
              <w:rPr>
                <w:sz w:val="17"/>
                <w:szCs w:val="17"/>
                <w:color w:val="auto"/>
              </w:rPr>
            </w:pPr>
          </w:p>
        </w:tc>
        <w:tc>
          <w:tcPr>
            <w:tcW w:w="4220" w:type="dxa"/>
            <w:vAlign w:val="bottom"/>
            <w:gridSpan w:val="2"/>
          </w:tcPr>
          <w:p>
            <w:pPr>
              <w:jc w:val="center"/>
              <w:ind w:left="3253"/>
              <w:spacing w:after="0"/>
              <w:rPr>
                <w:sz w:val="20"/>
                <w:szCs w:val="20"/>
                <w:color w:val="auto"/>
              </w:rPr>
            </w:pPr>
            <w:r>
              <w:rPr>
                <w:rFonts w:ascii="Arial" w:cs="Arial" w:eastAsia="Arial" w:hAnsi="Arial"/>
                <w:sz w:val="14"/>
                <w:szCs w:val="14"/>
                <w:b w:val="1"/>
                <w:bCs w:val="1"/>
                <w:color w:val="auto"/>
                <w:w w:val="89"/>
              </w:rPr>
              <w:t>2021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3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197,195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6"/>
              </w:rPr>
              <w:t>Later than one year and not later than two years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120,520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1"/>
              </w:rPr>
              <w:t>Later than two years and not later than three years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57,721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1"/>
              </w:rPr>
              <w:t>Later than three years and not later than four years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51,707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4"/>
              </w:rPr>
              <w:t>Later than four years and not later than five years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gridSpan w:val="2"/>
          </w:tcPr>
          <w:p>
            <w:pPr>
              <w:ind w:left="1000"/>
              <w:spacing w:after="0"/>
              <w:rPr>
                <w:sz w:val="20"/>
                <w:szCs w:val="20"/>
                <w:color w:val="auto"/>
              </w:rPr>
            </w:pPr>
            <w:r>
              <w:rPr>
                <w:rFonts w:ascii="Arial" w:cs="Arial" w:eastAsia="Arial" w:hAnsi="Arial"/>
                <w:sz w:val="18"/>
                <w:szCs w:val="18"/>
                <w:b w:val="1"/>
                <w:bCs w:val="1"/>
                <w:color w:val="auto"/>
              </w:rPr>
              <w:t>Total</w:t>
            </w:r>
          </w:p>
        </w:tc>
        <w:tc>
          <w:tcPr>
            <w:tcW w:w="33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444,141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60" w:firstLine="324"/>
        <w:spacing w:after="0" w:line="286" w:lineRule="auto"/>
        <w:rPr>
          <w:sz w:val="20"/>
          <w:szCs w:val="20"/>
          <w:color w:val="auto"/>
        </w:rPr>
      </w:pPr>
      <w:r>
        <w:rPr>
          <w:rFonts w:ascii="Arial" w:cs="Arial" w:eastAsia="Arial" w:hAnsi="Arial"/>
          <w:sz w:val="17"/>
          <w:szCs w:val="17"/>
          <w:color w:val="auto"/>
        </w:rPr>
        <w:t>In September 2017 and July 2018, GasLog LNG Services Ltd. entered into maintenance agreements with Wartsila Greece S.A. (“Wartsila”) in respect of eight of the Partnership’s LNG carriers. The agreements ensure dynamic maintenance planning, technical support, security of spare parts supply, specialist technical personnel and performance monitoring.</w:t>
      </w:r>
    </w:p>
    <w:p>
      <w:pPr>
        <w:spacing w:after="0" w:line="16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December 31, 2021, ballast water management systems had been installed on seven out of the eleven vessels.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Risk Management</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Partnership’s activities expose it to a variety of financial risks, including market risk, liquidity risk and credit risk. The Partnership’s overall risk management program focuses on the unpredictability of financial markets and seeks to minimize potential adverse effects on the Partnership’s financial performance. The Partnership makes use of derivative financial instruments such as interest rate swaps and forward foreign exchange contracts to mitigate certain risk exposures.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The Partnership is subject to market risks relating to changes in interest rates because it has floating rate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Significant increases in interest rates could adversely affect the Partnership’s results of operations and its ability to service its debt. The Partnership uses interest rate swaps to reduce its exposure to market risk from changes in interest rates. The principal objective of these contracts is to minimize economic risks and costs associated with its floating rate debt and not for speculative or trading purposes. As of December 31, 2021, the Partnership had economically hedged 31.2% of its floating interest rate exposure on its outstanding borrowings by swapping the variable rate for a fixed rate (December 31, 2020: 36.3)%.</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aggregate principal amount of the Partnership’s outstanding floating rate debt which was not economically hedged as of December 31, 2021 was $756,403 (December 31, 2020: $831,581). As an indication of the extent of the Partnership’s sensitivity to interest rate changes, an increase or decrease in LIBOR of 10 basis points would have decreased or increased, respectively, the profit during the year ended December 31, 2021 by $767, based upon its debt level at the end of the reporting period (December 31, 2020: $766 and December 31, 2019: $782).</w:t>
      </w:r>
    </w:p>
    <w:p>
      <w:pPr>
        <w:spacing w:after="0" w:line="18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b w:val="1"/>
          <w:bCs w:val="1"/>
          <w:i w:val="1"/>
          <w:iCs w:val="1"/>
          <w:color w:val="auto"/>
        </w:rPr>
        <w:t xml:space="preserve">Interest Rate Sensitivity Analysis: </w:t>
      </w:r>
      <w:r>
        <w:rPr>
          <w:rFonts w:ascii="Arial" w:cs="Arial" w:eastAsia="Arial" w:hAnsi="Arial"/>
          <w:sz w:val="18"/>
          <w:szCs w:val="18"/>
          <w:color w:val="auto"/>
        </w:rPr>
        <w:t>The fair value of the interest rate swaps as of December 31, 2021 was estimated as a net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$9,245 (December 31, 2020: $20,337). For the three years ended December 31, 2021, the interest rate swaps were not designated as cash flow hedging instruments (Note 18).</w:t>
      </w:r>
    </w:p>
    <w:p>
      <w:pPr>
        <w:spacing w:after="0" w:line="184"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As of December 31, 2021, if interest rates had increased or decreased by 10 basis points with all other variables held constant, the positive/(negative) impact, respectively, on the fair value of the interest rate swaps would have amounted to approximately $404 (December 31, 2020: $844 and December 31, 2019: $1,468) affecting (Loss)/gain on derivatives in the respective periods.</w:t>
      </w:r>
    </w:p>
    <w:p>
      <w:pPr>
        <w:spacing w:after="0" w:line="19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b w:val="1"/>
          <w:bCs w:val="1"/>
          <w:i w:val="1"/>
          <w:iCs w:val="1"/>
          <w:color w:val="auto"/>
        </w:rPr>
        <w:t xml:space="preserve">Currency Risk: </w:t>
      </w:r>
      <w:r>
        <w:rPr>
          <w:rFonts w:ascii="Arial" w:cs="Arial" w:eastAsia="Arial" w:hAnsi="Arial"/>
          <w:sz w:val="16"/>
          <w:szCs w:val="16"/>
          <w:color w:val="auto"/>
        </w:rPr>
        <w:t>Currency risk is the risk that the value of financial instruments and/or the cost of commercial transactions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fluctuate due to changes in foreign exchange rates. Currency risk arises when future commercial transactions and recognized assets and liabilities are denominated in a currency that is not the Partnership’s functional currency. The Partnership is exposed to foreign exchange risk arising from various currency exposures primarily with respect to technical maintenance and crew costs denominated in euros. Specifically, for the year ended December 31, 2021, approximately $42,426 of the operating and administrative expenses were denominated in euros (December 31, 2020: $48,664 and December 31, 2019: $43,543). As of December 31, 2021, approximately $10,030 of the Partnership’s outstanding trade payables and accruals were denominated in euros (December 31, 2020: $12,279).</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As an indication of the extent of the Partnership’s sensitivity to changes in exchange rate, a 10% increase in the average euro/dollar exchange rate would have decreased its profit and cash flows during the year ended December 31, 2021 by $4,243, based upon its expenses during the year (December 31, 2020: $4,866 and December 31, 2019: $4,354).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Liquidity risk is the risk that arises when the maturity of assets and liabilities does not match. An unmatched position potentially enhances profitability but can also increase the risk of losses.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Partnership manages its liquidity risk by having secured credit lines, by receiving capital contributions to fund its commitments and by maintaining cash and cash equivalents.</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following tables detail the Partnership’s expected cash flows for its financial liabilities. The tables have been drawn up based on the undiscounted cash flows of financial liabilities based on the earliest date on which the Partnership can be required to pay. The table includes both interest and principal cash flows. Variable future interest payments were determined based on an average LIBOR plus the margins applicable to the Partnership’s loans at the end of each year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Less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effective</w:t>
            </w:r>
          </w:p>
        </w:tc>
        <w:tc>
          <w:tcPr>
            <w:tcW w:w="10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interest</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than 1</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months</w:t>
            </w: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3-12 months</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1-5 years</w:t>
            </w: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5+ years</w:t>
            </w: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rate</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month</w:t>
            </w:r>
          </w:p>
        </w:tc>
        <w:tc>
          <w:tcPr>
            <w:tcW w:w="10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Trade accounts payable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9,415</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9,547</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Due to related parties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Other payables and accruals*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8,379</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7,375</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5,625</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21,379</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Lease liabilities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1,019</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1,941</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8,929</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48,390</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60,279</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Variable interest loans</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2.42 %</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17,894</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19,164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85,121</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996,835</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60,146</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1,179,160</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Fixed interest loans**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36,707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29,613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99,675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1,045,305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60,146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1,271,446</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Trade accounts payable</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13,434</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13,578</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Due to related parties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7,525</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7,525</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payables and accruals*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10,043</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8,053</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5,401</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23,497</w:t>
            </w: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Lease liabilities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Variable interest loans</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2.48 %</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17,999</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21,272</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93,479</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1,062,227</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228,265</w:t>
            </w: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1,423,242</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Fixed interest loans**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2"/>
        </w:trPr>
        <w:tc>
          <w:tcPr>
            <w:tcW w:w="2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41,518</w:t>
            </w:r>
          </w:p>
        </w:tc>
        <w:tc>
          <w:tcPr>
            <w:tcW w:w="1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37,154</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99,327</w:t>
            </w:r>
          </w:p>
        </w:tc>
        <w:tc>
          <w:tcPr>
            <w:tcW w:w="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1,062,462</w:t>
            </w:r>
          </w:p>
        </w:tc>
        <w:tc>
          <w:tcPr>
            <w:tcW w:w="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228,265</w:t>
            </w: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1,468,726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hanging="352"/>
        <w:spacing w:after="0"/>
        <w:tabs>
          <w:tab w:leader="none" w:pos="360" w:val="left"/>
        </w:tabs>
        <w:numPr>
          <w:ilvl w:val="0"/>
          <w:numId w:val="126"/>
        </w:numPr>
        <w:rPr>
          <w:rFonts w:ascii="Arial" w:cs="Arial" w:eastAsia="Arial" w:hAnsi="Arial"/>
          <w:sz w:val="18"/>
          <w:szCs w:val="18"/>
          <w:i w:val="1"/>
          <w:iCs w:val="1"/>
          <w:color w:val="auto"/>
        </w:rPr>
      </w:pPr>
      <w:r>
        <w:rPr>
          <w:rFonts w:ascii="Arial" w:cs="Arial" w:eastAsia="Arial" w:hAnsi="Arial"/>
          <w:sz w:val="18"/>
          <w:szCs w:val="18"/>
          <w:i w:val="1"/>
          <w:iCs w:val="1"/>
          <w:color w:val="auto"/>
        </w:rPr>
        <w:t>Non-financial liabilities are excluded.</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A commitment fee is charged at 1.0% on the available amount of the Sponsor Credit Facility.</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170"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The following tables detail the Partnership’s expected cash flows for its derivative financial instruments.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rates as illustrated by the yield curves existing at the end of the reporting period. The undiscounted contractual cash flows are based on the contractual maturities of the interest rate swaps.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Less than 1</w:t>
            </w: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1-3 months</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3-12 months</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1-5 years</w:t>
            </w:r>
          </w:p>
        </w:tc>
        <w:tc>
          <w:tcPr>
            <w:tcW w:w="6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jc w:val="right"/>
              <w:ind w:right="76"/>
              <w:spacing w:after="0"/>
              <w:rPr>
                <w:sz w:val="20"/>
                <w:szCs w:val="20"/>
                <w:color w:val="auto"/>
              </w:rPr>
            </w:pPr>
            <w:r>
              <w:rPr>
                <w:rFonts w:ascii="Arial" w:cs="Arial" w:eastAsia="Arial" w:hAnsi="Arial"/>
                <w:sz w:val="14"/>
                <w:szCs w:val="14"/>
                <w:b w:val="1"/>
                <w:bCs w:val="1"/>
                <w:color w:val="auto"/>
              </w:rPr>
              <w:t>month</w:t>
            </w:r>
          </w:p>
        </w:tc>
        <w:tc>
          <w:tcPr>
            <w:tcW w:w="100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2021</w:t>
            </w:r>
          </w:p>
        </w:tc>
        <w:tc>
          <w:tcPr>
            <w:tcW w:w="1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Interest rate swaps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09"/>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4,775</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4,141</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9,336</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20,416</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7,764</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12,222</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20,416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Partnership expects to be able to meet its current obligations resulting from financing and operating its vessels using the liquidity existing at year-end and the cash generated by operating activities. The Partnership expects to be able to meet its long-term obligations resulting from financing its vessels through cash generated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Credit risk is the risk that a counterparty will fail to discharge its obligations and cause a financial loss. The Partnership is exposed to credit risk in the event of non-performance by any of its counterparties. To limit this risk, the Partnership currently deals exclusively with financial institutions and customers with high credit ratings.</w:t>
      </w:r>
    </w:p>
    <w:p>
      <w:pPr>
        <w:spacing w:after="0" w:line="189"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As of</w:t>
      </w:r>
    </w:p>
    <w:p>
      <w:pPr>
        <w:jc w:val="center"/>
        <w:ind w:left="6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145,530</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740" w:type="dxa"/>
            <w:vAlign w:val="bottom"/>
          </w:tcPr>
          <w:p>
            <w:pPr>
              <w:jc w:val="right"/>
              <w:spacing w:after="0"/>
              <w:rPr>
                <w:sz w:val="20"/>
                <w:szCs w:val="20"/>
                <w:color w:val="auto"/>
              </w:rPr>
            </w:pPr>
            <w:r>
              <w:rPr>
                <w:rFonts w:ascii="Arial" w:cs="Arial" w:eastAsia="Arial" w:hAnsi="Arial"/>
                <w:sz w:val="18"/>
                <w:szCs w:val="18"/>
                <w:color w:val="auto"/>
              </w:rPr>
              <w:t>16,265</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11,156</w:t>
            </w:r>
          </w:p>
        </w:tc>
      </w:tr>
    </w:tbl>
    <w:p>
      <w:pPr>
        <w:spacing w:after="0" w:line="18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For the years ended December 31, 2019, December 31, 2020 and December 31, 2021, 83%, 73% and 56%, respectively, of the Partnership’s revenues were earned from subsidiaries of Royal Dutch Shell plc (“Shell”) and accounts receivable were not collateralized; however, management believes that the credit risk is partially offset by the creditworthiness of the Partnership’s principal counterparty and the fact that the hire is being collected in advance. The Partnership did not experience any credit losses on its accounts receivable portfolio during the three years ended December 31, 2021. The carrying amount of financial assets recorded in the consolidated financial statements represents the Partnership’s maximum exposure to credit risk. Management monitors exposure to credit risk and believes that there is no substantial credit risk arising from the Partnership’s counterparty.</w:t>
      </w:r>
    </w:p>
    <w:p>
      <w:pPr>
        <w:spacing w:after="0" w:line="17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credit risk on liquid funds and derivative financial instruments is limited because the direct and indirect counterparties are banks with high credit ratings assigned by international credit rating agencies.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Risk Management</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Partnership’s objectives when managing capital are to safeguard the Partnership’s ability to continue as a going concern and to pursue future growth opportunities. Among other metrics, the Partnership monitors capital using a total indebtedness to total assets ratio (Note 7), which is defined under certain of the Partnership’s credit facilities as total debt and derivative financial instruments divided by total assets. The total indebtedness to total assets ratio is as follows: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As of</w:t>
      </w:r>
    </w:p>
    <w:p>
      <w:pPr>
        <w:jc w:val="center"/>
        <w:ind w:left="56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59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Borrowings—current portion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Borrowings—non-current portion</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1,180,635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986,451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liabilities—current portion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Lease liabilities —non-current portion</w:t>
            </w: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instruments—current liability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Derivative financial instruments—non-current liability</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12,152</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indebtedness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1,306,324</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1,150,901</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2"/>
              </w:rPr>
              <w:t>2,333,048</w:t>
            </w:r>
          </w:p>
        </w:tc>
        <w:tc>
          <w:tcPr>
            <w:tcW w:w="18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2"/>
              </w:rPr>
              <w:t>2,131,733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indebtedness/total assets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56.0 %</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54.0 %</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Partnership’s derivative liabilities is as follows:</w:t>
      </w:r>
    </w:p>
    <w:p>
      <w:pPr>
        <w:spacing w:after="0" w:line="230"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As of</w:t>
      </w:r>
    </w:p>
    <w:p>
      <w:pPr>
        <w:jc w:val="center"/>
        <w:ind w:left="6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rate swaps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20,337</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20,337</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Derivative financial instruments—current liability</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8,185</w:t>
            </w:r>
          </w:p>
        </w:tc>
        <w:tc>
          <w:tcPr>
            <w:tcW w:w="2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instruments—non-current liability</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20,337</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2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LIBOR, and the Partnership effects quarterly payments to the counterparty on the notional amount at the respective fixed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c>
          <w:tcPr>
            <w:tcW w:w="28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429"/>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119"/>
        </w:trPr>
        <w:tc>
          <w:tcPr>
            <w:tcW w:w="2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Counterparty</w:t>
            </w:r>
          </w:p>
        </w:tc>
        <w:tc>
          <w:tcPr>
            <w:tcW w:w="11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Trade</w:t>
            </w:r>
          </w:p>
        </w:tc>
        <w:tc>
          <w:tcPr>
            <w:tcW w:w="11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Effective</w:t>
            </w:r>
          </w:p>
        </w:tc>
        <w:tc>
          <w:tcPr>
            <w:tcW w:w="11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Termination</w:t>
            </w: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Interest</w:t>
            </w:r>
          </w:p>
        </w:tc>
        <w:tc>
          <w:tcPr>
            <w:tcW w:w="280" w:type="dxa"/>
            <w:vAlign w:val="bottom"/>
          </w:tcPr>
          <w:p>
            <w:pPr>
              <w:spacing w:after="0"/>
              <w:rPr>
                <w:sz w:val="10"/>
                <w:szCs w:val="10"/>
                <w:color w:val="auto"/>
              </w:rPr>
            </w:pPr>
          </w:p>
        </w:tc>
        <w:tc>
          <w:tcPr>
            <w:tcW w:w="11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210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Rate</w:t>
            </w:r>
          </w:p>
        </w:tc>
        <w:tc>
          <w:tcPr>
            <w:tcW w:w="28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940" w:type="dxa"/>
            <w:vAlign w:val="bottom"/>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19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GasLog Partners</w:t>
            </w:r>
          </w:p>
        </w:tc>
        <w:tc>
          <w:tcPr>
            <w:tcW w:w="1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GasLog</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Nov 2016</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Nov 2016</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July 2021</w:t>
            </w: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1.63%/1.43</w:t>
            </w:r>
          </w:p>
        </w:tc>
        <w:tc>
          <w:tcPr>
            <w:tcW w:w="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130,000</w:t>
            </w:r>
          </w:p>
        </w:tc>
        <w:tc>
          <w:tcPr>
            <w:tcW w:w="1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GasLog Partners</w:t>
            </w: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GasLog</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Nov 2016</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Nov 2016</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July 2022</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3"/>
              </w:rPr>
              <w:t>1.72%/1.52</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GasLog Partners</w:t>
            </w:r>
          </w:p>
        </w:tc>
        <w:tc>
          <w:tcPr>
            <w:tcW w:w="1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GasLog</w:t>
            </w:r>
          </w:p>
        </w:tc>
        <w:tc>
          <w:tcPr>
            <w:tcW w:w="11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July 2017</w:t>
            </w:r>
          </w:p>
        </w:tc>
        <w:tc>
          <w:tcPr>
            <w:tcW w:w="11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July 2017</w:t>
            </w:r>
          </w:p>
        </w:tc>
        <w:tc>
          <w:tcPr>
            <w:tcW w:w="11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June 2022</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2.19%/1.99</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GAS-twenty seven Ltd.</w:t>
            </w: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DNB Bank ASA</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July 2020</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July 2020</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July 2024</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6"/>
              </w:rPr>
              <w:t>3.146</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48,889</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48,889</w:t>
            </w: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GAS-twenty seven Ltd.</w:t>
            </w:r>
          </w:p>
        </w:tc>
        <w:tc>
          <w:tcPr>
            <w:tcW w:w="1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DNB Bank ASA</w:t>
            </w:r>
          </w:p>
        </w:tc>
        <w:tc>
          <w:tcPr>
            <w:tcW w:w="11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July 2020</w:t>
            </w:r>
          </w:p>
        </w:tc>
        <w:tc>
          <w:tcPr>
            <w:tcW w:w="11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July 2020</w:t>
            </w:r>
          </w:p>
        </w:tc>
        <w:tc>
          <w:tcPr>
            <w:tcW w:w="11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April 2025</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3.069</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GAS-twenty seven Ltd.</w:t>
            </w: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ING Bank N.V.</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July 2020</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July 2020</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July 2024</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5"/>
              </w:rPr>
              <w:t>3.24</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24,444</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24,444</w:t>
            </w: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GAS-twenty seven Ltd.</w:t>
            </w:r>
          </w:p>
        </w:tc>
        <w:tc>
          <w:tcPr>
            <w:tcW w:w="1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Bank N.V.</w:t>
            </w:r>
          </w:p>
        </w:tc>
        <w:tc>
          <w:tcPr>
            <w:tcW w:w="11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July 2020</w:t>
            </w:r>
          </w:p>
        </w:tc>
        <w:tc>
          <w:tcPr>
            <w:tcW w:w="11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July 2020</w:t>
            </w:r>
          </w:p>
        </w:tc>
        <w:tc>
          <w:tcPr>
            <w:tcW w:w="11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April 2025</w:t>
            </w:r>
          </w:p>
        </w:tc>
        <w:tc>
          <w:tcPr>
            <w:tcW w:w="940" w:type="dxa"/>
            <w:vAlign w:val="bottom"/>
            <w:tcBorders>
              <w:bottom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3.176</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8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473,333</w:t>
            </w:r>
          </w:p>
        </w:tc>
        <w:tc>
          <w:tcPr>
            <w:tcW w:w="1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343,333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right="120" w:hanging="332"/>
        <w:spacing w:after="0" w:line="275" w:lineRule="auto"/>
        <w:tabs>
          <w:tab w:leader="none" w:pos="28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Pursuant to the Credit Support Annex entered into in March 2020, whereby GasLog Partners agreed to effect deposit cash collateral payments with GasLog in connection with its derivative instruments with GasLog, the fixed interest rates of the interest rate swaps were decreased by 20 basis points or 0.2%. In November 2020, the Credit Support Annex was amended and the cash collateral held with GasLog was fully released and the fixed interest rates of the three remaining interest rate swaps with GasLog were reverted to their initial fixed rates with effect on the next interest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324"/>
        <w:spacing w:after="0" w:line="296" w:lineRule="auto"/>
        <w:rPr>
          <w:sz w:val="20"/>
          <w:szCs w:val="20"/>
          <w:color w:val="auto"/>
        </w:rPr>
      </w:pPr>
      <w:r>
        <w:rPr>
          <w:rFonts w:ascii="Arial" w:cs="Arial" w:eastAsia="Arial" w:hAnsi="Arial"/>
          <w:sz w:val="16"/>
          <w:szCs w:val="16"/>
          <w:color w:val="auto"/>
        </w:rPr>
        <w:t>In the year ended December 31, 2020, the Partnership terminated two interest rate swap agreements with an aggregate notional amount of $155,000 initially due in 2023 and 2024 with GasLog by paying an amount of $13,210 equal to their aggregate fair values upon termination. Also, GAS-twenty seven Ltd. entered into four interest rate swap agreements with an aggregate notional amount of $133,333 due in 2024 and 2025 with DNB Bank ASA, London Branch and ING Bank N.V., London Branch, the banks which were registered as hedging providers under the relevant facility entered into in July 2020 (Note 7), receiving an amount of $16,056.</w:t>
      </w:r>
    </w:p>
    <w:p>
      <w:pPr>
        <w:spacing w:after="0" w:line="16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derivative instruments of the Partnership listed above were not designated as cash flow hedging instruments as of December 31, 2021. The change in the fair value of the interest rate swaps for the year ended December 31, 2021 amounted to a gain of $11,092 (December 31, 2020: a loss of $8,623 and December 31, 2019: a loss of $14,381), which was recognized in profit or loss in the year incurred and is included in (Loss)/gain on derivatives. During the year ended December 31, 2021, the gain of $11,092 was mainly attributable to changes in the LIBOR yield curve, which was used to calculate the present value of the estimated future cash flows, resulting in a decrease in net derivative liabilities from interest rate swaps held for trading.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exchange contracts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Partnership may use non-deliverable forward foreign exchange contracts to mitigate foreign exchange transaction exposures in Euros and Singapore Dollars (“SGD”). Under these non-deliverable forward foreign exchange contracts, the counterparties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foreign exchange contracts held for trading</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derivative instruments mentioned above were not designated as cash flow hedging instruments. In the year ended December 31, 2021, the Partnership did not enter into any new forward foreign exchange contracts and the change in the fair value of these contracts for the year ended December 31, 2021 amounted to nil (December 31, 2020: a gain of $55 and December 31, 2019: gain of $523), which was recognized in profit or loss for the year incurred and is included in (Loss)/gain on derivatives.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Loss/(gain) on derivatives is as follows:</w:t>
      </w:r>
    </w:p>
    <w:p>
      <w:pPr>
        <w:spacing w:after="0" w:line="230"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For the year ended</w:t>
      </w:r>
    </w:p>
    <w:p>
      <w:pPr>
        <w:jc w:val="center"/>
        <w:ind w:left="56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Realized (gain)/loss on interest rate swaps held for trading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Realized loss on forward foreign exchange contracts held for trading</w:t>
            </w:r>
          </w:p>
        </w:tc>
        <w:tc>
          <w:tcPr>
            <w:tcW w:w="660" w:type="dxa"/>
            <w:vAlign w:val="bottom"/>
          </w:tcPr>
          <w:p>
            <w:pPr>
              <w:jc w:val="right"/>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loss/(gain) on interest rate swaps held for trading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(11,092)</w:t>
            </w: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Unrealized gain on forward foreign exchange contracts held for trading</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loss/(gain) on derivatives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12,795</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14,929</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(2,496)</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of the Partnership’s financial assets and liabilities approximate to their carrying amounts at the reporting date.</w:t>
      </w:r>
    </w:p>
    <w:p>
      <w:pPr>
        <w:spacing w:after="0" w:line="23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 xml:space="preserve">The fair value of derivatives at the end of the reporting period is determined by discounting the future cash flows using the interest rate curves at the end of the reporting period, the estimation of the counterparty risk and the Partnership’s own risk inherent in the contract. The derivatives met Level 2 classification, according to the fair value hierarchy as defined by IFRS 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There were no financial instruments in Levels 1 or 3 and no transfers between Levels 1, 2 or 3 during the periods presented. The definitions of the levels, provided by IFRS 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are based on the degree to which the fair value is observable:</w:t>
      </w:r>
    </w:p>
    <w:p>
      <w:pPr>
        <w:spacing w:after="0" w:line="161" w:lineRule="exact"/>
        <w:rPr>
          <w:sz w:val="20"/>
          <w:szCs w:val="20"/>
          <w:color w:val="auto"/>
        </w:rPr>
      </w:pPr>
    </w:p>
    <w:p>
      <w:pPr>
        <w:ind w:left="680" w:hanging="321"/>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Level 1 fair value measurements are those derived from quoted prices in active markets for identical assets or liabilities;</w:t>
      </w:r>
    </w:p>
    <w:p>
      <w:pPr>
        <w:spacing w:after="0" w:line="236" w:lineRule="exact"/>
        <w:rPr>
          <w:rFonts w:ascii="Arial" w:cs="Arial" w:eastAsia="Arial" w:hAnsi="Arial"/>
          <w:sz w:val="17"/>
          <w:szCs w:val="17"/>
          <w:color w:val="auto"/>
        </w:rPr>
      </w:pPr>
    </w:p>
    <w:p>
      <w:pPr>
        <w:ind w:left="680" w:right="620" w:hanging="321"/>
        <w:spacing w:after="0" w:line="342" w:lineRule="auto"/>
        <w:tabs>
          <w:tab w:leader="none" w:pos="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77" w:lineRule="auto"/>
        <w:tabs>
          <w:tab w:leader="none" w:pos="6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Level 3 fair value measurements are those derived from valuation techniques that include inputs for the asset or liability that are not based on observable market data (unobservable inputs).</w:t>
      </w:r>
    </w:p>
    <w:p>
      <w:pPr>
        <w:spacing w:after="0" w:line="166" w:lineRule="exact"/>
        <w:rPr>
          <w:rFonts w:ascii="Arial" w:cs="Arial" w:eastAsia="Arial" w:hAnsi="Arial"/>
          <w:sz w:val="18"/>
          <w:szCs w:val="18"/>
          <w:color w:val="auto"/>
        </w:rPr>
      </w:pPr>
    </w:p>
    <w:p>
      <w:pPr>
        <w:ind w:left="280" w:hanging="272"/>
        <w:spacing w:after="0"/>
        <w:tabs>
          <w:tab w:leader="none" w:pos="2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Cash Flow Reconciliations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reconciliations of the Partnership’s financing activities for the three years ended December 31, 2021 are presented in the following tables: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Non-cash</w:t>
            </w:r>
          </w:p>
        </w:tc>
        <w:tc>
          <w:tcPr>
            <w:tcW w:w="12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Deferred</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Cash flows</w:t>
            </w: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financing</w:t>
            </w:r>
          </w:p>
        </w:tc>
        <w:tc>
          <w:tcPr>
            <w:tcW w:w="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Borrowings</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1"/>
              </w:rPr>
              <w:t>costs, assets</w:t>
            </w: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2019</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1,365,800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Borrowings drawdowns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445,000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445,000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Borrowings repayments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(465,195)</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(465,195)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Additions in deferred loan issuance costs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(6,173)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Amortization and write-off of deferred loan issuance costs (Note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1,346,024</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Borrowings drawdowns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479,984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479,984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Borrowings repayments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(540,701)</w:t>
            </w:r>
          </w:p>
        </w:tc>
        <w:tc>
          <w:tcPr>
            <w:tcW w:w="16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(540,701)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Additions in deferred loan issuance costs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(7,362)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w w:val="92"/>
              </w:rPr>
              <w:t>Amortization and write-off of deferred loan issuance costs (Note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7,434</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1,285,543</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Borrowings repayments (Note 7)</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(205,179)</w:t>
            </w:r>
          </w:p>
        </w:tc>
        <w:tc>
          <w:tcPr>
            <w:tcW w:w="16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(205,179)</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Amortization and write-off of deferred loan issuance costs (Note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1,085,758</w:t>
            </w:r>
          </w:p>
        </w:tc>
        <w:tc>
          <w:tcPr>
            <w:tcW w:w="0" w:type="dxa"/>
            <w:vAlign w:val="bottom"/>
          </w:tcPr>
          <w:p>
            <w:pPr>
              <w:spacing w:after="0"/>
              <w:rPr>
                <w:sz w:val="1"/>
                <w:szCs w:val="1"/>
                <w:color w:val="auto"/>
              </w:rPr>
            </w:pPr>
          </w:p>
        </w:tc>
      </w:tr>
      <w:tr>
        <w:trPr>
          <w:trHeight w:val="20"/>
        </w:trPr>
        <w:tc>
          <w:tcPr>
            <w:tcW w:w="7480" w:type="dxa"/>
            <w:vAlign w:val="bottom"/>
            <w:gridSpan w:val="8"/>
            <w:vMerge w:val="restart"/>
          </w:tcPr>
          <w:p>
            <w:pPr>
              <w:ind w:left="340"/>
              <w:spacing w:after="0"/>
              <w:rPr>
                <w:sz w:val="20"/>
                <w:szCs w:val="20"/>
                <w:color w:val="auto"/>
              </w:rPr>
            </w:pPr>
            <w:r>
              <w:rPr>
                <w:rFonts w:ascii="Arial" w:cs="Arial" w:eastAsia="Arial" w:hAnsi="Arial"/>
                <w:sz w:val="18"/>
                <w:szCs w:val="18"/>
                <w:color w:val="auto"/>
                <w:w w:val="96"/>
              </w:rPr>
              <w:t>A reconciliation of net derivative assets/liabilities arising from financing activities is as follows:</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80" w:type="dxa"/>
            <w:vAlign w:val="bottom"/>
            <w:gridSpan w:val="8"/>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Cash flows</w:t>
            </w:r>
          </w:p>
        </w:tc>
        <w:tc>
          <w:tcPr>
            <w:tcW w:w="120" w:type="dxa"/>
            <w:vAlign w:val="bottom"/>
          </w:tcPr>
          <w:p>
            <w:pPr>
              <w:spacing w:after="0"/>
              <w:rPr>
                <w:sz w:val="24"/>
                <w:szCs w:val="2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Non-cash</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Net derivative</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items</w:t>
            </w:r>
          </w:p>
        </w:tc>
        <w:tc>
          <w:tcPr>
            <w:tcW w:w="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assets/(liabilities)</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2019</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2"/>
              </w:rPr>
              <w:t>Unrealized loss on interest rate swaps held for trading (Note 18)</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(14,381)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(14,381)</w:t>
            </w:r>
          </w:p>
        </w:tc>
        <w:tc>
          <w:tcPr>
            <w:tcW w:w="0" w:type="dxa"/>
            <w:vAlign w:val="bottom"/>
          </w:tcPr>
          <w:p>
            <w:pPr>
              <w:spacing w:after="0"/>
              <w:rPr>
                <w:sz w:val="1"/>
                <w:szCs w:val="1"/>
                <w:color w:val="auto"/>
              </w:rPr>
            </w:pPr>
          </w:p>
        </w:tc>
      </w:tr>
      <w:tr>
        <w:trPr>
          <w:trHeight w:val="216"/>
        </w:trPr>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Unrealized gain on forward foreign exchange contracts held for trading (Note 18)</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(8,923)</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entering into interest rate swaps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(16,056)</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Payment for interest rate swaps termination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13,210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13,210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2"/>
              </w:rPr>
              <w:t>Unrealized loss on interest rate swaps held for trading (Note 18)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(8,623)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0" w:type="dxa"/>
            <w:vAlign w:val="bottom"/>
          </w:tcPr>
          <w:p>
            <w:pPr>
              <w:spacing w:after="0"/>
              <w:rPr>
                <w:sz w:val="1"/>
                <w:szCs w:val="1"/>
                <w:color w:val="auto"/>
              </w:rPr>
            </w:pPr>
          </w:p>
        </w:tc>
      </w:tr>
      <w:tr>
        <w:trPr>
          <w:trHeight w:val="216"/>
        </w:trPr>
        <w:tc>
          <w:tcPr>
            <w:tcW w:w="6200" w:type="dxa"/>
            <w:vAlign w:val="bottom"/>
            <w:gridSpan w:val="4"/>
          </w:tcPr>
          <w:p>
            <w:pPr>
              <w:spacing w:after="0"/>
              <w:rPr>
                <w:sz w:val="20"/>
                <w:szCs w:val="20"/>
                <w:color w:val="auto"/>
              </w:rPr>
            </w:pPr>
            <w:r>
              <w:rPr>
                <w:rFonts w:ascii="Arial" w:cs="Arial" w:eastAsia="Arial" w:hAnsi="Arial"/>
                <w:sz w:val="18"/>
                <w:szCs w:val="18"/>
                <w:color w:val="auto"/>
                <w:w w:val="96"/>
              </w:rPr>
              <w:t>Unrealized gain on forward foreign exchange contracts held for trading (Note 18)</w:t>
            </w:r>
          </w:p>
        </w:tc>
        <w:tc>
          <w:tcPr>
            <w:tcW w:w="1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(20,337)</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Unrealized gain on interest rate swaps held for trading (Note 18)</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11,092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(9,245)</w:t>
            </w:r>
          </w:p>
        </w:tc>
        <w:tc>
          <w:tcPr>
            <w:tcW w:w="0" w:type="dxa"/>
            <w:vAlign w:val="bottom"/>
          </w:tcPr>
          <w:p>
            <w:pPr>
              <w:spacing w:after="0"/>
              <w:rPr>
                <w:sz w:val="1"/>
                <w:szCs w:val="1"/>
                <w:color w:val="auto"/>
              </w:rPr>
            </w:pPr>
          </w:p>
        </w:tc>
      </w:tr>
      <w:tr>
        <w:trPr>
          <w:trHeight w:val="857"/>
        </w:trPr>
        <w:tc>
          <w:tcPr>
            <w:tcW w:w="4720" w:type="dxa"/>
            <w:vAlign w:val="bottom"/>
          </w:tcPr>
          <w:p>
            <w:pPr>
              <w:spacing w:after="0"/>
              <w:rPr>
                <w:sz w:val="24"/>
                <w:szCs w:val="24"/>
                <w:color w:val="auto"/>
              </w:rPr>
            </w:pPr>
          </w:p>
        </w:tc>
        <w:tc>
          <w:tcPr>
            <w:tcW w:w="1480" w:type="dxa"/>
            <w:vAlign w:val="bottom"/>
            <w:gridSpan w:val="3"/>
          </w:tcPr>
          <w:p>
            <w:pPr>
              <w:jc w:val="right"/>
              <w:ind w:right="1060"/>
              <w:spacing w:after="0"/>
              <w:rPr>
                <w:sz w:val="20"/>
                <w:szCs w:val="20"/>
                <w:color w:val="auto"/>
              </w:rPr>
            </w:pPr>
            <w:r>
              <w:rPr>
                <w:rFonts w:ascii="Arial" w:cs="Arial" w:eastAsia="Arial" w:hAnsi="Arial"/>
                <w:sz w:val="18"/>
                <w:szCs w:val="18"/>
                <w:color w:val="auto"/>
              </w:rPr>
              <w:t>F-42</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lease liabilities arising from financing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Cash flows</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Non-cash</w:t>
            </w:r>
          </w:p>
        </w:tc>
        <w:tc>
          <w:tcPr>
            <w:tcW w:w="11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8"/>
              </w:rPr>
              <w:t>Lease liabilities</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2019</w:t>
            </w: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Lease expense (Note 13)</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interest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for lease liabilities</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886</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Additions</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Lease expense (Note 13)</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Payments for interest</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Payments for lease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2020</w:t>
            </w:r>
          </w:p>
        </w:tc>
        <w:tc>
          <w:tcPr>
            <w:tcW w:w="1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Lease expense (Note 13)</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interest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for lease liabilities</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(2,217)</w:t>
            </w:r>
          </w:p>
        </w:tc>
        <w:tc>
          <w:tcPr>
            <w:tcW w:w="24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55,898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Earnings/(loss) Per Unit(“EPU”)</w:t>
      </w:r>
    </w:p>
    <w:p>
      <w:pPr>
        <w:spacing w:after="0" w:line="22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 Partnership calculates earnings per unit by allocating reported profit or loss for each period to each class of units based on the distribution policy for available cash stated in the Partnership Agreement as generally described in Note 6 above.</w:t>
      </w:r>
    </w:p>
    <w:p>
      <w:pPr>
        <w:spacing w:after="0" w:line="14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Basic earnings per unit is determined by dividing profit or loss for the year, after deducting preference unit distributions and adding any excess of the carrying amount of preference units over the fair value of the consideration paid to settle them, by the weighted average number of units outstanding during the year. Diluted earnings per unit is calculated by dividing the profit of the year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attributable to common unitholders by the weighted average number of potential ordinary common units assumed to have been converted into common units, unless such potential ordinary common units have an antidilutive effect.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60" w:type="dxa"/>
            <w:vAlign w:val="bottom"/>
            <w:tcBorders>
              <w:bottom w:val="single" w:sz="8" w:color="auto"/>
            </w:tcBorders>
            <w:gridSpan w:val="5"/>
          </w:tcPr>
          <w:p>
            <w:pPr>
              <w:jc w:val="right"/>
              <w:ind w:right="511"/>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2480" w:type="dxa"/>
            <w:vAlign w:val="bottom"/>
            <w:tcBorders>
              <w:bottom w:val="single" w:sz="8" w:color="CCEEFF"/>
            </w:tcBorders>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(Loss)/profit for the year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(34,769)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56,859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5,726</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Less: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Partnership’s (loss)/profit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(37,419)</w:t>
            </w:r>
          </w:p>
        </w:tc>
        <w:tc>
          <w:tcPr>
            <w:tcW w:w="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56,859</w:t>
            </w:r>
          </w:p>
        </w:tc>
        <w:tc>
          <w:tcPr>
            <w:tcW w:w="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5,726</w:t>
            </w:r>
          </w:p>
        </w:tc>
      </w:tr>
      <w:tr>
        <w:trPr>
          <w:trHeight w:val="209"/>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Accrued preference unit distributions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(30,328)</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(30,328)</w:t>
            </w:r>
          </w:p>
        </w:tc>
        <w:tc>
          <w:tcPr>
            <w:tcW w:w="960" w:type="dxa"/>
            <w:vAlign w:val="bottom"/>
          </w:tcPr>
          <w:p>
            <w:pPr>
              <w:jc w:val="right"/>
              <w:spacing w:after="0"/>
              <w:rPr>
                <w:sz w:val="20"/>
                <w:szCs w:val="20"/>
                <w:color w:val="auto"/>
              </w:rPr>
            </w:pPr>
            <w:r>
              <w:rPr>
                <w:rFonts w:ascii="Arial" w:cs="Arial" w:eastAsia="Arial" w:hAnsi="Arial"/>
                <w:sz w:val="18"/>
                <w:szCs w:val="18"/>
                <w:color w:val="auto"/>
              </w:rPr>
              <w:t>(29,694)</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Differences on repurchase of preference units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Partnership’s (loss)/profit attributable to:</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(67,747)</w:t>
            </w:r>
          </w:p>
        </w:tc>
        <w:tc>
          <w:tcPr>
            <w:tcW w:w="2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26,531</w:t>
            </w:r>
          </w:p>
        </w:tc>
        <w:tc>
          <w:tcPr>
            <w:tcW w:w="2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(23,970)</w:t>
            </w:r>
          </w:p>
        </w:tc>
      </w:tr>
      <w:tr>
        <w:trPr>
          <w:trHeight w:val="197"/>
        </w:trPr>
        <w:tc>
          <w:tcPr>
            <w:tcW w:w="6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Common unitholders</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(66,268)</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25,970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(23,488)</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(1,479)</w:t>
            </w:r>
          </w:p>
        </w:tc>
        <w:tc>
          <w:tcPr>
            <w:tcW w:w="940" w:type="dxa"/>
            <w:vAlign w:val="bottom"/>
          </w:tcPr>
          <w:p>
            <w:pPr>
              <w:jc w:val="right"/>
              <w:spacing w:after="0"/>
              <w:rPr>
                <w:sz w:val="20"/>
                <w:szCs w:val="20"/>
                <w:color w:val="auto"/>
              </w:rPr>
            </w:pPr>
            <w:r>
              <w:rPr>
                <w:rFonts w:ascii="Arial" w:cs="Arial" w:eastAsia="Arial" w:hAnsi="Arial"/>
                <w:sz w:val="18"/>
                <w:szCs w:val="18"/>
                <w:color w:val="auto"/>
              </w:rPr>
              <w:t>561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distribution rights</w:t>
            </w: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units outstanding (basic)</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46,272,598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47,042,494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49,501,674</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General partner units</w:t>
            </w:r>
          </w:p>
        </w:tc>
        <w:tc>
          <w:tcPr>
            <w:tcW w:w="940" w:type="dxa"/>
            <w:vAlign w:val="bottom"/>
          </w:tcPr>
          <w:p>
            <w:pPr>
              <w:jc w:val="right"/>
              <w:spacing w:after="0"/>
              <w:rPr>
                <w:sz w:val="20"/>
                <w:szCs w:val="20"/>
                <w:color w:val="auto"/>
              </w:rPr>
            </w:pPr>
            <w:r>
              <w:rPr>
                <w:rFonts w:ascii="Arial" w:cs="Arial" w:eastAsia="Arial" w:hAnsi="Arial"/>
                <w:sz w:val="18"/>
                <w:szCs w:val="18"/>
                <w:color w:val="auto"/>
              </w:rPr>
              <w:t>975,531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1,021,336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1,049,800</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(Loss)/earnings per unit (basic)</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Common unitholders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940" w:type="dxa"/>
            <w:vAlign w:val="bottom"/>
          </w:tcPr>
          <w:p>
            <w:pPr>
              <w:jc w:val="right"/>
              <w:spacing w:after="0"/>
              <w:rPr>
                <w:sz w:val="20"/>
                <w:szCs w:val="20"/>
                <w:color w:val="auto"/>
              </w:rPr>
            </w:pPr>
            <w:r>
              <w:rPr>
                <w:rFonts w:ascii="Arial" w:cs="Arial" w:eastAsia="Arial" w:hAnsi="Arial"/>
                <w:sz w:val="18"/>
                <w:szCs w:val="18"/>
                <w:color w:val="auto"/>
              </w:rPr>
              <w:t>0.55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units outstanding (diluted)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46,272,598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49,567,506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49,501,674</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General partner units</w:t>
            </w:r>
          </w:p>
        </w:tc>
        <w:tc>
          <w:tcPr>
            <w:tcW w:w="940" w:type="dxa"/>
            <w:vAlign w:val="bottom"/>
          </w:tcPr>
          <w:p>
            <w:pPr>
              <w:jc w:val="right"/>
              <w:spacing w:after="0"/>
              <w:rPr>
                <w:sz w:val="20"/>
                <w:szCs w:val="20"/>
                <w:color w:val="auto"/>
              </w:rPr>
            </w:pPr>
            <w:r>
              <w:rPr>
                <w:rFonts w:ascii="Arial" w:cs="Arial" w:eastAsia="Arial" w:hAnsi="Arial"/>
                <w:sz w:val="18"/>
                <w:szCs w:val="18"/>
                <w:color w:val="auto"/>
              </w:rPr>
              <w:t>975,531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1,021,336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1,049,800</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(Loss)/earnings per unit (diluted)</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Common unitholders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940" w:type="dxa"/>
            <w:vAlign w:val="bottom"/>
          </w:tcPr>
          <w:p>
            <w:pPr>
              <w:jc w:val="right"/>
              <w:spacing w:after="0"/>
              <w:rPr>
                <w:sz w:val="20"/>
                <w:szCs w:val="20"/>
                <w:color w:val="auto"/>
              </w:rPr>
            </w:pPr>
            <w:r>
              <w:rPr>
                <w:rFonts w:ascii="Arial" w:cs="Arial" w:eastAsia="Arial" w:hAnsi="Arial"/>
                <w:sz w:val="18"/>
                <w:szCs w:val="18"/>
                <w:color w:val="auto"/>
              </w:rPr>
              <w:t>0.52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108"/>
        </w:trPr>
        <w:tc>
          <w:tcPr>
            <w:tcW w:w="248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80" w:lineRule="exact"/>
        <w:rPr>
          <w:sz w:val="20"/>
          <w:szCs w:val="20"/>
          <w:color w:val="auto"/>
        </w:rPr>
      </w:pPr>
    </w:p>
    <w:p>
      <w:pPr>
        <w:ind w:left="340" w:right="20" w:hanging="332"/>
        <w:spacing w:after="0" w:line="257" w:lineRule="auto"/>
        <w:tabs>
          <w:tab w:leader="none" w:pos="33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Includes profit of GAS-twelve Ltd. for the period prior to its transfer to the Partnership on April 1, 2019. While such amount is reflected in the Partnership’s financial statements because the transfer to the Partnership was accounted for as reorganization of entities under common control (Note 1), the aforementioned entity was not owned by the Partnership prior to its transfer to the Partnership on the respective date and accordingly the Partnership was not entitled to the cash or results generated in the period prior to such transfer.</w:t>
      </w:r>
    </w:p>
    <w:p>
      <w:pPr>
        <w:spacing w:after="0" w:line="188" w:lineRule="exact"/>
        <w:rPr>
          <w:sz w:val="20"/>
          <w:szCs w:val="20"/>
          <w:color w:val="auto"/>
        </w:rPr>
      </w:pPr>
    </w:p>
    <w:p>
      <w:pPr>
        <w:ind w:left="340" w:right="60" w:hanging="332"/>
        <w:spacing w:after="0" w:line="275" w:lineRule="auto"/>
        <w:tabs>
          <w:tab w:leader="none" w:pos="32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IDRs were eliminated on June 30, 2019 (Note 6). Until their elimination, they represented the right to receive an increasing percentage of quarterly distributions of available cash from operating surplus after the minimum quarterly distribution and the target distribution levels had been achieved. GasLog held the incentive distribution rights following completion of the Partnership’s IPO. The IDRs could be transferred separately from any other interests, subject to restrictions in the Partnership Agreement. Based on the nature of such right, earnings attributable to IDRs could not be allocated on a per unit basis.</w:t>
      </w:r>
    </w:p>
    <w:p>
      <w:pPr>
        <w:spacing w:after="0" w:line="176" w:lineRule="exact"/>
        <w:rPr>
          <w:rFonts w:ascii="Arial" w:cs="Arial" w:eastAsia="Arial" w:hAnsi="Arial"/>
          <w:sz w:val="17"/>
          <w:szCs w:val="17"/>
          <w:color w:val="auto"/>
        </w:rPr>
      </w:pPr>
    </w:p>
    <w:p>
      <w:pPr>
        <w:ind w:left="340" w:hanging="332"/>
        <w:spacing w:after="0" w:line="293" w:lineRule="auto"/>
        <w:tabs>
          <w:tab w:leader="none" w:pos="33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Includes unvested awards with respect to the 2015 Plan (Note 21) for the year ended December 31, 2020; does not include unvested awards and Class B units for the years ended December 31, 2019 and December 31, 2021, because their effect would be anti-dilutive. The 2,490,000 Class B units were issued on June 30, 2019 and are included in the weighted average number of units outstanding for the calculation of diluted EPU from July 1, 2019 and onwards. They become eligible for conversion on a one-for-one basis into common units at GasLog’s option in six tranches of 415,000 units per annum on July 1 of 2020 (Note 6), 2021(Note 6), 2022, 2023, 2024 and 2025; as a result, they do not have an impact on the calculation of basic EPU until conversion.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Partnership has granted to its executives RCUs and PCUs in accordance with the 2015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the granted awards are presented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Awards</w:t>
            </w: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6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Fair value at grant</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RCUs</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26,308</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1, 2019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color w:val="auto"/>
                <w:w w:val="93"/>
              </w:rPr>
              <w:t>22.99</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PCUs</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26,308</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April 1, 2019</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right="72"/>
              <w:spacing w:after="0"/>
              <w:rPr>
                <w:sz w:val="20"/>
                <w:szCs w:val="20"/>
                <w:color w:val="auto"/>
              </w:rPr>
            </w:pPr>
            <w:r>
              <w:rPr>
                <w:rFonts w:ascii="Arial" w:cs="Arial" w:eastAsia="Arial" w:hAnsi="Arial"/>
                <w:sz w:val="18"/>
                <w:szCs w:val="18"/>
                <w:color w:val="auto"/>
                <w:w w:val="93"/>
              </w:rPr>
              <w:t>22.99</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233,688</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1, 2020</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5"/>
              </w:rPr>
              <w:t>2.02</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PCUs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233,688</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April 1, 2020</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right="72"/>
              <w:spacing w:after="0"/>
              <w:rPr>
                <w:sz w:val="20"/>
                <w:szCs w:val="20"/>
                <w:color w:val="auto"/>
              </w:rPr>
            </w:pPr>
            <w:r>
              <w:rPr>
                <w:rFonts w:ascii="Arial" w:cs="Arial" w:eastAsia="Arial" w:hAnsi="Arial"/>
                <w:sz w:val="18"/>
                <w:szCs w:val="18"/>
                <w:color w:val="auto"/>
                <w:w w:val="85"/>
              </w:rPr>
              <w:t>2.02</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98,255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1, 2021</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5"/>
              </w:rPr>
              <w:t>2.75</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PCUs</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98,255</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April 1, 2021</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right="72"/>
              <w:spacing w:after="0"/>
              <w:rPr>
                <w:sz w:val="20"/>
                <w:szCs w:val="20"/>
                <w:color w:val="auto"/>
              </w:rPr>
            </w:pPr>
            <w:r>
              <w:rPr>
                <w:rFonts w:ascii="Arial" w:cs="Arial" w:eastAsia="Arial" w:hAnsi="Arial"/>
                <w:sz w:val="18"/>
                <w:szCs w:val="18"/>
                <w:color w:val="auto"/>
                <w:w w:val="85"/>
              </w:rPr>
              <w:t>2.75</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21,663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14,2021</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5"/>
              </w:rPr>
              <w:t>4.09</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PCUs</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21,663</w:t>
            </w: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September 14,2021</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right="72"/>
              <w:spacing w:after="0"/>
              <w:rPr>
                <w:sz w:val="20"/>
                <w:szCs w:val="20"/>
                <w:color w:val="auto"/>
              </w:rPr>
            </w:pPr>
            <w:r>
              <w:rPr>
                <w:rFonts w:ascii="Arial" w:cs="Arial" w:eastAsia="Arial" w:hAnsi="Arial"/>
                <w:sz w:val="18"/>
                <w:szCs w:val="18"/>
                <w:color w:val="auto"/>
                <w:w w:val="85"/>
              </w:rPr>
              <w:t>4.09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RCUs and PCUs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 and 75th percentile of the peer group results in 50% of award vesting; TUR below the 50th percentile of the peer group results in none of the award vesting. The holders are entitled to cash distributions that are accrued and settled on vesting.</w:t>
      </w:r>
    </w:p>
    <w:p>
      <w:pPr>
        <w:spacing w:after="0" w:line="164"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awards are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fair value per common unit of the RCUs and PCUs in accordance with the 2015 Plan was determined by using the grant date closing price and was not further adjusted since the holders are entitled to cash distributions.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RCUs and PCUs during the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summary of RCUs and PCUs is presented below:</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awards</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contractual life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RCUs</w:t>
            </w: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Outstanding as of January 1, 2020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76,467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1,790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233,688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Vested during the year</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(220,177)</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89,978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760" w:type="dxa"/>
            <w:vAlign w:val="bottom"/>
          </w:tcPr>
          <w:p>
            <w:pPr>
              <w:jc w:val="right"/>
              <w:spacing w:after="0"/>
              <w:rPr>
                <w:sz w:val="20"/>
                <w:szCs w:val="20"/>
                <w:color w:val="auto"/>
              </w:rPr>
            </w:pPr>
            <w:r>
              <w:rPr>
                <w:rFonts w:ascii="Arial" w:cs="Arial" w:eastAsia="Arial" w:hAnsi="Arial"/>
                <w:sz w:val="18"/>
                <w:szCs w:val="18"/>
                <w:color w:val="auto"/>
              </w:rPr>
              <w:t>119,918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203,912</w:t>
            </w:r>
          </w:p>
        </w:tc>
        <w:tc>
          <w:tcPr>
            <w:tcW w:w="16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4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PCUs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Outstanding as of January 1, 2020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76,467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1,790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233,688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Vested during the year</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(213,955)</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89,978</w:t>
            </w:r>
          </w:p>
        </w:tc>
        <w:tc>
          <w:tcPr>
            <w:tcW w:w="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1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Vested during the year</w:t>
            </w:r>
          </w:p>
        </w:tc>
        <w:tc>
          <w:tcPr>
            <w:tcW w:w="760" w:type="dxa"/>
            <w:vAlign w:val="bottom"/>
          </w:tcPr>
          <w:p>
            <w:pPr>
              <w:jc w:val="right"/>
              <w:spacing w:after="0"/>
              <w:rPr>
                <w:sz w:val="20"/>
                <w:szCs w:val="20"/>
                <w:color w:val="auto"/>
              </w:rPr>
            </w:pPr>
            <w:r>
              <w:rPr>
                <w:rFonts w:ascii="Arial" w:cs="Arial" w:eastAsia="Arial" w:hAnsi="Arial"/>
                <w:sz w:val="18"/>
                <w:szCs w:val="18"/>
                <w:color w:val="auto"/>
              </w:rPr>
              <w:t>(2,992)</w:t>
            </w: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203,912</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total expense recognized in respect of equity-settled employee benefits for the year ended December 31, 2021 was $378 ($1,908 for the year ended December 31, 2020; $1,158 for the year ended December 31, 2019). The total accrued cash distribution as of December 31, 2021 is $86 (December 31, 2020: $129).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Taxation</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Under the laws of the countries of the Partnership’s incorporation and the vessels’ registration, the Partnership is not subject to tax on international shipping income. However, it is subject to registration and tonnage taxes, which are included in vessel operating costs in the consolidated statement of profit or loss.</w:t>
      </w:r>
    </w:p>
    <w:p>
      <w:pPr>
        <w:spacing w:after="0" w:line="18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Under the United States Internal Revenue Code of 1986, as amended (the “Code”), the U.S. source gross transportation income of a ship-owning or chartering corporation, such as the Partnership,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Partnership did not qualify for this exemption for the three years ended December 31, 2021. During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the estimated U.S. source gross transportation tax was $1,357 (December 31, 2020: $1,300 and December 31,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$978).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On January 26, 2022, the board of directors of GasLog Partners approved and declared a quarterly cash distribution, with respect to the quarter ended December 31, 2021, of $0.01 per unit. The cash distribution was paid on February 10, 2022, to all common unitholders of record as of February 7, 2022. The aggregate amount of the declared distribution was $522.</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February 25, 2022,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March 15, 2022 to all unitholders of record as of March 8, 2022.</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During the period from January 1, 2022 through March 1, 2022, GasLog Partners repurchased and cancelled an additional 107,245 Series B Preference Units and 42,390 Series C Preference Units at a weighted average price of $25.36 per preference unit for both series, under its preference unit repurchase programme.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460"/>
              <w:spacing w:after="0"/>
              <w:rPr>
                <w:sz w:val="20"/>
                <w:szCs w:val="20"/>
                <w:color w:val="auto"/>
              </w:rPr>
            </w:pPr>
            <w:r>
              <w:rPr>
                <w:rFonts w:ascii="Arial" w:cs="Arial" w:eastAsia="Arial" w:hAnsi="Arial"/>
                <w:sz w:val="18"/>
                <w:szCs w:val="18"/>
                <w:b w:val="1"/>
                <w:bCs w:val="1"/>
                <w:color w:val="auto"/>
              </w:rPr>
              <w:t>EXHIBIT 8.1</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640" w:type="dxa"/>
            <w:vAlign w:val="bottom"/>
            <w:gridSpan w:val="2"/>
          </w:tcPr>
          <w:p>
            <w:pPr>
              <w:ind w:left="3120"/>
              <w:spacing w:after="0"/>
              <w:rPr>
                <w:sz w:val="20"/>
                <w:szCs w:val="20"/>
                <w:color w:val="auto"/>
              </w:rPr>
            </w:pPr>
            <w:r>
              <w:rPr>
                <w:rFonts w:ascii="Arial" w:cs="Arial" w:eastAsia="Arial" w:hAnsi="Arial"/>
                <w:sz w:val="18"/>
                <w:szCs w:val="18"/>
                <w:color w:val="auto"/>
                <w:w w:val="95"/>
              </w:rPr>
              <w:t>SUBSIDIARIES OF GASLOG PARTNERS LP</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6640" w:type="dxa"/>
            <w:vAlign w:val="bottom"/>
            <w:gridSpan w:val="2"/>
          </w:tcPr>
          <w:p>
            <w:pPr>
              <w:ind w:left="120"/>
              <w:spacing w:after="0"/>
              <w:rPr>
                <w:sz w:val="20"/>
                <w:szCs w:val="20"/>
                <w:color w:val="auto"/>
              </w:rPr>
            </w:pPr>
            <w:r>
              <w:rPr>
                <w:rFonts w:ascii="Arial" w:cs="Arial" w:eastAsia="Arial" w:hAnsi="Arial"/>
                <w:sz w:val="18"/>
                <w:szCs w:val="18"/>
                <w:color w:val="auto"/>
              </w:rPr>
              <w:t>The following companies are subsidiaries of GasLog Partners LP:</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7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Name of Subsidiary</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Jurisdiction of</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71"/>
        </w:trPr>
        <w:tc>
          <w:tcPr>
            <w:tcW w:w="6760" w:type="dxa"/>
            <w:vAlign w:val="bottom"/>
            <w:gridSpan w:val="3"/>
            <w:vMerge w:val="continue"/>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Incorporation</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Ownership Interest</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6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GAS-three Ltd.</w:t>
            </w:r>
          </w:p>
        </w:tc>
        <w:tc>
          <w:tcPr>
            <w:tcW w:w="1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Bermuda</w:t>
            </w:r>
          </w:p>
        </w:tc>
        <w:tc>
          <w:tcPr>
            <w:tcW w:w="18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GAS-four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GAS-five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GAS-seven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GAS-eight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GAS-eleven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GAS-twelve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GAS-thirteen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GAS-fourteen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GAS-sixteen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GAS-seventeen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GAS-nineteen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GAS-twenty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GAS-twenty one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GAS-twenty seven Ltd.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GasLog Partners Holdings LLC</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Marshall Islands</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Paolo Enoizi certify that:</w:t>
      </w:r>
    </w:p>
    <w:p>
      <w:pPr>
        <w:spacing w:after="0" w:line="216"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Partners LP (the “Partnership”);</w:t>
      </w:r>
    </w:p>
    <w:p>
      <w:pPr>
        <w:spacing w:after="0" w:line="184"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43" w:lineRule="exact"/>
        <w:rPr>
          <w:rFonts w:ascii="Arial" w:cs="Arial" w:eastAsia="Arial" w:hAnsi="Arial"/>
          <w:sz w:val="18"/>
          <w:szCs w:val="18"/>
          <w:color w:val="auto"/>
        </w:rPr>
      </w:pPr>
    </w:p>
    <w:p>
      <w:pPr>
        <w:jc w:val="both"/>
        <w:ind w:left="340" w:right="200" w:hanging="332"/>
        <w:spacing w:after="0" w:line="263"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14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980" w:right="320" w:hanging="324"/>
        <w:spacing w:after="0" w:line="263" w:lineRule="auto"/>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143"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143" w:lineRule="exact"/>
        <w:rPr>
          <w:rFonts w:ascii="Arial" w:cs="Arial" w:eastAsia="Arial" w:hAnsi="Arial"/>
          <w:sz w:val="18"/>
          <w:szCs w:val="18"/>
          <w:color w:val="auto"/>
        </w:rPr>
      </w:pPr>
    </w:p>
    <w:p>
      <w:pPr>
        <w:jc w:val="both"/>
        <w:ind w:left="980" w:right="180" w:hanging="324"/>
        <w:spacing w:after="0" w:line="263" w:lineRule="auto"/>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4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Partnership’s internal control over financial reporting.</w:t>
      </w:r>
    </w:p>
    <w:p>
      <w:pPr>
        <w:spacing w:after="0" w:line="19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Dated: March 1, 2022</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21431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Achilleas Tasioulas, certify that:</w:t>
      </w:r>
    </w:p>
    <w:p>
      <w:pPr>
        <w:spacing w:after="0" w:line="216"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Partners LP (the “Partnership”);</w:t>
      </w:r>
    </w:p>
    <w:p>
      <w:pPr>
        <w:spacing w:after="0" w:line="184"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43" w:lineRule="exact"/>
        <w:rPr>
          <w:rFonts w:ascii="Arial" w:cs="Arial" w:eastAsia="Arial" w:hAnsi="Arial"/>
          <w:sz w:val="18"/>
          <w:szCs w:val="18"/>
          <w:color w:val="auto"/>
        </w:rPr>
      </w:pPr>
    </w:p>
    <w:p>
      <w:pPr>
        <w:jc w:val="both"/>
        <w:ind w:left="340" w:right="200" w:hanging="332"/>
        <w:spacing w:after="0" w:line="263"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14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980" w:right="320" w:hanging="324"/>
        <w:spacing w:after="0" w:line="263" w:lineRule="auto"/>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143"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143" w:lineRule="exact"/>
        <w:rPr>
          <w:rFonts w:ascii="Arial" w:cs="Arial" w:eastAsia="Arial" w:hAnsi="Arial"/>
          <w:sz w:val="18"/>
          <w:szCs w:val="18"/>
          <w:color w:val="auto"/>
        </w:rPr>
      </w:pPr>
    </w:p>
    <w:p>
      <w:pPr>
        <w:jc w:val="both"/>
        <w:ind w:left="980" w:right="180" w:hanging="324"/>
        <w:spacing w:after="0" w:line="263" w:lineRule="auto"/>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4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Partnership’s internal control over financial reporting.</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Dated: March 1, 2022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14605</wp:posOffset>
            </wp:positionV>
            <wp:extent cx="21945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Achilleas Tasioulas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84" w:lineRule="exact"/>
        <w:rPr>
          <w:sz w:val="20"/>
          <w:szCs w:val="20"/>
          <w:color w:val="auto"/>
        </w:rPr>
      </w:pPr>
    </w:p>
    <w:p>
      <w:pPr>
        <w:ind w:right="40" w:firstLine="233"/>
        <w:spacing w:after="0" w:line="259" w:lineRule="auto"/>
        <w:rPr>
          <w:sz w:val="20"/>
          <w:szCs w:val="20"/>
          <w:color w:val="auto"/>
        </w:rPr>
      </w:pPr>
      <w:r>
        <w:rPr>
          <w:rFonts w:ascii="Arial" w:cs="Arial" w:eastAsia="Arial" w:hAnsi="Arial"/>
          <w:sz w:val="18"/>
          <w:szCs w:val="18"/>
          <w:color w:val="auto"/>
        </w:rPr>
        <w:t>In connection with the annual report on Form 20-F of GasLog Partners LP, a limited partnership organized under the laws of the Republic of the Marshall Islands (the “Partnership”), for the period ending December 31, 2021, as filed with the Securities and Exchange Commission on the date hereof (the “Report”), the undersigned officer of the Company certifies pursuant to 18 U.S.C. Section 1350, as adopted pursuant to Section 906 of the Sarbanes-Oxley Act of 2002, that:</w:t>
      </w:r>
    </w:p>
    <w:p>
      <w:pPr>
        <w:spacing w:after="0" w:line="160"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30" w:lineRule="exact"/>
        <w:rPr>
          <w:sz w:val="20"/>
          <w:szCs w:val="20"/>
          <w:color w:val="auto"/>
        </w:rPr>
      </w:pPr>
    </w:p>
    <w:p>
      <w:pPr>
        <w:ind w:right="300" w:firstLine="233"/>
        <w:spacing w:after="0" w:line="277"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Date: March 1, 2022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602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13.2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84" w:lineRule="exact"/>
        <w:rPr>
          <w:sz w:val="20"/>
          <w:szCs w:val="20"/>
          <w:color w:val="auto"/>
        </w:rPr>
      </w:pPr>
    </w:p>
    <w:p>
      <w:pPr>
        <w:ind w:right="40" w:firstLine="233"/>
        <w:spacing w:after="0" w:line="259" w:lineRule="auto"/>
        <w:rPr>
          <w:sz w:val="20"/>
          <w:szCs w:val="20"/>
          <w:color w:val="auto"/>
        </w:rPr>
      </w:pPr>
      <w:r>
        <w:rPr>
          <w:rFonts w:ascii="Arial" w:cs="Arial" w:eastAsia="Arial" w:hAnsi="Arial"/>
          <w:sz w:val="18"/>
          <w:szCs w:val="18"/>
          <w:color w:val="auto"/>
        </w:rPr>
        <w:t>In connection with the annual report on Form 20-F of GasLog Partners LP, a limited partnership organized under the laws of the Republic of the Marshall Islands (the “Partnership”), for the period ending December 31, 2021, as filed with the Securities and Exchange Commission on the date hereof (the “Report”), the undersigned officer of the Partnership certifies pursuant to 18 U.S.C. Section 1350, as adopted pursuant to Section 906 of the Sarbanes-Oxley Act of 2002, that:</w:t>
      </w:r>
    </w:p>
    <w:p>
      <w:pPr>
        <w:spacing w:after="0" w:line="160"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30" w:lineRule="exact"/>
        <w:rPr>
          <w:sz w:val="20"/>
          <w:szCs w:val="20"/>
          <w:color w:val="auto"/>
        </w:rPr>
      </w:pPr>
    </w:p>
    <w:p>
      <w:pPr>
        <w:ind w:right="300" w:firstLine="233"/>
        <w:spacing w:after="0" w:line="277"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March 1, 2022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14605</wp:posOffset>
            </wp:positionV>
            <wp:extent cx="21945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Achilleas Tasioulas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 333-249399 on Form F-3, and No. 333-203139 on Form S-8, of our reports dated March 2, 2021, relating to the consolidated financial statements of GasLog Partners LP as of December 31, 2020 and for the two years in the period then ended, appearing in this Annual Report on Form 20-F of GasLog Partners LP for the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 333-249399 on Form F-3, and No. 333-203139 on Form S-8, of our reports dated March 1, 2022, relating to the consolidated financial statements of GasLog Partners LP and the effectiveness of GasLog Partners LP’s internal control over financial reporting appearing in this Annual Report on Form 20-F of GasLog Partners LP for the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1."/>
      <w:numFmt w:val="upperLetter"/>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1)"/>
      <w:numFmt w:val="decimal"/>
      <w:start w:val="2"/>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lvl w:ilvl="1">
      <w:lvlJc w:val="left"/>
      <w:lvlText w:val="●"/>
      <w:numFmt w:val="bullet"/>
      <w:start w:val="1"/>
    </w:lvl>
  </w:abstractNum>
  <w:abstractNum w:abstractNumId="38">
    <w:nsid w:val="4C04A8AF"/>
    <w:multiLevelType w:val="hybridMultilevel"/>
    <w:lvl w:ilvl="0">
      <w:lvlJc w:val="left"/>
      <w:lvlText w:val="●"/>
      <w:numFmt w:val="bullet"/>
      <w:start w:val="1"/>
    </w:lvl>
    <w:lvl w:ilvl="1">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1)"/>
      <w:numFmt w:val="decimal"/>
      <w:start w:val="1"/>
    </w:lvl>
  </w:abstractNum>
  <w:abstractNum w:abstractNumId="42">
    <w:nsid w:val="74DE0EE3"/>
    <w:multiLevelType w:val="hybridMultilevel"/>
    <w:lvl w:ilvl="0">
      <w:lvlJc w:val="left"/>
      <w:lvlText w:val="(%1)"/>
      <w:numFmt w:val="decimal"/>
      <w:start w:val="3"/>
    </w:lvl>
  </w:abstractNum>
  <w:abstractNum w:abstractNumId="43">
    <w:nsid w:val="68EBC550"/>
    <w:multiLevelType w:val="hybridMultilevel"/>
    <w:lvl w:ilvl="0">
      <w:lvlJc w:val="left"/>
      <w:lvlText w:val="(%1)"/>
      <w:numFmt w:val="decimal"/>
      <w:start w:val="1"/>
    </w:lvl>
    <w:lvl w:ilvl="1">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1)"/>
      <w:numFmt w:val="lowerRoman"/>
      <w:start w:val="1"/>
    </w:lvl>
  </w:abstractNum>
  <w:abstractNum w:abstractNumId="47">
    <w:nsid w:val="39EE015C"/>
    <w:multiLevelType w:val="hybridMultilevel"/>
    <w:lvl w:ilvl="0">
      <w:lvlJc w:val="left"/>
      <w:lvlText w:val="(%1)"/>
      <w:numFmt w:val="lowerRoman"/>
      <w:start w:val="1"/>
    </w:lvl>
  </w:abstractNum>
  <w:abstractNum w:abstractNumId="48">
    <w:nsid w:val="57FC4FBB"/>
    <w:multiLevelType w:val="hybridMultilevel"/>
    <w:lvl w:ilvl="0">
      <w:lvlJc w:val="left"/>
      <w:lvlText w:val="%1."/>
      <w:numFmt w:val="upperLetter"/>
      <w:start w:val="3"/>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1)"/>
      <w:numFmt w:val="decimal"/>
      <w:start w:val="1"/>
    </w:lvl>
  </w:abstractNum>
  <w:abstractNum w:abstractNumId="60">
    <w:nsid w:val="6AA78F7F"/>
    <w:multiLevelType w:val="hybridMultilevel"/>
    <w:lvl w:ilvl="0">
      <w:lvlJc w:val="left"/>
      <w:lvlText w:val="(%1)"/>
      <w:numFmt w:val="decimal"/>
      <w:start w:val="1"/>
    </w:lvl>
  </w:abstractNum>
  <w:abstractNum w:abstractNumId="61">
    <w:nsid w:val="7672BD23"/>
    <w:multiLevelType w:val="hybridMultilevel"/>
    <w:lvl w:ilvl="0">
      <w:lvlJc w:val="left"/>
      <w:lvlText w:val="%1."/>
      <w:numFmt w:val="upperLetter"/>
      <w:start w:val="2"/>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1)"/>
      <w:numFmt w:val="decimal"/>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amp;"/>
      <w:numFmt w:val="bullet"/>
      <w:start w:val="1"/>
    </w:lvl>
  </w:abstractNum>
  <w:abstractNum w:abstractNumId="66">
    <w:nsid w:val="73A1821B"/>
    <w:multiLevelType w:val="hybridMultilevel"/>
    <w:lvl w:ilvl="0">
      <w:lvlJc w:val="left"/>
      <w:lvlText w:val="(%1)"/>
      <w:numFmt w:val="decimal"/>
      <w:start w:val="1"/>
    </w:lvl>
    <w:lvl w:ilvl="1">
      <w:lvlJc w:val="left"/>
      <w:lvlText w:val="(%2)"/>
      <w:numFmt w:val="lowerLetter"/>
      <w:start w:val="1"/>
    </w:lvl>
  </w:abstractNum>
  <w:abstractNum w:abstractNumId="67">
    <w:nsid w:val="7DE67713"/>
    <w:multiLevelType w:val="hybridMultilevel"/>
    <w:lvl w:ilvl="0">
      <w:lvlJc w:val="left"/>
      <w:lvlText w:val="%1"/>
      <w:numFmt w:val="decimal"/>
      <w:start w:val="1"/>
    </w:lvl>
    <w:lvl w:ilvl="1">
      <w:lvlJc w:val="left"/>
      <w:lvlText w:val="(%2)"/>
      <w:numFmt w:val="lowerLetter"/>
      <w:start w:val="2"/>
    </w:lvl>
  </w:abstractNum>
  <w:abstractNum w:abstractNumId="68">
    <w:nsid w:val="555C55B5"/>
    <w:multiLevelType w:val="hybridMultilevel"/>
    <w:lvl w:ilvl="0">
      <w:lvlJc w:val="left"/>
      <w:lvlText w:val="(%1)"/>
      <w:numFmt w:val="decimal"/>
      <w:start w:val="5"/>
    </w:lvl>
    <w:lvl w:ilvl="1">
      <w:lvlJc w:val="left"/>
      <w:lvlText w:val="%2"/>
      <w:numFmt w:val="lowerLetter"/>
      <w:start w:val="1"/>
    </w:lvl>
  </w:abstractNum>
  <w:abstractNum w:abstractNumId="69">
    <w:nsid w:val="3FA62ACA"/>
    <w:multiLevelType w:val="hybridMultilevel"/>
    <w:lvl w:ilvl="0">
      <w:lvlJc w:val="left"/>
      <w:lvlText w:val="(%1)"/>
      <w:numFmt w:val="decimal"/>
      <w:start w:val="1"/>
    </w:lvl>
    <w:lvl w:ilvl="1">
      <w:lvlJc w:val="left"/>
      <w:lvlText w:val="(%2)"/>
      <w:numFmt w:val="lowerLetter"/>
      <w:start w:val="1"/>
    </w:lvl>
  </w:abstractNum>
  <w:abstractNum w:abstractNumId="70">
    <w:nsid w:val="14FCE74E"/>
    <w:multiLevelType w:val="hybridMultilevel"/>
    <w:lvl w:ilvl="0">
      <w:lvlJc w:val="left"/>
      <w:lvlText w:val="(%1)"/>
      <w:numFmt w:val="decimal"/>
      <w:start w:val="4"/>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1."/>
      <w:numFmt w:val="upperLetter"/>
      <w:start w:val="3"/>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
      <w:numFmt w:val="bullet"/>
      <w:start w:val="1"/>
    </w:lvl>
  </w:abstractNum>
  <w:abstractNum w:abstractNumId="81">
    <w:nsid w:val="1D9F6E5F"/>
    <w:multiLevelType w:val="hybridMultilevel"/>
    <w:lvl w:ilvl="0">
      <w:lvlJc w:val="left"/>
      <w:lvlText w:val="%1."/>
      <w:numFmt w:val="upperLetter"/>
      <w:start w:val="2"/>
    </w:lvl>
  </w:abstractNum>
  <w:abstractNum w:abstractNumId="82">
    <w:nsid w:val="97E1B4E"/>
    <w:multiLevelType w:val="hybridMultilevel"/>
    <w:lvl w:ilvl="0">
      <w:lvlJc w:val="left"/>
      <w:lvlText w:val="%1."/>
      <w:numFmt w:val="upperLetter"/>
      <w:start w:val="1"/>
    </w:lvl>
  </w:abstractNum>
  <w:abstractNum w:abstractNumId="83">
    <w:nsid w:val="51088277"/>
    <w:multiLevelType w:val="hybridMultilevel"/>
    <w:lvl w:ilvl="0">
      <w:lvlJc w:val="left"/>
      <w:lvlText w:val="(%1)"/>
      <w:numFmt w:val="lowerLetter"/>
      <w:start w:val="1"/>
    </w:lvl>
  </w:abstractNum>
  <w:abstractNum w:abstractNumId="84">
    <w:nsid w:val="1CA0C5FA"/>
    <w:multiLevelType w:val="hybridMultilevel"/>
    <w:lvl w:ilvl="0">
      <w:lvlJc w:val="left"/>
      <w:lvlText w:val="(%1)"/>
      <w:numFmt w:val="lowerLetter"/>
      <w:start w:val="8"/>
    </w:lvl>
  </w:abstractNum>
  <w:abstractNum w:abstractNumId="85">
    <w:nsid w:val="53584BCB"/>
    <w:multiLevelType w:val="hybridMultilevel"/>
    <w:lvl w:ilvl="0">
      <w:lvlJc w:val="left"/>
      <w:lvlText w:val="●"/>
      <w:numFmt w:val="bullet"/>
      <w:start w:val="1"/>
    </w:lvl>
  </w:abstractNum>
  <w:abstractNum w:abstractNumId="86">
    <w:nsid w:val="415E286C"/>
    <w:multiLevelType w:val="hybridMultilevel"/>
    <w:lvl w:ilvl="0">
      <w:lvlJc w:val="left"/>
      <w:lvlText w:val="●"/>
      <w:numFmt w:val="bullet"/>
      <w:start w:val="1"/>
    </w:lvl>
  </w:abstractNum>
  <w:abstractNum w:abstractNumId="87">
    <w:nsid w:val="7C58FD05"/>
    <w:multiLevelType w:val="hybridMultilevel"/>
    <w:lvl w:ilvl="0">
      <w:lvlJc w:val="left"/>
      <w:lvlText w:val="●"/>
      <w:numFmt w:val="bullet"/>
      <w:start w:val="1"/>
    </w:lvl>
  </w:abstractNum>
  <w:abstractNum w:abstractNumId="88">
    <w:nsid w:val="23D86AAC"/>
    <w:multiLevelType w:val="hybridMultilevel"/>
    <w:lvl w:ilvl="0">
      <w:lvlJc w:val="left"/>
      <w:lvlText w:val="●"/>
      <w:numFmt w:val="bullet"/>
      <w:start w:val="1"/>
    </w:lvl>
  </w:abstractNum>
  <w:abstractNum w:abstractNumId="89">
    <w:nsid w:val="45E6D486"/>
    <w:multiLevelType w:val="hybridMultilevel"/>
    <w:lvl w:ilvl="0">
      <w:lvlJc w:val="left"/>
      <w:lvlText w:val="●"/>
      <w:numFmt w:val="bullet"/>
      <w:start w:val="1"/>
    </w:lvl>
  </w:abstractNum>
  <w:abstractNum w:abstractNumId="90">
    <w:nsid w:val="5C10FE21"/>
    <w:multiLevelType w:val="hybridMultilevel"/>
    <w:lvl w:ilvl="0">
      <w:lvlJc w:val="left"/>
      <w:lvlText w:val="●"/>
      <w:numFmt w:val="bullet"/>
      <w:start w:val="1"/>
    </w:lvl>
  </w:abstractNum>
  <w:abstractNum w:abstractNumId="91">
    <w:nsid w:val="E7FFA2B"/>
    <w:multiLevelType w:val="hybridMultilevel"/>
    <w:lvl w:ilvl="0">
      <w:lvlJc w:val="left"/>
      <w:lvlText w:val="%1."/>
      <w:numFmt w:val="upperLetter"/>
      <w:start w:val="6"/>
    </w:lvl>
  </w:abstractNum>
  <w:abstractNum w:abstractNumId="92">
    <w:nsid w:val="3C5991AA"/>
    <w:multiLevelType w:val="hybridMultilevel"/>
    <w:lvl w:ilvl="0">
      <w:lvlJc w:val="left"/>
      <w:lvlText w:val="%1."/>
      <w:numFmt w:val="upperLetter"/>
      <w:start w:val="9"/>
    </w:lvl>
  </w:abstractNum>
  <w:abstractNum w:abstractNumId="93">
    <w:nsid w:val="4BD8591A"/>
    <w:multiLevelType w:val="hybridMultilevel"/>
    <w:lvl w:ilvl="0">
      <w:lvlJc w:val="left"/>
      <w:lvlText w:val="%1"/>
      <w:numFmt w:val="decimal"/>
      <w:start w:val="1"/>
    </w:lvl>
    <w:lvl w:ilvl="1">
      <w:lvlJc w:val="left"/>
      <w:lvlText w:val="%2"/>
      <w:numFmt w:val="decimal"/>
      <w:start w:val="104"/>
    </w:lvl>
  </w:abstractNum>
  <w:abstractNum w:abstractNumId="94">
    <w:nsid w:val="78DF6A55"/>
    <w:multiLevelType w:val="hybridMultilevel"/>
    <w:lvl w:ilvl="0">
      <w:lvlJc w:val="left"/>
      <w:lvlText w:val="(%1)"/>
      <w:numFmt w:val="decimal"/>
      <w:start w:val="1"/>
    </w:lvl>
    <w:lvl w:ilvl="1">
      <w:lvlJc w:val="left"/>
      <w:lvlText w:val="%2"/>
      <w:numFmt w:val="decimal"/>
      <w:start w:val="1"/>
    </w:lvl>
  </w:abstractNum>
  <w:abstractNum w:abstractNumId="95">
    <w:nsid w:val="39B7AAA2"/>
    <w:multiLevelType w:val="hybridMultilevel"/>
    <w:lvl w:ilvl="0">
      <w:lvlJc w:val="left"/>
      <w:lvlText w:val="(%1)"/>
      <w:numFmt w:val="decimal"/>
      <w:start w:val="9"/>
    </w:lvl>
  </w:abstractNum>
  <w:abstractNum w:abstractNumId="96">
    <w:nsid w:val="2B0D8DBE"/>
    <w:multiLevelType w:val="hybridMultilevel"/>
    <w:lvl w:ilvl="0">
      <w:lvlJc w:val="left"/>
      <w:lvlText w:val="*"/>
      <w:numFmt w:val="bullet"/>
      <w:start w:val="1"/>
    </w:lvl>
  </w:abstractNum>
  <w:abstractNum w:abstractNumId="97">
    <w:nsid w:val="6C80EC70"/>
    <w:multiLevelType w:val="hybridMultilevel"/>
    <w:lvl w:ilvl="0">
      <w:lvlJc w:val="left"/>
      <w:lvlText w:val="**"/>
      <w:numFmt w:val="bullet"/>
      <w:start w:val="1"/>
    </w:lvl>
  </w:abstractNum>
  <w:abstractNum w:abstractNumId="98">
    <w:nsid w:val="379E21B5"/>
    <w:multiLevelType w:val="hybridMultilevel"/>
    <w:lvl w:ilvl="0">
      <w:lvlJc w:val="left"/>
      <w:lvlText w:val="(%1)"/>
      <w:numFmt w:val="lowerLetter"/>
      <w:start w:val="2"/>
    </w:lvl>
  </w:abstractNum>
  <w:abstractNum w:abstractNumId="99">
    <w:nsid w:val="69E373"/>
    <w:multiLevelType w:val="hybridMultilevel"/>
    <w:lvl w:ilvl="0">
      <w:lvlJc w:val="left"/>
      <w:lvlText w:val="●"/>
      <w:numFmt w:val="bullet"/>
      <w:start w:val="1"/>
    </w:lvl>
  </w:abstractNum>
  <w:abstractNum w:abstractNumId="100">
    <w:nsid w:val="2C27173B"/>
    <w:multiLevelType w:val="hybridMultilevel"/>
    <w:lvl w:ilvl="0">
      <w:lvlJc w:val="left"/>
      <w:lvlText w:val="●"/>
      <w:numFmt w:val="bullet"/>
      <w:start w:val="1"/>
    </w:lvl>
    <w:lvl w:ilvl="1">
      <w:lvlJc w:val="left"/>
      <w:lvlText w:val="-"/>
      <w:numFmt w:val="bullet"/>
      <w:start w:val="1"/>
    </w:lvl>
  </w:abstractNum>
  <w:abstractNum w:abstractNumId="101">
    <w:nsid w:val="4C9B0904"/>
    <w:multiLevelType w:val="hybridMultilevel"/>
    <w:lvl w:ilvl="0">
      <w:lvlJc w:val="left"/>
      <w:lvlText w:val="(%1)"/>
      <w:numFmt w:val="decimal"/>
      <w:start w:val="1"/>
    </w:lvl>
  </w:abstractNum>
  <w:abstractNum w:abstractNumId="102">
    <w:nsid w:val="6AA7B75C"/>
    <w:multiLevelType w:val="hybridMultilevel"/>
    <w:lvl w:ilvl="0">
      <w:lvlJc w:val="left"/>
      <w:lvlText w:val="(%1)"/>
      <w:numFmt w:val="decimal"/>
      <w:start w:val="1"/>
    </w:lvl>
  </w:abstractNum>
  <w:abstractNum w:abstractNumId="103">
    <w:nsid w:val="1DF029D3"/>
    <w:multiLevelType w:val="hybridMultilevel"/>
    <w:lvl w:ilvl="0">
      <w:lvlJc w:val="left"/>
      <w:lvlText w:val="%1."/>
      <w:numFmt w:val="decimal"/>
      <w:start w:val="1"/>
    </w:lvl>
  </w:abstractNum>
  <w:abstractNum w:abstractNumId="104">
    <w:nsid w:val="5675FF36"/>
    <w:multiLevelType w:val="hybridMultilevel"/>
    <w:lvl w:ilvl="0">
      <w:lvlJc w:val="left"/>
      <w:lvlText w:val="(%1)"/>
      <w:numFmt w:val="lowerLetter"/>
      <w:start w:val="2"/>
    </w:lvl>
  </w:abstractNum>
  <w:abstractNum w:abstractNumId="105">
    <w:nsid w:val="3DD15094"/>
    <w:multiLevelType w:val="hybridMultilevel"/>
    <w:lvl w:ilvl="0">
      <w:lvlJc w:val="left"/>
      <w:lvlText w:val="●"/>
      <w:numFmt w:val="bullet"/>
      <w:start w:val="1"/>
    </w:lvl>
  </w:abstractNum>
  <w:abstractNum w:abstractNumId="106">
    <w:nsid w:val="3DB012B3"/>
    <w:multiLevelType w:val="hybridMultilevel"/>
    <w:lvl w:ilvl="0">
      <w:lvlJc w:val="left"/>
      <w:lvlText w:val="●"/>
      <w:numFmt w:val="bullet"/>
      <w:start w:val="1"/>
    </w:lvl>
  </w:abstractNum>
  <w:abstractNum w:abstractNumId="107">
    <w:nsid w:val="2708C9AF"/>
    <w:multiLevelType w:val="hybridMultilevel"/>
    <w:lvl w:ilvl="0">
      <w:lvlJc w:val="left"/>
      <w:lvlText w:val="●"/>
      <w:numFmt w:val="bullet"/>
      <w:start w:val="1"/>
    </w:lvl>
  </w:abstractNum>
  <w:abstractNum w:abstractNumId="108">
    <w:nsid w:val="5B25ACE2"/>
    <w:multiLevelType w:val="hybridMultilevel"/>
    <w:lvl w:ilvl="0">
      <w:lvlJc w:val="left"/>
      <w:lvlText w:val="●"/>
      <w:numFmt w:val="bullet"/>
      <w:start w:val="1"/>
    </w:lvl>
  </w:abstractNum>
  <w:abstractNum w:abstractNumId="109">
    <w:nsid w:val="175DFCF0"/>
    <w:multiLevelType w:val="hybridMultilevel"/>
    <w:lvl w:ilvl="0">
      <w:lvlJc w:val="left"/>
      <w:lvlText w:val="●"/>
      <w:numFmt w:val="bullet"/>
      <w:start w:val="1"/>
    </w:lvl>
  </w:abstractNum>
  <w:abstractNum w:abstractNumId="110">
    <w:nsid w:val="4F97E3E4"/>
    <w:multiLevelType w:val="hybridMultilevel"/>
    <w:lvl w:ilvl="0">
      <w:lvlJc w:val="left"/>
      <w:lvlText w:val="●"/>
      <w:numFmt w:val="bullet"/>
      <w:start w:val="1"/>
    </w:lvl>
  </w:abstractNum>
  <w:abstractNum w:abstractNumId="111">
    <w:nsid w:val="53B0A9E"/>
    <w:multiLevelType w:val="hybridMultilevel"/>
    <w:lvl w:ilvl="0">
      <w:lvlJc w:val="left"/>
      <w:lvlText w:val="●"/>
      <w:numFmt w:val="bullet"/>
      <w:start w:val="1"/>
    </w:lvl>
  </w:abstractNum>
  <w:abstractNum w:abstractNumId="112">
    <w:nsid w:val="34FD6B4F"/>
    <w:multiLevelType w:val="hybridMultilevel"/>
    <w:lvl w:ilvl="0">
      <w:lvlJc w:val="left"/>
      <w:lvlText w:val="●"/>
      <w:numFmt w:val="bullet"/>
      <w:start w:val="1"/>
    </w:lvl>
  </w:abstractNum>
  <w:abstractNum w:abstractNumId="113">
    <w:nsid w:val="5915FF32"/>
    <w:multiLevelType w:val="hybridMultilevel"/>
    <w:lvl w:ilvl="0">
      <w:lvlJc w:val="left"/>
      <w:lvlText w:val="%1."/>
      <w:numFmt w:val="decimal"/>
      <w:start w:val="6"/>
    </w:lvl>
    <w:lvl w:ilvl="1">
      <w:lvlJc w:val="left"/>
      <w:lvlText w:val="*"/>
      <w:numFmt w:val="bullet"/>
      <w:start w:val="1"/>
    </w:lvl>
  </w:abstractNum>
  <w:abstractNum w:abstractNumId="114">
    <w:nsid w:val="56438D15"/>
    <w:multiLevelType w:val="hybridMultilevel"/>
    <w:lvl w:ilvl="0">
      <w:lvlJc w:val="left"/>
      <w:lvlText w:val="(%1)"/>
      <w:numFmt w:val="lowerLetter"/>
      <w:start w:val="1"/>
    </w:lvl>
  </w:abstractNum>
  <w:abstractNum w:abstractNumId="115">
    <w:nsid w:val="519E3149"/>
    <w:multiLevelType w:val="hybridMultilevel"/>
    <w:lvl w:ilvl="0">
      <w:lvlJc w:val="left"/>
      <w:lvlText w:val="(%1)"/>
      <w:numFmt w:val="lowerLetter"/>
      <w:start w:val="3"/>
    </w:lvl>
  </w:abstractNum>
  <w:abstractNum w:abstractNumId="116">
    <w:nsid w:val="2C6E4AFD"/>
    <w:multiLevelType w:val="hybridMultilevel"/>
    <w:lvl w:ilvl="0">
      <w:lvlJc w:val="left"/>
      <w:lvlText w:val="(%1)"/>
      <w:numFmt w:val="lowerRoman"/>
      <w:start w:val="1"/>
    </w:lvl>
  </w:abstractNum>
  <w:abstractNum w:abstractNumId="117">
    <w:nsid w:val="17A1B582"/>
    <w:multiLevelType w:val="hybridMultilevel"/>
    <w:lvl w:ilvl="0">
      <w:lvlJc w:val="left"/>
      <w:lvlText w:val="(%1)"/>
      <w:numFmt w:val="lowerRoman"/>
      <w:start w:val="2"/>
    </w:lvl>
  </w:abstractNum>
  <w:abstractNum w:abstractNumId="118">
    <w:nsid w:val="4DF72E4E"/>
    <w:multiLevelType w:val="hybridMultilevel"/>
    <w:lvl w:ilvl="0">
      <w:lvlJc w:val="left"/>
      <w:lvlText w:val="(%1)"/>
      <w:numFmt w:val="lowerLetter"/>
      <w:start w:val="5"/>
    </w:lvl>
  </w:abstractNum>
  <w:abstractNum w:abstractNumId="119">
    <w:nsid w:val="5046B5A9"/>
    <w:multiLevelType w:val="hybridMultilevel"/>
    <w:lvl w:ilvl="0">
      <w:lvlJc w:val="left"/>
      <w:lvlText w:val="(%1)"/>
      <w:numFmt w:val="lowerRoman"/>
      <w:start w:val="1"/>
    </w:lvl>
  </w:abstractNum>
  <w:abstractNum w:abstractNumId="120">
    <w:nsid w:val="5D888A08"/>
    <w:multiLevelType w:val="hybridMultilevel"/>
    <w:lvl w:ilvl="0">
      <w:lvlJc w:val="left"/>
      <w:lvlText w:val="(%1)"/>
      <w:numFmt w:val="lowerRoman"/>
      <w:start w:val="1"/>
    </w:lvl>
  </w:abstractNum>
  <w:abstractNum w:abstractNumId="121">
    <w:nsid w:val="2A082C70"/>
    <w:multiLevelType w:val="hybridMultilevel"/>
    <w:lvl w:ilvl="0">
      <w:lvlJc w:val="left"/>
      <w:lvlText w:val="(%1)"/>
      <w:numFmt w:val="lowerRoman"/>
      <w:start w:val="4"/>
    </w:lvl>
  </w:abstractNum>
  <w:abstractNum w:abstractNumId="122">
    <w:nsid w:val="5EC6AFD4"/>
    <w:multiLevelType w:val="hybridMultilevel"/>
    <w:lvl w:ilvl="0">
      <w:lvlJc w:val="left"/>
      <w:lvlText w:val="(%1)"/>
      <w:numFmt w:val="lowerLetter"/>
      <w:start w:val="1"/>
    </w:lvl>
  </w:abstractNum>
  <w:abstractNum w:abstractNumId="123">
    <w:nsid w:val="19E21BB2"/>
    <w:multiLevelType w:val="hybridMultilevel"/>
    <w:lvl w:ilvl="0">
      <w:lvlJc w:val="left"/>
      <w:lvlText w:val="(%1)"/>
      <w:numFmt w:val="lowerRoman"/>
      <w:start w:val="1"/>
    </w:lvl>
  </w:abstractNum>
  <w:abstractNum w:abstractNumId="124">
    <w:nsid w:val="75E0858A"/>
    <w:multiLevelType w:val="hybridMultilevel"/>
    <w:lvl w:ilvl="0">
      <w:lvlJc w:val="left"/>
      <w:lvlText w:val="(%1)"/>
      <w:numFmt w:val="lowerRoman"/>
      <w:start w:val="3"/>
    </w:lvl>
  </w:abstractNum>
  <w:abstractNum w:abstractNumId="125">
    <w:nsid w:val="57A61A29"/>
    <w:multiLevelType w:val="hybridMultilevel"/>
    <w:lvl w:ilvl="0">
      <w:lvlJc w:val="left"/>
      <w:lvlText w:val="*"/>
      <w:numFmt w:val="bullet"/>
      <w:start w:val="1"/>
    </w:lvl>
  </w:abstractNum>
  <w:abstractNum w:abstractNumId="126">
    <w:nsid w:val="5399C654"/>
    <w:multiLevelType w:val="hybridMultilevel"/>
    <w:lvl w:ilvl="0">
      <w:lvlJc w:val="left"/>
      <w:lvlText w:val="*"/>
      <w:numFmt w:val="bullet"/>
      <w:start w:val="1"/>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1."/>
      <w:numFmt w:val="decimal"/>
      <w:start w:val="18"/>
    </w:lvl>
    <w:lvl w:ilvl="1">
      <w:lvlJc w:val="left"/>
      <w:lvlText w:val="●"/>
      <w:numFmt w:val="bullet"/>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
      <w:numFmt w:val="bullet"/>
      <w:start w:val="1"/>
    </w:lvl>
  </w:abstractNum>
  <w:abstractNum w:abstractNumId="131">
    <w:nsid w:val="704E1DD5"/>
    <w:multiLevelType w:val="hybridMultilevel"/>
    <w:lvl w:ilvl="0">
      <w:lvlJc w:val="left"/>
      <w:lvlText w:val="***"/>
      <w:numFmt w:val="bullet"/>
      <w:start w:val="1"/>
    </w:lvl>
  </w:abstractNum>
  <w:abstractNum w:abstractNumId="132">
    <w:nsid w:val="57D2F10E"/>
    <w:multiLevelType w:val="hybridMultilevel"/>
    <w:lvl w:ilvl="0">
      <w:lvlJc w:val="left"/>
      <w:lvlText w:val="%1."/>
      <w:numFmt w:val="decimal"/>
      <w:start w:val="1"/>
    </w:lvl>
    <w:lvl w:ilvl="1">
      <w:lvlJc w:val="left"/>
      <w:lvlText w:val="(%2)"/>
      <w:numFmt w:val="lowerLetter"/>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137" Type="http://schemas.openxmlformats.org/officeDocument/2006/relationships/hyperlink" Target="https://www.sec.gov/Archives/edgar/data/1598655/000093041314001858/c76356_ex3-1.htm" TargetMode="External"/><Relationship Id="rId138" Type="http://schemas.openxmlformats.org/officeDocument/2006/relationships/hyperlink" Target="https://www.sec.gov/Archives/edgar/data/1598655/000110465920090547/a20-22824_4ex3d2.htm" TargetMode="External"/><Relationship Id="rId139" Type="http://schemas.openxmlformats.org/officeDocument/2006/relationships/hyperlink" Target="https://www.sec.gov/Archives/edgar/data/1598655/000093041314001858/c76356_ex3-3.htm" TargetMode="External"/><Relationship Id="rId140" Type="http://schemas.openxmlformats.org/officeDocument/2006/relationships/hyperlink" Target="https://www.sec.gov/Archives/edgar/data/1598655/000093041314001858/c76356_ex3-4.htm" TargetMode="External"/><Relationship Id="rId141" Type="http://schemas.openxmlformats.org/officeDocument/2006/relationships/hyperlink" Target="https://www.sec.gov/Archives/edgar/data/1598655/000104746921000482/a2242951zex-2_3.htm" TargetMode="External"/><Relationship Id="rId142" Type="http://schemas.openxmlformats.org/officeDocument/2006/relationships/hyperlink" Target="https://www.sec.gov/Archives/edgar/data/1598655/000093041314001858/c76356_ex10-1.htm" TargetMode="External"/><Relationship Id="rId143" Type="http://schemas.openxmlformats.org/officeDocument/2006/relationships/hyperlink" Target="https://www.sec.gov/Archives/edgar/data/1598655/000093041314001858/c76356_ex10-2.htm" TargetMode="External"/><Relationship Id="rId144" Type="http://schemas.openxmlformats.org/officeDocument/2006/relationships/hyperlink" Target="https://www.sec.gov/Archives/edgar/data/1598655/000093041314001858/c76356_ex10-3.htm" TargetMode="External"/><Relationship Id="rId145" Type="http://schemas.openxmlformats.org/officeDocument/2006/relationships/hyperlink" Target="https://www.sec.gov/Archives/edgar/data/1598655/000093041314001858/c76356_ex10-4.htm" TargetMode="External"/><Relationship Id="rId146" Type="http://schemas.openxmlformats.org/officeDocument/2006/relationships/hyperlink" Target="https://www.sec.gov/Archives/edgar/data/1598655/000093041316005434/c83888_ex4-5.htm" TargetMode="External"/><Relationship Id="rId147" Type="http://schemas.openxmlformats.org/officeDocument/2006/relationships/hyperlink" Target="https://www.sec.gov/Archives/edgar/data/1598655/000093041314001965/c76356_ex10-16.htm" TargetMode="External"/><Relationship Id="rId148" Type="http://schemas.openxmlformats.org/officeDocument/2006/relationships/hyperlink" Target="https://www.sec.gov/Archives/edgar/data/1598655/000093041316005434/c83888_ex4-9.htm" TargetMode="External"/><Relationship Id="rId149" Type="http://schemas.openxmlformats.org/officeDocument/2006/relationships/hyperlink" Target="https://www.sec.gov/Archives/edgar/data/1598655/000095015715000356/ex4-6.htm" TargetMode="External"/><Relationship Id="rId150" Type="http://schemas.openxmlformats.org/officeDocument/2006/relationships/hyperlink" Target="https://www.sec.gov/Archives/edgar/data/1598655/000093041315002091/c81194_ex99-3.htm" TargetMode="External"/><Relationship Id="rId153" Type="http://schemas.openxmlformats.org/officeDocument/2006/relationships/hyperlink" Target="https://www.sec.gov/Archives/edgar/data/1534126/000093041316006011/c84192_ex4-10.htm" TargetMode="External"/><Relationship Id="rId154" Type="http://schemas.openxmlformats.org/officeDocument/2006/relationships/hyperlink" Target="https://www.sec.gov/Archives/edgar/data/1598655/000110465919037093/a19-11905_1ex10d1.htm" TargetMode="External"/><Relationship Id="rId155" Type="http://schemas.openxmlformats.org/officeDocument/2006/relationships/hyperlink" Target="https://www.sec.gov/Archives/edgar/data/1598655/000104746919000676/a2237744zex-4_23.htm" TargetMode="External"/><Relationship Id="rId156" Type="http://schemas.openxmlformats.org/officeDocument/2006/relationships/hyperlink" Target="https://www.sec.gov/Archives/edgar/data/1598655/000104746920001174/a2240809zex-4_18.htm" TargetMode="External"/><Relationship Id="rId157" Type="http://schemas.openxmlformats.org/officeDocument/2006/relationships/hyperlink" Target="https://www.sec.gov/Archives/edgar/data/1598655/000110465920090543/a20-22824_1ex4d1.htm#Exhibit4_1_080435" TargetMode="External"/><Relationship Id="rId158" Type="http://schemas.openxmlformats.org/officeDocument/2006/relationships/hyperlink" Target="https://www.sec.gov/Archives/edgar/data/1598655/000110465920090543/a20-22824_1ex4d2.htm#Exhibit4_2__0708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2022-03-01T19:50:12Z</dcterms:created>
  <dcterms:modified xsi:type="dcterms:W3CDTF">2022-03-01T19:50:12Z</dcterms:modified>
</cp:coreProperties>
</file>