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20" w:type="dxa"/>
        <w:tblCellMar>
          <w:top w:w="0" w:type="dxa"/>
          <w:left w:w="0" w:type="dxa"/>
          <w:bottom w:w="0" w:type="dxa"/>
          <w:right w:w="0" w:type="dxa"/>
        </w:tblCellMar>
      </w:tblPr>
      <w:tr>
        <w:trPr>
          <w:trHeight w:val="41"/>
        </w:trPr>
        <w:tc>
          <w:tcPr>
            <w:tcW w:w="5840" w:type="dxa"/>
            <w:vAlign w:val="bottom"/>
            <w:vMerge w:val="restart"/>
          </w:tcPr>
          <w:p>
            <w:pPr>
              <w:jc w:val="center"/>
              <w:ind w:right="1182"/>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62"/>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5840" w:type="dxa"/>
            <w:vAlign w:val="bottom"/>
            <w:vMerge w:val="restart"/>
          </w:tcPr>
          <w:p>
            <w:pPr>
              <w:jc w:val="center"/>
              <w:ind w:right="1162"/>
              <w:spacing w:after="0"/>
              <w:rPr>
                <w:sz w:val="20"/>
                <w:szCs w:val="20"/>
                <w:color w:val="auto"/>
              </w:rPr>
            </w:pPr>
            <w:r>
              <w:rPr>
                <w:rFonts w:ascii="Arial" w:cs="Arial" w:eastAsia="Arial" w:hAnsi="Arial"/>
                <w:sz w:val="18"/>
                <w:szCs w:val="18"/>
                <w:color w:val="auto"/>
                <w:w w:val="96"/>
              </w:rPr>
              <w:t>Washington, D.C. 20549</w:t>
            </w:r>
          </w:p>
        </w:tc>
        <w:tc>
          <w:tcPr>
            <w:tcW w:w="40" w:type="dxa"/>
            <w:vAlign w:val="bottom"/>
          </w:tcPr>
          <w:p>
            <w:pPr>
              <w:spacing w:after="0"/>
              <w:rPr>
                <w:sz w:val="13"/>
                <w:szCs w:val="13"/>
                <w:color w:val="auto"/>
              </w:rPr>
            </w:pPr>
          </w:p>
        </w:tc>
        <w:tc>
          <w:tcPr>
            <w:tcW w:w="1740" w:type="dxa"/>
            <w:vAlign w:val="bottom"/>
          </w:tcPr>
          <w:p>
            <w:pPr>
              <w:ind w:left="6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ind w:left="26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88"/>
        </w:trPr>
        <w:tc>
          <w:tcPr>
            <w:tcW w:w="58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740" w:type="dxa"/>
            <w:vAlign w:val="bottom"/>
          </w:tcPr>
          <w:p>
            <w:pPr>
              <w:ind w:left="6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5840" w:type="dxa"/>
            <w:vAlign w:val="bottom"/>
          </w:tcPr>
          <w:p>
            <w:pPr>
              <w:jc w:val="center"/>
              <w:ind w:right="1162"/>
              <w:spacing w:after="0" w:line="154" w:lineRule="exact"/>
              <w:rPr>
                <w:sz w:val="20"/>
                <w:szCs w:val="20"/>
                <w:color w:val="auto"/>
              </w:rPr>
            </w:pPr>
            <w:r>
              <w:rPr>
                <w:rFonts w:ascii="Arial" w:cs="Arial" w:eastAsia="Arial" w:hAnsi="Arial"/>
                <w:sz w:val="17"/>
                <w:szCs w:val="17"/>
                <w:b w:val="1"/>
                <w:bCs w:val="1"/>
                <w:color w:val="auto"/>
              </w:rPr>
              <w:t>FORM 25</w:t>
            </w:r>
          </w:p>
        </w:tc>
        <w:tc>
          <w:tcPr>
            <w:tcW w:w="40" w:type="dxa"/>
            <w:vAlign w:val="bottom"/>
          </w:tcPr>
          <w:p>
            <w:pPr>
              <w:spacing w:after="0"/>
              <w:rPr>
                <w:sz w:val="13"/>
                <w:szCs w:val="13"/>
                <w:color w:val="auto"/>
              </w:rPr>
            </w:pPr>
          </w:p>
        </w:tc>
        <w:tc>
          <w:tcPr>
            <w:tcW w:w="1740" w:type="dxa"/>
            <w:vAlign w:val="bottom"/>
            <w:vMerge w:val="restart"/>
          </w:tcPr>
          <w:p>
            <w:pPr>
              <w:ind w:left="60"/>
              <w:spacing w:after="0"/>
              <w:rPr>
                <w:sz w:val="20"/>
                <w:szCs w:val="20"/>
                <w:color w:val="auto"/>
              </w:rPr>
            </w:pPr>
            <w:r>
              <w:rPr>
                <w:rFonts w:ascii="Arial" w:cs="Arial" w:eastAsia="Arial" w:hAnsi="Arial"/>
                <w:sz w:val="12"/>
                <w:szCs w:val="12"/>
                <w:color w:val="auto"/>
              </w:rPr>
              <w:t>hours per response:</w:t>
            </w:r>
          </w:p>
        </w:tc>
        <w:tc>
          <w:tcPr>
            <w:tcW w:w="1160" w:type="dxa"/>
            <w:vAlign w:val="bottom"/>
            <w:vMerge w:val="restart"/>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5840" w:type="dxa"/>
            <w:vAlign w:val="bottom"/>
          </w:tcPr>
          <w:p>
            <w:pPr>
              <w:spacing w:after="0"/>
              <w:rPr>
                <w:sz w:val="3"/>
                <w:szCs w:val="3"/>
                <w:color w:val="auto"/>
              </w:rPr>
            </w:pPr>
          </w:p>
        </w:tc>
        <w:tc>
          <w:tcPr>
            <w:tcW w:w="40" w:type="dxa"/>
            <w:vAlign w:val="bottom"/>
          </w:tcPr>
          <w:p>
            <w:pPr>
              <w:spacing w:after="0"/>
              <w:rPr>
                <w:sz w:val="3"/>
                <w:szCs w:val="3"/>
                <w:color w:val="auto"/>
              </w:rPr>
            </w:pPr>
          </w:p>
        </w:tc>
        <w:tc>
          <w:tcPr>
            <w:tcW w:w="1740" w:type="dxa"/>
            <w:vAlign w:val="bottom"/>
            <w:vMerge w:val="continue"/>
          </w:tcPr>
          <w:p>
            <w:pPr>
              <w:spacing w:after="0"/>
              <w:rPr>
                <w:sz w:val="3"/>
                <w:szCs w:val="3"/>
                <w:color w:val="auto"/>
              </w:rPr>
            </w:pPr>
          </w:p>
        </w:tc>
        <w:tc>
          <w:tcPr>
            <w:tcW w:w="1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5840" w:type="dxa"/>
            <w:vAlign w:val="bottom"/>
          </w:tcPr>
          <w:p>
            <w:pPr>
              <w:spacing w:after="0"/>
              <w:rPr>
                <w:sz w:val="3"/>
                <w:szCs w:val="3"/>
                <w:color w:val="auto"/>
              </w:rPr>
            </w:pPr>
          </w:p>
        </w:tc>
        <w:tc>
          <w:tcPr>
            <w:tcW w:w="40" w:type="dxa"/>
            <w:vAlign w:val="bottom"/>
          </w:tcPr>
          <w:p>
            <w:pPr>
              <w:spacing w:after="0"/>
              <w:rPr>
                <w:sz w:val="3"/>
                <w:szCs w:val="3"/>
                <w:color w:val="auto"/>
              </w:rPr>
            </w:pPr>
          </w:p>
        </w:tc>
        <w:tc>
          <w:tcPr>
            <w:tcW w:w="174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58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74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6916420</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5055870</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6" w:lineRule="exact"/>
        <w:rPr>
          <w:sz w:val="24"/>
          <w:szCs w:val="24"/>
          <w:color w:val="auto"/>
        </w:rPr>
      </w:pPr>
    </w:p>
    <w:p>
      <w:pPr>
        <w:ind w:left="136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9" w:lineRule="exact"/>
        <w:rPr>
          <w:sz w:val="24"/>
          <w:szCs w:val="24"/>
          <w:color w:val="auto"/>
        </w:rPr>
      </w:pPr>
    </w:p>
    <w:p>
      <w:pPr>
        <w:ind w:left="504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Arial" w:cs="Arial" w:eastAsia="Arial" w:hAnsi="Arial"/>
            <w:sz w:val="21"/>
            <w:szCs w:val="21"/>
            <w:u w:val="single" w:color="auto"/>
            <w:color w:val="0000EE"/>
          </w:rPr>
          <w:t>001-36433</w:t>
        </w:r>
      </w:hyperlink>
    </w:p>
    <w:p>
      <w:pPr>
        <w:spacing w:after="0" w:line="137" w:lineRule="exact"/>
        <w:rPr>
          <w:sz w:val="24"/>
          <w:szCs w:val="24"/>
          <w:color w:val="auto"/>
        </w:rPr>
      </w:pPr>
    </w:p>
    <w:p>
      <w:pPr>
        <w:ind w:left="3120"/>
        <w:spacing w:after="0"/>
        <w:tabs>
          <w:tab w:leader="none" w:pos="3980" w:val="left"/>
        </w:tabs>
        <w:rPr>
          <w:rFonts w:ascii="Arial" w:cs="Arial" w:eastAsia="Arial" w:hAnsi="Arial"/>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Arial" w:cs="Arial" w:eastAsia="Arial" w:hAnsi="Arial"/>
            <w:sz w:val="22"/>
            <w:szCs w:val="22"/>
            <w:u w:val="single" w:color="auto"/>
            <w:color w:val="0000EE"/>
          </w:rPr>
          <w:t>GasLog Partners LP</w:t>
        </w:r>
      </w:hyperlink>
    </w:p>
    <w:p>
      <w:pPr>
        <w:spacing w:after="0" w:line="57"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 xml:space="preserve">Exchange: </w:t>
      </w:r>
      <w:r>
        <w:rPr>
          <w:rFonts w:ascii="Arial" w:cs="Arial" w:eastAsia="Arial" w:hAnsi="Arial"/>
          <w:sz w:val="18"/>
          <w:szCs w:val="18"/>
          <w:color w:val="0000FF"/>
        </w:rPr>
        <w:t>NEW YORK STOCK EXCHANGE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421005</wp:posOffset>
            </wp:positionH>
            <wp:positionV relativeFrom="paragraph">
              <wp:posOffset>45720</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09" w:lineRule="exact"/>
        <w:rPr>
          <w:sz w:val="24"/>
          <w:szCs w:val="24"/>
          <w:color w:val="auto"/>
        </w:rPr>
      </w:pPr>
    </w:p>
    <w:p>
      <w:pPr>
        <w:ind w:left="68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3" w:lineRule="exact"/>
        <w:rPr>
          <w:sz w:val="24"/>
          <w:szCs w:val="24"/>
          <w:color w:val="auto"/>
        </w:rPr>
      </w:pPr>
    </w:p>
    <w:p>
      <w:pPr>
        <w:ind w:left="2300"/>
        <w:spacing w:after="0"/>
        <w:tabs>
          <w:tab w:leader="none" w:pos="38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0000FF"/>
        </w:rPr>
        <w:t>Gildo Pastor Center7 Rue du Gabian</w:t>
      </w:r>
    </w:p>
    <w:p>
      <w:pPr>
        <w:spacing w:after="0" w:line="63" w:lineRule="exact"/>
        <w:rPr>
          <w:sz w:val="24"/>
          <w:szCs w:val="24"/>
          <w:color w:val="auto"/>
        </w:rPr>
      </w:pPr>
    </w:p>
    <w:tbl>
      <w:tblPr>
        <w:tblLayout w:type="fixed"/>
        <w:tblInd w:w="2300" w:type="dxa"/>
        <w:tblCellMar>
          <w:top w:w="0" w:type="dxa"/>
          <w:left w:w="0" w:type="dxa"/>
          <w:bottom w:w="0" w:type="dxa"/>
          <w:right w:w="0" w:type="dxa"/>
        </w:tblCellMar>
      </w:tblPr>
      <w:tr>
        <w:trPr>
          <w:trHeight w:val="222"/>
        </w:trPr>
        <w:tc>
          <w:tcPr>
            <w:tcW w:w="2440" w:type="dxa"/>
            <w:vAlign w:val="bottom"/>
          </w:tcPr>
          <w:p>
            <w:pPr>
              <w:ind w:left="1560"/>
              <w:spacing w:after="0"/>
              <w:rPr>
                <w:sz w:val="20"/>
                <w:szCs w:val="20"/>
                <w:color w:val="auto"/>
              </w:rPr>
            </w:pPr>
            <w:r>
              <w:rPr>
                <w:rFonts w:ascii="Arial" w:cs="Arial" w:eastAsia="Arial" w:hAnsi="Arial"/>
                <w:sz w:val="18"/>
                <w:szCs w:val="18"/>
                <w:color w:val="0000FF"/>
              </w:rPr>
              <w:t>Monaco</w:t>
            </w:r>
          </w:p>
        </w:tc>
        <w:tc>
          <w:tcPr>
            <w:tcW w:w="3000" w:type="dxa"/>
            <w:vAlign w:val="bottom"/>
          </w:tcPr>
          <w:p>
            <w:pPr>
              <w:jc w:val="right"/>
              <w:ind w:right="1832"/>
              <w:spacing w:after="0"/>
              <w:rPr>
                <w:sz w:val="20"/>
                <w:szCs w:val="20"/>
                <w:color w:val="auto"/>
              </w:rPr>
            </w:pPr>
            <w:r>
              <w:rPr>
                <w:rFonts w:ascii="Arial" w:cs="Arial" w:eastAsia="Arial" w:hAnsi="Arial"/>
                <w:sz w:val="18"/>
                <w:szCs w:val="18"/>
                <w:color w:val="0000FF"/>
              </w:rPr>
              <w:t>MC 98000</w:t>
            </w:r>
          </w:p>
        </w:tc>
      </w:tr>
      <w:tr>
        <w:trPr>
          <w:trHeight w:val="270"/>
        </w:trPr>
        <w:tc>
          <w:tcPr>
            <w:tcW w:w="2440" w:type="dxa"/>
            <w:vAlign w:val="bottom"/>
          </w:tcPr>
          <w:p>
            <w:pPr>
              <w:spacing w:after="0"/>
              <w:rPr>
                <w:sz w:val="20"/>
                <w:szCs w:val="20"/>
                <w:color w:val="auto"/>
              </w:rPr>
            </w:pPr>
            <w:r>
              <w:rPr>
                <w:rFonts w:ascii="Arial" w:cs="Arial" w:eastAsia="Arial" w:hAnsi="Arial"/>
                <w:sz w:val="18"/>
                <w:szCs w:val="18"/>
                <w:color w:val="auto"/>
              </w:rPr>
              <w:t>Telephone number:</w:t>
            </w:r>
          </w:p>
        </w:tc>
        <w:tc>
          <w:tcPr>
            <w:tcW w:w="3000" w:type="dxa"/>
            <w:vAlign w:val="bottom"/>
          </w:tcPr>
          <w:p>
            <w:pPr>
              <w:jc w:val="right"/>
              <w:spacing w:after="0"/>
              <w:rPr>
                <w:sz w:val="20"/>
                <w:szCs w:val="20"/>
                <w:color w:val="auto"/>
              </w:rPr>
            </w:pPr>
            <w:r>
              <w:rPr>
                <w:rFonts w:ascii="Arial" w:cs="Arial" w:eastAsia="Arial" w:hAnsi="Arial"/>
                <w:sz w:val="18"/>
                <w:szCs w:val="18"/>
                <w:color w:val="0000FF"/>
              </w:rPr>
              <w:t>+377 97 97 51 15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421005</wp:posOffset>
            </wp:positionH>
            <wp:positionV relativeFrom="paragraph">
              <wp:posOffset>35560</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94" w:lineRule="exact"/>
        <w:rPr>
          <w:sz w:val="24"/>
          <w:szCs w:val="24"/>
          <w:color w:val="auto"/>
        </w:rPr>
      </w:pPr>
    </w:p>
    <w:p>
      <w:pPr>
        <w:ind w:left="68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color w:val="0000FF"/>
        </w:rPr>
        <w:t>Common Units representing limited partner interests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421005</wp:posOffset>
            </wp:positionH>
            <wp:positionV relativeFrom="paragraph">
              <wp:posOffset>19685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68" w:lineRule="exact"/>
        <w:rPr>
          <w:sz w:val="24"/>
          <w:szCs w:val="24"/>
          <w:color w:val="auto"/>
        </w:rPr>
      </w:pPr>
    </w:p>
    <w:p>
      <w:pPr>
        <w:ind w:left="68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80"/>
        <w:spacing w:after="0" w:line="253"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20" w:lineRule="exact"/>
        <w:rPr>
          <w:sz w:val="24"/>
          <w:szCs w:val="24"/>
          <w:color w:val="auto"/>
        </w:rPr>
      </w:pPr>
    </w:p>
    <w:p>
      <w:pPr>
        <w:ind w:left="840"/>
        <w:spacing w:after="0"/>
        <w:rPr>
          <w:sz w:val="20"/>
          <w:szCs w:val="20"/>
          <w:color w:val="auto"/>
        </w:rPr>
      </w:pPr>
      <w:r>
        <w:rPr>
          <w:sz w:val="1"/>
          <w:szCs w:val="1"/>
          <w:color w:val="auto"/>
        </w:rPr>
        <w:drawing>
          <wp:inline distT="0" distB="0" distL="0" distR="0">
            <wp:extent cx="111760" cy="1117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40"/>
        <w:spacing w:after="0"/>
        <w:rPr>
          <w:sz w:val="20"/>
          <w:szCs w:val="20"/>
          <w:color w:val="auto"/>
        </w:rPr>
      </w:pPr>
      <w:r>
        <w:rPr>
          <w:sz w:val="1"/>
          <w:szCs w:val="1"/>
          <w:color w:val="auto"/>
        </w:rPr>
        <w:drawing>
          <wp:inline distT="0" distB="0" distL="0" distR="0">
            <wp:extent cx="111760" cy="1117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40"/>
        <w:spacing w:after="0"/>
        <w:rPr>
          <w:sz w:val="20"/>
          <w:szCs w:val="20"/>
          <w:color w:val="auto"/>
        </w:rPr>
      </w:pPr>
      <w:r>
        <w:rPr>
          <w:sz w:val="1"/>
          <w:szCs w:val="1"/>
          <w:color w:val="auto"/>
        </w:rPr>
        <w:drawing>
          <wp:inline distT="0" distB="0" distL="0" distR="0">
            <wp:extent cx="111760"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40"/>
        <w:spacing w:after="0"/>
        <w:rPr>
          <w:sz w:val="20"/>
          <w:szCs w:val="20"/>
          <w:color w:val="auto"/>
        </w:rPr>
      </w:pPr>
      <w:r>
        <w:rPr>
          <w:sz w:val="1"/>
          <w:szCs w:val="1"/>
          <w:color w:val="auto"/>
        </w:rPr>
        <w:drawing>
          <wp:inline distT="0" distB="0" distL="0" distR="0">
            <wp:extent cx="111760" cy="1111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760" cy="111125"/>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0" w:lineRule="auto"/>
        <w:rPr>
          <w:sz w:val="20"/>
          <w:szCs w:val="20"/>
          <w:color w:val="auto"/>
        </w:rPr>
      </w:pPr>
      <w:r>
        <w:rPr>
          <w:sz w:val="1"/>
          <w:szCs w:val="1"/>
          <w:color w:val="auto"/>
        </w:rPr>
        <w:drawing>
          <wp:inline distT="0" distB="0" distL="0" distR="0">
            <wp:extent cx="111760"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760"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color w:val="0000EE"/>
          <w:vertAlign w:val="superscript"/>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3868420</wp:posOffset>
            </wp:positionH>
            <wp:positionV relativeFrom="paragraph">
              <wp:posOffset>-115570</wp:posOffset>
            </wp:positionV>
            <wp:extent cx="514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7" w:lineRule="exact"/>
        <w:rPr>
          <w:sz w:val="24"/>
          <w:szCs w:val="24"/>
          <w:color w:val="auto"/>
        </w:rPr>
      </w:pPr>
    </w:p>
    <w:p>
      <w:pPr>
        <w:jc w:val="both"/>
        <w:ind w:left="780" w:right="1260" w:firstLine="54"/>
        <w:spacing w:after="0" w:line="242" w:lineRule="auto"/>
        <w:rPr>
          <w:sz w:val="20"/>
          <w:szCs w:val="20"/>
          <w:color w:val="auto"/>
        </w:rPr>
      </w:pPr>
      <w:r>
        <w:rPr>
          <w:sz w:val="1"/>
          <w:szCs w:val="1"/>
          <w:color w:val="auto"/>
        </w:rPr>
        <w:drawing>
          <wp:inline distT="0" distB="0" distL="0" distR="0">
            <wp:extent cx="111760" cy="1111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11760"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82" w:lineRule="exact"/>
        <w:rPr>
          <w:sz w:val="24"/>
          <w:szCs w:val="24"/>
          <w:color w:val="auto"/>
        </w:rPr>
      </w:pPr>
    </w:p>
    <w:p>
      <w:pPr>
        <w:jc w:val="both"/>
        <w:ind w:right="220"/>
        <w:spacing w:after="0" w:line="251"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Arial" w:cs="Arial" w:eastAsia="Arial" w:hAnsi="Arial"/>
          <w:sz w:val="18"/>
          <w:szCs w:val="18"/>
          <w:color w:val="0000FF"/>
        </w:rPr>
        <w:t>NEW YORK STOCK EXCHANGE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67"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940" w:type="dxa"/>
            <w:vAlign w:val="bottom"/>
            <w:vMerge w:val="restart"/>
          </w:tcPr>
          <w:p>
            <w:pPr>
              <w:ind w:left="40"/>
              <w:spacing w:after="0"/>
              <w:rPr>
                <w:sz w:val="20"/>
                <w:szCs w:val="20"/>
                <w:color w:val="auto"/>
              </w:rPr>
            </w:pPr>
            <w:r>
              <w:rPr>
                <w:rFonts w:ascii="Arial" w:cs="Arial" w:eastAsia="Arial" w:hAnsi="Arial"/>
                <w:sz w:val="18"/>
                <w:szCs w:val="18"/>
                <w:color w:val="auto"/>
              </w:rPr>
              <w:t>By</w:t>
            </w:r>
          </w:p>
        </w:tc>
        <w:tc>
          <w:tcPr>
            <w:tcW w:w="3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0000FF"/>
                <w:w w:val="88"/>
              </w:rPr>
              <w:t>Manager, Market Watch and</w:t>
            </w:r>
          </w:p>
        </w:tc>
        <w:tc>
          <w:tcPr>
            <w:tcW w:w="0" w:type="dxa"/>
            <w:vAlign w:val="bottom"/>
          </w:tcPr>
          <w:p>
            <w:pPr>
              <w:spacing w:after="0"/>
              <w:rPr>
                <w:sz w:val="1"/>
                <w:szCs w:val="1"/>
                <w:color w:val="auto"/>
              </w:rPr>
            </w:pPr>
          </w:p>
        </w:tc>
      </w:tr>
      <w:tr>
        <w:trPr>
          <w:trHeight w:val="128"/>
        </w:trPr>
        <w:tc>
          <w:tcPr>
            <w:tcW w:w="2060" w:type="dxa"/>
            <w:vAlign w:val="bottom"/>
            <w:vMerge w:val="restart"/>
          </w:tcPr>
          <w:p>
            <w:pPr>
              <w:jc w:val="right"/>
              <w:ind w:right="532"/>
              <w:spacing w:after="0"/>
              <w:rPr>
                <w:sz w:val="20"/>
                <w:szCs w:val="20"/>
                <w:color w:val="auto"/>
              </w:rPr>
            </w:pPr>
            <w:r>
              <w:rPr>
                <w:rFonts w:ascii="Arial" w:cs="Arial" w:eastAsia="Arial" w:hAnsi="Arial"/>
                <w:sz w:val="18"/>
                <w:szCs w:val="18"/>
                <w:color w:val="0000FF"/>
              </w:rPr>
              <w:t>2023-07-13</w:t>
            </w:r>
          </w:p>
        </w:tc>
        <w:tc>
          <w:tcPr>
            <w:tcW w:w="940" w:type="dxa"/>
            <w:vAlign w:val="bottom"/>
            <w:vMerge w:val="continue"/>
          </w:tcPr>
          <w:p>
            <w:pPr>
              <w:spacing w:after="0"/>
              <w:rPr>
                <w:sz w:val="11"/>
                <w:szCs w:val="11"/>
                <w:color w:val="auto"/>
              </w:rPr>
            </w:pPr>
          </w:p>
        </w:tc>
        <w:tc>
          <w:tcPr>
            <w:tcW w:w="3400" w:type="dxa"/>
            <w:vAlign w:val="bottom"/>
            <w:vMerge w:val="restart"/>
          </w:tcPr>
          <w:p>
            <w:pPr>
              <w:ind w:left="1200"/>
              <w:spacing w:after="0"/>
              <w:rPr>
                <w:sz w:val="20"/>
                <w:szCs w:val="20"/>
                <w:color w:val="auto"/>
              </w:rPr>
            </w:pPr>
            <w:r>
              <w:rPr>
                <w:rFonts w:ascii="Arial" w:cs="Arial" w:eastAsia="Arial" w:hAnsi="Arial"/>
                <w:sz w:val="18"/>
                <w:szCs w:val="18"/>
                <w:color w:val="0000FF"/>
              </w:rPr>
              <w:t>Victoria Paper</w:t>
            </w:r>
          </w:p>
        </w:tc>
        <w:tc>
          <w:tcPr>
            <w:tcW w:w="260" w:type="dxa"/>
            <w:vAlign w:val="bottom"/>
          </w:tcPr>
          <w:p>
            <w:pPr>
              <w:spacing w:after="0"/>
              <w:rPr>
                <w:sz w:val="11"/>
                <w:szCs w:val="11"/>
                <w:color w:val="auto"/>
              </w:rPr>
            </w:pPr>
          </w:p>
        </w:tc>
        <w:tc>
          <w:tcPr>
            <w:tcW w:w="2060" w:type="dxa"/>
            <w:vAlign w:val="bottom"/>
            <w:vMerge w:val="restart"/>
          </w:tcPr>
          <w:p>
            <w:pPr>
              <w:ind w:left="380"/>
              <w:spacing w:after="0"/>
              <w:rPr>
                <w:sz w:val="20"/>
                <w:szCs w:val="20"/>
                <w:color w:val="auto"/>
              </w:rPr>
            </w:pPr>
            <w:r>
              <w:rPr>
                <w:rFonts w:ascii="Arial" w:cs="Arial" w:eastAsia="Arial" w:hAnsi="Arial"/>
                <w:sz w:val="18"/>
                <w:szCs w:val="18"/>
                <w:color w:val="0000FF"/>
              </w:rPr>
              <w:t>Proxy Compliance</w:t>
            </w:r>
          </w:p>
        </w:tc>
        <w:tc>
          <w:tcPr>
            <w:tcW w:w="0" w:type="dxa"/>
            <w:vAlign w:val="bottom"/>
          </w:tcPr>
          <w:p>
            <w:pPr>
              <w:spacing w:after="0"/>
              <w:rPr>
                <w:sz w:val="1"/>
                <w:szCs w:val="1"/>
                <w:color w:val="auto"/>
              </w:rPr>
            </w:pPr>
          </w:p>
        </w:tc>
      </w:tr>
      <w:tr>
        <w:trPr>
          <w:trHeight w:val="109"/>
        </w:trPr>
        <w:tc>
          <w:tcPr>
            <w:tcW w:w="2060" w:type="dxa"/>
            <w:vAlign w:val="bottom"/>
            <w:tcBorders>
              <w:bottom w:val="single" w:sz="8" w:color="auto"/>
            </w:tcBorders>
            <w:vMerge w:val="continue"/>
          </w:tcPr>
          <w:p>
            <w:pPr>
              <w:spacing w:after="0"/>
              <w:rPr>
                <w:sz w:val="9"/>
                <w:szCs w:val="9"/>
                <w:color w:val="auto"/>
              </w:rPr>
            </w:pPr>
          </w:p>
        </w:tc>
        <w:tc>
          <w:tcPr>
            <w:tcW w:w="940" w:type="dxa"/>
            <w:vAlign w:val="bottom"/>
          </w:tcPr>
          <w:p>
            <w:pPr>
              <w:spacing w:after="0"/>
              <w:rPr>
                <w:sz w:val="9"/>
                <w:szCs w:val="9"/>
                <w:color w:val="auto"/>
              </w:rPr>
            </w:pPr>
          </w:p>
        </w:tc>
        <w:tc>
          <w:tcPr>
            <w:tcW w:w="3400" w:type="dxa"/>
            <w:vAlign w:val="bottom"/>
            <w:tcBorders>
              <w:bottom w:val="single" w:sz="8" w:color="auto"/>
            </w:tcBorders>
            <w:vMerge w:val="continue"/>
          </w:tcPr>
          <w:p>
            <w:pPr>
              <w:spacing w:after="0"/>
              <w:rPr>
                <w:sz w:val="9"/>
                <w:szCs w:val="9"/>
                <w:color w:val="auto"/>
              </w:rPr>
            </w:pPr>
          </w:p>
        </w:tc>
        <w:tc>
          <w:tcPr>
            <w:tcW w:w="260" w:type="dxa"/>
            <w:vAlign w:val="bottom"/>
          </w:tcPr>
          <w:p>
            <w:pPr>
              <w:spacing w:after="0"/>
              <w:rPr>
                <w:sz w:val="9"/>
                <w:szCs w:val="9"/>
                <w:color w:val="auto"/>
              </w:rPr>
            </w:pPr>
          </w:p>
        </w:tc>
        <w:tc>
          <w:tcPr>
            <w:tcW w:w="20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60" w:type="dxa"/>
            <w:vAlign w:val="bottom"/>
          </w:tcPr>
          <w:p>
            <w:pPr>
              <w:jc w:val="right"/>
              <w:ind w:right="1592"/>
              <w:spacing w:after="0"/>
              <w:rPr>
                <w:sz w:val="20"/>
                <w:szCs w:val="20"/>
                <w:color w:val="auto"/>
              </w:rPr>
            </w:pPr>
            <w:r>
              <w:rPr>
                <w:rFonts w:ascii="Arial" w:cs="Arial" w:eastAsia="Arial" w:hAnsi="Arial"/>
                <w:sz w:val="18"/>
                <w:szCs w:val="18"/>
                <w:color w:val="auto"/>
                <w:w w:val="94"/>
              </w:rPr>
              <w:t>Date</w:t>
            </w:r>
          </w:p>
        </w:tc>
        <w:tc>
          <w:tcPr>
            <w:tcW w:w="940" w:type="dxa"/>
            <w:vAlign w:val="bottom"/>
          </w:tcPr>
          <w:p>
            <w:pPr>
              <w:spacing w:after="0"/>
              <w:rPr>
                <w:sz w:val="22"/>
                <w:szCs w:val="22"/>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22"/>
                <w:szCs w:val="22"/>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bl>
    <w:p>
      <w:pPr>
        <w:spacing w:after="0" w:line="115" w:lineRule="exact"/>
        <w:rPr>
          <w:sz w:val="24"/>
          <w:szCs w:val="24"/>
          <w:color w:val="auto"/>
        </w:rPr>
      </w:pPr>
    </w:p>
    <w:p>
      <w:pPr>
        <w:ind w:left="1280" w:right="720" w:hanging="603"/>
        <w:spacing w:after="0" w:line="253" w:lineRule="auto"/>
        <w:tabs>
          <w:tab w:leader="none" w:pos="1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62"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40"/>
          </w:cols>
          <w:pgMar w:left="920" w:top="268" w:right="939" w:bottom="1440" w:gutter="0" w:footer="0" w:header="0"/>
        </w:sectPr>
      </w:pPr>
    </w:p>
    <w:bookmarkStart w:id="1" w:name="page2"/>
    <w:bookmarkEnd w:id="1"/>
    <w:p>
      <w:pPr>
        <w:spacing w:after="0" w:line="244" w:lineRule="auto"/>
        <w:rPr>
          <w:sz w:val="20"/>
          <w:szCs w:val="20"/>
          <w:color w:val="auto"/>
        </w:rPr>
      </w:pPr>
      <w:r>
        <w:rPr>
          <w:rFonts w:ascii="Arial" w:cs="Arial" w:eastAsia="Arial" w:hAnsi="Arial"/>
          <w:sz w:val="21"/>
          <w:szCs w:val="21"/>
          <w:color w:val="auto"/>
        </w:rPr>
        <w:t>NOTIFICATION OF THE REMOVAL FROM LISTING AND REGISTRATION OF THE STATED SECURITIES The New York Stock Exchange hereby notifies the SEC of its intention to remove the entire class of the stated securities from listing and registration on the Exchange at the opening of business on July 24, 2023, pursuant to the provisions of Rule 12d2-2 (a). [ X ] 17 CFR 240.12d2-2(a)(3) That on July 13, 2023 the instruments representing the securities comprising the entire class of this security came to evidence, by operation of law or otherwise, other securities in substitution therefore and represent no other right except, if such be the fact, the right to receive an immediate cash payment. The merger between GasLog Partners LP and Saturn Merger Sub LLC, a direct wholly owned subsidiary of GasLog Ltd., and GasLog Partners GP LLC, the general partner of GasLog Partners LP became effective before market open on July 13, 2023. Each Common Unit representing limited partner interests were converted into USD 5.37 in cash, without interest, less any applicable fee, and tax. The Exchange also notifies the Securities and Exchange Commission that as a result of the above indicated conditions this security was suspended from trading on July 13, 2023.</w:t>
      </w:r>
    </w:p>
    <w:sectPr>
      <w:pgSz w:w="11900" w:h="16838" w:orient="portrait"/>
      <w:cols w:equalWidth="0" w:num="1">
        <w:col w:w="11140"/>
      </w:cols>
      <w:pgMar w:left="320" w:top="11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0" Type="http://schemas.openxmlformats.org/officeDocument/2006/relationships/hyperlink" Target="file:///cgi-bin/browse-edgar?action=getcompany&amp;filenum=001-36433" TargetMode="External"/><Relationship Id="rId11" Type="http://schemas.openxmlformats.org/officeDocument/2006/relationships/hyperlink" Target="http://www.sec.gov/cgi-bin/browse-edgar?action=getcompany&amp;CIK=000159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2023-07-13T08:14:30Z</dcterms:created>
  <dcterms:modified xsi:type="dcterms:W3CDTF">2023-07-13T08:14:30Z</dcterms:modified>
</cp:coreProperties>
</file>