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6"/>
                <w:szCs w:val="16"/>
                <w:color w:val="auto"/>
              </w:rPr>
              <w:t>October</w:t>
            </w:r>
            <w:r>
              <w:rPr>
                <w:rFonts w:ascii="Arial" w:cs="Arial" w:eastAsia="Arial" w:hAnsi="Arial"/>
                <w:sz w:val="18"/>
                <w:szCs w:val="18"/>
                <w:color w:val="auto"/>
              </w:rPr>
              <w:t xml:space="preserve"> 2018</w:t>
            </w:r>
          </w:p>
        </w:tc>
        <w:tc>
          <w:tcPr>
            <w:tcW w:w="228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2280" w:type="dxa"/>
            <w:vAlign w:val="bottom"/>
          </w:tcPr>
          <w:p>
            <w:pPr>
              <w:spacing w:after="0"/>
              <w:rPr>
                <w:sz w:val="24"/>
                <w:szCs w:val="24"/>
                <w:color w:val="auto"/>
              </w:rPr>
            </w:pPr>
          </w:p>
        </w:tc>
      </w:tr>
      <w:tr>
        <w:trPr>
          <w:trHeight w:val="418"/>
        </w:trPr>
        <w:tc>
          <w:tcPr>
            <w:tcW w:w="9180" w:type="dxa"/>
            <w:vAlign w:val="bottom"/>
          </w:tcPr>
          <w:p>
            <w:pPr>
              <w:jc w:val="center"/>
              <w:ind w:left="2150"/>
              <w:spacing w:after="0"/>
              <w:rPr>
                <w:sz w:val="20"/>
                <w:szCs w:val="20"/>
                <w:color w:val="auto"/>
              </w:rPr>
            </w:pPr>
            <w:r>
              <w:rPr>
                <w:rFonts w:ascii="Arial" w:cs="Arial" w:eastAsia="Arial" w:hAnsi="Arial"/>
                <w:sz w:val="18"/>
                <w:szCs w:val="18"/>
                <w:b w:val="1"/>
                <w:bCs w:val="1"/>
                <w:color w:val="auto"/>
                <w:w w:val="91"/>
              </w:rPr>
              <w:t>GasLog Partners LP</w:t>
            </w:r>
          </w:p>
        </w:tc>
        <w:tc>
          <w:tcPr>
            <w:tcW w:w="2280" w:type="dxa"/>
            <w:vAlign w:val="bottom"/>
          </w:tcPr>
          <w:p>
            <w:pPr>
              <w:spacing w:after="0"/>
              <w:rPr>
                <w:sz w:val="24"/>
                <w:szCs w:val="24"/>
                <w:color w:val="auto"/>
              </w:rPr>
            </w:pPr>
          </w:p>
        </w:tc>
      </w:tr>
      <w:tr>
        <w:trPr>
          <w:trHeight w:val="230"/>
        </w:trPr>
        <w:tc>
          <w:tcPr>
            <w:tcW w:w="9180" w:type="dxa"/>
            <w:vAlign w:val="bottom"/>
          </w:tcPr>
          <w:p>
            <w:pPr>
              <w:jc w:val="center"/>
              <w:ind w:left="2170"/>
              <w:spacing w:after="0"/>
              <w:rPr>
                <w:sz w:val="20"/>
                <w:szCs w:val="20"/>
                <w:color w:val="auto"/>
              </w:rPr>
            </w:pPr>
            <w:r>
              <w:rPr>
                <w:rFonts w:ascii="Arial" w:cs="Arial" w:eastAsia="Arial" w:hAnsi="Arial"/>
                <w:sz w:val="18"/>
                <w:szCs w:val="18"/>
                <w:color w:val="auto"/>
                <w:w w:val="91"/>
              </w:rPr>
              <w:t>(Translation of registrant’s name into English)</w:t>
            </w:r>
          </w:p>
        </w:tc>
        <w:tc>
          <w:tcPr>
            <w:tcW w:w="2280" w:type="dxa"/>
            <w:vAlign w:val="bottom"/>
          </w:tcPr>
          <w:p>
            <w:pPr>
              <w:spacing w:after="0"/>
              <w:rPr>
                <w:sz w:val="20"/>
                <w:szCs w:val="20"/>
                <w:color w:val="auto"/>
              </w:rPr>
            </w:pPr>
          </w:p>
        </w:tc>
      </w:tr>
      <w:tr>
        <w:trPr>
          <w:trHeight w:val="418"/>
        </w:trPr>
        <w:tc>
          <w:tcPr>
            <w:tcW w:w="9180" w:type="dxa"/>
            <w:vAlign w:val="bottom"/>
          </w:tcPr>
          <w:p>
            <w:pPr>
              <w:jc w:val="center"/>
              <w:ind w:left="2170"/>
              <w:spacing w:after="0"/>
              <w:rPr>
                <w:sz w:val="20"/>
                <w:szCs w:val="20"/>
                <w:color w:val="auto"/>
              </w:rPr>
            </w:pPr>
            <w:r>
              <w:rPr>
                <w:rFonts w:ascii="Arial" w:cs="Arial" w:eastAsia="Arial" w:hAnsi="Arial"/>
                <w:sz w:val="18"/>
                <w:szCs w:val="18"/>
                <w:color w:val="auto"/>
                <w:w w:val="92"/>
              </w:rPr>
              <w:t>c/o GasLog Monaco S.A.M.</w:t>
            </w:r>
          </w:p>
        </w:tc>
        <w:tc>
          <w:tcPr>
            <w:tcW w:w="2280" w:type="dxa"/>
            <w:vAlign w:val="bottom"/>
          </w:tcPr>
          <w:p>
            <w:pPr>
              <w:spacing w:after="0"/>
              <w:rPr>
                <w:sz w:val="24"/>
                <w:szCs w:val="24"/>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89"/>
              </w:rPr>
              <w:t>Gildo Pastor Center</w:t>
            </w:r>
          </w:p>
        </w:tc>
        <w:tc>
          <w:tcPr>
            <w:tcW w:w="2280" w:type="dxa"/>
            <w:vAlign w:val="bottom"/>
          </w:tcPr>
          <w:p>
            <w:pPr>
              <w:spacing w:after="0"/>
              <w:rPr>
                <w:sz w:val="18"/>
                <w:szCs w:val="18"/>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89"/>
              </w:rPr>
              <w:t>7 Rue du Gabian</w:t>
            </w:r>
          </w:p>
        </w:tc>
        <w:tc>
          <w:tcPr>
            <w:tcW w:w="2280" w:type="dxa"/>
            <w:vAlign w:val="bottom"/>
          </w:tcPr>
          <w:p>
            <w:pPr>
              <w:spacing w:after="0"/>
              <w:rPr>
                <w:sz w:val="18"/>
                <w:szCs w:val="18"/>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92"/>
              </w:rPr>
              <w:t>MC 98000, Monaco</w:t>
            </w:r>
          </w:p>
        </w:tc>
        <w:tc>
          <w:tcPr>
            <w:tcW w:w="2280" w:type="dxa"/>
            <w:vAlign w:val="bottom"/>
          </w:tcPr>
          <w:p>
            <w:pPr>
              <w:spacing w:after="0"/>
              <w:rPr>
                <w:sz w:val="18"/>
                <w:szCs w:val="18"/>
                <w:color w:val="auto"/>
              </w:rPr>
            </w:pPr>
          </w:p>
        </w:tc>
      </w:tr>
      <w:tr>
        <w:trPr>
          <w:trHeight w:val="230"/>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92"/>
              </w:rPr>
              <w:t>(Address of principal executive office)</w:t>
            </w:r>
          </w:p>
        </w:tc>
        <w:tc>
          <w:tcPr>
            <w:tcW w:w="228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80" w:type="dxa"/>
            <w:vAlign w:val="bottom"/>
          </w:tcPr>
          <w:p>
            <w:pPr>
              <w:spacing w:after="0"/>
              <w:rPr>
                <w:sz w:val="24"/>
                <w:szCs w:val="24"/>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rPr>
              <w:t>Form 20-F x   Form 40-F o</w:t>
            </w:r>
          </w:p>
        </w:tc>
        <w:tc>
          <w:tcPr>
            <w:tcW w:w="2280" w:type="dxa"/>
            <w:vAlign w:val="bottom"/>
          </w:tcPr>
          <w:p>
            <w:pPr>
              <w:spacing w:after="0"/>
              <w:rPr>
                <w:sz w:val="24"/>
                <w:szCs w:val="24"/>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r>
      <w:tr>
        <w:trPr>
          <w:trHeight w:val="348"/>
        </w:trPr>
        <w:tc>
          <w:tcPr>
            <w:tcW w:w="91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right="20" w:firstLine="376"/>
        <w:spacing w:after="0" w:line="293" w:lineRule="auto"/>
        <w:rPr>
          <w:sz w:val="20"/>
          <w:szCs w:val="20"/>
          <w:color w:val="auto"/>
        </w:rPr>
      </w:pPr>
      <w:r>
        <w:rPr>
          <w:rFonts w:ascii="Arial" w:cs="Arial" w:eastAsia="Arial" w:hAnsi="Arial"/>
          <w:sz w:val="16"/>
          <w:szCs w:val="16"/>
          <w:color w:val="auto"/>
        </w:rPr>
        <w:t>The press release issued by GasLog Partners LP on October 25, 2018 relating to its results for the three-month period ended September 30, 2018 and the related financial report are attached hereto as Exhibits 99.1 and 99.2, respectively.</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0"/>
          <w:szCs w:val="20"/>
          <w:color w:val="auto"/>
        </w:rPr>
      </w:pPr>
    </w:p>
    <w:p>
      <w:pPr>
        <w:ind w:firstLine="376"/>
        <w:spacing w:after="0" w:line="297" w:lineRule="auto"/>
        <w:rPr>
          <w:sz w:val="20"/>
          <w:szCs w:val="20"/>
          <w:color w:val="auto"/>
        </w:rPr>
      </w:pPr>
      <w:r>
        <w:rPr>
          <w:rFonts w:ascii="Arial" w:cs="Arial" w:eastAsia="Arial" w:hAnsi="Arial"/>
          <w:sz w:val="15"/>
          <w:szCs w:val="15"/>
          <w:color w:val="auto"/>
        </w:rPr>
        <w:t>Exhibit 99.2, including Appendix A thereto, to this Report on Form 6-K shall be incorporated by reference into our registration statement on Form F-3 (File No. 333-220736), filed with the Securities and Exchange Commission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6080" w:type="dxa"/>
            <w:vAlign w:val="bottom"/>
          </w:tcPr>
          <w:p>
            <w:pPr>
              <w:ind w:left="4380"/>
              <w:spacing w:after="0"/>
              <w:rPr>
                <w:sz w:val="20"/>
                <w:szCs w:val="20"/>
                <w:color w:val="auto"/>
              </w:rPr>
            </w:pPr>
            <w:r>
              <w:rPr>
                <w:rFonts w:ascii="Arial" w:cs="Arial" w:eastAsia="Arial" w:hAnsi="Arial"/>
                <w:sz w:val="16"/>
                <w:szCs w:val="16"/>
                <w:color w:val="auto"/>
              </w:rPr>
              <w:t>EXHIBIT LIST</w:t>
            </w:r>
          </w:p>
        </w:tc>
      </w:tr>
      <w:tr>
        <w:trPr>
          <w:trHeight w:val="419"/>
        </w:trPr>
        <w:tc>
          <w:tcPr>
            <w:tcW w:w="820" w:type="dxa"/>
            <w:vAlign w:val="bottom"/>
          </w:tcPr>
          <w:p>
            <w:pPr>
              <w:spacing w:after="0"/>
              <w:rPr>
                <w:sz w:val="20"/>
                <w:szCs w:val="20"/>
                <w:color w:val="auto"/>
              </w:rPr>
            </w:pPr>
            <w:r>
              <w:rPr>
                <w:rFonts w:ascii="Arial" w:cs="Arial" w:eastAsia="Arial" w:hAnsi="Arial"/>
                <w:sz w:val="16"/>
                <w:szCs w:val="16"/>
                <w:color w:val="auto"/>
              </w:rPr>
              <w:t>Exhibit</w:t>
            </w:r>
          </w:p>
        </w:tc>
        <w:tc>
          <w:tcPr>
            <w:tcW w:w="6080" w:type="dxa"/>
            <w:vAlign w:val="bottom"/>
          </w:tcPr>
          <w:p>
            <w:pPr>
              <w:ind w:left="340"/>
              <w:spacing w:after="0"/>
              <w:rPr>
                <w:sz w:val="20"/>
                <w:szCs w:val="20"/>
                <w:color w:val="auto"/>
              </w:rPr>
            </w:pPr>
            <w:r>
              <w:rPr>
                <w:rFonts w:ascii="Arial" w:cs="Arial" w:eastAsia="Arial" w:hAnsi="Arial"/>
                <w:sz w:val="16"/>
                <w:szCs w:val="16"/>
                <w:color w:val="auto"/>
              </w:rPr>
              <w:t>Description</w:t>
            </w:r>
          </w:p>
        </w:tc>
      </w:tr>
      <w:tr>
        <w:trPr>
          <w:trHeight w:val="419"/>
        </w:trPr>
        <w:tc>
          <w:tcPr>
            <w:tcW w:w="820" w:type="dxa"/>
            <w:vAlign w:val="bottom"/>
          </w:tcPr>
          <w:p>
            <w:pPr>
              <w:spacing w:after="0"/>
              <w:rPr>
                <w:sz w:val="20"/>
                <w:szCs w:val="20"/>
                <w:color w:val="auto"/>
              </w:rPr>
            </w:pPr>
            <w:r>
              <w:rPr>
                <w:rFonts w:ascii="Arial" w:cs="Arial" w:eastAsia="Arial" w:hAnsi="Arial"/>
                <w:sz w:val="16"/>
                <w:szCs w:val="16"/>
                <w:color w:val="auto"/>
              </w:rPr>
              <w:t>99.1</w:t>
            </w:r>
          </w:p>
        </w:tc>
        <w:tc>
          <w:tcPr>
            <w:tcW w:w="6080" w:type="dxa"/>
            <w:vAlign w:val="bottom"/>
          </w:tcPr>
          <w:p>
            <w:pPr>
              <w:ind w:left="340"/>
              <w:spacing w:after="0"/>
              <w:rPr>
                <w:sz w:val="20"/>
                <w:szCs w:val="20"/>
                <w:color w:val="auto"/>
              </w:rPr>
            </w:pPr>
            <w:r>
              <w:rPr>
                <w:rFonts w:ascii="Arial" w:cs="Arial" w:eastAsia="Arial" w:hAnsi="Arial"/>
                <w:sz w:val="16"/>
                <w:szCs w:val="16"/>
                <w:color w:val="auto"/>
              </w:rPr>
              <w:t>Press Release dated October 25, 2018</w:t>
            </w:r>
          </w:p>
        </w:tc>
      </w:tr>
      <w:tr>
        <w:trPr>
          <w:trHeight w:val="419"/>
        </w:trPr>
        <w:tc>
          <w:tcPr>
            <w:tcW w:w="820" w:type="dxa"/>
            <w:vAlign w:val="bottom"/>
          </w:tcPr>
          <w:p>
            <w:pPr>
              <w:spacing w:after="0"/>
              <w:rPr>
                <w:sz w:val="20"/>
                <w:szCs w:val="20"/>
                <w:color w:val="auto"/>
              </w:rPr>
            </w:pPr>
            <w:r>
              <w:rPr>
                <w:rFonts w:ascii="Arial" w:cs="Arial" w:eastAsia="Arial" w:hAnsi="Arial"/>
                <w:sz w:val="16"/>
                <w:szCs w:val="16"/>
                <w:color w:val="auto"/>
              </w:rPr>
              <w:t>99.2</w:t>
            </w:r>
          </w:p>
        </w:tc>
        <w:tc>
          <w:tcPr>
            <w:tcW w:w="6080" w:type="dxa"/>
            <w:vAlign w:val="bottom"/>
          </w:tcPr>
          <w:p>
            <w:pPr>
              <w:ind w:left="340"/>
              <w:spacing w:after="0"/>
              <w:rPr>
                <w:sz w:val="20"/>
                <w:szCs w:val="20"/>
                <w:color w:val="auto"/>
              </w:rPr>
            </w:pPr>
            <w:r>
              <w:rPr>
                <w:rFonts w:ascii="Arial" w:cs="Arial" w:eastAsia="Arial" w:hAnsi="Arial"/>
                <w:sz w:val="16"/>
                <w:szCs w:val="16"/>
                <w:color w:val="auto"/>
              </w:rPr>
              <w:t>Financial Report for the Three and Nine Months Ended September 30, 2018</w:t>
            </w:r>
          </w:p>
        </w:tc>
      </w:tr>
      <w:tr>
        <w:trPr>
          <w:trHeight w:val="419"/>
        </w:trPr>
        <w:tc>
          <w:tcPr>
            <w:tcW w:w="820" w:type="dxa"/>
            <w:vAlign w:val="bottom"/>
          </w:tcPr>
          <w:p>
            <w:pPr>
              <w:spacing w:after="0"/>
              <w:rPr>
                <w:sz w:val="24"/>
                <w:szCs w:val="24"/>
                <w:color w:val="auto"/>
              </w:rPr>
            </w:pPr>
          </w:p>
        </w:tc>
        <w:tc>
          <w:tcPr>
            <w:tcW w:w="6080" w:type="dxa"/>
            <w:vAlign w:val="bottom"/>
          </w:tcPr>
          <w:p>
            <w:pPr>
              <w:ind w:left="340"/>
              <w:spacing w:after="0"/>
              <w:rPr>
                <w:sz w:val="20"/>
                <w:szCs w:val="20"/>
                <w:color w:val="auto"/>
              </w:rPr>
            </w:pPr>
            <w:r>
              <w:rPr>
                <w:rFonts w:ascii="Arial" w:cs="Arial" w:eastAsia="Arial" w:hAnsi="Arial"/>
                <w:sz w:val="16"/>
                <w:szCs w:val="16"/>
                <w:color w:val="auto"/>
                <w:w w:val="92"/>
              </w:rPr>
              <w:t>Management’s Discussion and Analysis of Financial Condition and Results of Operation</w:t>
            </w:r>
          </w:p>
        </w:tc>
      </w:tr>
    </w:tbl>
    <w:p>
      <w:pPr>
        <w:spacing w:after="0" w:line="21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Unaudited Condensed Consolidated Financial Statements</w:t>
      </w:r>
    </w:p>
    <w:p>
      <w:pPr>
        <w:spacing w:after="0" w:line="235" w:lineRule="exact"/>
        <w:rPr>
          <w:sz w:val="20"/>
          <w:szCs w:val="20"/>
          <w:color w:val="auto"/>
        </w:rPr>
      </w:pPr>
    </w:p>
    <w:p>
      <w:pPr>
        <w:ind w:left="5660" w:right="3460" w:hanging="4512"/>
        <w:spacing w:after="0" w:line="534" w:lineRule="auto"/>
        <w:rPr>
          <w:sz w:val="20"/>
          <w:szCs w:val="20"/>
          <w:color w:val="auto"/>
        </w:rPr>
      </w:pPr>
      <w:r>
        <w:rPr>
          <w:rFonts w:ascii="Arial" w:cs="Arial" w:eastAsia="Arial" w:hAnsi="Arial"/>
          <w:sz w:val="16"/>
          <w:szCs w:val="16"/>
          <w:color w:val="auto"/>
        </w:rPr>
        <w:t xml:space="preserve">Appendix A: Supplemental Non-GAAP Partnership Performance Information and Reconciliation Tables </w:t>
      </w: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right="260"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October 25, 2018</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GASLOG PARTNERS LP</w:t>
      </w:r>
    </w:p>
    <w:p>
      <w:pPr>
        <w:spacing w:after="0" w:line="221" w:lineRule="exact"/>
        <w:rPr>
          <w:sz w:val="20"/>
          <w:szCs w:val="20"/>
          <w:color w:val="auto"/>
        </w:rPr>
      </w:pPr>
    </w:p>
    <w:tbl>
      <w:tblPr>
        <w:tblLayout w:type="fixed"/>
        <w:tblInd w:w="6100" w:type="dxa"/>
        <w:tblCellMar>
          <w:top w:w="0" w:type="dxa"/>
          <w:left w:w="0" w:type="dxa"/>
          <w:bottom w:w="0" w:type="dxa"/>
          <w:right w:w="0" w:type="dxa"/>
        </w:tblCellMar>
      </w:tblPr>
      <w:tr>
        <w:trPr>
          <w:trHeight w:val="209"/>
        </w:trPr>
        <w:tc>
          <w:tcPr>
            <w:tcW w:w="480" w:type="dxa"/>
            <w:vAlign w:val="bottom"/>
          </w:tcPr>
          <w:p>
            <w:pPr>
              <w:spacing w:after="0"/>
              <w:rPr>
                <w:sz w:val="20"/>
                <w:szCs w:val="20"/>
                <w:color w:val="auto"/>
              </w:rPr>
            </w:pPr>
            <w:r>
              <w:rPr>
                <w:rFonts w:ascii="Arial" w:cs="Arial" w:eastAsia="Arial" w:hAnsi="Arial"/>
                <w:sz w:val="16"/>
                <w:szCs w:val="16"/>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Andrew Orekar</w:t>
            </w:r>
          </w:p>
        </w:tc>
      </w:tr>
      <w:tr>
        <w:trPr>
          <w:trHeight w:val="189"/>
        </w:trPr>
        <w:tc>
          <w:tcPr>
            <w:tcW w:w="48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4280" w:type="dxa"/>
            <w:vAlign w:val="bottom"/>
          </w:tcPr>
          <w:p>
            <w:pPr>
              <w:ind w:left="100"/>
              <w:spacing w:after="0"/>
              <w:rPr>
                <w:sz w:val="20"/>
                <w:szCs w:val="20"/>
                <w:color w:val="auto"/>
              </w:rPr>
            </w:pPr>
            <w:r>
              <w:rPr>
                <w:rFonts w:ascii="Arial" w:cs="Arial" w:eastAsia="Arial" w:hAnsi="Arial"/>
                <w:sz w:val="16"/>
                <w:szCs w:val="16"/>
                <w:color w:val="auto"/>
              </w:rPr>
              <w:t>Andrew Orekar</w:t>
            </w:r>
          </w:p>
        </w:tc>
      </w:tr>
      <w:tr>
        <w:trPr>
          <w:trHeight w:val="206"/>
        </w:trPr>
        <w:tc>
          <w:tcPr>
            <w:tcW w:w="48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4280" w:type="dxa"/>
            <w:vAlign w:val="bottom"/>
          </w:tcPr>
          <w:p>
            <w:pPr>
              <w:ind w:left="100"/>
              <w:spacing w:after="0"/>
              <w:rPr>
                <w:sz w:val="20"/>
                <w:szCs w:val="20"/>
                <w:color w:val="auto"/>
              </w:rPr>
            </w:pPr>
            <w:r>
              <w:rPr>
                <w:rFonts w:ascii="Arial" w:cs="Arial" w:eastAsia="Arial" w:hAnsi="Arial"/>
                <w:sz w:val="16"/>
                <w:szCs w:val="16"/>
                <w:color w:val="auto"/>
              </w:rPr>
              <w:t>Chief Executive Officer</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31" w:lineRule="exact"/>
        <w:rPr>
          <w:sz w:val="20"/>
          <w:szCs w:val="20"/>
          <w:color w:val="auto"/>
        </w:rPr>
      </w:pPr>
    </w:p>
    <w:p>
      <w:pPr>
        <w:jc w:val="center"/>
        <w:spacing w:after="0" w:line="298" w:lineRule="auto"/>
        <w:rPr>
          <w:sz w:val="20"/>
          <w:szCs w:val="20"/>
          <w:color w:val="auto"/>
        </w:rPr>
      </w:pPr>
      <w:r>
        <w:rPr>
          <w:rFonts w:ascii="Arial" w:cs="Arial" w:eastAsia="Arial" w:hAnsi="Arial"/>
          <w:sz w:val="16"/>
          <w:szCs w:val="16"/>
          <w:b w:val="1"/>
          <w:bCs w:val="1"/>
          <w:color w:val="auto"/>
        </w:rPr>
        <w:t xml:space="preserve">GasLog Partners LP Reports Financial Results for the Three-Month Period Ended September 30, 2018, Declares Cash Distribution and Announces </w:t>
      </w:r>
      <w:r>
        <w:rPr>
          <w:rFonts w:ascii="Arial" w:cs="Arial" w:eastAsia="Arial" w:hAnsi="Arial"/>
          <w:sz w:val="16"/>
          <w:szCs w:val="16"/>
          <w:b w:val="1"/>
          <w:bCs w:val="1"/>
          <w:i w:val="1"/>
          <w:iCs w:val="1"/>
          <w:color w:val="auto"/>
        </w:rPr>
        <w:t>Methane Becki</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Anne </w:t>
      </w:r>
      <w:r>
        <w:rPr>
          <w:rFonts w:ascii="Arial" w:cs="Arial" w:eastAsia="Arial" w:hAnsi="Arial"/>
          <w:sz w:val="16"/>
          <w:szCs w:val="16"/>
          <w:b w:val="1"/>
          <w:bCs w:val="1"/>
          <w:color w:val="auto"/>
        </w:rPr>
        <w:t>Acquisition</w:t>
      </w:r>
    </w:p>
    <w:p>
      <w:pPr>
        <w:spacing w:after="0" w:line="16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b w:val="1"/>
          <w:bCs w:val="1"/>
          <w:color w:val="auto"/>
        </w:rPr>
        <w:t xml:space="preserve">Monaco, October 25, 2018, GasLog Partners LP (“GasLog Partners” or the “Partnership”) (NYSE: GLOP), </w:t>
      </w:r>
      <w:r>
        <w:rPr>
          <w:rFonts w:ascii="Arial" w:cs="Arial" w:eastAsia="Arial" w:hAnsi="Arial"/>
          <w:sz w:val="16"/>
          <w:szCs w:val="16"/>
          <w:color w:val="auto"/>
        </w:rPr>
        <w:t>an international owner and operator of liquefied natural gas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(“LNG”) carriers, today reports its financial results for the three-month period ended September 30, 2018 and announces its acquisition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from GasLog Ltd. (“GasLog”).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52" w:lineRule="exact"/>
        <w:rPr>
          <w:sz w:val="20"/>
          <w:szCs w:val="20"/>
          <w:color w:val="auto"/>
        </w:rPr>
      </w:pPr>
    </w:p>
    <w:p>
      <w:pPr>
        <w:ind w:left="340" w:right="240" w:hanging="332"/>
        <w:spacing w:after="0" w:line="251"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Post-quarter end acquisition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from GasLog for $207.4 million, including assumed debt of $93.9 million, with attached multi-year charter to a subsidiary of Royal Dutch Shell plc (“Shell”).</w:t>
      </w:r>
    </w:p>
    <w:p>
      <w:pPr>
        <w:spacing w:after="0" w:line="9" w:lineRule="exact"/>
        <w:rPr>
          <w:rFonts w:ascii="Arial" w:cs="Arial" w:eastAsia="Arial" w:hAnsi="Arial"/>
          <w:sz w:val="18"/>
          <w:szCs w:val="18"/>
          <w:color w:val="auto"/>
        </w:rPr>
      </w:pPr>
    </w:p>
    <w:p>
      <w:pPr>
        <w:ind w:left="340" w:right="280" w:hanging="332"/>
        <w:spacing w:after="0" w:line="251"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6"/>
          <w:szCs w:val="16"/>
          <w:color w:val="auto"/>
        </w:rPr>
        <w:t>Agreement for the sale of 2,250,000 common units to funds managed by Tortoise Capital Advisors, L.L.C. (“Tortoise”) for gross proceeds of $53.1 million through the Partnership’s at-the-market common equity offering programme (“ATM Programme”).</w:t>
      </w:r>
    </w:p>
    <w:p>
      <w:pPr>
        <w:ind w:left="300" w:hanging="292"/>
        <w:spacing w:after="0" w:line="238"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6"/>
          <w:szCs w:val="16"/>
          <w:color w:val="auto"/>
        </w:rPr>
        <w:t>Quarterly Revenues, Profit, Adjusted Profit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$81.9 million, $27.3 million, $25.6 million and $58.9 million, respectively.</w:t>
      </w:r>
    </w:p>
    <w:p>
      <w:pPr>
        <w:ind w:left="300" w:hanging="292"/>
        <w:spacing w:after="0" w:line="214"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6"/>
          <w:szCs w:val="16"/>
          <w:color w:val="auto"/>
        </w:rPr>
        <w:t>Highest-ever quarterly Partnership Performance Results for Revenues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and EBITDA</w:t>
      </w:r>
      <w:r>
        <w:rPr>
          <w:rFonts w:ascii="Arial" w:cs="Arial" w:eastAsia="Arial" w:hAnsi="Arial"/>
          <w:sz w:val="21"/>
          <w:szCs w:val="21"/>
          <w:color w:val="auto"/>
          <w:vertAlign w:val="superscript"/>
        </w:rPr>
        <w:t>(1)(2)</w:t>
      </w:r>
      <w:r>
        <w:rPr>
          <w:rFonts w:ascii="Arial" w:cs="Arial" w:eastAsia="Arial" w:hAnsi="Arial"/>
          <w:sz w:val="16"/>
          <w:szCs w:val="16"/>
          <w:color w:val="auto"/>
        </w:rPr>
        <w:t xml:space="preserve"> of $81.9 million and $58.9 million, respectively.</w:t>
      </w:r>
    </w:p>
    <w:p>
      <w:pPr>
        <w:ind w:left="300" w:hanging="292"/>
        <w:spacing w:after="0" w:line="223"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6"/>
          <w:szCs w:val="16"/>
          <w:color w:val="auto"/>
        </w:rPr>
        <w:t>Cash distribution of $0.53 per common unit for the third quarter of 2018, 2.4% higher than the third quarter of 2017.</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6"/>
          <w:szCs w:val="16"/>
          <w:color w:val="auto"/>
        </w:rPr>
        <w:t>Distribution coverage ratio</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of 1.06x.</w:t>
      </w:r>
    </w:p>
    <w:p>
      <w:pPr>
        <w:spacing w:after="0" w:line="168" w:lineRule="exact"/>
        <w:rPr>
          <w:sz w:val="20"/>
          <w:szCs w:val="20"/>
          <w:color w:val="auto"/>
        </w:rPr>
      </w:pPr>
    </w:p>
    <w:p>
      <w:pPr>
        <w:ind w:left="340" w:right="120" w:hanging="332"/>
        <w:spacing w:after="0" w:line="187"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Adjusted Profit and EBITDA are non-GAAP financial measures and should not be used in isolation or as a substitute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III at the end of this press release.</w:t>
      </w:r>
    </w:p>
    <w:p>
      <w:pPr>
        <w:ind w:left="340" w:right="100" w:hanging="332"/>
        <w:spacing w:after="0" w:line="182" w:lineRule="auto"/>
        <w:tabs>
          <w:tab w:leader="none" w:pos="328"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Partnership Performance Results represent the results attributable to GasLog Partners which are non-GAAP financial measures. For the definitions and reconciliations of these measures to the most directly comparable financial measures calculated and presented in accordance with IFRS, please refer to Exhibit II at the end of this press release.</w:t>
      </w:r>
    </w:p>
    <w:p>
      <w:pPr>
        <w:ind w:left="340" w:right="180" w:hanging="332"/>
        <w:spacing w:after="0" w:line="184" w:lineRule="auto"/>
        <w:tabs>
          <w:tab w:leader="none" w:pos="328"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Distribution coverage ratio represents the ratio of Distributable cash flow to the cash distribution declared. For the definition and reconciliation of Distributable cash flow to the most directly comparable financial measure calculated and presented in accordance with IFRS, please refer to Exhibit III at the end of this press release.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3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 xml:space="preserve">Mr. Andrew Orekar, Chief Executive Officer, commented: “I am very pleased to present another strong operating and financial quarter for GasLog Partners, with record quarterly Partnership Performance Results for Revenues and EBITDA. In the third quarter, we continued to execute on our strategy, raising growth capital from a leading energy infrastructure investor and delivering stable cash flows from our existing fleet. The acquisition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is anticipated to be immediately accretive to our Distributable cash flow per unit and increases our contracted days to 91% in 2019 and 70% in 2020.</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 xml:space="preserve">We are reiterating our year-on-year distribution growth guidance of 5% to 7% in 2018, and we expect further year-on-year distribution growth of 2% to 4% in 2019. Our guidance reflects the positive fundamentals in the LNG shipping market, where spot rates have recently reached new multi-year highs, our acquisitions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Gibraltar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in 2018</w:t>
      </w:r>
      <w:r>
        <w:rPr>
          <w:rFonts w:ascii="Arial" w:cs="Arial" w:eastAsia="Arial" w:hAnsi="Arial"/>
          <w:sz w:val="16"/>
          <w:szCs w:val="16"/>
          <w:i w:val="1"/>
          <w:iCs w:val="1"/>
          <w:color w:val="auto"/>
        </w:rPr>
        <w:t xml:space="preserve">, </w:t>
      </w:r>
      <w:r>
        <w:rPr>
          <w:rFonts w:ascii="Arial" w:cs="Arial" w:eastAsia="Arial" w:hAnsi="Arial"/>
          <w:sz w:val="16"/>
          <w:szCs w:val="16"/>
          <w:color w:val="auto"/>
        </w:rPr>
        <w:t>and continued access to equity capital to fund drop-down acquisitions, while also considering our scheduled dry-dockings and</w:t>
      </w:r>
      <w:r>
        <w:rPr>
          <w:rFonts w:ascii="Arial" w:cs="Arial" w:eastAsia="Arial" w:hAnsi="Arial"/>
          <w:sz w:val="16"/>
          <w:szCs w:val="16"/>
          <w:i w:val="1"/>
          <w:iCs w:val="1"/>
          <w:color w:val="auto"/>
        </w:rPr>
        <w:t xml:space="preserve"> </w:t>
      </w:r>
      <w:r>
        <w:rPr>
          <w:rFonts w:ascii="Arial" w:cs="Arial" w:eastAsia="Arial" w:hAnsi="Arial"/>
          <w:sz w:val="16"/>
          <w:szCs w:val="16"/>
          <w:color w:val="auto"/>
        </w:rPr>
        <w:t>one vessel coming off charter in late 2019.”</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Acquisition of the </w:t>
      </w:r>
      <w:r>
        <w:rPr>
          <w:rFonts w:ascii="Arial" w:cs="Arial" w:eastAsia="Arial" w:hAnsi="Arial"/>
          <w:sz w:val="16"/>
          <w:szCs w:val="16"/>
          <w:b w:val="1"/>
          <w:bCs w:val="1"/>
          <w:i w:val="1"/>
          <w:iCs w:val="1"/>
          <w:u w:val="single" w:color="auto"/>
          <w:color w:val="auto"/>
        </w:rPr>
        <w:t>Methane Becki Anne</w:t>
      </w:r>
    </w:p>
    <w:p>
      <w:pPr>
        <w:spacing w:after="0" w:line="23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GasLog Partners announces an agreement with GasLog to acquire 100% of the shares in the entity that owns and charters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to Shell. The </w:t>
      </w:r>
      <w:r>
        <w:rPr>
          <w:rFonts w:ascii="Arial" w:cs="Arial" w:eastAsia="Arial" w:hAnsi="Arial"/>
          <w:sz w:val="16"/>
          <w:szCs w:val="16"/>
          <w:i w:val="1"/>
          <w:iCs w:val="1"/>
          <w:color w:val="auto"/>
        </w:rPr>
        <w:t>Methane Becki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Anne </w:t>
      </w:r>
      <w:r>
        <w:rPr>
          <w:rFonts w:ascii="Arial" w:cs="Arial" w:eastAsia="Arial" w:hAnsi="Arial"/>
          <w:sz w:val="16"/>
          <w:szCs w:val="16"/>
          <w:color w:val="auto"/>
        </w:rPr>
        <w:t>is a 170,000 cubic meter (“cbm”) tri-fuel diesel electric (“TFDE”) LNG carrier built in 2010 and technically managed by GasLog since delivery. The vessel is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on a multi-year time charter with a subsidiary of Shell through March 2024 and Shell has a unilateral option to extend the term of the time charter for a period of either three or five years.</w:t>
      </w:r>
    </w:p>
    <w:p>
      <w:pPr>
        <w:spacing w:after="0" w:line="189"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 xml:space="preserve">The aggregate purchase price for the acquisition will be $207.4 million, which includes $1.0 million for positive net working capital balances to be transferred with the vessel and is approximately equal to the vessel’s net book value. GasLog Partners expects to finance the acquisition with cash on hand, plus the assumption of the </w:t>
      </w:r>
      <w:r>
        <w:rPr>
          <w:rFonts w:ascii="Arial" w:cs="Arial" w:eastAsia="Arial" w:hAnsi="Arial"/>
          <w:sz w:val="15"/>
          <w:szCs w:val="15"/>
          <w:i w:val="1"/>
          <w:iCs w:val="1"/>
          <w:color w:val="auto"/>
        </w:rPr>
        <w:t>Methane Becki</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Anne’s </w:t>
      </w:r>
      <w:r>
        <w:rPr>
          <w:rFonts w:ascii="Arial" w:cs="Arial" w:eastAsia="Arial" w:hAnsi="Arial"/>
          <w:sz w:val="15"/>
          <w:szCs w:val="15"/>
          <w:color w:val="auto"/>
        </w:rPr>
        <w:t>outstanding indebtedness of $93.9 million. The Partnership believes that the</w:t>
      </w:r>
      <w:r>
        <w:rPr>
          <w:rFonts w:ascii="Arial" w:cs="Arial" w:eastAsia="Arial" w:hAnsi="Arial"/>
          <w:sz w:val="15"/>
          <w:szCs w:val="15"/>
          <w:i w:val="1"/>
          <w:iCs w:val="1"/>
          <w:color w:val="auto"/>
        </w:rPr>
        <w:t xml:space="preserve"> Methane Becki Anne </w:t>
      </w:r>
      <w:r>
        <w:rPr>
          <w:rFonts w:ascii="Arial" w:cs="Arial" w:eastAsia="Arial" w:hAnsi="Arial"/>
          <w:sz w:val="15"/>
          <w:szCs w:val="15"/>
          <w:color w:val="auto"/>
        </w:rPr>
        <w:t>acquisition will be immediately accretive to Distributable cash flow</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per unit and is consistent with its strategy to grow cash distributions through drop-down and third-party acquisitions. GasLog Partners estimates that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will add approximately $22.0 million to EBITDA in the first 12 months after closing. Accordingly, the purchase price represents an acquisition multiple of approximately 9.4x estimated EBITDA. The acquisition is expected to close in the fourth quarter of 2018.</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Tortoise Common Equity Investment</w:t>
      </w:r>
    </w:p>
    <w:p>
      <w:pPr>
        <w:spacing w:after="0" w:line="239" w:lineRule="exact"/>
        <w:rPr>
          <w:sz w:val="20"/>
          <w:szCs w:val="20"/>
          <w:color w:val="auto"/>
        </w:rPr>
      </w:pPr>
    </w:p>
    <w:p>
      <w:pPr>
        <w:ind w:right="120"/>
        <w:spacing w:after="0" w:line="335" w:lineRule="auto"/>
        <w:rPr>
          <w:sz w:val="20"/>
          <w:szCs w:val="20"/>
          <w:color w:val="auto"/>
        </w:rPr>
      </w:pPr>
      <w:r>
        <w:rPr>
          <w:rFonts w:ascii="Arial" w:cs="Arial" w:eastAsia="Arial" w:hAnsi="Arial"/>
          <w:sz w:val="14"/>
          <w:szCs w:val="14"/>
          <w:color w:val="auto"/>
        </w:rPr>
        <w:t>On September 26, 2018, GasLog Partners announced an agreement to sell 2,250,000 common units to funds managed by Tortoise, a leading energy infrastructure investor, for gross proceeds of $53.1 million and net proceeds of $53.0 million. The common units were sold at a price of $23.60 per common unit through the Partnership’s ATM Programme. The sale of the units was settled in two tranches, with 2,093,775 units settled on September 27, 2018 and the remaining 156,225 units settled on October 9, 2018.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t>ATM Programme</w:t>
      </w:r>
    </w:p>
    <w:p>
      <w:pPr>
        <w:spacing w:after="0" w:line="23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 During the third quarter of 2018, GasLog Partners issued and received payment for 2,293,775 common units at a weighted average price of $23.68 per common unit for total gross proceeds of $54.3 million and net proceeds of $54.0 million, after broker commissions of $0.2 million and other expenses of $0.1 million. The total units issued include the aforementioned 2,093,775 common units which were purchased by funds managed by Tortoise. In connection with the issuance of common units under the ATM Programme during this period, the Partnership also issued 46,812 general partner units to its general partner in order for GasLog to retain its 2.0% general partner interest. The net proceeds from the issuance of the general partner units were $1.1 million.</w:t>
      </w:r>
    </w:p>
    <w:p>
      <w:pPr>
        <w:spacing w:after="0" w:line="197"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 the period from October 1, 2018 through October 9, 2018, GasLog Partners issued and received payment for an additional 156,225 common units at a price of $23.60 per unit for gross proceeds of $3.69 million and net proceeds of $3.68 million after broker commissions of $0.01 million. The issuance of these units fulfilled contractual commitments entered into with Tortoise before September 30, 2018.</w:t>
      </w:r>
    </w:p>
    <w:p>
      <w:pPr>
        <w:spacing w:after="0" w:line="184"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Since the commencement of the ATM Programme through October 9, 2018, GasLog Partners has issued and received payment for a total of 5,188,425 common units, with cumulative gross proceeds of $120.9 million at a weighted average price of $23.30 per unit. In connection with the issuance of common units under the ATM Programme during this period, the Partnership also issued 102,699 general partner units to its general partner.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gridSpan w:val="3"/>
          </w:tcPr>
          <w:p>
            <w:pPr>
              <w:spacing w:after="0"/>
              <w:rPr>
                <w:sz w:val="20"/>
                <w:szCs w:val="20"/>
                <w:color w:val="auto"/>
              </w:rPr>
            </w:pPr>
            <w:r>
              <w:rPr>
                <w:rFonts w:ascii="Arial" w:cs="Arial" w:eastAsia="Arial" w:hAnsi="Arial"/>
                <w:sz w:val="16"/>
                <w:szCs w:val="16"/>
                <w:b w:val="1"/>
                <w:bCs w:val="1"/>
                <w:color w:val="auto"/>
              </w:rPr>
              <w:t>Financial Summary</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66"/>
        </w:trPr>
        <w:tc>
          <w:tcPr>
            <w:tcW w:w="138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6"/>
                <w:szCs w:val="16"/>
                <w:b w:val="1"/>
                <w:bCs w:val="1"/>
                <w:color w:val="auto"/>
                <w:w w:val="92"/>
              </w:rPr>
              <w:t>IFRS Common Control Reported Results</w:t>
            </w:r>
            <w:r>
              <w:rPr>
                <w:rFonts w:ascii="Arial" w:cs="Arial" w:eastAsia="Arial" w:hAnsi="Arial"/>
                <w:sz w:val="21"/>
                <w:szCs w:val="21"/>
                <w:b w:val="1"/>
                <w:bCs w:val="1"/>
                <w:color w:val="auto"/>
                <w:w w:val="92"/>
                <w:vertAlign w:val="superscript"/>
              </w:rPr>
              <w:t>(1)</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4"/>
        </w:trPr>
        <w:tc>
          <w:tcPr>
            <w:tcW w:w="1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0"/>
              </w:rPr>
              <w:t>For the three months ended</w:t>
            </w:r>
          </w:p>
        </w:tc>
        <w:tc>
          <w:tcPr>
            <w:tcW w:w="26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 Change from</w:t>
            </w:r>
          </w:p>
        </w:tc>
        <w:tc>
          <w:tcPr>
            <w:tcW w:w="160" w:type="dxa"/>
            <w:vAlign w:val="bottom"/>
          </w:tcPr>
          <w:p>
            <w:pPr>
              <w:spacing w:after="0"/>
              <w:rPr>
                <w:sz w:val="17"/>
                <w:szCs w:val="17"/>
                <w:color w:val="auto"/>
              </w:rPr>
            </w:pPr>
          </w:p>
        </w:tc>
      </w:tr>
      <w:tr>
        <w:trPr>
          <w:trHeight w:val="188"/>
        </w:trPr>
        <w:tc>
          <w:tcPr>
            <w:tcW w:w="13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6"/>
                <w:szCs w:val="16"/>
                <w:color w:val="auto"/>
              </w:rPr>
            </w:pPr>
          </w:p>
        </w:tc>
        <w:tc>
          <w:tcPr>
            <w:tcW w:w="136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12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6"/>
                <w:szCs w:val="16"/>
                <w:color w:val="auto"/>
              </w:rPr>
            </w:pPr>
          </w:p>
        </w:tc>
      </w:tr>
      <w:tr>
        <w:trPr>
          <w:trHeight w:val="213"/>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6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16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E5FFFF"/>
            </w:tcBorders>
          </w:tcPr>
          <w:p>
            <w:pPr>
              <w:spacing w:after="0"/>
              <w:rPr>
                <w:sz w:val="18"/>
                <w:szCs w:val="18"/>
                <w:color w:val="auto"/>
              </w:rPr>
            </w:pPr>
          </w:p>
        </w:tc>
      </w:tr>
      <w:tr>
        <w:trPr>
          <w:trHeight w:val="213"/>
        </w:trPr>
        <w:tc>
          <w:tcPr>
            <w:tcW w:w="454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Revenues</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86,353</w:t>
            </w:r>
          </w:p>
        </w:tc>
        <w:tc>
          <w:tcPr>
            <w:tcW w:w="140" w:type="dxa"/>
            <w:vAlign w:val="bottom"/>
            <w:shd w:val="clear" w:color="auto" w:fill="E5FFFF"/>
          </w:tcPr>
          <w:p>
            <w:pPr>
              <w:spacing w:after="0"/>
              <w:rPr>
                <w:sz w:val="18"/>
                <w:szCs w:val="18"/>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76,934</w:t>
            </w:r>
          </w:p>
        </w:tc>
        <w:tc>
          <w:tcPr>
            <w:tcW w:w="160" w:type="dxa"/>
            <w:vAlign w:val="bottom"/>
            <w:shd w:val="clear" w:color="auto" w:fill="E5FFFF"/>
          </w:tcPr>
          <w:p>
            <w:pPr>
              <w:spacing w:after="0"/>
              <w:rPr>
                <w:sz w:val="18"/>
                <w:szCs w:val="18"/>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81,887</w:t>
            </w:r>
          </w:p>
        </w:tc>
        <w:tc>
          <w:tcPr>
            <w:tcW w:w="16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(5%)</w:t>
            </w:r>
          </w:p>
        </w:tc>
        <w:tc>
          <w:tcPr>
            <w:tcW w:w="14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w:t>
            </w:r>
          </w:p>
        </w:tc>
      </w:tr>
      <w:tr>
        <w:trPr>
          <w:trHeight w:val="227"/>
        </w:trPr>
        <w:tc>
          <w:tcPr>
            <w:tcW w:w="4540" w:type="dxa"/>
            <w:vAlign w:val="bottom"/>
            <w:gridSpan w:val="3"/>
          </w:tcPr>
          <w:p>
            <w:pPr>
              <w:spacing w:after="0"/>
              <w:rPr>
                <w:sz w:val="20"/>
                <w:szCs w:val="20"/>
                <w:color w:val="auto"/>
              </w:rPr>
            </w:pPr>
            <w:r>
              <w:rPr>
                <w:rFonts w:ascii="Arial" w:cs="Arial" w:eastAsia="Arial" w:hAnsi="Arial"/>
                <w:sz w:val="16"/>
                <w:szCs w:val="16"/>
                <w:color w:val="auto"/>
              </w:rPr>
              <w:t>Profit</w:t>
            </w:r>
          </w:p>
        </w:tc>
        <w:tc>
          <w:tcPr>
            <w:tcW w:w="1220" w:type="dxa"/>
            <w:vAlign w:val="bottom"/>
          </w:tcPr>
          <w:p>
            <w:pPr>
              <w:jc w:val="right"/>
              <w:spacing w:after="0"/>
              <w:rPr>
                <w:sz w:val="20"/>
                <w:szCs w:val="20"/>
                <w:color w:val="auto"/>
              </w:rPr>
            </w:pPr>
            <w:r>
              <w:rPr>
                <w:rFonts w:ascii="Arial" w:cs="Arial" w:eastAsia="Arial" w:hAnsi="Arial"/>
                <w:sz w:val="16"/>
                <w:szCs w:val="16"/>
                <w:color w:val="auto"/>
              </w:rPr>
              <w:t>31,007</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23,841</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27,270</w:t>
            </w: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r>
      <w:tr>
        <w:trPr>
          <w:trHeight w:val="233"/>
        </w:trPr>
        <w:tc>
          <w:tcPr>
            <w:tcW w:w="4540" w:type="dxa"/>
            <w:vAlign w:val="bottom"/>
            <w:gridSpan w:val="3"/>
            <w:shd w:val="clear" w:color="auto" w:fill="E5FFFF"/>
          </w:tcPr>
          <w:p>
            <w:pPr>
              <w:spacing w:after="0" w:line="23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(2)</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31,192</w:t>
            </w:r>
          </w:p>
        </w:tc>
        <w:tc>
          <w:tcPr>
            <w:tcW w:w="140" w:type="dxa"/>
            <w:vAlign w:val="bottom"/>
            <w:shd w:val="clear" w:color="auto" w:fill="E5FFFF"/>
          </w:tcPr>
          <w:p>
            <w:pPr>
              <w:spacing w:after="0"/>
              <w:rPr>
                <w:sz w:val="20"/>
                <w:szCs w:val="20"/>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22,840</w:t>
            </w:r>
          </w:p>
        </w:tc>
        <w:tc>
          <w:tcPr>
            <w:tcW w:w="160" w:type="dxa"/>
            <w:vAlign w:val="bottom"/>
            <w:shd w:val="clear" w:color="auto" w:fill="E5FFFF"/>
          </w:tcPr>
          <w:p>
            <w:pPr>
              <w:spacing w:after="0"/>
              <w:rPr>
                <w:sz w:val="20"/>
                <w:szCs w:val="20"/>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25,617</w:t>
            </w:r>
          </w:p>
        </w:tc>
        <w:tc>
          <w:tcPr>
            <w:tcW w:w="160" w:type="dxa"/>
            <w:vAlign w:val="bottom"/>
            <w:shd w:val="clear" w:color="auto" w:fill="E5FFFF"/>
          </w:tcPr>
          <w:p>
            <w:pPr>
              <w:spacing w:after="0"/>
              <w:rPr>
                <w:sz w:val="20"/>
                <w:szCs w:val="20"/>
                <w:color w:val="auto"/>
              </w:rPr>
            </w:pPr>
          </w:p>
        </w:tc>
        <w:tc>
          <w:tcPr>
            <w:tcW w:w="136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(18%)</w:t>
            </w:r>
          </w:p>
        </w:tc>
        <w:tc>
          <w:tcPr>
            <w:tcW w:w="14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12%</w:t>
            </w:r>
          </w:p>
        </w:tc>
      </w:tr>
      <w:tr>
        <w:trPr>
          <w:trHeight w:val="298"/>
        </w:trPr>
        <w:tc>
          <w:tcPr>
            <w:tcW w:w="4540" w:type="dxa"/>
            <w:vAlign w:val="bottom"/>
            <w:gridSpan w:val="3"/>
          </w:tcPr>
          <w:p>
            <w:pPr>
              <w:spacing w:after="0"/>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(2)</w:t>
            </w:r>
          </w:p>
        </w:tc>
        <w:tc>
          <w:tcPr>
            <w:tcW w:w="1220" w:type="dxa"/>
            <w:vAlign w:val="bottom"/>
          </w:tcPr>
          <w:p>
            <w:pPr>
              <w:jc w:val="right"/>
              <w:spacing w:after="0"/>
              <w:rPr>
                <w:sz w:val="20"/>
                <w:szCs w:val="20"/>
                <w:color w:val="auto"/>
              </w:rPr>
            </w:pPr>
            <w:r>
              <w:rPr>
                <w:rFonts w:ascii="Arial" w:cs="Arial" w:eastAsia="Arial" w:hAnsi="Arial"/>
                <w:sz w:val="16"/>
                <w:szCs w:val="16"/>
                <w:color w:val="auto"/>
              </w:rPr>
              <w:t>64,910</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54,992</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58,850</w:t>
            </w:r>
          </w:p>
        </w:tc>
        <w:tc>
          <w:tcPr>
            <w:tcW w:w="160" w:type="dxa"/>
            <w:vAlign w:val="bottom"/>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(9%)</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r>
    </w:tbl>
    <w:p>
      <w:pPr>
        <w:spacing w:after="0" w:line="345" w:lineRule="exact"/>
        <w:rPr>
          <w:sz w:val="20"/>
          <w:szCs w:val="20"/>
          <w:color w:val="auto"/>
        </w:rPr>
      </w:pPr>
    </w:p>
    <w:p>
      <w:pPr>
        <w:ind w:left="660" w:right="160" w:hanging="328"/>
        <w:spacing w:after="0" w:line="201"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“IFRS Common Control Reported Results” represent the results of GasLog Partners in accordance with IFRS. Such results include amounts related to vessels currently owned by the Partnership for the periods prior to their respective transfer to GasLog Partners from GasLog, as the transfers of such vessels were accounted for as reorganizations of entities under common control for IFRS accounting purposes. The unaudited condensed consolidated financial statements of the Partnership accompanying this press release are prepared under IFRS on this basis.</w:t>
      </w:r>
    </w:p>
    <w:p>
      <w:pPr>
        <w:spacing w:after="0" w:line="184" w:lineRule="exact"/>
        <w:rPr>
          <w:rFonts w:ascii="Arial" w:cs="Arial" w:eastAsia="Arial" w:hAnsi="Arial"/>
          <w:sz w:val="23"/>
          <w:szCs w:val="23"/>
          <w:color w:val="auto"/>
          <w:vertAlign w:val="superscript"/>
        </w:rPr>
      </w:pPr>
    </w:p>
    <w:p>
      <w:pPr>
        <w:ind w:left="660" w:right="100" w:hanging="328"/>
        <w:spacing w:after="0" w:line="186"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Adjusted Profit and EBITDA are non-GAAP financial measures. For the definitions and reconciliations of these measures to the most directly comparable financial measure presented in accordance with IFRS, please refer to Exhibit III at the end of this press release.</w:t>
      </w:r>
    </w:p>
    <w:p>
      <w:pPr>
        <w:spacing w:after="0" w:line="19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 xml:space="preserve">The decrease in profit in the third quarter of 2018 as compared to the same period in 2017 is mainly attributable to decreased net revenues due to the expiry of the initial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which ended in May, June and September 2018, respectively. Following the expiry of their initial charters,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has been trading in the spot market through the Cool Pool, an LNG carrier pooling arrangement operated by GasLog and Golar LNG Ltd. After completing their subsequent spot charters,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began a new, multi-year charter with a new customer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is expected to begin a new 18-month charter with Cheniere Energy, Inc. in December 2018.</w:t>
      </w:r>
    </w:p>
    <w:p>
      <w:pPr>
        <w:spacing w:after="0" w:line="190"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 xml:space="preserve">The increase in profit in the third quarter of 2018 as compared to the second quarter of 2018 is mainly attributable to increased net revenues due to the off-hire days for the two scheduled dry-dockings of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performed in the second quarter of 2018, partially offset by an increase in voyage expenses and commissions due to the spot market exposure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and increased financial costs.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6"/>
                <w:szCs w:val="16"/>
                <w:b w:val="1"/>
                <w:bCs w:val="1"/>
                <w:color w:val="auto"/>
                <w:w w:val="90"/>
              </w:rPr>
              <w:t>Partnership Performance Results</w:t>
            </w:r>
            <w:r>
              <w:rPr>
                <w:rFonts w:ascii="Arial" w:cs="Arial" w:eastAsia="Arial" w:hAnsi="Arial"/>
                <w:sz w:val="21"/>
                <w:szCs w:val="21"/>
                <w:b w:val="1"/>
                <w:bCs w:val="1"/>
                <w:color w:val="auto"/>
                <w:w w:val="90"/>
                <w:vertAlign w:val="superscript"/>
              </w:rPr>
              <w:t>(1)</w:t>
            </w:r>
          </w:p>
        </w:tc>
        <w:tc>
          <w:tcPr>
            <w:tcW w:w="12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4"/>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0"/>
              </w:rPr>
              <w:t>For the three months ended</w:t>
            </w:r>
          </w:p>
        </w:tc>
        <w:tc>
          <w:tcPr>
            <w:tcW w:w="262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 Change from</w:t>
            </w:r>
          </w:p>
        </w:tc>
        <w:tc>
          <w:tcPr>
            <w:tcW w:w="20" w:type="dxa"/>
            <w:vAlign w:val="bottom"/>
          </w:tcPr>
          <w:p>
            <w:pPr>
              <w:spacing w:after="0"/>
              <w:rPr>
                <w:sz w:val="17"/>
                <w:szCs w:val="17"/>
                <w:color w:val="auto"/>
              </w:rPr>
            </w:pPr>
          </w:p>
        </w:tc>
      </w:tr>
      <w:tr>
        <w:trPr>
          <w:trHeight w:val="188"/>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6"/>
                <w:szCs w:val="16"/>
                <w:color w:val="auto"/>
              </w:rPr>
            </w:pPr>
          </w:p>
        </w:tc>
        <w:tc>
          <w:tcPr>
            <w:tcW w:w="138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6"/>
                <w:szCs w:val="16"/>
                <w:color w:val="auto"/>
              </w:rPr>
            </w:pPr>
          </w:p>
        </w:tc>
      </w:tr>
      <w:tr>
        <w:trPr>
          <w:trHeight w:val="213"/>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8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r>
      <w:tr>
        <w:trPr>
          <w:trHeight w:val="213"/>
        </w:trPr>
        <w:tc>
          <w:tcPr>
            <w:tcW w:w="45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73,277</w:t>
            </w:r>
          </w:p>
        </w:tc>
        <w:tc>
          <w:tcPr>
            <w:tcW w:w="16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74,909</w:t>
            </w:r>
          </w:p>
        </w:tc>
        <w:tc>
          <w:tcPr>
            <w:tcW w:w="14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81,887</w:t>
            </w:r>
          </w:p>
        </w:tc>
        <w:tc>
          <w:tcPr>
            <w:tcW w:w="13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12%</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r>
      <w:tr>
        <w:trPr>
          <w:trHeight w:val="227"/>
        </w:trPr>
        <w:tc>
          <w:tcPr>
            <w:tcW w:w="4500" w:type="dxa"/>
            <w:vAlign w:val="bottom"/>
            <w:gridSpan w:val="2"/>
          </w:tcPr>
          <w:p>
            <w:pPr>
              <w:spacing w:after="0"/>
              <w:rPr>
                <w:sz w:val="20"/>
                <w:szCs w:val="20"/>
                <w:color w:val="auto"/>
              </w:rPr>
            </w:pPr>
            <w:r>
              <w:rPr>
                <w:rFonts w:ascii="Arial" w:cs="Arial" w:eastAsia="Arial" w:hAnsi="Arial"/>
                <w:sz w:val="16"/>
                <w:szCs w:val="16"/>
                <w:color w:val="auto"/>
              </w:rPr>
              <w:t>Profit</w:t>
            </w:r>
          </w:p>
        </w:tc>
        <w:tc>
          <w:tcPr>
            <w:tcW w:w="1240" w:type="dxa"/>
            <w:vAlign w:val="bottom"/>
          </w:tcPr>
          <w:p>
            <w:pPr>
              <w:jc w:val="right"/>
              <w:spacing w:after="0"/>
              <w:rPr>
                <w:sz w:val="20"/>
                <w:szCs w:val="20"/>
                <w:color w:val="auto"/>
              </w:rPr>
            </w:pPr>
            <w:r>
              <w:rPr>
                <w:rFonts w:ascii="Arial" w:cs="Arial" w:eastAsia="Arial" w:hAnsi="Arial"/>
                <w:sz w:val="16"/>
                <w:szCs w:val="16"/>
                <w:color w:val="auto"/>
              </w:rPr>
              <w:t>25,299</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22,901</w:t>
            </w:r>
          </w:p>
        </w:tc>
        <w:tc>
          <w:tcPr>
            <w:tcW w:w="1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27,270</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r>
      <w:tr>
        <w:trPr>
          <w:trHeight w:val="233"/>
        </w:trPr>
        <w:tc>
          <w:tcPr>
            <w:tcW w:w="4500" w:type="dxa"/>
            <w:vAlign w:val="bottom"/>
            <w:gridSpan w:val="2"/>
            <w:shd w:val="clear" w:color="auto" w:fill="E5FFFF"/>
          </w:tcPr>
          <w:p>
            <w:pPr>
              <w:spacing w:after="0" w:line="23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(2)</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25,484</w:t>
            </w:r>
          </w:p>
        </w:tc>
        <w:tc>
          <w:tcPr>
            <w:tcW w:w="160" w:type="dxa"/>
            <w:vAlign w:val="bottom"/>
            <w:shd w:val="clear" w:color="auto" w:fill="E5FFFF"/>
          </w:tcPr>
          <w:p>
            <w:pPr>
              <w:spacing w:after="0"/>
              <w:rPr>
                <w:sz w:val="20"/>
                <w:szCs w:val="20"/>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21,900</w:t>
            </w:r>
          </w:p>
        </w:tc>
        <w:tc>
          <w:tcPr>
            <w:tcW w:w="140" w:type="dxa"/>
            <w:vAlign w:val="bottom"/>
            <w:shd w:val="clear" w:color="auto" w:fill="E5FFFF"/>
          </w:tcPr>
          <w:p>
            <w:pPr>
              <w:spacing w:after="0"/>
              <w:rPr>
                <w:sz w:val="20"/>
                <w:szCs w:val="20"/>
                <w:color w:val="auto"/>
              </w:rPr>
            </w:pPr>
          </w:p>
        </w:tc>
        <w:tc>
          <w:tcPr>
            <w:tcW w:w="13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25,617</w:t>
            </w:r>
          </w:p>
        </w:tc>
        <w:tc>
          <w:tcPr>
            <w:tcW w:w="13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20"/>
                <w:szCs w:val="20"/>
                <w:color w:val="auto"/>
              </w:rPr>
            </w:pPr>
          </w:p>
        </w:tc>
      </w:tr>
      <w:tr>
        <w:trPr>
          <w:trHeight w:val="230"/>
        </w:trPr>
        <w:tc>
          <w:tcPr>
            <w:tcW w:w="4500" w:type="dxa"/>
            <w:vAlign w:val="bottom"/>
            <w:gridSpan w:val="2"/>
          </w:tcPr>
          <w:p>
            <w:pPr>
              <w:spacing w:after="0" w:line="230" w:lineRule="exact"/>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(2)</w:t>
            </w:r>
          </w:p>
        </w:tc>
        <w:tc>
          <w:tcPr>
            <w:tcW w:w="1240" w:type="dxa"/>
            <w:vAlign w:val="bottom"/>
          </w:tcPr>
          <w:p>
            <w:pPr>
              <w:jc w:val="right"/>
              <w:spacing w:after="0"/>
              <w:rPr>
                <w:sz w:val="20"/>
                <w:szCs w:val="20"/>
                <w:color w:val="auto"/>
              </w:rPr>
            </w:pPr>
            <w:r>
              <w:rPr>
                <w:rFonts w:ascii="Arial" w:cs="Arial" w:eastAsia="Arial" w:hAnsi="Arial"/>
                <w:sz w:val="16"/>
                <w:szCs w:val="16"/>
                <w:color w:val="auto"/>
              </w:rPr>
              <w:t>53,529</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53,260</w:t>
            </w:r>
          </w:p>
        </w:tc>
        <w:tc>
          <w:tcPr>
            <w:tcW w:w="1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58,850</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230"/>
        </w:trPr>
        <w:tc>
          <w:tcPr>
            <w:tcW w:w="4500" w:type="dxa"/>
            <w:vAlign w:val="bottom"/>
            <w:gridSpan w:val="2"/>
            <w:shd w:val="clear" w:color="auto" w:fill="E5FFFF"/>
          </w:tcPr>
          <w:p>
            <w:pPr>
              <w:spacing w:after="0" w:line="230" w:lineRule="exact"/>
              <w:rPr>
                <w:sz w:val="20"/>
                <w:szCs w:val="20"/>
                <w:color w:val="auto"/>
              </w:rPr>
            </w:pPr>
            <w:r>
              <w:rPr>
                <w:rFonts w:ascii="Arial" w:cs="Arial" w:eastAsia="Arial" w:hAnsi="Arial"/>
                <w:sz w:val="16"/>
                <w:szCs w:val="16"/>
                <w:color w:val="auto"/>
              </w:rPr>
              <w:t>Distributable cash flow</w:t>
            </w:r>
            <w:r>
              <w:rPr>
                <w:rFonts w:ascii="Arial" w:cs="Arial" w:eastAsia="Arial" w:hAnsi="Arial"/>
                <w:sz w:val="21"/>
                <w:szCs w:val="21"/>
                <w:color w:val="auto"/>
                <w:vertAlign w:val="superscript"/>
              </w:rPr>
              <w:t>(2)</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26,867</w:t>
            </w:r>
          </w:p>
        </w:tc>
        <w:tc>
          <w:tcPr>
            <w:tcW w:w="160" w:type="dxa"/>
            <w:vAlign w:val="bottom"/>
            <w:shd w:val="clear" w:color="auto" w:fill="E5FFFF"/>
          </w:tcPr>
          <w:p>
            <w:pPr>
              <w:spacing w:after="0"/>
              <w:rPr>
                <w:sz w:val="19"/>
                <w:szCs w:val="19"/>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22,915</w:t>
            </w:r>
          </w:p>
        </w:tc>
        <w:tc>
          <w:tcPr>
            <w:tcW w:w="140" w:type="dxa"/>
            <w:vAlign w:val="bottom"/>
            <w:shd w:val="clear" w:color="auto" w:fill="E5FFFF"/>
          </w:tcPr>
          <w:p>
            <w:pPr>
              <w:spacing w:after="0"/>
              <w:rPr>
                <w:sz w:val="19"/>
                <w:szCs w:val="19"/>
                <w:color w:val="auto"/>
              </w:rPr>
            </w:pPr>
          </w:p>
        </w:tc>
        <w:tc>
          <w:tcPr>
            <w:tcW w:w="13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27,167</w:t>
            </w:r>
          </w:p>
        </w:tc>
        <w:tc>
          <w:tcPr>
            <w:tcW w:w="13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9"/>
                <w:szCs w:val="19"/>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6"/>
                <w:szCs w:val="16"/>
                <w:color w:val="auto"/>
              </w:rPr>
              <w:t>Cash distributions declared</w:t>
            </w:r>
          </w:p>
        </w:tc>
        <w:tc>
          <w:tcPr>
            <w:tcW w:w="1240" w:type="dxa"/>
            <w:vAlign w:val="bottom"/>
          </w:tcPr>
          <w:p>
            <w:pPr>
              <w:jc w:val="right"/>
              <w:spacing w:after="0"/>
              <w:rPr>
                <w:sz w:val="20"/>
                <w:szCs w:val="20"/>
                <w:color w:val="auto"/>
              </w:rPr>
            </w:pPr>
            <w:r>
              <w:rPr>
                <w:rFonts w:ascii="Arial" w:cs="Arial" w:eastAsia="Arial" w:hAnsi="Arial"/>
                <w:sz w:val="16"/>
                <w:szCs w:val="16"/>
                <w:color w:val="auto"/>
              </w:rPr>
              <w:t>22,377</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24,272</w:t>
            </w:r>
          </w:p>
        </w:tc>
        <w:tc>
          <w:tcPr>
            <w:tcW w:w="1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25,658</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15%</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 w:name="page6"/>
    <w:bookmarkEnd w:id="5"/>
    <w:p>
      <w:pPr>
        <w:ind w:left="660" w:right="20" w:hanging="328"/>
        <w:spacing w:after="0" w:line="228"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transfers of the vessel owning entities by GasLog to the Partnership represent reorganizations of 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transfers to the Partnership. These non-GAAP financial measures should not be viewed in isolation or as substitutes to the equivalent GAAP measures presented in accordance with IFRS, but should be used in conjunction with the most directly comparable IFRS Common Control Reported Results. For the definitions and reconciliations of these measurements to the most directly comparable financial measures presented in accordance with IFRS, please refer to Exhibit II at the end of this press release.</w:t>
      </w:r>
    </w:p>
    <w:p>
      <w:pPr>
        <w:spacing w:after="0" w:line="187" w:lineRule="exact"/>
        <w:rPr>
          <w:rFonts w:ascii="Arial" w:cs="Arial" w:eastAsia="Arial" w:hAnsi="Arial"/>
          <w:sz w:val="21"/>
          <w:szCs w:val="21"/>
          <w:color w:val="auto"/>
          <w:vertAlign w:val="superscript"/>
        </w:rPr>
      </w:pPr>
    </w:p>
    <w:p>
      <w:pPr>
        <w:ind w:left="660" w:right="160" w:hanging="328"/>
        <w:spacing w:after="0" w:line="196"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Adjusted Profit, EBITDA and Distributable cash flow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III at the end of this press release.</w:t>
      </w:r>
    </w:p>
    <w:p>
      <w:pPr>
        <w:spacing w:after="0" w:line="192"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 xml:space="preserve">The increase in profit for the third quarter of 2018 as compared to the same period in 2017 is mainly attributable to the profits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acquired by the Partnership on July 3, 2017, October 20, 2017 and April 26, 2018, respectively, and the decrease in mark-to-market loss on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swaps attributable to the Partnership, which were partially offset by the decreased revenues and increased voyage expenses and commissions, due to the expiry of the initial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w:t>
      </w:r>
    </w:p>
    <w:p>
      <w:pPr>
        <w:spacing w:after="0" w:line="189"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 xml:space="preserve">The increase in profit in the third quarter of 2018 as compared to the second quarter of 2018 is mainly attributable to increased net revenues due to the two scheduled dry-dockings performed in the second quarter of 2018, partially offset by an increase in voyage expenses and commissions due to the expiry of the initial charters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Shanghai</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Santiago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Preference Unit Distributions</w:t>
      </w:r>
    </w:p>
    <w:p>
      <w:pPr>
        <w:spacing w:after="0" w:line="239"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On July 25, 2018, the board of directors of GasLog Partners approved and declared a distribution on the Series A Cumulative Redeemable Perpetual Fixed to Floating Rate Preference Units (the “Series A Preference Units”) of $0.5390625 per preference unit and a distribution on the Series B Cumulative Redeemable Perpetual Fixed to Floating Rate Preference Units (the “Series B Preference Units”) of $0.5125 per preference unit. The cash distributions were paid on September 17, 2018 to all unitholders of record as of September 10, 2018.</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Common Unit Distribution</w:t>
      </w:r>
    </w:p>
    <w:p>
      <w:pPr>
        <w:spacing w:after="0" w:line="239" w:lineRule="exact"/>
        <w:rPr>
          <w:sz w:val="20"/>
          <w:szCs w:val="20"/>
          <w:color w:val="auto"/>
        </w:rPr>
      </w:pPr>
    </w:p>
    <w:p>
      <w:pPr>
        <w:ind w:right="760"/>
        <w:spacing w:after="0" w:line="293" w:lineRule="auto"/>
        <w:rPr>
          <w:sz w:val="20"/>
          <w:szCs w:val="20"/>
          <w:color w:val="auto"/>
        </w:rPr>
      </w:pPr>
      <w:r>
        <w:rPr>
          <w:rFonts w:ascii="Arial" w:cs="Arial" w:eastAsia="Arial" w:hAnsi="Arial"/>
          <w:sz w:val="16"/>
          <w:szCs w:val="16"/>
          <w:color w:val="auto"/>
        </w:rPr>
        <w:t>On October 24, 2018, the board of directors of GasLog Partners approved and declared a quarterly cash distribution of $0.53 per common unit for the quarter ended September 30, 2018. The cash distribution is payable on November 9, 2018 to all unitholders of record as of November 5, 2018.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Financing</w:t>
      </w:r>
    </w:p>
    <w:p>
      <w:pPr>
        <w:spacing w:after="0" w:line="239"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As of September 30, 2018, we had $168.8 million of cash and cash equivalents, of which $91.1 million was held in current accounts and $77.7 million was held in time deposits with an original duration of less than three months. An amount of $10.0 million of time deposits with an original duration greater than three months was classified as short-term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2018, we had an aggregate of $1,156.6 million of indebtedness outstanding under our credit facilities, of which $85.0 million is repayable within one year.</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had unused availability under our revolving credit facilities of $55.9 million.</w:t>
      </w:r>
    </w:p>
    <w:p>
      <w:pPr>
        <w:spacing w:after="0" w:line="23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August 2018, the Partnership entered into three new forward foreign exchange contracts with GasLog with a notional value of €6.0 million and staggered maturities during the third quarter of 2019 to mitigate its foreign exchange transaction exposure in its operating expenses.</w:t>
      </w:r>
    </w:p>
    <w:p>
      <w:pPr>
        <w:spacing w:after="0" w:line="17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Partnership has entered into five interest rate swap agreements with GasLog at a notional value of $550.0 million in aggregate, maturing between 2020 and 2023. As a result of its hedging agreements, the Partnership has hedged 46.9% of its floating interest rate exposure on its outstanding debt as of September 30, 2018, at a weighted average interest rate of approximately 1.9% (excluding margin).</w:t>
      </w:r>
    </w:p>
    <w:p>
      <w:pPr>
        <w:spacing w:after="0" w:line="18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 xml:space="preserve">Following the completion of the scheduled dry-dockings of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in the second quarter of 2018,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is scheduled to commence her dry-docking in the fourth quarter of 2018.</w:t>
      </w:r>
    </w:p>
    <w:p>
      <w:pPr>
        <w:spacing w:after="0" w:line="172"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As of September 30, 2018, our current assets totaled $197.3 million and current liabilities totaled $150.3 million, resulting in a positive working capital position of $47.0 million.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39"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LNG demand growth was strong and broad-based during the first nine months of 2018, growing 7% over the same period of 2017, according to data from Poten. LNG demand growth was led by China which grew approximately 42% year-over-year or nearly 11 million tonnes per annum (“mtpa”) as the country continues to grow its natural gas usage as a percentage of its total energy consumption. Moreover, demand from South Korea, India, Pakistan and Taiwan grew by 14%, 20%, 63%, and 8%, respectively, or a combined total of approximately 10 mtpa. The outlook for future demand growth continues to be robust, with over 6% per annum projected for 2018-2023, and more than two-thirds of this demand growth coming from countries in South East Asia and Europe, according to estimates from Wood Mackenzie.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 w:name="page7"/>
    <w:bookmarkEnd w:id="6"/>
    <w:p>
      <w:pPr>
        <w:ind w:right="100"/>
        <w:spacing w:after="0" w:line="293" w:lineRule="auto"/>
        <w:rPr>
          <w:sz w:val="20"/>
          <w:szCs w:val="20"/>
          <w:color w:val="auto"/>
        </w:rPr>
      </w:pPr>
      <w:r>
        <w:rPr>
          <w:rFonts w:ascii="Arial" w:cs="Arial" w:eastAsia="Arial" w:hAnsi="Arial"/>
          <w:sz w:val="15"/>
          <w:szCs w:val="15"/>
          <w:color w:val="auto"/>
        </w:rPr>
        <w:t>LNG supply grew by 8% year-over-year during the third quarter of 2018 and increased by 5% from the second quarter of 2018, according to estimates from Wood Mackenzie. Supply growth was driven by the start-up of Yamal Train 2 as well as the ramp-up of production from Wheatstone Train 2, Cameroon FLNG and Cove Point. In addition, the Ichthys LNG project in Australia began operations this month while Yamal Train 3 (Russia) and Corpus Christi Train 1 (United States, or “U.S.”) are expected to begin production by year end, underpinning Wood Mackenzie’s supply growth estimate of 8% for this year. Looking ahead, an additional 44 mtpa of LNG production capacity (or 14%) is anticipated in 2019, primarily as a result of the start-up of new liquefaction facilities in the U.S. such as Freeport and Cameron.</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Earlier this month, Shell and its project partners (Petronas, PetroChina, Mitsubishi and KOGAS) announced a final investment decision (“FID”) on the first phase of the LNG Canada project located in British Columbia on Canada’s Pacific coast. The project is the first LNG project sanctioned in Canada and this first phase targets a total of 14 mtpa of capacity. In addition, Qatar Petroleum announced its intention to add a fourth liquefaction train of 8 mtpa of capacity to its expansion plans, taking its total planned LNG production capacity to 110 mtpa by the middle of the next decade.</w:t>
      </w:r>
    </w:p>
    <w:p>
      <w:pPr>
        <w:spacing w:after="0" w:line="18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Headline spot shipping rates for TFDE LNG carriers as reported by Clarksons averaged $82,000 in the third quarter of 2018, compared to $42,000 in the third quarter of 2017. Rates continued to exhibit counter-seasonal strength through the third quarter of 2018, rising to $95,000 per day in late September from $78,000 per day at the beginning of the quarter. Since the end of the third quarter, spot rates have continued to increase, now assessed at $147,000 and approaching the record high as reported by Clarksons of $150,000 set in July of 2012. Inter-basin trading of LNG continued to support activity in the spot market and 76 fixtures were reported during the third quarter of 2018, bringing the total number of fixtures from January through September of this year to 255, an increase of 9% over the same period in 2017. According to Poten, charter durations have also increased, rising by nearly 50% this year to 43 days, compared with 29 days in 2017, with many multi-month or multi-voyage charters fixed in recent months. A natural outcome of this positive dynamic is that the number of ships available for charter has been reduced and, as such, near-term spot fixture activity may decline relative to the record levels seen earlier in 2018.</w:t>
      </w:r>
    </w:p>
    <w:p>
      <w:pPr>
        <w:spacing w:after="0" w:line="193"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Looking ahead, in our view, strong LNG demand, new sources of supply coming onstream and limited availability of shipping capacity over the near-term are combining to create the potential for the recent strength in LNG shipping spot rates to be sustained through at least early 2019. While we may see a seasonal moderation in spot rates during the first half of 2019, we do not expect this to be as pronounced as was the case in early 2018.</w:t>
      </w:r>
    </w:p>
    <w:p>
      <w:pPr>
        <w:spacing w:after="0" w:line="18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According to Poten, 41 newbuild LNG carriers have been ordered so far in 2018, taking the total orderbook for LNG carriers to 96 vessels of which 65% are backed by long-term charters. Notwithstanding recent order activity, we believe the LNG shipping fleet is set to experience very high levels of utilisation in the near-term based on our current supply and demand projections and the build time of approximately two and a half years for new LNG carriers. We continue to believe that further shipping capacity will be needed over and above the current orderbook to satisfy projected demand from 2021 onwards. However, following the increase in newbuild ordering in 2018 we believe that a more measured pace of shipping capacity additions is needed in the future as a result of the time required to complete the construction and commissioning of new production capacity, particularly if these projects experience delays in their completion.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ind w:right="480"/>
        <w:spacing w:after="0" w:line="278" w:lineRule="auto"/>
        <w:rPr>
          <w:sz w:val="20"/>
          <w:szCs w:val="20"/>
          <w:color w:val="auto"/>
        </w:rPr>
      </w:pPr>
      <w:r>
        <w:rPr>
          <w:rFonts w:ascii="Arial" w:cs="Arial" w:eastAsia="Arial" w:hAnsi="Arial"/>
          <w:sz w:val="16"/>
          <w:szCs w:val="16"/>
          <w:color w:val="auto"/>
        </w:rPr>
        <w:t>GasLog Partners will host a conference call to discuss its results for the third quarter of 2018 at 8:30 a.m. EDT (1:30 p.m. BST) on Thursday, October 25, 2018. Andrew Orekar, Chief Executive Officer, and Alastair Maxwell, Chief Financial Officer, will review the Partnership’s operational and financial performance for the period. Management’s presentation will be followed by a Q&amp;A session.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3011 4522 (Hong Kong)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1916669</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 live webcast of the conference call will also be available on the Investor Relations page of the Partnership’s website at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http://www.gaslogmlp.com/investor-relations</w:t>
      </w:r>
      <w:r>
        <w:rPr>
          <w:rFonts w:ascii="Arial" w:cs="Arial" w:eastAsia="Arial" w:hAnsi="Arial"/>
          <w:sz w:val="16"/>
          <w:szCs w:val="16"/>
          <w:color w:val="000000"/>
        </w:rPr>
        <w:t>.</w:t>
      </w:r>
    </w:p>
    <w:p>
      <w:pPr>
        <w:spacing w:after="0" w:line="231" w:lineRule="exact"/>
        <w:rPr>
          <w:sz w:val="20"/>
          <w:szCs w:val="20"/>
          <w:color w:val="auto"/>
        </w:rPr>
      </w:pPr>
    </w:p>
    <w:p>
      <w:pPr>
        <w:ind w:right="1320"/>
        <w:spacing w:after="0" w:line="293" w:lineRule="auto"/>
        <w:rPr>
          <w:sz w:val="20"/>
          <w:szCs w:val="20"/>
          <w:color w:val="auto"/>
        </w:rPr>
      </w:pPr>
      <w:r>
        <w:rPr>
          <w:rFonts w:ascii="Arial" w:cs="Arial" w:eastAsia="Arial" w:hAnsi="Arial"/>
          <w:sz w:val="16"/>
          <w:szCs w:val="16"/>
          <w:color w:val="auto"/>
        </w:rPr>
        <w:t xml:space="preserve">For those unable to participate in the conference call, a replay of the webcast will be available on the Investor Relations page of the Partnership’s website at </w:t>
      </w:r>
      <w:r>
        <w:rPr>
          <w:rFonts w:ascii="Arial" w:cs="Arial" w:eastAsia="Arial" w:hAnsi="Arial"/>
          <w:sz w:val="16"/>
          <w:szCs w:val="16"/>
          <w:u w:val="single" w:color="auto"/>
          <w:color w:val="0000FF"/>
        </w:rPr>
        <w:t>http://www.gaslogmlp.com/investor-relations</w:t>
      </w:r>
      <w:r>
        <w:rPr>
          <w:rFonts w:ascii="Arial" w:cs="Arial" w:eastAsia="Arial" w:hAnsi="Arial"/>
          <w:sz w:val="16"/>
          <w:szCs w:val="16"/>
          <w:color w:val="000000"/>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39" w:lineRule="exact"/>
        <w:rPr>
          <w:sz w:val="20"/>
          <w:szCs w:val="20"/>
          <w:color w:val="auto"/>
        </w:rPr>
      </w:pPr>
    </w:p>
    <w:p>
      <w:pPr>
        <w:ind w:right="220"/>
        <w:spacing w:after="0" w:line="335" w:lineRule="auto"/>
        <w:rPr>
          <w:sz w:val="20"/>
          <w:szCs w:val="20"/>
          <w:color w:val="auto"/>
        </w:rPr>
      </w:pPr>
      <w:r>
        <w:rPr>
          <w:rFonts w:ascii="Arial" w:cs="Arial" w:eastAsia="Arial" w:hAnsi="Arial"/>
          <w:sz w:val="14"/>
          <w:szCs w:val="14"/>
          <w:color w:val="auto"/>
        </w:rPr>
        <w:t xml:space="preserve">GasLog Partners is a growth-oriented master limited partnership focused on owning, operating and acquiring LNG carriers under multi-year charters. Upon closing of the acquisition of the </w:t>
      </w:r>
      <w:r>
        <w:rPr>
          <w:rFonts w:ascii="Arial" w:cs="Arial" w:eastAsia="Arial" w:hAnsi="Arial"/>
          <w:sz w:val="14"/>
          <w:szCs w:val="14"/>
          <w:i w:val="1"/>
          <w:iCs w:val="1"/>
          <w:color w:val="auto"/>
        </w:rPr>
        <w:t>Methane Becki Anne</w:t>
      </w:r>
      <w:r>
        <w:rPr>
          <w:rFonts w:ascii="Arial" w:cs="Arial" w:eastAsia="Arial" w:hAnsi="Arial"/>
          <w:sz w:val="14"/>
          <w:szCs w:val="14"/>
          <w:color w:val="auto"/>
        </w:rPr>
        <w:t xml:space="preserve">, GasLog Partners’ fleet will consist of 14 LNG carriers with an average carrying capacity of approximately 157,000 cbm. GasLog Partners’ principal executive offices are located at Gildo Pastor Center, 7 Rue du Gabian, MC 98000, Monaco. Visit GasLog Partners’ website at </w:t>
      </w:r>
      <w:r>
        <w:rPr>
          <w:rFonts w:ascii="Arial" w:cs="Arial" w:eastAsia="Arial" w:hAnsi="Arial"/>
          <w:sz w:val="14"/>
          <w:szCs w:val="14"/>
          <w:u w:val="single" w:color="auto"/>
          <w:color w:val="0000FF"/>
        </w:rPr>
        <w:t>http://www.gaslogmlp.com</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39"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48" w:lineRule="exact"/>
        <w:rPr>
          <w:sz w:val="20"/>
          <w:szCs w:val="20"/>
          <w:color w:val="auto"/>
        </w:rPr>
      </w:pPr>
    </w:p>
    <w:p>
      <w:pPr>
        <w:ind w:left="660" w:right="160" w:hanging="328"/>
        <w:spacing w:after="0" w:line="251"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fluctuations in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60" w:right="240" w:hanging="328"/>
        <w:spacing w:after="0" w:line="266" w:lineRule="auto"/>
        <w:tabs>
          <w:tab w:leader="none" w:pos="624" w:val="left"/>
        </w:tabs>
        <w:numPr>
          <w:ilvl w:val="0"/>
          <w:numId w:val="5"/>
        </w:numPr>
        <w:rPr>
          <w:rFonts w:ascii="Arial" w:cs="Arial" w:eastAsia="Arial" w:hAnsi="Arial"/>
          <w:sz w:val="17"/>
          <w:szCs w:val="17"/>
          <w:color w:val="auto"/>
        </w:rPr>
      </w:pPr>
      <w:r>
        <w:rPr>
          <w:rFonts w:ascii="Arial" w:cs="Arial" w:eastAsia="Arial" w:hAnsi="Arial"/>
          <w:sz w:val="15"/>
          <w:szCs w:val="15"/>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ability to expand our fleet by acquiring vessels through our drop-down pipeline with GasLog;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the ability of GasLog to maintain long-term relationships with major energy companies;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ability to acquire assets in the future, including vessels from GasLog;</w:t>
      </w:r>
    </w:p>
    <w:p>
      <w:pPr>
        <w:spacing w:after="0" w:line="9" w:lineRule="exact"/>
        <w:rPr>
          <w:rFonts w:ascii="Arial" w:cs="Arial" w:eastAsia="Arial" w:hAnsi="Arial"/>
          <w:sz w:val="18"/>
          <w:szCs w:val="18"/>
          <w:color w:val="auto"/>
        </w:rPr>
      </w:pPr>
    </w:p>
    <w:p>
      <w:pPr>
        <w:jc w:val="both"/>
        <w:ind w:left="660" w:right="200" w:hanging="328"/>
        <w:spacing w:after="0" w:line="255"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9" w:lineRule="exact"/>
        <w:rPr>
          <w:rFonts w:ascii="Arial" w:cs="Arial" w:eastAsia="Arial" w:hAnsi="Arial"/>
          <w:sz w:val="18"/>
          <w:szCs w:val="18"/>
          <w:color w:val="auto"/>
        </w:rPr>
      </w:pPr>
    </w:p>
    <w:p>
      <w:pPr>
        <w:ind w:left="660" w:right="60" w:hanging="328"/>
        <w:spacing w:after="0" w:line="251"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risks inherent in ship operations, including the discharge of pollutants;</w:t>
      </w:r>
    </w:p>
    <w:p>
      <w:pPr>
        <w:spacing w:after="0" w:line="9" w:lineRule="exact"/>
        <w:rPr>
          <w:rFonts w:ascii="Arial" w:cs="Arial" w:eastAsia="Arial" w:hAnsi="Arial"/>
          <w:sz w:val="18"/>
          <w:szCs w:val="18"/>
          <w:color w:val="auto"/>
        </w:rPr>
      </w:pPr>
    </w:p>
    <w:p>
      <w:pPr>
        <w:ind w:left="660" w:right="360" w:hanging="328"/>
        <w:spacing w:after="0" w:line="251"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potential liability from future litigation;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breach; and</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5"/>
          <w:szCs w:val="15"/>
          <w:color w:val="auto"/>
        </w:rPr>
        <w:t xml:space="preserve">other risks and uncertainties described in the Partnership’s Annual Report on Form 20-F filed with the SEC on February 12, 2018,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2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right="60"/>
        <w:spacing w:after="0" w:line="329" w:lineRule="auto"/>
        <w:rPr>
          <w:sz w:val="20"/>
          <w:szCs w:val="20"/>
          <w:color w:val="auto"/>
        </w:rPr>
      </w:pPr>
      <w:r>
        <w:rPr>
          <w:rFonts w:ascii="Arial" w:cs="Arial" w:eastAsia="Arial" w:hAnsi="Arial"/>
          <w:sz w:val="15"/>
          <w:szCs w:val="15"/>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Alastair Maxwell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+44-203-388-3100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Phil Corbett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+44-203-388-3116</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Deputy 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ir@gaslogmlp.com</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gridSpan w:val="2"/>
          </w:tcPr>
          <w:p>
            <w:pPr>
              <w:spacing w:after="0"/>
              <w:rPr>
                <w:sz w:val="20"/>
                <w:szCs w:val="20"/>
                <w:color w:val="auto"/>
              </w:rPr>
            </w:pPr>
            <w:r>
              <w:rPr>
                <w:rFonts w:ascii="Arial" w:cs="Arial" w:eastAsia="Arial" w:hAnsi="Arial"/>
                <w:sz w:val="16"/>
                <w:szCs w:val="16"/>
                <w:b w:val="1"/>
                <w:bCs w:val="1"/>
                <w:color w:val="auto"/>
              </w:rPr>
              <w:t>EXHIBIT I – Unaudited Interim Financial Information: IFRS Common Control Reported Results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080" w:type="dxa"/>
            <w:vAlign w:val="bottom"/>
            <w:gridSpan w:val="2"/>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8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2017 and September 30, 2018</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76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c>
          <w:tcPr>
            <w:tcW w:w="162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14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6,038</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11,381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Vessels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2,149,751</w:t>
            </w:r>
          </w:p>
        </w:tc>
        <w:tc>
          <w:tcPr>
            <w:tcW w:w="28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2,124,644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2,155,789</w:t>
            </w:r>
          </w:p>
        </w:tc>
        <w:tc>
          <w:tcPr>
            <w:tcW w:w="280" w:type="dxa"/>
            <w:vAlign w:val="bottom"/>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2,136,025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3,755</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7,349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Inventories</w:t>
            </w:r>
          </w:p>
        </w:tc>
        <w:tc>
          <w:tcPr>
            <w:tcW w:w="1480" w:type="dxa"/>
            <w:vAlign w:val="bottom"/>
          </w:tcPr>
          <w:p>
            <w:pPr>
              <w:jc w:val="right"/>
              <w:spacing w:after="0"/>
              <w:rPr>
                <w:sz w:val="20"/>
                <w:szCs w:val="20"/>
                <w:color w:val="auto"/>
              </w:rPr>
            </w:pPr>
            <w:r>
              <w:rPr>
                <w:rFonts w:ascii="Arial" w:cs="Arial" w:eastAsia="Arial" w:hAnsi="Arial"/>
                <w:sz w:val="16"/>
                <w:szCs w:val="16"/>
                <w:color w:val="auto"/>
              </w:rPr>
              <w:t>2,857</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Due from related parties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3,712</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480" w:type="dxa"/>
            <w:vAlign w:val="bottom"/>
          </w:tcPr>
          <w:p>
            <w:pPr>
              <w:jc w:val="right"/>
              <w:spacing w:after="0"/>
              <w:rPr>
                <w:sz w:val="20"/>
                <w:szCs w:val="20"/>
                <w:color w:val="auto"/>
              </w:rPr>
            </w:pPr>
            <w:r>
              <w:rPr>
                <w:rFonts w:ascii="Arial" w:cs="Arial" w:eastAsia="Arial" w:hAnsi="Arial"/>
                <w:sz w:val="16"/>
                <w:szCs w:val="16"/>
                <w:color w:val="auto"/>
              </w:rPr>
              <w:t>1,579</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577</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4,843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Short-term investments</w:t>
            </w:r>
          </w:p>
        </w:tc>
        <w:tc>
          <w:tcPr>
            <w:tcW w:w="1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146,721</w:t>
            </w:r>
          </w:p>
        </w:tc>
        <w:tc>
          <w:tcPr>
            <w:tcW w:w="280" w:type="dxa"/>
            <w:vAlign w:val="bottom"/>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168,753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159,201</w:t>
            </w:r>
          </w:p>
        </w:tc>
        <w:tc>
          <w:tcPr>
            <w:tcW w:w="28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197,321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2,314,990</w:t>
            </w:r>
          </w:p>
        </w:tc>
        <w:tc>
          <w:tcPr>
            <w:tcW w:w="28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2,333,346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6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14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Owners’ capital</w:t>
            </w:r>
          </w:p>
        </w:tc>
        <w:tc>
          <w:tcPr>
            <w:tcW w:w="1480" w:type="dxa"/>
            <w:vAlign w:val="bottom"/>
          </w:tcPr>
          <w:p>
            <w:pPr>
              <w:jc w:val="right"/>
              <w:spacing w:after="0"/>
              <w:rPr>
                <w:sz w:val="20"/>
                <w:szCs w:val="20"/>
                <w:color w:val="auto"/>
              </w:rPr>
            </w:pPr>
            <w:r>
              <w:rPr>
                <w:rFonts w:ascii="Arial" w:cs="Arial" w:eastAsia="Arial" w:hAnsi="Arial"/>
                <w:sz w:val="16"/>
                <w:szCs w:val="16"/>
                <w:color w:val="auto"/>
              </w:rPr>
              <w:t>53,354</w:t>
            </w:r>
          </w:p>
        </w:tc>
        <w:tc>
          <w:tcPr>
            <w:tcW w:w="280" w:type="dxa"/>
            <w:vAlign w:val="bottom"/>
          </w:tcPr>
          <w:p>
            <w:pPr>
              <w:spacing w:after="0"/>
              <w:rPr>
                <w:sz w:val="17"/>
                <w:szCs w:val="17"/>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w w:val="96"/>
              </w:rPr>
              <w:t>Common unitholders (41,002,121 units issued and outstanding as of December 31, 2017 and 45,189,889 units issued</w:t>
            </w:r>
          </w:p>
        </w:tc>
        <w:tc>
          <w:tcPr>
            <w:tcW w:w="14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shd w:val="clear" w:color="auto" w:fill="E5FFFF"/>
          </w:tcPr>
          <w:p>
            <w:pPr>
              <w:ind w:left="140"/>
              <w:spacing w:after="0"/>
              <w:rPr>
                <w:sz w:val="20"/>
                <w:szCs w:val="20"/>
                <w:color w:val="auto"/>
              </w:rPr>
            </w:pPr>
            <w:r>
              <w:rPr>
                <w:rFonts w:ascii="Arial" w:cs="Arial" w:eastAsia="Arial" w:hAnsi="Arial"/>
                <w:sz w:val="16"/>
                <w:szCs w:val="16"/>
                <w:color w:val="auto"/>
              </w:rPr>
              <w:t>and outstanding as of September 30, 2018)</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752,456</w:t>
            </w:r>
          </w:p>
        </w:tc>
        <w:tc>
          <w:tcPr>
            <w:tcW w:w="28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840,606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General partner (836,779 units issued and outstanding as of December 31, 2017 and 922,244 units issued and</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60" w:type="dxa"/>
            <w:vAlign w:val="bottom"/>
          </w:tcPr>
          <w:p>
            <w:pPr>
              <w:ind w:left="140"/>
              <w:spacing w:after="0"/>
              <w:rPr>
                <w:sz w:val="20"/>
                <w:szCs w:val="20"/>
                <w:color w:val="auto"/>
              </w:rPr>
            </w:pPr>
            <w:r>
              <w:rPr>
                <w:rFonts w:ascii="Arial" w:cs="Arial" w:eastAsia="Arial" w:hAnsi="Arial"/>
                <w:sz w:val="16"/>
                <w:szCs w:val="16"/>
                <w:color w:val="auto"/>
              </w:rPr>
              <w:t>outstanding as of September 30, 2018)</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11,781</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13,246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Incentive distribution rights (“IDRs”)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6,596</w:t>
            </w:r>
          </w:p>
        </w:tc>
        <w:tc>
          <w:tcPr>
            <w:tcW w:w="28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60" w:type="dxa"/>
            <w:vAlign w:val="bottom"/>
          </w:tcPr>
          <w:p>
            <w:pPr>
              <w:spacing w:after="0"/>
              <w:rPr>
                <w:sz w:val="20"/>
                <w:szCs w:val="20"/>
                <w:color w:val="auto"/>
              </w:rPr>
            </w:pPr>
            <w:r>
              <w:rPr>
                <w:rFonts w:ascii="Arial" w:cs="Arial" w:eastAsia="Arial" w:hAnsi="Arial"/>
                <w:sz w:val="16"/>
                <w:szCs w:val="16"/>
                <w:color w:val="auto"/>
                <w:w w:val="98"/>
              </w:rPr>
              <w:t>Preference unitholders (5,750,000 Series A Preference Units issued and outstanding as of December 31, 2017 and</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40"/>
              <w:spacing w:after="0"/>
              <w:rPr>
                <w:sz w:val="20"/>
                <w:szCs w:val="20"/>
                <w:color w:val="auto"/>
              </w:rPr>
            </w:pPr>
            <w:r>
              <w:rPr>
                <w:rFonts w:ascii="Arial" w:cs="Arial" w:eastAsia="Arial" w:hAnsi="Arial"/>
                <w:sz w:val="16"/>
                <w:szCs w:val="16"/>
                <w:color w:val="auto"/>
              </w:rPr>
              <w:t>5,750,000 Series A Preference Units and 4,600,000 Series B Preference Units issued and outstanding as of</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60" w:type="dxa"/>
            <w:vAlign w:val="bottom"/>
          </w:tcPr>
          <w:p>
            <w:pPr>
              <w:ind w:left="140"/>
              <w:spacing w:after="0"/>
              <w:rPr>
                <w:sz w:val="20"/>
                <w:szCs w:val="20"/>
                <w:color w:val="auto"/>
              </w:rPr>
            </w:pPr>
            <w:r>
              <w:rPr>
                <w:rFonts w:ascii="Arial" w:cs="Arial" w:eastAsia="Arial" w:hAnsi="Arial"/>
                <w:sz w:val="16"/>
                <w:szCs w:val="16"/>
                <w:color w:val="auto"/>
              </w:rPr>
              <w:t>September 30, 2018)</w:t>
            </w:r>
          </w:p>
        </w:tc>
        <w:tc>
          <w:tcPr>
            <w:tcW w:w="1480" w:type="dxa"/>
            <w:vAlign w:val="bottom"/>
          </w:tcPr>
          <w:p>
            <w:pPr>
              <w:jc w:val="right"/>
              <w:spacing w:after="0"/>
              <w:rPr>
                <w:sz w:val="20"/>
                <w:szCs w:val="20"/>
                <w:color w:val="auto"/>
              </w:rPr>
            </w:pPr>
            <w:r>
              <w:rPr>
                <w:rFonts w:ascii="Arial" w:cs="Arial" w:eastAsia="Arial" w:hAnsi="Arial"/>
                <w:sz w:val="16"/>
                <w:szCs w:val="16"/>
                <w:color w:val="auto"/>
              </w:rPr>
              <w:t>139,321</w:t>
            </w:r>
          </w:p>
        </w:tc>
        <w:tc>
          <w:tcPr>
            <w:tcW w:w="280" w:type="dxa"/>
            <w:vAlign w:val="bottom"/>
          </w:tcPr>
          <w:p>
            <w:pPr>
              <w:spacing w:after="0"/>
              <w:rPr>
                <w:sz w:val="17"/>
                <w:szCs w:val="17"/>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250,934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963,508</w:t>
            </w:r>
          </w:p>
        </w:tc>
        <w:tc>
          <w:tcPr>
            <w:tcW w:w="28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1,111,076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4,785</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11,938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Due to related parties</w:t>
            </w:r>
          </w:p>
        </w:tc>
        <w:tc>
          <w:tcPr>
            <w:tcW w:w="1480" w:type="dxa"/>
            <w:vAlign w:val="bottom"/>
          </w:tcPr>
          <w:p>
            <w:pPr>
              <w:jc w:val="right"/>
              <w:spacing w:after="0"/>
              <w:rPr>
                <w:sz w:val="20"/>
                <w:szCs w:val="20"/>
                <w:color w:val="auto"/>
              </w:rPr>
            </w:pPr>
            <w:r>
              <w:rPr>
                <w:rFonts w:ascii="Arial" w:cs="Arial" w:eastAsia="Arial" w:hAnsi="Arial"/>
                <w:sz w:val="16"/>
                <w:szCs w:val="16"/>
                <w:color w:val="auto"/>
              </w:rPr>
              <w:t>2,613</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269</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1480" w:type="dxa"/>
            <w:vAlign w:val="bottom"/>
          </w:tcPr>
          <w:p>
            <w:pPr>
              <w:jc w:val="right"/>
              <w:spacing w:after="0"/>
              <w:rPr>
                <w:sz w:val="20"/>
                <w:szCs w:val="20"/>
                <w:color w:val="auto"/>
              </w:rPr>
            </w:pPr>
            <w:r>
              <w:rPr>
                <w:rFonts w:ascii="Arial" w:cs="Arial" w:eastAsia="Arial" w:hAnsi="Arial"/>
                <w:sz w:val="16"/>
                <w:szCs w:val="16"/>
                <w:color w:val="auto"/>
              </w:rPr>
              <w:t>43,000</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48,988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Borrowings—current portion</w:t>
            </w:r>
          </w:p>
        </w:tc>
        <w:tc>
          <w:tcPr>
            <w:tcW w:w="17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114,570</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85,033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165,237</w:t>
            </w:r>
          </w:p>
        </w:tc>
        <w:tc>
          <w:tcPr>
            <w:tcW w:w="28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150,344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14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Borrowings—non-current portion</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1,185,995</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1,071,568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Other non-current liabilities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28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1,186,245</w:t>
            </w:r>
          </w:p>
        </w:tc>
        <w:tc>
          <w:tcPr>
            <w:tcW w:w="280" w:type="dxa"/>
            <w:vAlign w:val="bottom"/>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1,071,926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80" w:type="dxa"/>
            <w:vAlign w:val="bottom"/>
            <w:gridSpan w:val="2"/>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2,314,990</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2,333,346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ind w:left="5620"/>
              <w:spacing w:after="0"/>
              <w:rPr>
                <w:sz w:val="20"/>
                <w:szCs w:val="20"/>
                <w:color w:val="auto"/>
              </w:rPr>
            </w:pPr>
            <w:r>
              <w:rPr>
                <w:rFonts w:ascii="Arial" w:cs="Arial" w:eastAsia="Arial" w:hAnsi="Arial"/>
                <w:sz w:val="18"/>
                <w:szCs w:val="18"/>
                <w:color w:val="auto"/>
              </w:rPr>
              <w:t>10</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6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2017 and September 30,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38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For the three months ended</w:t>
            </w:r>
          </w:p>
        </w:tc>
        <w:tc>
          <w:tcPr>
            <w:tcW w:w="32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68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E5FFFF"/>
            </w:tcBorders>
          </w:tcPr>
          <w:p>
            <w:pPr>
              <w:spacing w:after="0"/>
              <w:rPr>
                <w:sz w:val="18"/>
                <w:szCs w:val="18"/>
                <w:color w:val="auto"/>
              </w:rPr>
            </w:pP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E5FFFF"/>
            </w:tcBorders>
          </w:tcPr>
          <w:p>
            <w:pPr>
              <w:spacing w:after="0"/>
              <w:rPr>
                <w:sz w:val="18"/>
                <w:szCs w:val="18"/>
                <w:color w:val="auto"/>
              </w:rPr>
            </w:pPr>
          </w:p>
        </w:tc>
        <w:tc>
          <w:tcPr>
            <w:tcW w:w="15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86,353</w:t>
            </w:r>
          </w:p>
        </w:tc>
        <w:tc>
          <w:tcPr>
            <w:tcW w:w="22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81,887</w:t>
            </w:r>
          </w:p>
        </w:tc>
        <w:tc>
          <w:tcPr>
            <w:tcW w:w="22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256,235</w:t>
            </w: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243,172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Net pool allocation</w:t>
            </w:r>
          </w:p>
        </w:tc>
        <w:tc>
          <w:tcPr>
            <w:tcW w:w="16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39"/>
              <w:spacing w:after="0"/>
              <w:rPr>
                <w:sz w:val="20"/>
                <w:szCs w:val="20"/>
                <w:color w:val="auto"/>
              </w:rPr>
            </w:pPr>
            <w:r>
              <w:rPr>
                <w:rFonts w:ascii="Arial" w:cs="Arial" w:eastAsia="Arial" w:hAnsi="Arial"/>
                <w:sz w:val="16"/>
                <w:szCs w:val="16"/>
                <w:color w:val="auto"/>
              </w:rPr>
              <w:t>780</w:t>
            </w:r>
          </w:p>
        </w:tc>
        <w:tc>
          <w:tcPr>
            <w:tcW w:w="17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8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(1,081)</w:t>
            </w:r>
          </w:p>
        </w:tc>
        <w:tc>
          <w:tcPr>
            <w:tcW w:w="170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(3,359)</w:t>
            </w:r>
          </w:p>
        </w:tc>
        <w:tc>
          <w:tcPr>
            <w:tcW w:w="170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(3,209)</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(16,373)</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(15,765)</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(47,593)</w:t>
            </w:r>
          </w:p>
        </w:tc>
        <w:tc>
          <w:tcPr>
            <w:tcW w:w="1500" w:type="dxa"/>
            <w:vAlign w:val="bottom"/>
          </w:tcPr>
          <w:p>
            <w:pPr>
              <w:jc w:val="right"/>
              <w:spacing w:after="0"/>
              <w:rPr>
                <w:sz w:val="20"/>
                <w:szCs w:val="20"/>
                <w:color w:val="auto"/>
              </w:rPr>
            </w:pPr>
            <w:r>
              <w:rPr>
                <w:rFonts w:ascii="Arial" w:cs="Arial" w:eastAsia="Arial" w:hAnsi="Arial"/>
                <w:sz w:val="16"/>
                <w:szCs w:val="16"/>
                <w:color w:val="auto"/>
              </w:rPr>
              <w:t>(48,178)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8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(18,532)</w:t>
            </w:r>
          </w:p>
        </w:tc>
        <w:tc>
          <w:tcPr>
            <w:tcW w:w="170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(18,710)</w:t>
            </w:r>
          </w:p>
        </w:tc>
        <w:tc>
          <w:tcPr>
            <w:tcW w:w="170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(54,996)</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(55,314)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(3,989)</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(4,693)</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(11,067)</w:t>
            </w:r>
          </w:p>
        </w:tc>
        <w:tc>
          <w:tcPr>
            <w:tcW w:w="1500" w:type="dxa"/>
            <w:vAlign w:val="bottom"/>
          </w:tcPr>
          <w:p>
            <w:pPr>
              <w:jc w:val="right"/>
              <w:spacing w:after="0"/>
              <w:rPr>
                <w:sz w:val="20"/>
                <w:szCs w:val="20"/>
                <w:color w:val="auto"/>
              </w:rPr>
            </w:pPr>
            <w:r>
              <w:rPr>
                <w:rFonts w:ascii="Arial" w:cs="Arial" w:eastAsia="Arial" w:hAnsi="Arial"/>
                <w:sz w:val="16"/>
                <w:szCs w:val="16"/>
                <w:color w:val="auto"/>
              </w:rPr>
              <w:t>(14,074)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46,378</w:t>
            </w:r>
          </w:p>
        </w:tc>
        <w:tc>
          <w:tcPr>
            <w:tcW w:w="2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40,140</w:t>
            </w:r>
          </w:p>
        </w:tc>
        <w:tc>
          <w:tcPr>
            <w:tcW w:w="22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139,370</w:t>
            </w:r>
          </w:p>
        </w:tc>
        <w:tc>
          <w:tcPr>
            <w:tcW w:w="20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119,987</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Financial costs</w:t>
            </w:r>
          </w:p>
        </w:tc>
        <w:tc>
          <w:tcPr>
            <w:tcW w:w="1460" w:type="dxa"/>
            <w:vAlign w:val="bottom"/>
          </w:tcPr>
          <w:p>
            <w:pPr>
              <w:jc w:val="right"/>
              <w:spacing w:after="0"/>
              <w:rPr>
                <w:sz w:val="20"/>
                <w:szCs w:val="20"/>
                <w:color w:val="auto"/>
              </w:rPr>
            </w:pPr>
            <w:r>
              <w:rPr>
                <w:rFonts w:ascii="Arial" w:cs="Arial" w:eastAsia="Arial" w:hAnsi="Arial"/>
                <w:sz w:val="16"/>
                <w:szCs w:val="16"/>
                <w:color w:val="auto"/>
              </w:rPr>
              <w:t>(15,020</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(15,533</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(44,086</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(45,826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68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321</w:t>
            </w:r>
          </w:p>
        </w:tc>
        <w:tc>
          <w:tcPr>
            <w:tcW w:w="17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581</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694</w:t>
            </w: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(Loss)/gain on derivatives</w:t>
            </w:r>
          </w:p>
        </w:tc>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(672)</w:t>
            </w:r>
          </w:p>
        </w:tc>
        <w:tc>
          <w:tcPr>
            <w:tcW w:w="1700" w:type="dxa"/>
            <w:vAlign w:val="bottom"/>
            <w:gridSpan w:val="2"/>
          </w:tcPr>
          <w:p>
            <w:pPr>
              <w:jc w:val="right"/>
              <w:ind w:right="139"/>
              <w:spacing w:after="0"/>
              <w:rPr>
                <w:sz w:val="20"/>
                <w:szCs w:val="20"/>
                <w:color w:val="auto"/>
              </w:rPr>
            </w:pPr>
            <w:r>
              <w:rPr>
                <w:rFonts w:ascii="Arial" w:cs="Arial" w:eastAsia="Arial" w:hAnsi="Arial"/>
                <w:sz w:val="16"/>
                <w:szCs w:val="16"/>
                <w:color w:val="auto"/>
              </w:rPr>
              <w:t>2,082</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(2,985)</w:t>
            </w:r>
          </w:p>
        </w:tc>
        <w:tc>
          <w:tcPr>
            <w:tcW w:w="1500" w:type="dxa"/>
            <w:vAlign w:val="bottom"/>
          </w:tcPr>
          <w:p>
            <w:pPr>
              <w:jc w:val="right"/>
              <w:spacing w:after="0"/>
              <w:rPr>
                <w:sz w:val="20"/>
                <w:szCs w:val="20"/>
                <w:color w:val="auto"/>
              </w:rPr>
            </w:pPr>
            <w:r>
              <w:rPr>
                <w:rFonts w:ascii="Arial" w:cs="Arial" w:eastAsia="Arial" w:hAnsi="Arial"/>
                <w:sz w:val="16"/>
                <w:szCs w:val="16"/>
                <w:color w:val="auto"/>
              </w:rPr>
              <w:t>9,997</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(15,371</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(12,870</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(46,377</w:t>
            </w:r>
          </w:p>
        </w:tc>
        <w:tc>
          <w:tcPr>
            <w:tcW w:w="200" w:type="dxa"/>
            <w:vAlign w:val="bottom"/>
            <w:tcBorders>
              <w:top w:val="single" w:sz="8" w:color="E5FFFF"/>
            </w:tcBorders>
            <w:shd w:val="clear" w:color="auto" w:fill="E5FFFF"/>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(34,141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for the period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31,007</w:t>
            </w:r>
          </w:p>
        </w:tc>
        <w:tc>
          <w:tcPr>
            <w:tcW w:w="22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22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92,993</w:t>
            </w:r>
          </w:p>
        </w:tc>
        <w:tc>
          <w:tcPr>
            <w:tcW w:w="20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85,846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E5FFFF"/>
          </w:tcPr>
          <w:p>
            <w:pPr>
              <w:spacing w:after="0" w:line="156" w:lineRule="exact"/>
              <w:rPr>
                <w:sz w:val="20"/>
                <w:szCs w:val="20"/>
                <w:color w:val="auto"/>
              </w:rPr>
            </w:pPr>
            <w:r>
              <w:rPr>
                <w:rFonts w:ascii="Arial" w:cs="Arial" w:eastAsia="Arial" w:hAnsi="Arial"/>
                <w:sz w:val="16"/>
                <w:szCs w:val="16"/>
                <w:color w:val="auto"/>
              </w:rPr>
              <w:t>Less:</w:t>
            </w:r>
          </w:p>
        </w:tc>
        <w:tc>
          <w:tcPr>
            <w:tcW w:w="14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48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500" w:type="dxa"/>
            <w:vAlign w:val="bottom"/>
            <w:shd w:val="clear" w:color="auto" w:fill="E5FFFF"/>
          </w:tcPr>
          <w:p>
            <w:pPr>
              <w:spacing w:after="0"/>
              <w:rPr>
                <w:sz w:val="13"/>
                <w:szCs w:val="13"/>
                <w:color w:val="auto"/>
              </w:rPr>
            </w:pPr>
          </w:p>
        </w:tc>
        <w:tc>
          <w:tcPr>
            <w:tcW w:w="200" w:type="dxa"/>
            <w:vAlign w:val="bottom"/>
            <w:shd w:val="clear" w:color="auto" w:fill="E5FFFF"/>
          </w:tcPr>
          <w:p>
            <w:pPr>
              <w:spacing w:after="0"/>
              <w:rPr>
                <w:sz w:val="13"/>
                <w:szCs w:val="13"/>
                <w:color w:val="auto"/>
              </w:rPr>
            </w:pPr>
          </w:p>
        </w:tc>
        <w:tc>
          <w:tcPr>
            <w:tcW w:w="1500" w:type="dxa"/>
            <w:vAlign w:val="bottom"/>
            <w:shd w:val="clear" w:color="auto" w:fill="E5F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Profit attributable to GasLog’s operations</w:t>
            </w:r>
          </w:p>
        </w:tc>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(5,708)</w:t>
            </w:r>
          </w:p>
        </w:tc>
        <w:tc>
          <w:tcPr>
            <w:tcW w:w="17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(27,314)</w:t>
            </w:r>
          </w:p>
        </w:tc>
        <w:tc>
          <w:tcPr>
            <w:tcW w:w="1500" w:type="dxa"/>
            <w:vAlign w:val="bottom"/>
          </w:tcPr>
          <w:p>
            <w:pPr>
              <w:jc w:val="right"/>
              <w:spacing w:after="0"/>
              <w:rPr>
                <w:sz w:val="20"/>
                <w:szCs w:val="20"/>
                <w:color w:val="auto"/>
              </w:rPr>
            </w:pPr>
            <w:r>
              <w:rPr>
                <w:rFonts w:ascii="Arial" w:cs="Arial" w:eastAsia="Arial" w:hAnsi="Arial"/>
                <w:sz w:val="16"/>
                <w:szCs w:val="16"/>
                <w:color w:val="auto"/>
              </w:rPr>
              <w:t>(3,673)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25,299</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27,270</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65,679</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82,173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68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20,941</w:t>
            </w:r>
          </w:p>
        </w:tc>
        <w:tc>
          <w:tcPr>
            <w:tcW w:w="17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21,127</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53,014</w:t>
            </w: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62,279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Subordinated units</w:t>
            </w:r>
          </w:p>
        </w:tc>
        <w:tc>
          <w:tcPr>
            <w:tcW w:w="1680" w:type="dxa"/>
            <w:vAlign w:val="bottom"/>
            <w:gridSpan w:val="2"/>
          </w:tcPr>
          <w:p>
            <w:pPr>
              <w:jc w:val="right"/>
              <w:ind w:right="139"/>
              <w:spacing w:after="0"/>
              <w:rPr>
                <w:sz w:val="20"/>
                <w:szCs w:val="20"/>
                <w:color w:val="auto"/>
              </w:rPr>
            </w:pPr>
            <w:r>
              <w:rPr>
                <w:rFonts w:ascii="Arial" w:cs="Arial" w:eastAsia="Arial" w:hAnsi="Arial"/>
                <w:sz w:val="16"/>
                <w:szCs w:val="16"/>
                <w:color w:val="auto"/>
              </w:rPr>
              <w:t>N/A</w:t>
            </w:r>
          </w:p>
        </w:tc>
        <w:tc>
          <w:tcPr>
            <w:tcW w:w="1700" w:type="dxa"/>
            <w:vAlign w:val="bottom"/>
            <w:gridSpan w:val="2"/>
          </w:tcPr>
          <w:p>
            <w:pPr>
              <w:jc w:val="right"/>
              <w:ind w:right="139"/>
              <w:spacing w:after="0"/>
              <w:rPr>
                <w:sz w:val="20"/>
                <w:szCs w:val="20"/>
                <w:color w:val="auto"/>
              </w:rPr>
            </w:pPr>
            <w:r>
              <w:rPr>
                <w:rFonts w:ascii="Arial" w:cs="Arial" w:eastAsia="Arial" w:hAnsi="Arial"/>
                <w:sz w:val="16"/>
                <w:szCs w:val="16"/>
                <w:color w:val="auto"/>
              </w:rPr>
              <w:t>N/A</w:t>
            </w:r>
          </w:p>
        </w:tc>
        <w:tc>
          <w:tcPr>
            <w:tcW w:w="1500" w:type="dxa"/>
            <w:vAlign w:val="bottom"/>
          </w:tcPr>
          <w:p>
            <w:pPr>
              <w:jc w:val="right"/>
              <w:spacing w:after="0"/>
              <w:rPr>
                <w:sz w:val="20"/>
                <w:szCs w:val="20"/>
                <w:color w:val="auto"/>
              </w:rPr>
            </w:pPr>
            <w:r>
              <w:rPr>
                <w:rFonts w:ascii="Arial" w:cs="Arial" w:eastAsia="Arial" w:hAnsi="Arial"/>
                <w:sz w:val="16"/>
                <w:szCs w:val="16"/>
                <w:color w:val="auto"/>
              </w:rPr>
              <w:t>5,085</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68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443</w:t>
            </w:r>
          </w:p>
        </w:tc>
        <w:tc>
          <w:tcPr>
            <w:tcW w:w="17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436</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1,220</w:t>
            </w: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680" w:type="dxa"/>
            <w:vAlign w:val="bottom"/>
            <w:gridSpan w:val="2"/>
          </w:tcPr>
          <w:p>
            <w:pPr>
              <w:jc w:val="right"/>
              <w:ind w:right="139"/>
              <w:spacing w:after="0"/>
              <w:rPr>
                <w:sz w:val="20"/>
                <w:szCs w:val="20"/>
                <w:color w:val="auto"/>
              </w:rPr>
            </w:pPr>
            <w:r>
              <w:rPr>
                <w:rFonts w:ascii="Arial" w:cs="Arial" w:eastAsia="Arial" w:hAnsi="Arial"/>
                <w:sz w:val="16"/>
                <w:szCs w:val="16"/>
                <w:color w:val="auto"/>
              </w:rPr>
              <w:t>815</w:t>
            </w:r>
          </w:p>
        </w:tc>
        <w:tc>
          <w:tcPr>
            <w:tcW w:w="1700" w:type="dxa"/>
            <w:vAlign w:val="bottom"/>
            <w:gridSpan w:val="2"/>
          </w:tcPr>
          <w:p>
            <w:pPr>
              <w:jc w:val="right"/>
              <w:ind w:right="139"/>
              <w:spacing w:after="0"/>
              <w:rPr>
                <w:sz w:val="20"/>
                <w:szCs w:val="20"/>
                <w:color w:val="auto"/>
              </w:rPr>
            </w:pPr>
            <w:r>
              <w:rPr>
                <w:rFonts w:ascii="Arial" w:cs="Arial" w:eastAsia="Arial" w:hAnsi="Arial"/>
                <w:sz w:val="16"/>
                <w:szCs w:val="16"/>
                <w:color w:val="auto"/>
              </w:rPr>
              <w:t>250</w:t>
            </w:r>
          </w:p>
        </w:tc>
        <w:tc>
          <w:tcPr>
            <w:tcW w:w="1700" w:type="dxa"/>
            <w:vAlign w:val="bottom"/>
            <w:gridSpan w:val="2"/>
          </w:tcPr>
          <w:p>
            <w:pPr>
              <w:jc w:val="right"/>
              <w:ind w:right="159"/>
              <w:spacing w:after="0"/>
              <w:rPr>
                <w:sz w:val="20"/>
                <w:szCs w:val="20"/>
                <w:color w:val="auto"/>
              </w:rPr>
            </w:pPr>
            <w:r>
              <w:rPr>
                <w:rFonts w:ascii="Arial" w:cs="Arial" w:eastAsia="Arial" w:hAnsi="Arial"/>
                <w:sz w:val="16"/>
                <w:szCs w:val="16"/>
                <w:color w:val="auto"/>
              </w:rPr>
              <w:t>1,711</w:t>
            </w:r>
          </w:p>
        </w:tc>
        <w:tc>
          <w:tcPr>
            <w:tcW w:w="1500" w:type="dxa"/>
            <w:vAlign w:val="bottom"/>
          </w:tcPr>
          <w:p>
            <w:pPr>
              <w:jc w:val="right"/>
              <w:spacing w:after="0"/>
              <w:rPr>
                <w:sz w:val="20"/>
                <w:szCs w:val="20"/>
                <w:color w:val="auto"/>
              </w:rPr>
            </w:pPr>
            <w:r>
              <w:rPr>
                <w:rFonts w:ascii="Arial" w:cs="Arial" w:eastAsia="Arial" w:hAnsi="Arial"/>
                <w:sz w:val="16"/>
                <w:szCs w:val="16"/>
                <w:color w:val="auto"/>
              </w:rPr>
              <w:t>2,618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Preference units</w:t>
            </w:r>
          </w:p>
        </w:tc>
        <w:tc>
          <w:tcPr>
            <w:tcW w:w="168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3,100</w:t>
            </w:r>
          </w:p>
        </w:tc>
        <w:tc>
          <w:tcPr>
            <w:tcW w:w="17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5,457</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4,649</w:t>
            </w: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15,952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for the period (basic and diluted):</w:t>
            </w:r>
          </w:p>
        </w:tc>
        <w:tc>
          <w:tcPr>
            <w:tcW w:w="14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Common unit</w:t>
            </w:r>
          </w:p>
        </w:tc>
        <w:tc>
          <w:tcPr>
            <w:tcW w:w="1680" w:type="dxa"/>
            <w:vAlign w:val="bottom"/>
            <w:gridSpan w:val="2"/>
          </w:tcPr>
          <w:p>
            <w:pPr>
              <w:jc w:val="right"/>
              <w:ind w:right="139"/>
              <w:spacing w:after="0"/>
              <w:rPr>
                <w:sz w:val="20"/>
                <w:szCs w:val="20"/>
                <w:color w:val="auto"/>
              </w:rPr>
            </w:pPr>
            <w:r>
              <w:rPr>
                <w:rFonts w:ascii="Arial" w:cs="Arial" w:eastAsia="Arial" w:hAnsi="Arial"/>
                <w:sz w:val="16"/>
                <w:szCs w:val="16"/>
                <w:color w:val="auto"/>
              </w:rPr>
              <w:t>0.53</w:t>
            </w:r>
          </w:p>
        </w:tc>
        <w:tc>
          <w:tcPr>
            <w:tcW w:w="1700" w:type="dxa"/>
            <w:vAlign w:val="bottom"/>
            <w:gridSpan w:val="2"/>
          </w:tcPr>
          <w:p>
            <w:pPr>
              <w:jc w:val="right"/>
              <w:ind w:right="139"/>
              <w:spacing w:after="0"/>
              <w:rPr>
                <w:sz w:val="20"/>
                <w:szCs w:val="20"/>
                <w:color w:val="auto"/>
              </w:rPr>
            </w:pPr>
            <w:r>
              <w:rPr>
                <w:rFonts w:ascii="Arial" w:cs="Arial" w:eastAsia="Arial" w:hAnsi="Arial"/>
                <w:sz w:val="16"/>
                <w:szCs w:val="16"/>
                <w:color w:val="auto"/>
              </w:rPr>
              <w:t>0.49</w:t>
            </w:r>
          </w:p>
        </w:tc>
        <w:tc>
          <w:tcPr>
            <w:tcW w:w="1500" w:type="dxa"/>
            <w:vAlign w:val="bottom"/>
          </w:tcPr>
          <w:p>
            <w:pPr>
              <w:jc w:val="right"/>
              <w:spacing w:after="0"/>
              <w:rPr>
                <w:sz w:val="20"/>
                <w:szCs w:val="20"/>
                <w:color w:val="auto"/>
              </w:rPr>
            </w:pPr>
            <w:r>
              <w:rPr>
                <w:rFonts w:ascii="Arial" w:cs="Arial" w:eastAsia="Arial" w:hAnsi="Arial"/>
                <w:sz w:val="16"/>
                <w:szCs w:val="16"/>
                <w:color w:val="auto"/>
              </w:rPr>
              <w:t>1.51</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Subordinated unit</w:t>
            </w:r>
          </w:p>
        </w:tc>
        <w:tc>
          <w:tcPr>
            <w:tcW w:w="168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N/A</w:t>
            </w:r>
          </w:p>
        </w:tc>
        <w:tc>
          <w:tcPr>
            <w:tcW w:w="17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N/A</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0.52</w:t>
            </w: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General partner unit</w:t>
            </w:r>
          </w:p>
        </w:tc>
        <w:tc>
          <w:tcPr>
            <w:tcW w:w="1680" w:type="dxa"/>
            <w:vAlign w:val="bottom"/>
            <w:gridSpan w:val="2"/>
          </w:tcPr>
          <w:p>
            <w:pPr>
              <w:jc w:val="right"/>
              <w:ind w:right="139"/>
              <w:spacing w:after="0"/>
              <w:rPr>
                <w:sz w:val="20"/>
                <w:szCs w:val="20"/>
                <w:color w:val="auto"/>
              </w:rPr>
            </w:pPr>
            <w:r>
              <w:rPr>
                <w:rFonts w:ascii="Arial" w:cs="Arial" w:eastAsia="Arial" w:hAnsi="Arial"/>
                <w:sz w:val="16"/>
                <w:szCs w:val="16"/>
                <w:color w:val="auto"/>
              </w:rPr>
              <w:t>0.56</w:t>
            </w:r>
          </w:p>
        </w:tc>
        <w:tc>
          <w:tcPr>
            <w:tcW w:w="1700" w:type="dxa"/>
            <w:vAlign w:val="bottom"/>
            <w:gridSpan w:val="2"/>
          </w:tcPr>
          <w:p>
            <w:pPr>
              <w:jc w:val="right"/>
              <w:ind w:right="139"/>
              <w:spacing w:after="0"/>
              <w:rPr>
                <w:sz w:val="20"/>
                <w:szCs w:val="20"/>
                <w:color w:val="auto"/>
              </w:rPr>
            </w:pPr>
            <w:r>
              <w:rPr>
                <w:rFonts w:ascii="Arial" w:cs="Arial" w:eastAsia="Arial" w:hAnsi="Arial"/>
                <w:sz w:val="16"/>
                <w:szCs w:val="16"/>
                <w:color w:val="auto"/>
              </w:rPr>
              <w:t>0.50</w:t>
            </w:r>
          </w:p>
        </w:tc>
        <w:tc>
          <w:tcPr>
            <w:tcW w:w="1500" w:type="dxa"/>
            <w:vAlign w:val="bottom"/>
          </w:tcPr>
          <w:p>
            <w:pPr>
              <w:jc w:val="right"/>
              <w:spacing w:after="0"/>
              <w:rPr>
                <w:sz w:val="20"/>
                <w:szCs w:val="20"/>
                <w:color w:val="auto"/>
              </w:rPr>
            </w:pPr>
            <w:r>
              <w:rPr>
                <w:rFonts w:ascii="Arial" w:cs="Arial" w:eastAsia="Arial" w:hAnsi="Arial"/>
                <w:sz w:val="16"/>
                <w:szCs w:val="16"/>
                <w:color w:val="auto"/>
              </w:rPr>
              <w:t>1.57</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2017 and September 30,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328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17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806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92,993</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85,846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Adjustments for:</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54,996</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55,314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Financial costs</w:t>
            </w:r>
          </w:p>
        </w:tc>
        <w:tc>
          <w:tcPr>
            <w:tcW w:w="1480" w:type="dxa"/>
            <w:vAlign w:val="bottom"/>
          </w:tcPr>
          <w:p>
            <w:pPr>
              <w:jc w:val="right"/>
              <w:spacing w:after="0"/>
              <w:rPr>
                <w:sz w:val="20"/>
                <w:szCs w:val="20"/>
                <w:color w:val="auto"/>
              </w:rPr>
            </w:pPr>
            <w:r>
              <w:rPr>
                <w:rFonts w:ascii="Arial" w:cs="Arial" w:eastAsia="Arial" w:hAnsi="Arial"/>
                <w:sz w:val="16"/>
                <w:szCs w:val="16"/>
                <w:color w:val="auto"/>
              </w:rPr>
              <w:t>44,086</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45,826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76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(694)</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Unrealized loss/(gain) on derivatives</w:t>
            </w:r>
          </w:p>
        </w:tc>
        <w:tc>
          <w:tcPr>
            <w:tcW w:w="1480" w:type="dxa"/>
            <w:vAlign w:val="bottom"/>
          </w:tcPr>
          <w:p>
            <w:pPr>
              <w:jc w:val="right"/>
              <w:spacing w:after="0"/>
              <w:rPr>
                <w:sz w:val="20"/>
                <w:szCs w:val="20"/>
                <w:color w:val="auto"/>
              </w:rPr>
            </w:pPr>
            <w:r>
              <w:rPr>
                <w:rFonts w:ascii="Arial" w:cs="Arial" w:eastAsia="Arial" w:hAnsi="Arial"/>
                <w:sz w:val="16"/>
                <w:szCs w:val="16"/>
                <w:color w:val="auto"/>
              </w:rPr>
              <w:t>1,394</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614</w:t>
            </w:r>
          </w:p>
        </w:tc>
        <w:tc>
          <w:tcPr>
            <w:tcW w:w="28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193,389</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177,040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76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(12,861)</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provided by operations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180,528</w:t>
            </w:r>
          </w:p>
        </w:tc>
        <w:tc>
          <w:tcPr>
            <w:tcW w:w="28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179,461</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(42,122</w:t>
            </w:r>
          </w:p>
        </w:tc>
        <w:tc>
          <w:tcPr>
            <w:tcW w:w="28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(43,195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138,406</w:t>
            </w:r>
          </w:p>
        </w:tc>
        <w:tc>
          <w:tcPr>
            <w:tcW w:w="28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136,266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4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Payments for vessels’ additions</w:t>
            </w:r>
          </w:p>
        </w:tc>
        <w:tc>
          <w:tcPr>
            <w:tcW w:w="1760" w:type="dxa"/>
            <w:vAlign w:val="bottom"/>
            <w:gridSpan w:val="2"/>
          </w:tcPr>
          <w:p>
            <w:pPr>
              <w:jc w:val="right"/>
              <w:ind w:right="139"/>
              <w:spacing w:after="0"/>
              <w:rPr>
                <w:sz w:val="20"/>
                <w:szCs w:val="20"/>
                <w:color w:val="auto"/>
              </w:rPr>
            </w:pPr>
            <w:r>
              <w:rPr>
                <w:rFonts w:ascii="Arial" w:cs="Arial" w:eastAsia="Arial" w:hAnsi="Arial"/>
                <w:sz w:val="16"/>
                <w:szCs w:val="16"/>
                <w:color w:val="auto"/>
              </w:rPr>
              <w:t>(2,207)</w:t>
            </w:r>
          </w:p>
        </w:tc>
        <w:tc>
          <w:tcPr>
            <w:tcW w:w="1480" w:type="dxa"/>
            <w:vAlign w:val="bottom"/>
          </w:tcPr>
          <w:p>
            <w:pPr>
              <w:jc w:val="right"/>
              <w:spacing w:after="0"/>
              <w:rPr>
                <w:sz w:val="20"/>
                <w:szCs w:val="20"/>
                <w:color w:val="auto"/>
              </w:rPr>
            </w:pPr>
            <w:r>
              <w:rPr>
                <w:rFonts w:ascii="Arial" w:cs="Arial" w:eastAsia="Arial" w:hAnsi="Arial"/>
                <w:sz w:val="16"/>
                <w:szCs w:val="16"/>
                <w:color w:val="auto"/>
              </w:rPr>
              <w:t>(17,702)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621</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Maturity of short-term investments</w:t>
            </w:r>
          </w:p>
        </w:tc>
        <w:tc>
          <w:tcPr>
            <w:tcW w:w="1480" w:type="dxa"/>
            <w:vAlign w:val="bottom"/>
          </w:tcPr>
          <w:p>
            <w:pPr>
              <w:jc w:val="right"/>
              <w:spacing w:after="0"/>
              <w:rPr>
                <w:sz w:val="20"/>
                <w:szCs w:val="20"/>
                <w:color w:val="auto"/>
              </w:rPr>
            </w:pPr>
            <w:r>
              <w:rPr>
                <w:rFonts w:ascii="Arial" w:cs="Arial" w:eastAsia="Arial" w:hAnsi="Arial"/>
                <w:sz w:val="16"/>
                <w:szCs w:val="16"/>
                <w:color w:val="auto"/>
              </w:rPr>
              <w:t>7,500</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Purchase of short-term investments</w:t>
            </w:r>
          </w:p>
        </w:tc>
        <w:tc>
          <w:tcPr>
            <w:tcW w:w="176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(28,000)</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by/(used in) investing activities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5,914</w:t>
            </w:r>
          </w:p>
        </w:tc>
        <w:tc>
          <w:tcPr>
            <w:tcW w:w="28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(26,214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4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Borrowings drawdowns</w:t>
            </w:r>
          </w:p>
        </w:tc>
        <w:tc>
          <w:tcPr>
            <w:tcW w:w="1480" w:type="dxa"/>
            <w:vAlign w:val="bottom"/>
          </w:tcPr>
          <w:p>
            <w:pPr>
              <w:jc w:val="right"/>
              <w:spacing w:after="0"/>
              <w:rPr>
                <w:sz w:val="20"/>
                <w:szCs w:val="20"/>
                <w:color w:val="auto"/>
              </w:rPr>
            </w:pPr>
            <w:r>
              <w:rPr>
                <w:rFonts w:ascii="Arial" w:cs="Arial" w:eastAsia="Arial" w:hAnsi="Arial"/>
                <w:sz w:val="16"/>
                <w:szCs w:val="16"/>
                <w:color w:val="auto"/>
              </w:rPr>
              <w:t>60,000</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176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(149,304)</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(148,929)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1760" w:type="dxa"/>
            <w:vAlign w:val="bottom"/>
            <w:gridSpan w:val="2"/>
          </w:tcPr>
          <w:p>
            <w:pPr>
              <w:jc w:val="right"/>
              <w:ind w:right="139"/>
              <w:spacing w:after="0"/>
              <w:rPr>
                <w:sz w:val="20"/>
                <w:szCs w:val="20"/>
                <w:color w:val="auto"/>
              </w:rPr>
            </w:pPr>
            <w:r>
              <w:rPr>
                <w:rFonts w:ascii="Arial" w:cs="Arial" w:eastAsia="Arial" w:hAnsi="Arial"/>
                <w:sz w:val="16"/>
                <w:szCs w:val="16"/>
                <w:color w:val="auto"/>
              </w:rPr>
              <w:t>(1,507)</w:t>
            </w:r>
          </w:p>
        </w:tc>
        <w:tc>
          <w:tcPr>
            <w:tcW w:w="1480" w:type="dxa"/>
            <w:vAlign w:val="bottom"/>
          </w:tcPr>
          <w:p>
            <w:pPr>
              <w:jc w:val="right"/>
              <w:spacing w:after="0"/>
              <w:rPr>
                <w:sz w:val="20"/>
                <w:szCs w:val="20"/>
                <w:color w:val="auto"/>
              </w:rPr>
            </w:pPr>
            <w:r>
              <w:rPr>
                <w:rFonts w:ascii="Arial" w:cs="Arial" w:eastAsia="Arial" w:hAnsi="Arial"/>
                <w:sz w:val="16"/>
                <w:szCs w:val="16"/>
                <w:color w:val="auto"/>
              </w:rPr>
              <w:t>(79)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w w:val="95"/>
              </w:rPr>
              <w:t>Proceeds from public offerings and issuances of common units and general partner units (net of underwriting discounts</w:t>
            </w:r>
          </w:p>
        </w:tc>
        <w:tc>
          <w:tcPr>
            <w:tcW w:w="14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shd w:val="clear" w:color="auto" w:fill="E5FFFF"/>
          </w:tcPr>
          <w:p>
            <w:pPr>
              <w:ind w:left="140"/>
              <w:spacing w:after="0"/>
              <w:rPr>
                <w:sz w:val="20"/>
                <w:szCs w:val="20"/>
                <w:color w:val="auto"/>
              </w:rPr>
            </w:pPr>
            <w:r>
              <w:rPr>
                <w:rFonts w:ascii="Arial" w:cs="Arial" w:eastAsia="Arial" w:hAnsi="Arial"/>
                <w:sz w:val="16"/>
                <w:szCs w:val="16"/>
                <w:color w:val="auto"/>
              </w:rPr>
              <w:t>and commissions)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135,128</w:t>
            </w:r>
          </w:p>
        </w:tc>
        <w:tc>
          <w:tcPr>
            <w:tcW w:w="28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Proceeds from issuance of preference units (net of underwriting discounts and commissions)</w:t>
            </w:r>
          </w:p>
        </w:tc>
        <w:tc>
          <w:tcPr>
            <w:tcW w:w="1480" w:type="dxa"/>
            <w:vAlign w:val="bottom"/>
          </w:tcPr>
          <w:p>
            <w:pPr>
              <w:jc w:val="right"/>
              <w:spacing w:after="0"/>
              <w:rPr>
                <w:sz w:val="20"/>
                <w:szCs w:val="20"/>
                <w:color w:val="auto"/>
              </w:rPr>
            </w:pPr>
            <w:r>
              <w:rPr>
                <w:rFonts w:ascii="Arial" w:cs="Arial" w:eastAsia="Arial" w:hAnsi="Arial"/>
                <w:sz w:val="16"/>
                <w:szCs w:val="16"/>
                <w:color w:val="auto"/>
              </w:rPr>
              <w:t>139,222</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111,544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Payment of offering costs</w:t>
            </w:r>
          </w:p>
        </w:tc>
        <w:tc>
          <w:tcPr>
            <w:tcW w:w="176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(1,214)</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Cash payment to GasLog in exchange for contribution of net assets</w:t>
            </w:r>
          </w:p>
        </w:tc>
        <w:tc>
          <w:tcPr>
            <w:tcW w:w="1760" w:type="dxa"/>
            <w:vAlign w:val="bottom"/>
            <w:gridSpan w:val="2"/>
          </w:tcPr>
          <w:p>
            <w:pPr>
              <w:jc w:val="right"/>
              <w:ind w:right="139"/>
              <w:spacing w:after="0"/>
              <w:rPr>
                <w:sz w:val="20"/>
                <w:szCs w:val="20"/>
                <w:color w:val="auto"/>
              </w:rPr>
            </w:pPr>
            <w:r>
              <w:rPr>
                <w:rFonts w:ascii="Arial" w:cs="Arial" w:eastAsia="Arial" w:hAnsi="Arial"/>
                <w:sz w:val="16"/>
                <w:szCs w:val="16"/>
                <w:color w:val="auto"/>
              </w:rPr>
              <w:t>(121,554)</w:t>
            </w:r>
          </w:p>
        </w:tc>
        <w:tc>
          <w:tcPr>
            <w:tcW w:w="1480" w:type="dxa"/>
            <w:vAlign w:val="bottom"/>
          </w:tcPr>
          <w:p>
            <w:pPr>
              <w:jc w:val="right"/>
              <w:spacing w:after="0"/>
              <w:rPr>
                <w:sz w:val="20"/>
                <w:szCs w:val="20"/>
                <w:color w:val="auto"/>
              </w:rPr>
            </w:pPr>
            <w:r>
              <w:rPr>
                <w:rFonts w:ascii="Arial" w:cs="Arial" w:eastAsia="Arial" w:hAnsi="Arial"/>
                <w:sz w:val="16"/>
                <w:szCs w:val="16"/>
                <w:color w:val="auto"/>
              </w:rPr>
              <w:t>(19,086)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Distributions paid</w:t>
            </w:r>
          </w:p>
        </w:tc>
        <w:tc>
          <w:tcPr>
            <w:tcW w:w="176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(64,804)</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(86,922)</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(4,033)</w:t>
            </w:r>
          </w:p>
        </w:tc>
        <w:tc>
          <w:tcPr>
            <w:tcW w:w="28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(88,020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Increase in cash and cash equivalents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140,287</w:t>
            </w:r>
          </w:p>
        </w:tc>
        <w:tc>
          <w:tcPr>
            <w:tcW w:w="280" w:type="dxa"/>
            <w:vAlign w:val="bottom"/>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22,032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80" w:type="dxa"/>
            <w:vAlign w:val="bottom"/>
            <w:gridSpan w:val="2"/>
          </w:tcPr>
          <w:p>
            <w:pPr>
              <w:spacing w:after="0"/>
              <w:rPr>
                <w:sz w:val="20"/>
                <w:szCs w:val="20"/>
                <w:color w:val="auto"/>
              </w:rPr>
            </w:pPr>
            <w:r>
              <w:rPr>
                <w:rFonts w:ascii="Arial" w:cs="Arial" w:eastAsia="Arial" w:hAnsi="Arial"/>
                <w:sz w:val="16"/>
                <w:szCs w:val="16"/>
                <w:color w:val="auto"/>
              </w:rPr>
              <w:t>Cash and cash equivalents, beginning of the period</w:t>
            </w:r>
          </w:p>
        </w:tc>
        <w:tc>
          <w:tcPr>
            <w:tcW w:w="1480" w:type="dxa"/>
            <w:vAlign w:val="bottom"/>
          </w:tcPr>
          <w:p>
            <w:pPr>
              <w:jc w:val="right"/>
              <w:spacing w:after="0"/>
              <w:rPr>
                <w:sz w:val="20"/>
                <w:szCs w:val="20"/>
                <w:color w:val="auto"/>
              </w:rPr>
            </w:pPr>
            <w:r>
              <w:rPr>
                <w:rFonts w:ascii="Arial" w:cs="Arial" w:eastAsia="Arial" w:hAnsi="Arial"/>
                <w:sz w:val="16"/>
                <w:szCs w:val="16"/>
                <w:color w:val="auto"/>
              </w:rPr>
              <w:t>59,875</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146,721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200,162</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168,753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IFRS Common Control Reported Results in our Financial Statements to Partnership Performance Results:</w:t>
      </w:r>
    </w:p>
    <w:p>
      <w:pPr>
        <w:spacing w:after="0" w:line="239"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 xml:space="preserve">Our Partnership Performance Results presented below are non-GAAP measures and exclude amounts related to GAS-thirteen Ltd. (the owner of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GAS-eight Ltd. (the owner of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and GAS-fourteen Ltd. (the owner of the </w:t>
      </w:r>
      <w:r>
        <w:rPr>
          <w:rFonts w:ascii="Arial" w:cs="Arial" w:eastAsia="Arial" w:hAnsi="Arial"/>
          <w:sz w:val="15"/>
          <w:szCs w:val="15"/>
          <w:i w:val="1"/>
          <w:iCs w:val="1"/>
          <w:color w:val="auto"/>
        </w:rPr>
        <w:t>GasLog Gibraltar</w:t>
      </w:r>
      <w:r>
        <w:rPr>
          <w:rFonts w:ascii="Arial" w:cs="Arial" w:eastAsia="Arial" w:hAnsi="Arial"/>
          <w:sz w:val="15"/>
          <w:szCs w:val="15"/>
          <w:color w:val="auto"/>
        </w:rPr>
        <w:t>), for the periods prior to their transfers to the Partnership on July 3, 2017, October 20, 2017 and April 26, 2018, respectively. While such amounts are reflected in the Partnership’s unaudited condensed consolidated financial statements because the transfers to the Partnership were accounted for as reorganizations of entities under common control under IFRS, GAS-thirteen Ltd., GAS-eight Ltd. and GAS-fourteen Ltd. were not owned by the Partnership prior to their respective transfers to the Partnership on July 3, 2017, October 20, 2017 and April 26, 2018, respectively, and accordingly the Partnership was not entitled to the cash or results generated in the periods prior to such transfers.</w:t>
      </w:r>
    </w:p>
    <w:p>
      <w:pPr>
        <w:spacing w:after="0" w:line="177"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Our IFRS Common Control Reported Results presented below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transfers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5300" w:type="dxa"/>
            <w:vAlign w:val="bottom"/>
            <w:gridSpan w:val="7"/>
          </w:tcPr>
          <w:p>
            <w:pPr>
              <w:jc w:val="center"/>
              <w:ind w:right="40"/>
              <w:spacing w:after="0"/>
              <w:rPr>
                <w:sz w:val="20"/>
                <w:szCs w:val="20"/>
                <w:color w:val="auto"/>
              </w:rPr>
            </w:pPr>
            <w:r>
              <w:rPr>
                <w:rFonts w:ascii="Arial" w:cs="Arial" w:eastAsia="Arial" w:hAnsi="Arial"/>
                <w:sz w:val="16"/>
                <w:szCs w:val="16"/>
                <w:b w:val="1"/>
                <w:bCs w:val="1"/>
                <w:color w:val="auto"/>
                <w:w w:val="90"/>
              </w:rPr>
              <w:t>For the three months ended September 30, 2017</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84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89"/>
              </w:rPr>
              <w:t>Results</w:t>
            </w:r>
          </w:p>
        </w:tc>
        <w:tc>
          <w:tcPr>
            <w:tcW w:w="18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4"/>
              </w:rPr>
              <w:t>Partnership</w:t>
            </w:r>
          </w:p>
        </w:tc>
        <w:tc>
          <w:tcPr>
            <w:tcW w:w="16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203"/>
        </w:trPr>
        <w:tc>
          <w:tcPr>
            <w:tcW w:w="606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84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3"/>
              </w:rPr>
              <w:t>attributable to</w:t>
            </w:r>
          </w:p>
        </w:tc>
        <w:tc>
          <w:tcPr>
            <w:tcW w:w="182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1"/>
              </w:rPr>
              <w:t>Performance</w:t>
            </w:r>
          </w:p>
        </w:tc>
        <w:tc>
          <w:tcPr>
            <w:tcW w:w="16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Control</w:t>
            </w:r>
          </w:p>
        </w:tc>
        <w:tc>
          <w:tcPr>
            <w:tcW w:w="0" w:type="dxa"/>
            <w:vAlign w:val="bottom"/>
          </w:tcPr>
          <w:p>
            <w:pPr>
              <w:spacing w:after="0"/>
              <w:rPr>
                <w:sz w:val="1"/>
                <w:szCs w:val="1"/>
                <w:color w:val="auto"/>
              </w:rPr>
            </w:pPr>
          </w:p>
        </w:tc>
      </w:tr>
      <w:tr>
        <w:trPr>
          <w:trHeight w:val="102"/>
        </w:trPr>
        <w:tc>
          <w:tcPr>
            <w:tcW w:w="6060" w:type="dxa"/>
            <w:vAlign w:val="bottom"/>
            <w:vMerge w:val="continue"/>
          </w:tcPr>
          <w:p>
            <w:pPr>
              <w:spacing w:after="0"/>
              <w:rPr>
                <w:sz w:val="8"/>
                <w:szCs w:val="8"/>
                <w:color w:val="auto"/>
              </w:rPr>
            </w:pPr>
          </w:p>
        </w:tc>
        <w:tc>
          <w:tcPr>
            <w:tcW w:w="1840" w:type="dxa"/>
            <w:vAlign w:val="bottom"/>
            <w:gridSpan w:val="2"/>
            <w:vMerge w:val="restart"/>
          </w:tcPr>
          <w:p>
            <w:pPr>
              <w:jc w:val="center"/>
              <w:ind w:right="139"/>
              <w:spacing w:after="0"/>
              <w:rPr>
                <w:sz w:val="20"/>
                <w:szCs w:val="20"/>
                <w:color w:val="auto"/>
              </w:rPr>
            </w:pPr>
            <w:r>
              <w:rPr>
                <w:rFonts w:ascii="Arial" w:cs="Arial" w:eastAsia="Arial" w:hAnsi="Arial"/>
                <w:sz w:val="16"/>
                <w:szCs w:val="16"/>
                <w:b w:val="1"/>
                <w:bCs w:val="1"/>
                <w:color w:val="auto"/>
                <w:w w:val="90"/>
              </w:rPr>
              <w:t>GasLog</w:t>
            </w:r>
          </w:p>
        </w:tc>
        <w:tc>
          <w:tcPr>
            <w:tcW w:w="1820" w:type="dxa"/>
            <w:vAlign w:val="bottom"/>
            <w:gridSpan w:val="2"/>
            <w:vMerge w:val="restart"/>
          </w:tcPr>
          <w:p>
            <w:pPr>
              <w:jc w:val="center"/>
              <w:ind w:right="139"/>
              <w:spacing w:after="0"/>
              <w:rPr>
                <w:sz w:val="20"/>
                <w:szCs w:val="20"/>
                <w:color w:val="auto"/>
              </w:rPr>
            </w:pPr>
            <w:r>
              <w:rPr>
                <w:rFonts w:ascii="Arial" w:cs="Arial" w:eastAsia="Arial" w:hAnsi="Arial"/>
                <w:sz w:val="16"/>
                <w:szCs w:val="16"/>
                <w:b w:val="1"/>
                <w:bCs w:val="1"/>
                <w:color w:val="auto"/>
                <w:w w:val="89"/>
              </w:rPr>
              <w:t>Results</w:t>
            </w:r>
          </w:p>
        </w:tc>
        <w:tc>
          <w:tcPr>
            <w:tcW w:w="1640" w:type="dxa"/>
            <w:vAlign w:val="bottom"/>
            <w:gridSpan w:val="3"/>
            <w:vMerge w:val="restart"/>
          </w:tcPr>
          <w:p>
            <w:pPr>
              <w:jc w:val="center"/>
              <w:ind w:right="40"/>
              <w:spacing w:after="0"/>
              <w:rPr>
                <w:sz w:val="20"/>
                <w:szCs w:val="20"/>
                <w:color w:val="auto"/>
              </w:rPr>
            </w:pPr>
            <w:r>
              <w:rPr>
                <w:rFonts w:ascii="Arial" w:cs="Arial" w:eastAsia="Arial" w:hAnsi="Arial"/>
                <w:sz w:val="16"/>
                <w:szCs w:val="16"/>
                <w:b w:val="1"/>
                <w:bCs w:val="1"/>
                <w:color w:val="auto"/>
                <w:w w:val="90"/>
              </w:rPr>
              <w:t>Reported Results</w:t>
            </w: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13,076</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73,277</w:t>
            </w:r>
          </w:p>
        </w:tc>
        <w:tc>
          <w:tcPr>
            <w:tcW w:w="2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86,353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840" w:type="dxa"/>
            <w:vAlign w:val="bottom"/>
            <w:gridSpan w:val="2"/>
          </w:tcPr>
          <w:p>
            <w:pPr>
              <w:jc w:val="right"/>
              <w:ind w:right="99"/>
              <w:spacing w:after="0"/>
              <w:rPr>
                <w:sz w:val="20"/>
                <w:szCs w:val="20"/>
                <w:color w:val="auto"/>
              </w:rPr>
            </w:pPr>
            <w:r>
              <w:rPr>
                <w:rFonts w:ascii="Arial" w:cs="Arial" w:eastAsia="Arial" w:hAnsi="Arial"/>
                <w:sz w:val="16"/>
                <w:szCs w:val="16"/>
                <w:color w:val="auto"/>
              </w:rPr>
              <w:t>(162)</w:t>
            </w:r>
          </w:p>
        </w:tc>
        <w:tc>
          <w:tcPr>
            <w:tcW w:w="1820" w:type="dxa"/>
            <w:vAlign w:val="bottom"/>
            <w:gridSpan w:val="2"/>
          </w:tcPr>
          <w:p>
            <w:pPr>
              <w:jc w:val="right"/>
              <w:ind w:right="79"/>
              <w:spacing w:after="0"/>
              <w:rPr>
                <w:sz w:val="20"/>
                <w:szCs w:val="20"/>
                <w:color w:val="auto"/>
              </w:rPr>
            </w:pPr>
            <w:r>
              <w:rPr>
                <w:rFonts w:ascii="Arial" w:cs="Arial" w:eastAsia="Arial" w:hAnsi="Arial"/>
                <w:sz w:val="16"/>
                <w:szCs w:val="16"/>
                <w:color w:val="auto"/>
              </w:rPr>
              <w:t>(919)</w:t>
            </w:r>
          </w:p>
        </w:tc>
        <w:tc>
          <w:tcPr>
            <w:tcW w:w="1600" w:type="dxa"/>
            <w:vAlign w:val="bottom"/>
          </w:tcPr>
          <w:p>
            <w:pPr>
              <w:jc w:val="right"/>
              <w:spacing w:after="0"/>
              <w:rPr>
                <w:sz w:val="20"/>
                <w:szCs w:val="20"/>
                <w:color w:val="auto"/>
              </w:rPr>
            </w:pPr>
            <w:r>
              <w:rPr>
                <w:rFonts w:ascii="Arial" w:cs="Arial" w:eastAsia="Arial" w:hAnsi="Arial"/>
                <w:sz w:val="16"/>
                <w:szCs w:val="16"/>
                <w:color w:val="auto"/>
              </w:rPr>
              <w:t>(1,081)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184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(1,327)</w:t>
            </w:r>
          </w:p>
        </w:tc>
        <w:tc>
          <w:tcPr>
            <w:tcW w:w="18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(15,046)</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(16,373)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Depreciation</w:t>
            </w:r>
          </w:p>
        </w:tc>
        <w:tc>
          <w:tcPr>
            <w:tcW w:w="1840" w:type="dxa"/>
            <w:vAlign w:val="bottom"/>
            <w:gridSpan w:val="2"/>
          </w:tcPr>
          <w:p>
            <w:pPr>
              <w:jc w:val="right"/>
              <w:ind w:right="99"/>
              <w:spacing w:after="0"/>
              <w:rPr>
                <w:sz w:val="20"/>
                <w:szCs w:val="20"/>
                <w:color w:val="auto"/>
              </w:rPr>
            </w:pPr>
            <w:r>
              <w:rPr>
                <w:rFonts w:ascii="Arial" w:cs="Arial" w:eastAsia="Arial" w:hAnsi="Arial"/>
                <w:sz w:val="16"/>
                <w:szCs w:val="16"/>
                <w:color w:val="auto"/>
              </w:rPr>
              <w:t>(2,952)</w:t>
            </w:r>
          </w:p>
        </w:tc>
        <w:tc>
          <w:tcPr>
            <w:tcW w:w="1820" w:type="dxa"/>
            <w:vAlign w:val="bottom"/>
            <w:gridSpan w:val="2"/>
          </w:tcPr>
          <w:p>
            <w:pPr>
              <w:jc w:val="right"/>
              <w:ind w:right="79"/>
              <w:spacing w:after="0"/>
              <w:rPr>
                <w:sz w:val="20"/>
                <w:szCs w:val="20"/>
                <w:color w:val="auto"/>
              </w:rPr>
            </w:pPr>
            <w:r>
              <w:rPr>
                <w:rFonts w:ascii="Arial" w:cs="Arial" w:eastAsia="Arial" w:hAnsi="Arial"/>
                <w:sz w:val="16"/>
                <w:szCs w:val="16"/>
                <w:color w:val="auto"/>
              </w:rPr>
              <w:t>(15,580)</w:t>
            </w:r>
          </w:p>
        </w:tc>
        <w:tc>
          <w:tcPr>
            <w:tcW w:w="1600" w:type="dxa"/>
            <w:vAlign w:val="bottom"/>
          </w:tcPr>
          <w:p>
            <w:pPr>
              <w:jc w:val="right"/>
              <w:spacing w:after="0"/>
              <w:rPr>
                <w:sz w:val="20"/>
                <w:szCs w:val="20"/>
                <w:color w:val="auto"/>
              </w:rPr>
            </w:pPr>
            <w:r>
              <w:rPr>
                <w:rFonts w:ascii="Arial" w:cs="Arial" w:eastAsia="Arial" w:hAnsi="Arial"/>
                <w:sz w:val="16"/>
                <w:szCs w:val="16"/>
                <w:color w:val="auto"/>
              </w:rPr>
              <w:t>(18,532)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84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(206)</w:t>
            </w:r>
          </w:p>
        </w:tc>
        <w:tc>
          <w:tcPr>
            <w:tcW w:w="18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(3,783)</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8,429</w:t>
            </w:r>
          </w:p>
        </w:tc>
        <w:tc>
          <w:tcPr>
            <w:tcW w:w="240" w:type="dxa"/>
            <w:vAlign w:val="bottom"/>
            <w:tcBorders>
              <w:bottom w:val="single" w:sz="8" w:color="E5FFFF"/>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37,949</w:t>
            </w:r>
          </w:p>
        </w:tc>
        <w:tc>
          <w:tcPr>
            <w:tcW w:w="220" w:type="dxa"/>
            <w:vAlign w:val="bottom"/>
            <w:tcBorders>
              <w:bottom w:val="single" w:sz="8" w:color="E5FFFF"/>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46,378</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(2,731</w:t>
            </w:r>
          </w:p>
        </w:tc>
        <w:tc>
          <w:tcPr>
            <w:tcW w:w="24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w w:val="74"/>
              </w:rPr>
              <w:t>)</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(12,289</w:t>
            </w:r>
          </w:p>
        </w:tc>
        <w:tc>
          <w:tcPr>
            <w:tcW w:w="22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w w:val="74"/>
              </w:rPr>
              <w:t>)</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(15,020</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Financial income</w:t>
            </w:r>
          </w:p>
        </w:tc>
        <w:tc>
          <w:tcPr>
            <w:tcW w:w="1840" w:type="dxa"/>
            <w:vAlign w:val="bottom"/>
            <w:gridSpan w:val="2"/>
          </w:tcPr>
          <w:p>
            <w:pPr>
              <w:jc w:val="right"/>
              <w:ind w:right="159"/>
              <w:spacing w:after="0"/>
              <w:rPr>
                <w:sz w:val="20"/>
                <w:szCs w:val="20"/>
                <w:color w:val="auto"/>
              </w:rPr>
            </w:pPr>
            <w:r>
              <w:rPr>
                <w:rFonts w:ascii="Arial" w:cs="Arial" w:eastAsia="Arial" w:hAnsi="Arial"/>
                <w:sz w:val="16"/>
                <w:szCs w:val="16"/>
                <w:color w:val="auto"/>
              </w:rPr>
              <w:t>10</w:t>
            </w:r>
          </w:p>
        </w:tc>
        <w:tc>
          <w:tcPr>
            <w:tcW w:w="1820" w:type="dxa"/>
            <w:vAlign w:val="bottom"/>
            <w:gridSpan w:val="2"/>
          </w:tcPr>
          <w:p>
            <w:pPr>
              <w:jc w:val="right"/>
              <w:ind w:right="139"/>
              <w:spacing w:after="0"/>
              <w:rPr>
                <w:sz w:val="20"/>
                <w:szCs w:val="20"/>
                <w:color w:val="auto"/>
              </w:rPr>
            </w:pPr>
            <w:r>
              <w:rPr>
                <w:rFonts w:ascii="Arial" w:cs="Arial" w:eastAsia="Arial" w:hAnsi="Arial"/>
                <w:sz w:val="16"/>
                <w:szCs w:val="16"/>
                <w:color w:val="auto"/>
              </w:rPr>
              <w:t>311</w:t>
            </w:r>
          </w:p>
        </w:tc>
        <w:tc>
          <w:tcPr>
            <w:tcW w:w="1600" w:type="dxa"/>
            <w:vAlign w:val="bottom"/>
          </w:tcPr>
          <w:p>
            <w:pPr>
              <w:jc w:val="right"/>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Loss on derivatives</w:t>
            </w:r>
          </w:p>
        </w:tc>
        <w:tc>
          <w:tcPr>
            <w:tcW w:w="184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(672)</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(672)</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(2,721</w:t>
            </w:r>
          </w:p>
        </w:tc>
        <w:tc>
          <w:tcPr>
            <w:tcW w:w="240" w:type="dxa"/>
            <w:vAlign w:val="bottom"/>
            <w:tcBorders>
              <w:bottom w:val="single" w:sz="8" w:color="E5FFFF"/>
            </w:tcBorders>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(12,650</w:t>
            </w:r>
          </w:p>
        </w:tc>
        <w:tc>
          <w:tcPr>
            <w:tcW w:w="220" w:type="dxa"/>
            <w:vAlign w:val="bottom"/>
            <w:tcBorders>
              <w:bottom w:val="single" w:sz="8" w:color="E5FF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(15,371</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5,708</w:t>
            </w:r>
          </w:p>
        </w:tc>
        <w:tc>
          <w:tcPr>
            <w:tcW w:w="240" w:type="dxa"/>
            <w:vAlign w:val="bottom"/>
            <w:tcBorders>
              <w:bottom w:val="single" w:sz="8" w:color="E5FFFF"/>
            </w:tcBorders>
            <w:shd w:val="clear" w:color="auto" w:fill="E5FFFF"/>
          </w:tcPr>
          <w:p>
            <w:pPr>
              <w:spacing w:after="0"/>
              <w:rPr>
                <w:sz w:val="17"/>
                <w:szCs w:val="17"/>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25,299</w:t>
            </w:r>
          </w:p>
        </w:tc>
        <w:tc>
          <w:tcPr>
            <w:tcW w:w="220" w:type="dxa"/>
            <w:vAlign w:val="bottom"/>
            <w:tcBorders>
              <w:bottom w:val="single" w:sz="8" w:color="E5FFFF"/>
            </w:tcBorders>
            <w:shd w:val="clear" w:color="auto" w:fill="E5FFFF"/>
          </w:tcPr>
          <w:p>
            <w:pPr>
              <w:spacing w:after="0"/>
              <w:rPr>
                <w:sz w:val="17"/>
                <w:szCs w:val="17"/>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31,007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60" w:type="dxa"/>
            <w:vAlign w:val="bottom"/>
          </w:tcPr>
          <w:p>
            <w:pPr>
              <w:spacing w:after="0"/>
              <w:rPr>
                <w:sz w:val="24"/>
                <w:szCs w:val="24"/>
                <w:color w:val="auto"/>
              </w:rPr>
            </w:pPr>
          </w:p>
        </w:tc>
        <w:tc>
          <w:tcPr>
            <w:tcW w:w="5300" w:type="dxa"/>
            <w:vAlign w:val="bottom"/>
            <w:gridSpan w:val="7"/>
          </w:tcPr>
          <w:p>
            <w:pPr>
              <w:jc w:val="center"/>
              <w:ind w:right="40"/>
              <w:spacing w:after="0"/>
              <w:rPr>
                <w:sz w:val="20"/>
                <w:szCs w:val="20"/>
                <w:color w:val="auto"/>
              </w:rPr>
            </w:pPr>
            <w:r>
              <w:rPr>
                <w:rFonts w:ascii="Arial" w:cs="Arial" w:eastAsia="Arial" w:hAnsi="Arial"/>
                <w:sz w:val="16"/>
                <w:szCs w:val="16"/>
                <w:b w:val="1"/>
                <w:bCs w:val="1"/>
                <w:color w:val="auto"/>
                <w:w w:val="90"/>
              </w:rPr>
              <w:t>For the three months ended June 30, 2018</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84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89"/>
              </w:rPr>
              <w:t>Results</w:t>
            </w:r>
          </w:p>
        </w:tc>
        <w:tc>
          <w:tcPr>
            <w:tcW w:w="18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4"/>
              </w:rPr>
              <w:t>Partnership</w:t>
            </w:r>
          </w:p>
        </w:tc>
        <w:tc>
          <w:tcPr>
            <w:tcW w:w="16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203"/>
        </w:trPr>
        <w:tc>
          <w:tcPr>
            <w:tcW w:w="606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84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3"/>
              </w:rPr>
              <w:t>attributable to</w:t>
            </w:r>
          </w:p>
        </w:tc>
        <w:tc>
          <w:tcPr>
            <w:tcW w:w="182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1"/>
              </w:rPr>
              <w:t>Performance</w:t>
            </w:r>
          </w:p>
        </w:tc>
        <w:tc>
          <w:tcPr>
            <w:tcW w:w="16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Control</w:t>
            </w:r>
          </w:p>
        </w:tc>
        <w:tc>
          <w:tcPr>
            <w:tcW w:w="0" w:type="dxa"/>
            <w:vAlign w:val="bottom"/>
          </w:tcPr>
          <w:p>
            <w:pPr>
              <w:spacing w:after="0"/>
              <w:rPr>
                <w:sz w:val="1"/>
                <w:szCs w:val="1"/>
                <w:color w:val="auto"/>
              </w:rPr>
            </w:pPr>
          </w:p>
        </w:tc>
      </w:tr>
      <w:tr>
        <w:trPr>
          <w:trHeight w:val="102"/>
        </w:trPr>
        <w:tc>
          <w:tcPr>
            <w:tcW w:w="6060" w:type="dxa"/>
            <w:vAlign w:val="bottom"/>
            <w:vMerge w:val="continue"/>
          </w:tcPr>
          <w:p>
            <w:pPr>
              <w:spacing w:after="0"/>
              <w:rPr>
                <w:sz w:val="8"/>
                <w:szCs w:val="8"/>
                <w:color w:val="auto"/>
              </w:rPr>
            </w:pPr>
          </w:p>
        </w:tc>
        <w:tc>
          <w:tcPr>
            <w:tcW w:w="1840" w:type="dxa"/>
            <w:vAlign w:val="bottom"/>
            <w:gridSpan w:val="2"/>
            <w:vMerge w:val="restart"/>
          </w:tcPr>
          <w:p>
            <w:pPr>
              <w:jc w:val="center"/>
              <w:ind w:right="139"/>
              <w:spacing w:after="0"/>
              <w:rPr>
                <w:sz w:val="20"/>
                <w:szCs w:val="20"/>
                <w:color w:val="auto"/>
              </w:rPr>
            </w:pPr>
            <w:r>
              <w:rPr>
                <w:rFonts w:ascii="Arial" w:cs="Arial" w:eastAsia="Arial" w:hAnsi="Arial"/>
                <w:sz w:val="16"/>
                <w:szCs w:val="16"/>
                <w:b w:val="1"/>
                <w:bCs w:val="1"/>
                <w:color w:val="auto"/>
                <w:w w:val="90"/>
              </w:rPr>
              <w:t>GasLog</w:t>
            </w:r>
          </w:p>
        </w:tc>
        <w:tc>
          <w:tcPr>
            <w:tcW w:w="1820" w:type="dxa"/>
            <w:vAlign w:val="bottom"/>
            <w:gridSpan w:val="2"/>
            <w:vMerge w:val="restart"/>
          </w:tcPr>
          <w:p>
            <w:pPr>
              <w:jc w:val="center"/>
              <w:ind w:right="139"/>
              <w:spacing w:after="0"/>
              <w:rPr>
                <w:sz w:val="20"/>
                <w:szCs w:val="20"/>
                <w:color w:val="auto"/>
              </w:rPr>
            </w:pPr>
            <w:r>
              <w:rPr>
                <w:rFonts w:ascii="Arial" w:cs="Arial" w:eastAsia="Arial" w:hAnsi="Arial"/>
                <w:sz w:val="16"/>
                <w:szCs w:val="16"/>
                <w:b w:val="1"/>
                <w:bCs w:val="1"/>
                <w:color w:val="auto"/>
                <w:w w:val="89"/>
              </w:rPr>
              <w:t>Results</w:t>
            </w:r>
          </w:p>
        </w:tc>
        <w:tc>
          <w:tcPr>
            <w:tcW w:w="1640" w:type="dxa"/>
            <w:vAlign w:val="bottom"/>
            <w:gridSpan w:val="3"/>
            <w:vMerge w:val="restart"/>
          </w:tcPr>
          <w:p>
            <w:pPr>
              <w:jc w:val="center"/>
              <w:ind w:right="40"/>
              <w:spacing w:after="0"/>
              <w:rPr>
                <w:sz w:val="20"/>
                <w:szCs w:val="20"/>
                <w:color w:val="auto"/>
              </w:rPr>
            </w:pPr>
            <w:r>
              <w:rPr>
                <w:rFonts w:ascii="Arial" w:cs="Arial" w:eastAsia="Arial" w:hAnsi="Arial"/>
                <w:sz w:val="16"/>
                <w:szCs w:val="16"/>
                <w:b w:val="1"/>
                <w:bCs w:val="1"/>
                <w:color w:val="auto"/>
                <w:w w:val="90"/>
              </w:rPr>
              <w:t>Reported Results</w:t>
            </w: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2,025</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74,909</w:t>
            </w:r>
          </w:p>
        </w:tc>
        <w:tc>
          <w:tcPr>
            <w:tcW w:w="2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76,934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Net pool allocation</w:t>
            </w:r>
          </w:p>
        </w:tc>
        <w:tc>
          <w:tcPr>
            <w:tcW w:w="18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79"/>
              <w:spacing w:after="0"/>
              <w:rPr>
                <w:sz w:val="20"/>
                <w:szCs w:val="20"/>
                <w:color w:val="auto"/>
              </w:rPr>
            </w:pPr>
            <w:r>
              <w:rPr>
                <w:rFonts w:ascii="Arial" w:cs="Arial" w:eastAsia="Arial" w:hAnsi="Arial"/>
                <w:sz w:val="16"/>
                <w:szCs w:val="16"/>
                <w:color w:val="auto"/>
              </w:rPr>
              <w:t>(357)</w:t>
            </w:r>
          </w:p>
        </w:tc>
        <w:tc>
          <w:tcPr>
            <w:tcW w:w="1600" w:type="dxa"/>
            <w:vAlign w:val="bottom"/>
          </w:tcPr>
          <w:p>
            <w:pPr>
              <w:jc w:val="right"/>
              <w:spacing w:after="0"/>
              <w:rPr>
                <w:sz w:val="20"/>
                <w:szCs w:val="20"/>
                <w:color w:val="auto"/>
              </w:rPr>
            </w:pPr>
            <w:r>
              <w:rPr>
                <w:rFonts w:ascii="Arial" w:cs="Arial" w:eastAsia="Arial" w:hAnsi="Arial"/>
                <w:sz w:val="16"/>
                <w:szCs w:val="16"/>
                <w:color w:val="auto"/>
              </w:rPr>
              <w:t>(357)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84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(25)</w:t>
            </w:r>
          </w:p>
        </w:tc>
        <w:tc>
          <w:tcPr>
            <w:tcW w:w="18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(1,511)</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840" w:type="dxa"/>
            <w:vAlign w:val="bottom"/>
            <w:gridSpan w:val="2"/>
          </w:tcPr>
          <w:p>
            <w:pPr>
              <w:jc w:val="right"/>
              <w:ind w:right="99"/>
              <w:spacing w:after="0"/>
              <w:rPr>
                <w:sz w:val="20"/>
                <w:szCs w:val="20"/>
                <w:color w:val="auto"/>
              </w:rPr>
            </w:pPr>
            <w:r>
              <w:rPr>
                <w:rFonts w:ascii="Arial" w:cs="Arial" w:eastAsia="Arial" w:hAnsi="Arial"/>
                <w:sz w:val="16"/>
                <w:szCs w:val="16"/>
                <w:color w:val="auto"/>
              </w:rPr>
              <w:t>(241)</w:t>
            </w:r>
          </w:p>
        </w:tc>
        <w:tc>
          <w:tcPr>
            <w:tcW w:w="1820" w:type="dxa"/>
            <w:vAlign w:val="bottom"/>
            <w:gridSpan w:val="2"/>
          </w:tcPr>
          <w:p>
            <w:pPr>
              <w:jc w:val="right"/>
              <w:ind w:right="79"/>
              <w:spacing w:after="0"/>
              <w:rPr>
                <w:sz w:val="20"/>
                <w:szCs w:val="20"/>
                <w:color w:val="auto"/>
              </w:rPr>
            </w:pPr>
            <w:r>
              <w:rPr>
                <w:rFonts w:ascii="Arial" w:cs="Arial" w:eastAsia="Arial" w:hAnsi="Arial"/>
                <w:sz w:val="16"/>
                <w:szCs w:val="16"/>
                <w:color w:val="auto"/>
              </w:rPr>
              <w:t>(15,110)</w:t>
            </w:r>
          </w:p>
        </w:tc>
        <w:tc>
          <w:tcPr>
            <w:tcW w:w="1600" w:type="dxa"/>
            <w:vAlign w:val="bottom"/>
          </w:tcPr>
          <w:p>
            <w:pPr>
              <w:jc w:val="right"/>
              <w:spacing w:after="0"/>
              <w:rPr>
                <w:sz w:val="20"/>
                <w:szCs w:val="20"/>
                <w:color w:val="auto"/>
              </w:rPr>
            </w:pPr>
            <w:r>
              <w:rPr>
                <w:rFonts w:ascii="Arial" w:cs="Arial" w:eastAsia="Arial" w:hAnsi="Arial"/>
                <w:sz w:val="16"/>
                <w:szCs w:val="16"/>
                <w:color w:val="auto"/>
              </w:rPr>
              <w:t>(15,351)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0FFFF"/>
          </w:tcPr>
          <w:p>
            <w:pPr>
              <w:spacing w:after="0"/>
              <w:rPr>
                <w:sz w:val="20"/>
                <w:szCs w:val="20"/>
                <w:color w:val="auto"/>
              </w:rPr>
            </w:pPr>
            <w:r>
              <w:rPr>
                <w:rFonts w:ascii="Arial" w:cs="Arial" w:eastAsia="Arial" w:hAnsi="Arial"/>
                <w:sz w:val="16"/>
                <w:szCs w:val="16"/>
                <w:color w:val="auto"/>
              </w:rPr>
              <w:t>Depreciation</w:t>
            </w:r>
          </w:p>
        </w:tc>
        <w:tc>
          <w:tcPr>
            <w:tcW w:w="1840" w:type="dxa"/>
            <w:vAlign w:val="bottom"/>
            <w:gridSpan w:val="2"/>
            <w:shd w:val="clear" w:color="auto" w:fill="E0FFFF"/>
          </w:tcPr>
          <w:p>
            <w:pPr>
              <w:jc w:val="right"/>
              <w:ind w:right="99"/>
              <w:spacing w:after="0"/>
              <w:rPr>
                <w:sz w:val="20"/>
                <w:szCs w:val="20"/>
                <w:color w:val="auto"/>
              </w:rPr>
            </w:pPr>
            <w:r>
              <w:rPr>
                <w:rFonts w:ascii="Arial" w:cs="Arial" w:eastAsia="Arial" w:hAnsi="Arial"/>
                <w:sz w:val="16"/>
                <w:szCs w:val="16"/>
                <w:color w:val="auto"/>
              </w:rPr>
              <w:t>(401)</w:t>
            </w:r>
          </w:p>
        </w:tc>
        <w:tc>
          <w:tcPr>
            <w:tcW w:w="1820" w:type="dxa"/>
            <w:vAlign w:val="bottom"/>
            <w:gridSpan w:val="2"/>
            <w:shd w:val="clear" w:color="auto" w:fill="E0FFFF"/>
          </w:tcPr>
          <w:p>
            <w:pPr>
              <w:jc w:val="right"/>
              <w:ind w:right="79"/>
              <w:spacing w:after="0"/>
              <w:rPr>
                <w:sz w:val="20"/>
                <w:szCs w:val="20"/>
                <w:color w:val="auto"/>
              </w:rPr>
            </w:pPr>
            <w:r>
              <w:rPr>
                <w:rFonts w:ascii="Arial" w:cs="Arial" w:eastAsia="Arial" w:hAnsi="Arial"/>
                <w:sz w:val="16"/>
                <w:szCs w:val="16"/>
                <w:color w:val="auto"/>
              </w:rPr>
              <w:t>(17,974)</w:t>
            </w:r>
          </w:p>
        </w:tc>
        <w:tc>
          <w:tcPr>
            <w:tcW w:w="1600" w:type="dxa"/>
            <w:vAlign w:val="bottom"/>
            <w:shd w:val="clear" w:color="auto" w:fill="E0FFFF"/>
          </w:tcPr>
          <w:p>
            <w:pPr>
              <w:jc w:val="right"/>
              <w:spacing w:after="0"/>
              <w:rPr>
                <w:sz w:val="20"/>
                <w:szCs w:val="20"/>
                <w:color w:val="auto"/>
              </w:rPr>
            </w:pPr>
            <w:r>
              <w:rPr>
                <w:rFonts w:ascii="Arial" w:cs="Arial" w:eastAsia="Arial" w:hAnsi="Arial"/>
                <w:sz w:val="16"/>
                <w:szCs w:val="16"/>
                <w:color w:val="auto"/>
              </w:rPr>
              <w:t>(18,375)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840" w:type="dxa"/>
            <w:vAlign w:val="bottom"/>
            <w:gridSpan w:val="2"/>
          </w:tcPr>
          <w:p>
            <w:pPr>
              <w:jc w:val="right"/>
              <w:ind w:right="99"/>
              <w:spacing w:after="0"/>
              <w:rPr>
                <w:sz w:val="20"/>
                <w:szCs w:val="20"/>
                <w:color w:val="auto"/>
              </w:rPr>
            </w:pPr>
            <w:r>
              <w:rPr>
                <w:rFonts w:ascii="Arial" w:cs="Arial" w:eastAsia="Arial" w:hAnsi="Arial"/>
                <w:sz w:val="16"/>
                <w:szCs w:val="16"/>
                <w:color w:val="auto"/>
              </w:rPr>
              <w:t>(27</w:t>
            </w:r>
            <w:r>
              <w:rPr>
                <w:rFonts w:ascii="Arial" w:cs="Arial" w:eastAsia="Arial" w:hAnsi="Arial"/>
                <w:sz w:val="16"/>
                <w:szCs w:val="16"/>
                <w:b w:val="1"/>
                <w:bCs w:val="1"/>
                <w:color w:val="auto"/>
              </w:rPr>
              <w:t>)</w:t>
            </w:r>
          </w:p>
        </w:tc>
        <w:tc>
          <w:tcPr>
            <w:tcW w:w="1820" w:type="dxa"/>
            <w:vAlign w:val="bottom"/>
            <w:gridSpan w:val="2"/>
          </w:tcPr>
          <w:p>
            <w:pPr>
              <w:jc w:val="right"/>
              <w:ind w:right="79"/>
              <w:spacing w:after="0"/>
              <w:rPr>
                <w:sz w:val="20"/>
                <w:szCs w:val="20"/>
                <w:color w:val="auto"/>
              </w:rPr>
            </w:pPr>
            <w:r>
              <w:rPr>
                <w:rFonts w:ascii="Arial" w:cs="Arial" w:eastAsia="Arial" w:hAnsi="Arial"/>
                <w:sz w:val="16"/>
                <w:szCs w:val="16"/>
                <w:color w:val="auto"/>
              </w:rPr>
              <w:t>(4,671)</w:t>
            </w:r>
          </w:p>
        </w:tc>
        <w:tc>
          <w:tcPr>
            <w:tcW w:w="1600" w:type="dxa"/>
            <w:vAlign w:val="bottom"/>
          </w:tcPr>
          <w:p>
            <w:pPr>
              <w:jc w:val="right"/>
              <w:spacing w:after="0"/>
              <w:rPr>
                <w:sz w:val="20"/>
                <w:szCs w:val="20"/>
                <w:color w:val="auto"/>
              </w:rPr>
            </w:pPr>
            <w:r>
              <w:rPr>
                <w:rFonts w:ascii="Arial" w:cs="Arial" w:eastAsia="Arial" w:hAnsi="Arial"/>
                <w:sz w:val="16"/>
                <w:szCs w:val="16"/>
                <w:color w:val="auto"/>
              </w:rPr>
              <w:t>(4,698)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Borders>
              <w:top w:val="single" w:sz="8" w:color="E0FFFF"/>
            </w:tcBorders>
            <w:shd w:val="clear" w:color="auto" w:fill="E0FFFF"/>
          </w:tcPr>
          <w:p>
            <w:pPr>
              <w:spacing w:after="0"/>
              <w:rPr>
                <w:sz w:val="20"/>
                <w:szCs w:val="20"/>
                <w:color w:val="auto"/>
              </w:rPr>
            </w:pPr>
            <w:r>
              <w:rPr>
                <w:rFonts w:ascii="Arial" w:cs="Arial" w:eastAsia="Arial" w:hAnsi="Arial"/>
                <w:sz w:val="16"/>
                <w:szCs w:val="16"/>
                <w:b w:val="1"/>
                <w:bCs w:val="1"/>
                <w:color w:val="auto"/>
              </w:rPr>
              <w:t>Profit from operations</w:t>
            </w:r>
          </w:p>
        </w:tc>
        <w:tc>
          <w:tcPr>
            <w:tcW w:w="1600" w:type="dxa"/>
            <w:vAlign w:val="bottom"/>
            <w:tcBorders>
              <w:top w:val="single" w:sz="8" w:color="auto"/>
              <w:bottom w:val="single" w:sz="8" w:color="auto"/>
            </w:tcBorders>
            <w:shd w:val="clear" w:color="auto" w:fill="E0FFFF"/>
          </w:tcPr>
          <w:p>
            <w:pPr>
              <w:jc w:val="right"/>
              <w:spacing w:after="0"/>
              <w:rPr>
                <w:sz w:val="20"/>
                <w:szCs w:val="20"/>
                <w:color w:val="auto"/>
              </w:rPr>
            </w:pPr>
            <w:r>
              <w:rPr>
                <w:rFonts w:ascii="Arial" w:cs="Arial" w:eastAsia="Arial" w:hAnsi="Arial"/>
                <w:sz w:val="16"/>
                <w:szCs w:val="16"/>
                <w:b w:val="1"/>
                <w:bCs w:val="1"/>
                <w:color w:val="auto"/>
              </w:rPr>
              <w:t>1,331</w:t>
            </w:r>
          </w:p>
        </w:tc>
        <w:tc>
          <w:tcPr>
            <w:tcW w:w="240" w:type="dxa"/>
            <w:vAlign w:val="bottom"/>
            <w:tcBorders>
              <w:top w:val="single" w:sz="8" w:color="E0FFFF"/>
            </w:tcBorders>
            <w:shd w:val="clear" w:color="auto" w:fill="E0FFFF"/>
          </w:tcPr>
          <w:p>
            <w:pPr>
              <w:spacing w:after="0"/>
              <w:rPr>
                <w:sz w:val="17"/>
                <w:szCs w:val="17"/>
                <w:color w:val="auto"/>
              </w:rPr>
            </w:pPr>
          </w:p>
        </w:tc>
        <w:tc>
          <w:tcPr>
            <w:tcW w:w="1600" w:type="dxa"/>
            <w:vAlign w:val="bottom"/>
            <w:tcBorders>
              <w:top w:val="single" w:sz="8" w:color="auto"/>
              <w:bottom w:val="single" w:sz="8" w:color="auto"/>
            </w:tcBorders>
            <w:shd w:val="clear" w:color="auto" w:fill="E0FFFF"/>
          </w:tcPr>
          <w:p>
            <w:pPr>
              <w:jc w:val="right"/>
              <w:spacing w:after="0"/>
              <w:rPr>
                <w:sz w:val="20"/>
                <w:szCs w:val="20"/>
                <w:color w:val="auto"/>
              </w:rPr>
            </w:pPr>
            <w:r>
              <w:rPr>
                <w:rFonts w:ascii="Arial" w:cs="Arial" w:eastAsia="Arial" w:hAnsi="Arial"/>
                <w:sz w:val="16"/>
                <w:szCs w:val="16"/>
                <w:b w:val="1"/>
                <w:bCs w:val="1"/>
                <w:color w:val="auto"/>
              </w:rPr>
              <w:t>35,286</w:t>
            </w:r>
          </w:p>
        </w:tc>
        <w:tc>
          <w:tcPr>
            <w:tcW w:w="220" w:type="dxa"/>
            <w:vAlign w:val="bottom"/>
            <w:tcBorders>
              <w:top w:val="single" w:sz="8" w:color="E0FFFF"/>
            </w:tcBorders>
            <w:shd w:val="clear" w:color="auto" w:fill="E0FFFF"/>
          </w:tcPr>
          <w:p>
            <w:pPr>
              <w:spacing w:after="0"/>
              <w:rPr>
                <w:sz w:val="17"/>
                <w:szCs w:val="17"/>
                <w:color w:val="auto"/>
              </w:rPr>
            </w:pPr>
          </w:p>
        </w:tc>
        <w:tc>
          <w:tcPr>
            <w:tcW w:w="1600" w:type="dxa"/>
            <w:vAlign w:val="bottom"/>
            <w:tcBorders>
              <w:top w:val="single" w:sz="8" w:color="auto"/>
              <w:bottom w:val="single" w:sz="8" w:color="auto"/>
            </w:tcBorders>
            <w:shd w:val="clear" w:color="auto" w:fill="E0FFFF"/>
          </w:tcPr>
          <w:p>
            <w:pPr>
              <w:jc w:val="right"/>
              <w:spacing w:after="0"/>
              <w:rPr>
                <w:sz w:val="20"/>
                <w:szCs w:val="20"/>
                <w:color w:val="auto"/>
              </w:rPr>
            </w:pPr>
            <w:r>
              <w:rPr>
                <w:rFonts w:ascii="Arial" w:cs="Arial" w:eastAsia="Arial" w:hAnsi="Arial"/>
                <w:sz w:val="16"/>
                <w:szCs w:val="16"/>
                <w:b w:val="1"/>
                <w:bCs w:val="1"/>
                <w:color w:val="auto"/>
              </w:rPr>
              <w:t>36,617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6"/>
                <w:szCs w:val="16"/>
                <w:color w:val="auto"/>
              </w:rPr>
              <w:t>Financial costs</w:t>
            </w:r>
          </w:p>
        </w:tc>
        <w:tc>
          <w:tcPr>
            <w:tcW w:w="1600" w:type="dxa"/>
            <w:vAlign w:val="bottom"/>
          </w:tcPr>
          <w:p>
            <w:pPr>
              <w:jc w:val="right"/>
              <w:spacing w:after="0"/>
              <w:rPr>
                <w:sz w:val="20"/>
                <w:szCs w:val="20"/>
                <w:color w:val="auto"/>
              </w:rPr>
            </w:pPr>
            <w:r>
              <w:rPr>
                <w:rFonts w:ascii="Arial" w:cs="Arial" w:eastAsia="Arial" w:hAnsi="Arial"/>
                <w:sz w:val="16"/>
                <w:szCs w:val="16"/>
                <w:color w:val="auto"/>
              </w:rPr>
              <w:t>(394</w:t>
            </w:r>
          </w:p>
        </w:tc>
        <w:tc>
          <w:tcPr>
            <w:tcW w:w="240" w:type="dxa"/>
            <w:vAlign w:val="bottom"/>
          </w:tcPr>
          <w:p>
            <w:pPr>
              <w:jc w:val="right"/>
              <w:ind w:right="99"/>
              <w:spacing w:after="0"/>
              <w:rPr>
                <w:sz w:val="20"/>
                <w:szCs w:val="20"/>
                <w:color w:val="auto"/>
              </w:rPr>
            </w:pPr>
            <w:r>
              <w:rPr>
                <w:rFonts w:ascii="Arial" w:cs="Arial" w:eastAsia="Arial" w:hAnsi="Arial"/>
                <w:sz w:val="16"/>
                <w:szCs w:val="16"/>
                <w:color w:val="auto"/>
                <w:w w:val="74"/>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(14,552</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(14,946)</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84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3</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579</w:t>
            </w:r>
          </w:p>
        </w:tc>
        <w:tc>
          <w:tcPr>
            <w:tcW w:w="22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Gain on derivatives</w:t>
            </w:r>
          </w:p>
        </w:tc>
        <w:tc>
          <w:tcPr>
            <w:tcW w:w="18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1,588</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1,588</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(391</w:t>
            </w:r>
          </w:p>
        </w:tc>
        <w:tc>
          <w:tcPr>
            <w:tcW w:w="240" w:type="dxa"/>
            <w:vAlign w:val="bottom"/>
            <w:tcBorders>
              <w:top w:val="single" w:sz="8" w:color="E5FFFF"/>
            </w:tcBorders>
            <w:shd w:val="clear" w:color="auto" w:fill="E5FFFF"/>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(12,385</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(12,776</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940</w:t>
            </w:r>
          </w:p>
        </w:tc>
        <w:tc>
          <w:tcPr>
            <w:tcW w:w="24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22,901</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23,841</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5300" w:type="dxa"/>
            <w:vAlign w:val="bottom"/>
            <w:gridSpan w:val="8"/>
          </w:tcPr>
          <w:p>
            <w:pPr>
              <w:jc w:val="center"/>
              <w:ind w:right="40"/>
              <w:spacing w:after="0"/>
              <w:rPr>
                <w:sz w:val="20"/>
                <w:szCs w:val="20"/>
                <w:color w:val="auto"/>
              </w:rPr>
            </w:pPr>
            <w:r>
              <w:rPr>
                <w:rFonts w:ascii="Arial" w:cs="Arial" w:eastAsia="Arial" w:hAnsi="Arial"/>
                <w:sz w:val="16"/>
                <w:szCs w:val="16"/>
                <w:b w:val="1"/>
                <w:bCs w:val="1"/>
                <w:color w:val="auto"/>
                <w:w w:val="90"/>
              </w:rPr>
              <w:t>For the three months ended September 30, 2018</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380" w:type="dxa"/>
            <w:vAlign w:val="bottom"/>
          </w:tcPr>
          <w:p>
            <w:pPr>
              <w:jc w:val="center"/>
              <w:ind w:left="139"/>
              <w:spacing w:after="0"/>
              <w:rPr>
                <w:sz w:val="20"/>
                <w:szCs w:val="20"/>
                <w:color w:val="auto"/>
              </w:rPr>
            </w:pPr>
            <w:r>
              <w:rPr>
                <w:rFonts w:ascii="Arial" w:cs="Arial" w:eastAsia="Arial" w:hAnsi="Arial"/>
                <w:sz w:val="16"/>
                <w:szCs w:val="16"/>
                <w:b w:val="1"/>
                <w:bCs w:val="1"/>
                <w:color w:val="auto"/>
                <w:w w:val="89"/>
              </w:rPr>
              <w:t>Results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4"/>
              </w:rPr>
              <w:t>Partnership</w:t>
            </w:r>
          </w:p>
        </w:tc>
        <w:tc>
          <w:tcPr>
            <w:tcW w:w="16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203"/>
        </w:trPr>
        <w:tc>
          <w:tcPr>
            <w:tcW w:w="606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380" w:type="dxa"/>
            <w:vAlign w:val="bottom"/>
          </w:tcPr>
          <w:p>
            <w:pPr>
              <w:jc w:val="center"/>
              <w:ind w:left="139"/>
              <w:spacing w:after="0"/>
              <w:rPr>
                <w:sz w:val="20"/>
                <w:szCs w:val="20"/>
                <w:color w:val="auto"/>
              </w:rPr>
            </w:pPr>
            <w:r>
              <w:rPr>
                <w:rFonts w:ascii="Arial" w:cs="Arial" w:eastAsia="Arial" w:hAnsi="Arial"/>
                <w:sz w:val="16"/>
                <w:szCs w:val="16"/>
                <w:b w:val="1"/>
                <w:bCs w:val="1"/>
                <w:color w:val="auto"/>
                <w:w w:val="93"/>
              </w:rPr>
              <w:t>attributable to</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1"/>
              </w:rPr>
              <w:t>Performance</w:t>
            </w:r>
          </w:p>
        </w:tc>
        <w:tc>
          <w:tcPr>
            <w:tcW w:w="16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Control</w:t>
            </w:r>
          </w:p>
        </w:tc>
        <w:tc>
          <w:tcPr>
            <w:tcW w:w="0" w:type="dxa"/>
            <w:vAlign w:val="bottom"/>
          </w:tcPr>
          <w:p>
            <w:pPr>
              <w:spacing w:after="0"/>
              <w:rPr>
                <w:sz w:val="1"/>
                <w:szCs w:val="1"/>
                <w:color w:val="auto"/>
              </w:rPr>
            </w:pPr>
          </w:p>
        </w:tc>
      </w:tr>
      <w:tr>
        <w:trPr>
          <w:trHeight w:val="102"/>
        </w:trPr>
        <w:tc>
          <w:tcPr>
            <w:tcW w:w="6060" w:type="dxa"/>
            <w:vAlign w:val="bottom"/>
            <w:vMerge w:val="continue"/>
          </w:tcPr>
          <w:p>
            <w:pPr>
              <w:spacing w:after="0"/>
              <w:rPr>
                <w:sz w:val="8"/>
                <w:szCs w:val="8"/>
                <w:color w:val="auto"/>
              </w:rPr>
            </w:pPr>
          </w:p>
        </w:tc>
        <w:tc>
          <w:tcPr>
            <w:tcW w:w="1380" w:type="dxa"/>
            <w:vAlign w:val="bottom"/>
            <w:vMerge w:val="restart"/>
          </w:tcPr>
          <w:p>
            <w:pPr>
              <w:jc w:val="center"/>
              <w:ind w:left="159"/>
              <w:spacing w:after="0"/>
              <w:rPr>
                <w:sz w:val="20"/>
                <w:szCs w:val="20"/>
                <w:color w:val="auto"/>
              </w:rPr>
            </w:pPr>
            <w:r>
              <w:rPr>
                <w:rFonts w:ascii="Arial" w:cs="Arial" w:eastAsia="Arial" w:hAnsi="Arial"/>
                <w:sz w:val="16"/>
                <w:szCs w:val="16"/>
                <w:b w:val="1"/>
                <w:bCs w:val="1"/>
                <w:color w:val="auto"/>
                <w:w w:val="90"/>
              </w:rPr>
              <w:t>GasLog</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20" w:type="dxa"/>
            <w:vAlign w:val="bottom"/>
            <w:gridSpan w:val="2"/>
            <w:vMerge w:val="restart"/>
          </w:tcPr>
          <w:p>
            <w:pPr>
              <w:jc w:val="center"/>
              <w:ind w:right="139"/>
              <w:spacing w:after="0"/>
              <w:rPr>
                <w:sz w:val="20"/>
                <w:szCs w:val="20"/>
                <w:color w:val="auto"/>
              </w:rPr>
            </w:pPr>
            <w:r>
              <w:rPr>
                <w:rFonts w:ascii="Arial" w:cs="Arial" w:eastAsia="Arial" w:hAnsi="Arial"/>
                <w:sz w:val="16"/>
                <w:szCs w:val="16"/>
                <w:b w:val="1"/>
                <w:bCs w:val="1"/>
                <w:color w:val="auto"/>
                <w:w w:val="89"/>
              </w:rPr>
              <w:t>Results</w:t>
            </w:r>
          </w:p>
        </w:tc>
        <w:tc>
          <w:tcPr>
            <w:tcW w:w="1640" w:type="dxa"/>
            <w:vAlign w:val="bottom"/>
            <w:gridSpan w:val="3"/>
            <w:vMerge w:val="restart"/>
          </w:tcPr>
          <w:p>
            <w:pPr>
              <w:jc w:val="center"/>
              <w:ind w:right="40"/>
              <w:spacing w:after="0"/>
              <w:rPr>
                <w:sz w:val="20"/>
                <w:szCs w:val="20"/>
                <w:color w:val="auto"/>
              </w:rPr>
            </w:pPr>
            <w:r>
              <w:rPr>
                <w:rFonts w:ascii="Arial" w:cs="Arial" w:eastAsia="Arial" w:hAnsi="Arial"/>
                <w:sz w:val="16"/>
                <w:szCs w:val="16"/>
                <w:b w:val="1"/>
                <w:bCs w:val="1"/>
                <w:color w:val="auto"/>
                <w:w w:val="90"/>
              </w:rPr>
              <w:t>Reported Results</w:t>
            </w: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38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ind w:left="6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81,887</w:t>
            </w:r>
          </w:p>
        </w:tc>
        <w:tc>
          <w:tcPr>
            <w:tcW w:w="2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81,887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Net pool allocation</w:t>
            </w:r>
          </w:p>
        </w:tc>
        <w:tc>
          <w:tcPr>
            <w:tcW w:w="138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780</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380" w:type="dxa"/>
            <w:vAlign w:val="bottom"/>
            <w:shd w:val="clear" w:color="auto" w:fill="E5FFFF"/>
          </w:tcPr>
          <w:p>
            <w:pPr>
              <w:spacing w:after="0"/>
              <w:rPr>
                <w:sz w:val="17"/>
                <w:szCs w:val="17"/>
                <w:color w:val="auto"/>
              </w:rPr>
            </w:pPr>
          </w:p>
        </w:tc>
        <w:tc>
          <w:tcPr>
            <w:tcW w:w="460" w:type="dxa"/>
            <w:vAlign w:val="bottom"/>
            <w:gridSpan w:val="2"/>
            <w:shd w:val="clear" w:color="auto" w:fill="E5FFFF"/>
          </w:tcPr>
          <w:p>
            <w:pPr>
              <w:ind w:left="6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(3,359)</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(3,359)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38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79"/>
              <w:spacing w:after="0"/>
              <w:rPr>
                <w:sz w:val="20"/>
                <w:szCs w:val="20"/>
                <w:color w:val="auto"/>
              </w:rPr>
            </w:pPr>
            <w:r>
              <w:rPr>
                <w:rFonts w:ascii="Arial" w:cs="Arial" w:eastAsia="Arial" w:hAnsi="Arial"/>
                <w:sz w:val="16"/>
                <w:szCs w:val="16"/>
                <w:color w:val="auto"/>
              </w:rPr>
              <w:t>(15,765)</w:t>
            </w:r>
          </w:p>
        </w:tc>
        <w:tc>
          <w:tcPr>
            <w:tcW w:w="1600" w:type="dxa"/>
            <w:vAlign w:val="bottom"/>
          </w:tcPr>
          <w:p>
            <w:pPr>
              <w:jc w:val="right"/>
              <w:spacing w:after="0"/>
              <w:rPr>
                <w:sz w:val="20"/>
                <w:szCs w:val="20"/>
                <w:color w:val="auto"/>
              </w:rPr>
            </w:pPr>
            <w:r>
              <w:rPr>
                <w:rFonts w:ascii="Arial" w:cs="Arial" w:eastAsia="Arial" w:hAnsi="Arial"/>
                <w:sz w:val="16"/>
                <w:szCs w:val="16"/>
                <w:color w:val="auto"/>
              </w:rPr>
              <w:t>(15,765)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380" w:type="dxa"/>
            <w:vAlign w:val="bottom"/>
            <w:shd w:val="clear" w:color="auto" w:fill="E5FFFF"/>
          </w:tcPr>
          <w:p>
            <w:pPr>
              <w:spacing w:after="0"/>
              <w:rPr>
                <w:sz w:val="17"/>
                <w:szCs w:val="17"/>
                <w:color w:val="auto"/>
              </w:rPr>
            </w:pPr>
          </w:p>
        </w:tc>
        <w:tc>
          <w:tcPr>
            <w:tcW w:w="460" w:type="dxa"/>
            <w:vAlign w:val="bottom"/>
            <w:gridSpan w:val="2"/>
            <w:shd w:val="clear" w:color="auto" w:fill="E5FFFF"/>
          </w:tcPr>
          <w:p>
            <w:pPr>
              <w:ind w:left="6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(18,710)</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(18,710)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38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79"/>
              <w:spacing w:after="0"/>
              <w:rPr>
                <w:sz w:val="20"/>
                <w:szCs w:val="20"/>
                <w:color w:val="auto"/>
              </w:rPr>
            </w:pPr>
            <w:r>
              <w:rPr>
                <w:rFonts w:ascii="Arial" w:cs="Arial" w:eastAsia="Arial" w:hAnsi="Arial"/>
                <w:sz w:val="16"/>
                <w:szCs w:val="16"/>
                <w:color w:val="auto"/>
              </w:rPr>
              <w:t>(4,693)</w:t>
            </w:r>
          </w:p>
        </w:tc>
        <w:tc>
          <w:tcPr>
            <w:tcW w:w="1600" w:type="dxa"/>
            <w:vAlign w:val="bottom"/>
          </w:tcPr>
          <w:p>
            <w:pPr>
              <w:jc w:val="right"/>
              <w:spacing w:after="0"/>
              <w:rPr>
                <w:sz w:val="20"/>
                <w:szCs w:val="20"/>
                <w:color w:val="auto"/>
              </w:rPr>
            </w:pPr>
            <w:r>
              <w:rPr>
                <w:rFonts w:ascii="Arial" w:cs="Arial" w:eastAsia="Arial" w:hAnsi="Arial"/>
                <w:sz w:val="16"/>
                <w:szCs w:val="16"/>
                <w:color w:val="auto"/>
              </w:rPr>
              <w:t>(4,693)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80" w:type="dxa"/>
            <w:vAlign w:val="bottom"/>
            <w:tcBorders>
              <w:top w:val="single" w:sz="8" w:color="auto"/>
              <w:bottom w:val="single" w:sz="8" w:color="auto"/>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ind w:left="6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40,140</w:t>
            </w:r>
          </w:p>
        </w:tc>
        <w:tc>
          <w:tcPr>
            <w:tcW w:w="2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40,140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6"/>
                <w:szCs w:val="16"/>
                <w:color w:val="auto"/>
              </w:rPr>
              <w:t>Financial costs</w:t>
            </w:r>
          </w:p>
        </w:tc>
        <w:tc>
          <w:tcPr>
            <w:tcW w:w="138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(15,533</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(15,533)</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80" w:type="dxa"/>
            <w:vAlign w:val="bottom"/>
            <w:shd w:val="clear" w:color="auto" w:fill="E5FFFF"/>
          </w:tcPr>
          <w:p>
            <w:pPr>
              <w:spacing w:after="0"/>
              <w:rPr>
                <w:sz w:val="17"/>
                <w:szCs w:val="17"/>
                <w:color w:val="auto"/>
              </w:rPr>
            </w:pPr>
          </w:p>
        </w:tc>
        <w:tc>
          <w:tcPr>
            <w:tcW w:w="460" w:type="dxa"/>
            <w:vAlign w:val="bottom"/>
            <w:gridSpan w:val="2"/>
            <w:shd w:val="clear" w:color="auto" w:fill="E5FFFF"/>
          </w:tcPr>
          <w:p>
            <w:pPr>
              <w:ind w:left="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581</w:t>
            </w:r>
          </w:p>
        </w:tc>
        <w:tc>
          <w:tcPr>
            <w:tcW w:w="22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Gain on derivatives</w:t>
            </w:r>
          </w:p>
        </w:tc>
        <w:tc>
          <w:tcPr>
            <w:tcW w:w="138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2,082</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2,082</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380" w:type="dxa"/>
            <w:vAlign w:val="bottom"/>
            <w:tcBorders>
              <w:top w:val="single" w:sz="8" w:color="auto"/>
              <w:bottom w:val="single" w:sz="8" w:color="auto"/>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ind w:left="6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(12,870</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(12,870</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EBITDA is defined as earnings before interest income and expense, gain/loss on derivatives, taxes, depreciation and amortization. Adjusted Profit represents earnings before</w:t>
      </w:r>
    </w:p>
    <w:p>
      <w:pPr>
        <w:spacing w:after="0" w:line="45" w:lineRule="exact"/>
        <w:rPr>
          <w:sz w:val="20"/>
          <w:szCs w:val="20"/>
          <w:color w:val="auto"/>
        </w:rPr>
      </w:pPr>
    </w:p>
    <w:p>
      <w:pPr>
        <w:ind w:firstLine="8"/>
        <w:spacing w:after="0" w:line="286" w:lineRule="auto"/>
        <w:tabs>
          <w:tab w:leader="none" w:pos="220" w:val="left"/>
        </w:tabs>
        <w:numPr>
          <w:ilvl w:val="0"/>
          <w:numId w:val="6"/>
        </w:numPr>
        <w:rPr>
          <w:rFonts w:ascii="Arial" w:cs="Arial" w:eastAsia="Arial" w:hAnsi="Arial"/>
          <w:sz w:val="15"/>
          <w:szCs w:val="15"/>
          <w:color w:val="auto"/>
        </w:rPr>
      </w:pPr>
      <w:r>
        <w:rPr>
          <w:rFonts w:ascii="Arial" w:cs="Arial" w:eastAsia="Arial" w:hAnsi="Arial"/>
          <w:sz w:val="15"/>
          <w:szCs w:val="15"/>
          <w:color w:val="auto"/>
        </w:rPr>
        <w:t>non-cash gain/loss on derivatives that includes unrealized gain/loss on derivative financial instruments held for trading and (b) write-off and accelerated amortization of unamortized loan fees. EBITDA and Adjusted Profit,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financial costs, gain/loss on derivatives, taxes, depreciation and amortization; and in the case of Adjusted Profit, non-cash gain/loss on derivatives and write-off of unamortized loan fees, which items are affected by various and possibly changing financing methods, financial market conditions, capital structure and historical cost basis and which items may significantly affect results of operations between periods.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EBITDA and Adjusted Profit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 EBITDA excludes some, but not all, items that affect profit or 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83"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EBITDA and Adjusted Profit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20"/>
                <w:szCs w:val="20"/>
                <w:color w:val="auto"/>
              </w:rPr>
            </w:pPr>
            <w:r>
              <w:rPr>
                <w:rFonts w:ascii="Arial" w:cs="Arial" w:eastAsia="Arial" w:hAnsi="Arial"/>
                <w:sz w:val="16"/>
                <w:szCs w:val="16"/>
                <w:b w:val="1"/>
                <w:bCs w:val="1"/>
                <w:color w:val="auto"/>
              </w:rPr>
              <w:t>Reconciliation of Profit to EBITDA:</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9"/>
        </w:trPr>
        <w:tc>
          <w:tcPr>
            <w:tcW w:w="478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4780" w:type="dxa"/>
            <w:vAlign w:val="bottom"/>
          </w:tcPr>
          <w:p>
            <w:pPr>
              <w:spacing w:after="0"/>
              <w:rPr>
                <w:sz w:val="24"/>
                <w:szCs w:val="24"/>
                <w:color w:val="auto"/>
              </w:rPr>
            </w:pPr>
          </w:p>
        </w:tc>
        <w:tc>
          <w:tcPr>
            <w:tcW w:w="4780" w:type="dxa"/>
            <w:vAlign w:val="bottom"/>
            <w:gridSpan w:val="5"/>
          </w:tcPr>
          <w:p>
            <w:pPr>
              <w:jc w:val="center"/>
              <w:ind w:left="1679"/>
              <w:spacing w:after="0"/>
              <w:rPr>
                <w:sz w:val="20"/>
                <w:szCs w:val="20"/>
                <w:color w:val="auto"/>
              </w:rPr>
            </w:pPr>
            <w:r>
              <w:rPr>
                <w:rFonts w:ascii="Arial" w:cs="Arial" w:eastAsia="Arial" w:hAnsi="Arial"/>
                <w:sz w:val="16"/>
                <w:szCs w:val="16"/>
                <w:b w:val="1"/>
                <w:bCs w:val="1"/>
                <w:color w:val="auto"/>
                <w:w w:val="92"/>
              </w:rPr>
              <w:t>IFRS Common Control Reported Results</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7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For the three months ended</w:t>
            </w:r>
          </w:p>
        </w:tc>
        <w:tc>
          <w:tcPr>
            <w:tcW w:w="17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4780" w:type="dxa"/>
            <w:vAlign w:val="bottom"/>
          </w:tcPr>
          <w:p>
            <w:pPr>
              <w:spacing w:after="0"/>
              <w:rPr>
                <w:sz w:val="20"/>
                <w:szCs w:val="20"/>
                <w:color w:val="auto"/>
              </w:rPr>
            </w:pPr>
          </w:p>
        </w:tc>
        <w:tc>
          <w:tcPr>
            <w:tcW w:w="21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September 30, 2017</w:t>
            </w:r>
          </w:p>
        </w:tc>
        <w:tc>
          <w:tcPr>
            <w:tcW w:w="2680" w:type="dxa"/>
            <w:vAlign w:val="bottom"/>
            <w:gridSpan w:val="3"/>
          </w:tcPr>
          <w:p>
            <w:pPr>
              <w:ind w:left="620"/>
              <w:spacing w:after="0"/>
              <w:rPr>
                <w:sz w:val="20"/>
                <w:szCs w:val="20"/>
                <w:color w:val="auto"/>
              </w:rPr>
            </w:pPr>
            <w:r>
              <w:rPr>
                <w:rFonts w:ascii="Arial" w:cs="Arial" w:eastAsia="Arial" w:hAnsi="Arial"/>
                <w:sz w:val="16"/>
                <w:szCs w:val="16"/>
                <w:b w:val="1"/>
                <w:bCs w:val="1"/>
                <w:color w:val="auto"/>
              </w:rPr>
              <w:t>June 30, 2018</w:t>
            </w:r>
          </w:p>
        </w:tc>
        <w:tc>
          <w:tcPr>
            <w:tcW w:w="18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3"/>
              </w:rPr>
              <w:t>September 30, 2018</w:t>
            </w:r>
          </w:p>
        </w:tc>
      </w:tr>
      <w:tr>
        <w:trPr>
          <w:trHeight w:val="199"/>
        </w:trPr>
        <w:tc>
          <w:tcPr>
            <w:tcW w:w="4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31,007</w:t>
            </w:r>
          </w:p>
        </w:tc>
        <w:tc>
          <w:tcPr>
            <w:tcW w:w="220" w:type="dxa"/>
            <w:vAlign w:val="bottom"/>
            <w:tcBorders>
              <w:top w:val="single" w:sz="8" w:color="E5FFFF"/>
            </w:tcBorders>
            <w:shd w:val="clear" w:color="auto" w:fill="E5FFFF"/>
          </w:tcPr>
          <w:p>
            <w:pPr>
              <w:spacing w:after="0"/>
              <w:rPr>
                <w:sz w:val="17"/>
                <w:szCs w:val="17"/>
                <w:color w:val="auto"/>
              </w:rPr>
            </w:pPr>
          </w:p>
        </w:tc>
        <w:tc>
          <w:tcPr>
            <w:tcW w:w="2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23,841</w:t>
            </w:r>
          </w:p>
        </w:tc>
        <w:tc>
          <w:tcPr>
            <w:tcW w:w="22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1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27,270</w:t>
            </w:r>
          </w:p>
        </w:tc>
        <w:tc>
          <w:tcPr>
            <w:tcW w:w="40" w:type="dxa"/>
            <w:vAlign w:val="bottom"/>
          </w:tcPr>
          <w:p>
            <w:pPr>
              <w:spacing w:after="0"/>
              <w:rPr>
                <w:sz w:val="17"/>
                <w:szCs w:val="17"/>
                <w:color w:val="auto"/>
              </w:rPr>
            </w:pPr>
          </w:p>
        </w:tc>
      </w:tr>
      <w:tr>
        <w:trPr>
          <w:trHeight w:val="227"/>
        </w:trPr>
        <w:tc>
          <w:tcPr>
            <w:tcW w:w="4780" w:type="dxa"/>
            <w:vAlign w:val="bottom"/>
          </w:tcPr>
          <w:p>
            <w:pPr>
              <w:spacing w:after="0"/>
              <w:rPr>
                <w:sz w:val="20"/>
                <w:szCs w:val="20"/>
                <w:color w:val="auto"/>
              </w:rPr>
            </w:pPr>
            <w:r>
              <w:rPr>
                <w:rFonts w:ascii="Arial" w:cs="Arial" w:eastAsia="Arial" w:hAnsi="Arial"/>
                <w:sz w:val="16"/>
                <w:szCs w:val="16"/>
                <w:color w:val="auto"/>
              </w:rPr>
              <w:t>Depreciation</w:t>
            </w:r>
          </w:p>
        </w:tc>
        <w:tc>
          <w:tcPr>
            <w:tcW w:w="1880" w:type="dxa"/>
            <w:vAlign w:val="bottom"/>
          </w:tcPr>
          <w:p>
            <w:pPr>
              <w:jc w:val="right"/>
              <w:spacing w:after="0"/>
              <w:rPr>
                <w:sz w:val="20"/>
                <w:szCs w:val="20"/>
                <w:color w:val="auto"/>
              </w:rPr>
            </w:pPr>
            <w:r>
              <w:rPr>
                <w:rFonts w:ascii="Arial" w:cs="Arial" w:eastAsia="Arial" w:hAnsi="Arial"/>
                <w:sz w:val="16"/>
                <w:szCs w:val="16"/>
                <w:color w:val="auto"/>
              </w:rPr>
              <w:t>18,532</w:t>
            </w:r>
          </w:p>
        </w:tc>
        <w:tc>
          <w:tcPr>
            <w:tcW w:w="2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18,375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18,710</w:t>
            </w:r>
          </w:p>
        </w:tc>
        <w:tc>
          <w:tcPr>
            <w:tcW w:w="40" w:type="dxa"/>
            <w:vAlign w:val="bottom"/>
          </w:tcPr>
          <w:p>
            <w:pPr>
              <w:spacing w:after="0"/>
              <w:rPr>
                <w:sz w:val="19"/>
                <w:szCs w:val="19"/>
                <w:color w:val="auto"/>
              </w:rPr>
            </w:pPr>
          </w:p>
        </w:tc>
      </w:tr>
      <w:tr>
        <w:trPr>
          <w:trHeight w:val="233"/>
        </w:trPr>
        <w:tc>
          <w:tcPr>
            <w:tcW w:w="478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15,020</w:t>
            </w:r>
          </w:p>
        </w:tc>
        <w:tc>
          <w:tcPr>
            <w:tcW w:w="220" w:type="dxa"/>
            <w:vAlign w:val="bottom"/>
            <w:shd w:val="clear" w:color="auto" w:fill="E5FFFF"/>
          </w:tcPr>
          <w:p>
            <w:pPr>
              <w:spacing w:after="0"/>
              <w:rPr>
                <w:sz w:val="20"/>
                <w:szCs w:val="20"/>
                <w:color w:val="auto"/>
              </w:rPr>
            </w:pPr>
          </w:p>
        </w:tc>
        <w:tc>
          <w:tcPr>
            <w:tcW w:w="2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14,946</w:t>
            </w:r>
          </w:p>
        </w:tc>
        <w:tc>
          <w:tcPr>
            <w:tcW w:w="22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17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15,533</w:t>
            </w:r>
          </w:p>
        </w:tc>
        <w:tc>
          <w:tcPr>
            <w:tcW w:w="40" w:type="dxa"/>
            <w:vAlign w:val="bottom"/>
          </w:tcPr>
          <w:p>
            <w:pPr>
              <w:spacing w:after="0"/>
              <w:rPr>
                <w:sz w:val="20"/>
                <w:szCs w:val="20"/>
                <w:color w:val="auto"/>
              </w:rPr>
            </w:pPr>
          </w:p>
        </w:tc>
      </w:tr>
      <w:tr>
        <w:trPr>
          <w:trHeight w:val="227"/>
        </w:trPr>
        <w:tc>
          <w:tcPr>
            <w:tcW w:w="4780" w:type="dxa"/>
            <w:vAlign w:val="bottom"/>
          </w:tcPr>
          <w:p>
            <w:pPr>
              <w:spacing w:after="0"/>
              <w:rPr>
                <w:sz w:val="20"/>
                <w:szCs w:val="20"/>
                <w:color w:val="auto"/>
              </w:rPr>
            </w:pPr>
            <w:r>
              <w:rPr>
                <w:rFonts w:ascii="Arial" w:cs="Arial" w:eastAsia="Arial" w:hAnsi="Arial"/>
                <w:sz w:val="16"/>
                <w:szCs w:val="16"/>
                <w:color w:val="auto"/>
              </w:rPr>
              <w:t>Financial income</w:t>
            </w:r>
          </w:p>
        </w:tc>
        <w:tc>
          <w:tcPr>
            <w:tcW w:w="2100" w:type="dxa"/>
            <w:vAlign w:val="bottom"/>
            <w:gridSpan w:val="2"/>
          </w:tcPr>
          <w:p>
            <w:pPr>
              <w:jc w:val="right"/>
              <w:ind w:right="180"/>
              <w:spacing w:after="0"/>
              <w:rPr>
                <w:sz w:val="20"/>
                <w:szCs w:val="20"/>
                <w:color w:val="auto"/>
              </w:rPr>
            </w:pPr>
            <w:r>
              <w:rPr>
                <w:rFonts w:ascii="Arial" w:cs="Arial" w:eastAsia="Arial" w:hAnsi="Arial"/>
                <w:sz w:val="16"/>
                <w:szCs w:val="16"/>
                <w:color w:val="auto"/>
              </w:rPr>
              <w:t>(321)</w:t>
            </w:r>
          </w:p>
        </w:tc>
        <w:tc>
          <w:tcPr>
            <w:tcW w:w="2420" w:type="dxa"/>
            <w:vAlign w:val="bottom"/>
            <w:gridSpan w:val="2"/>
          </w:tcPr>
          <w:p>
            <w:pPr>
              <w:jc w:val="right"/>
              <w:ind w:right="180"/>
              <w:spacing w:after="0"/>
              <w:rPr>
                <w:sz w:val="20"/>
                <w:szCs w:val="20"/>
                <w:color w:val="auto"/>
              </w:rPr>
            </w:pPr>
            <w:r>
              <w:rPr>
                <w:rFonts w:ascii="Arial" w:cs="Arial" w:eastAsia="Arial" w:hAnsi="Arial"/>
                <w:sz w:val="16"/>
                <w:szCs w:val="16"/>
                <w:color w:val="auto"/>
              </w:rPr>
              <w:t>(582)</w:t>
            </w:r>
          </w:p>
        </w:tc>
        <w:tc>
          <w:tcPr>
            <w:tcW w:w="2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(581)</w:t>
            </w:r>
          </w:p>
        </w:tc>
      </w:tr>
      <w:tr>
        <w:trPr>
          <w:trHeight w:val="233"/>
        </w:trPr>
        <w:tc>
          <w:tcPr>
            <w:tcW w:w="478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1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672</w:t>
            </w:r>
          </w:p>
        </w:tc>
        <w:tc>
          <w:tcPr>
            <w:tcW w:w="220" w:type="dxa"/>
            <w:vAlign w:val="bottom"/>
            <w:shd w:val="clear" w:color="auto" w:fill="E5FFFF"/>
          </w:tcPr>
          <w:p>
            <w:pPr>
              <w:spacing w:after="0"/>
              <w:rPr>
                <w:sz w:val="20"/>
                <w:szCs w:val="20"/>
                <w:color w:val="auto"/>
              </w:rPr>
            </w:pPr>
          </w:p>
        </w:tc>
        <w:tc>
          <w:tcPr>
            <w:tcW w:w="24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(1,588)</w:t>
            </w:r>
          </w:p>
        </w:tc>
        <w:tc>
          <w:tcPr>
            <w:tcW w:w="260" w:type="dxa"/>
            <w:vAlign w:val="bottom"/>
            <w:shd w:val="clear" w:color="auto" w:fill="E5FFFF"/>
          </w:tcPr>
          <w:p>
            <w:pPr>
              <w:spacing w:after="0"/>
              <w:rPr>
                <w:sz w:val="20"/>
                <w:szCs w:val="20"/>
                <w:color w:val="auto"/>
              </w:rPr>
            </w:pPr>
          </w:p>
        </w:tc>
        <w:tc>
          <w:tcPr>
            <w:tcW w:w="17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(2,082)</w:t>
            </w:r>
          </w:p>
        </w:tc>
        <w:tc>
          <w:tcPr>
            <w:tcW w:w="40" w:type="dxa"/>
            <w:vAlign w:val="bottom"/>
          </w:tcPr>
          <w:p>
            <w:pPr>
              <w:spacing w:after="0"/>
              <w:rPr>
                <w:sz w:val="20"/>
                <w:szCs w:val="20"/>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64,910</w:t>
            </w:r>
          </w:p>
        </w:tc>
        <w:tc>
          <w:tcPr>
            <w:tcW w:w="220" w:type="dxa"/>
            <w:vAlign w:val="bottom"/>
          </w:tcPr>
          <w:p>
            <w:pPr>
              <w:spacing w:after="0"/>
              <w:rPr>
                <w:sz w:val="17"/>
                <w:szCs w:val="17"/>
                <w:color w:val="auto"/>
              </w:rPr>
            </w:pP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54,992</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58,850</w:t>
            </w:r>
          </w:p>
        </w:tc>
        <w:tc>
          <w:tcPr>
            <w:tcW w:w="40" w:type="dxa"/>
            <w:vAlign w:val="bottom"/>
          </w:tcPr>
          <w:p>
            <w:pPr>
              <w:spacing w:after="0"/>
              <w:rPr>
                <w:sz w:val="17"/>
                <w:szCs w:val="17"/>
                <w:color w:val="auto"/>
              </w:rPr>
            </w:pPr>
          </w:p>
        </w:tc>
      </w:tr>
      <w:tr>
        <w:trPr>
          <w:trHeight w:val="20"/>
        </w:trPr>
        <w:tc>
          <w:tcPr>
            <w:tcW w:w="47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09"/>
        </w:trPr>
        <w:tc>
          <w:tcPr>
            <w:tcW w:w="4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Partnership Performance Results</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7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For the three months ended</w:t>
            </w:r>
          </w:p>
        </w:tc>
        <w:tc>
          <w:tcPr>
            <w:tcW w:w="17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4780" w:type="dxa"/>
            <w:vAlign w:val="bottom"/>
          </w:tcPr>
          <w:p>
            <w:pPr>
              <w:spacing w:after="0"/>
              <w:rPr>
                <w:sz w:val="20"/>
                <w:szCs w:val="20"/>
                <w:color w:val="auto"/>
              </w:rPr>
            </w:pPr>
          </w:p>
        </w:tc>
        <w:tc>
          <w:tcPr>
            <w:tcW w:w="21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September 30, 2017</w:t>
            </w:r>
          </w:p>
        </w:tc>
        <w:tc>
          <w:tcPr>
            <w:tcW w:w="2680" w:type="dxa"/>
            <w:vAlign w:val="bottom"/>
            <w:gridSpan w:val="3"/>
          </w:tcPr>
          <w:p>
            <w:pPr>
              <w:ind w:left="620"/>
              <w:spacing w:after="0"/>
              <w:rPr>
                <w:sz w:val="20"/>
                <w:szCs w:val="20"/>
                <w:color w:val="auto"/>
              </w:rPr>
            </w:pPr>
            <w:r>
              <w:rPr>
                <w:rFonts w:ascii="Arial" w:cs="Arial" w:eastAsia="Arial" w:hAnsi="Arial"/>
                <w:sz w:val="16"/>
                <w:szCs w:val="16"/>
                <w:b w:val="1"/>
                <w:bCs w:val="1"/>
                <w:color w:val="auto"/>
              </w:rPr>
              <w:t>June 30, 2018</w:t>
            </w:r>
          </w:p>
        </w:tc>
        <w:tc>
          <w:tcPr>
            <w:tcW w:w="18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3"/>
              </w:rPr>
              <w:t>September 30, 2018</w:t>
            </w:r>
          </w:p>
        </w:tc>
      </w:tr>
      <w:tr>
        <w:trPr>
          <w:trHeight w:val="199"/>
        </w:trPr>
        <w:tc>
          <w:tcPr>
            <w:tcW w:w="4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25,299</w:t>
            </w:r>
          </w:p>
        </w:tc>
        <w:tc>
          <w:tcPr>
            <w:tcW w:w="220" w:type="dxa"/>
            <w:vAlign w:val="bottom"/>
            <w:tcBorders>
              <w:top w:val="single" w:sz="8" w:color="E5FFFF"/>
            </w:tcBorders>
            <w:shd w:val="clear" w:color="auto" w:fill="E5FFFF"/>
          </w:tcPr>
          <w:p>
            <w:pPr>
              <w:spacing w:after="0"/>
              <w:rPr>
                <w:sz w:val="17"/>
                <w:szCs w:val="17"/>
                <w:color w:val="auto"/>
              </w:rPr>
            </w:pPr>
          </w:p>
        </w:tc>
        <w:tc>
          <w:tcPr>
            <w:tcW w:w="2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22,901</w:t>
            </w:r>
          </w:p>
        </w:tc>
        <w:tc>
          <w:tcPr>
            <w:tcW w:w="22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1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27,270</w:t>
            </w:r>
          </w:p>
        </w:tc>
        <w:tc>
          <w:tcPr>
            <w:tcW w:w="40" w:type="dxa"/>
            <w:vAlign w:val="bottom"/>
          </w:tcPr>
          <w:p>
            <w:pPr>
              <w:spacing w:after="0"/>
              <w:rPr>
                <w:sz w:val="17"/>
                <w:szCs w:val="17"/>
                <w:color w:val="auto"/>
              </w:rPr>
            </w:pPr>
          </w:p>
        </w:tc>
      </w:tr>
      <w:tr>
        <w:trPr>
          <w:trHeight w:val="227"/>
        </w:trPr>
        <w:tc>
          <w:tcPr>
            <w:tcW w:w="4780" w:type="dxa"/>
            <w:vAlign w:val="bottom"/>
          </w:tcPr>
          <w:p>
            <w:pPr>
              <w:spacing w:after="0"/>
              <w:rPr>
                <w:sz w:val="20"/>
                <w:szCs w:val="20"/>
                <w:color w:val="auto"/>
              </w:rPr>
            </w:pPr>
            <w:r>
              <w:rPr>
                <w:rFonts w:ascii="Arial" w:cs="Arial" w:eastAsia="Arial" w:hAnsi="Arial"/>
                <w:sz w:val="16"/>
                <w:szCs w:val="16"/>
                <w:color w:val="auto"/>
              </w:rPr>
              <w:t>Depreciation</w:t>
            </w:r>
          </w:p>
        </w:tc>
        <w:tc>
          <w:tcPr>
            <w:tcW w:w="1880" w:type="dxa"/>
            <w:vAlign w:val="bottom"/>
          </w:tcPr>
          <w:p>
            <w:pPr>
              <w:jc w:val="right"/>
              <w:spacing w:after="0"/>
              <w:rPr>
                <w:sz w:val="20"/>
                <w:szCs w:val="20"/>
                <w:color w:val="auto"/>
              </w:rPr>
            </w:pPr>
            <w:r>
              <w:rPr>
                <w:rFonts w:ascii="Arial" w:cs="Arial" w:eastAsia="Arial" w:hAnsi="Arial"/>
                <w:sz w:val="16"/>
                <w:szCs w:val="16"/>
                <w:color w:val="auto"/>
              </w:rPr>
              <w:t>15,580</w:t>
            </w:r>
          </w:p>
        </w:tc>
        <w:tc>
          <w:tcPr>
            <w:tcW w:w="2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17,974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18,710</w:t>
            </w:r>
          </w:p>
        </w:tc>
        <w:tc>
          <w:tcPr>
            <w:tcW w:w="40" w:type="dxa"/>
            <w:vAlign w:val="bottom"/>
          </w:tcPr>
          <w:p>
            <w:pPr>
              <w:spacing w:after="0"/>
              <w:rPr>
                <w:sz w:val="19"/>
                <w:szCs w:val="19"/>
                <w:color w:val="auto"/>
              </w:rPr>
            </w:pPr>
          </w:p>
        </w:tc>
      </w:tr>
      <w:tr>
        <w:trPr>
          <w:trHeight w:val="233"/>
        </w:trPr>
        <w:tc>
          <w:tcPr>
            <w:tcW w:w="478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12,289</w:t>
            </w:r>
          </w:p>
        </w:tc>
        <w:tc>
          <w:tcPr>
            <w:tcW w:w="220" w:type="dxa"/>
            <w:vAlign w:val="bottom"/>
            <w:shd w:val="clear" w:color="auto" w:fill="E5FFFF"/>
          </w:tcPr>
          <w:p>
            <w:pPr>
              <w:spacing w:after="0"/>
              <w:rPr>
                <w:sz w:val="20"/>
                <w:szCs w:val="20"/>
                <w:color w:val="auto"/>
              </w:rPr>
            </w:pPr>
          </w:p>
        </w:tc>
        <w:tc>
          <w:tcPr>
            <w:tcW w:w="2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14,552</w:t>
            </w:r>
          </w:p>
        </w:tc>
        <w:tc>
          <w:tcPr>
            <w:tcW w:w="22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17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15,533</w:t>
            </w:r>
          </w:p>
        </w:tc>
        <w:tc>
          <w:tcPr>
            <w:tcW w:w="40" w:type="dxa"/>
            <w:vAlign w:val="bottom"/>
          </w:tcPr>
          <w:p>
            <w:pPr>
              <w:spacing w:after="0"/>
              <w:rPr>
                <w:sz w:val="20"/>
                <w:szCs w:val="20"/>
                <w:color w:val="auto"/>
              </w:rPr>
            </w:pPr>
          </w:p>
        </w:tc>
      </w:tr>
      <w:tr>
        <w:trPr>
          <w:trHeight w:val="227"/>
        </w:trPr>
        <w:tc>
          <w:tcPr>
            <w:tcW w:w="4780" w:type="dxa"/>
            <w:vAlign w:val="bottom"/>
          </w:tcPr>
          <w:p>
            <w:pPr>
              <w:spacing w:after="0"/>
              <w:rPr>
                <w:sz w:val="20"/>
                <w:szCs w:val="20"/>
                <w:color w:val="auto"/>
              </w:rPr>
            </w:pPr>
            <w:r>
              <w:rPr>
                <w:rFonts w:ascii="Arial" w:cs="Arial" w:eastAsia="Arial" w:hAnsi="Arial"/>
                <w:sz w:val="16"/>
                <w:szCs w:val="16"/>
                <w:color w:val="auto"/>
              </w:rPr>
              <w:t>Financial income</w:t>
            </w:r>
          </w:p>
        </w:tc>
        <w:tc>
          <w:tcPr>
            <w:tcW w:w="2100" w:type="dxa"/>
            <w:vAlign w:val="bottom"/>
            <w:gridSpan w:val="2"/>
          </w:tcPr>
          <w:p>
            <w:pPr>
              <w:jc w:val="right"/>
              <w:ind w:right="180"/>
              <w:spacing w:after="0"/>
              <w:rPr>
                <w:sz w:val="20"/>
                <w:szCs w:val="20"/>
                <w:color w:val="auto"/>
              </w:rPr>
            </w:pPr>
            <w:r>
              <w:rPr>
                <w:rFonts w:ascii="Arial" w:cs="Arial" w:eastAsia="Arial" w:hAnsi="Arial"/>
                <w:sz w:val="16"/>
                <w:szCs w:val="16"/>
                <w:color w:val="auto"/>
              </w:rPr>
              <w:t>(311)</w:t>
            </w:r>
          </w:p>
        </w:tc>
        <w:tc>
          <w:tcPr>
            <w:tcW w:w="2420" w:type="dxa"/>
            <w:vAlign w:val="bottom"/>
            <w:gridSpan w:val="2"/>
          </w:tcPr>
          <w:p>
            <w:pPr>
              <w:jc w:val="right"/>
              <w:ind w:right="180"/>
              <w:spacing w:after="0"/>
              <w:rPr>
                <w:sz w:val="20"/>
                <w:szCs w:val="20"/>
                <w:color w:val="auto"/>
              </w:rPr>
            </w:pPr>
            <w:r>
              <w:rPr>
                <w:rFonts w:ascii="Arial" w:cs="Arial" w:eastAsia="Arial" w:hAnsi="Arial"/>
                <w:sz w:val="16"/>
                <w:szCs w:val="16"/>
                <w:color w:val="auto"/>
              </w:rPr>
              <w:t>(579)</w:t>
            </w:r>
          </w:p>
        </w:tc>
        <w:tc>
          <w:tcPr>
            <w:tcW w:w="2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(581)</w:t>
            </w:r>
          </w:p>
        </w:tc>
      </w:tr>
      <w:tr>
        <w:trPr>
          <w:trHeight w:val="233"/>
        </w:trPr>
        <w:tc>
          <w:tcPr>
            <w:tcW w:w="478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1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672</w:t>
            </w:r>
          </w:p>
        </w:tc>
        <w:tc>
          <w:tcPr>
            <w:tcW w:w="220" w:type="dxa"/>
            <w:vAlign w:val="bottom"/>
            <w:shd w:val="clear" w:color="auto" w:fill="E5FFFF"/>
          </w:tcPr>
          <w:p>
            <w:pPr>
              <w:spacing w:after="0"/>
              <w:rPr>
                <w:sz w:val="20"/>
                <w:szCs w:val="20"/>
                <w:color w:val="auto"/>
              </w:rPr>
            </w:pPr>
          </w:p>
        </w:tc>
        <w:tc>
          <w:tcPr>
            <w:tcW w:w="24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(1,588)</w:t>
            </w:r>
          </w:p>
        </w:tc>
        <w:tc>
          <w:tcPr>
            <w:tcW w:w="260" w:type="dxa"/>
            <w:vAlign w:val="bottom"/>
            <w:shd w:val="clear" w:color="auto" w:fill="E5FFFF"/>
          </w:tcPr>
          <w:p>
            <w:pPr>
              <w:spacing w:after="0"/>
              <w:rPr>
                <w:sz w:val="20"/>
                <w:szCs w:val="20"/>
                <w:color w:val="auto"/>
              </w:rPr>
            </w:pPr>
          </w:p>
        </w:tc>
        <w:tc>
          <w:tcPr>
            <w:tcW w:w="17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(2,082)</w:t>
            </w:r>
          </w:p>
        </w:tc>
        <w:tc>
          <w:tcPr>
            <w:tcW w:w="40" w:type="dxa"/>
            <w:vAlign w:val="bottom"/>
          </w:tcPr>
          <w:p>
            <w:pPr>
              <w:spacing w:after="0"/>
              <w:rPr>
                <w:sz w:val="20"/>
                <w:szCs w:val="20"/>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53,529</w:t>
            </w:r>
          </w:p>
        </w:tc>
        <w:tc>
          <w:tcPr>
            <w:tcW w:w="220" w:type="dxa"/>
            <w:vAlign w:val="bottom"/>
          </w:tcPr>
          <w:p>
            <w:pPr>
              <w:spacing w:after="0"/>
              <w:rPr>
                <w:sz w:val="17"/>
                <w:szCs w:val="17"/>
                <w:color w:val="auto"/>
              </w:rPr>
            </w:pP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53,260</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58,850</w:t>
            </w:r>
          </w:p>
        </w:tc>
        <w:tc>
          <w:tcPr>
            <w:tcW w:w="40" w:type="dxa"/>
            <w:vAlign w:val="bottom"/>
          </w:tcPr>
          <w:p>
            <w:pPr>
              <w:spacing w:after="0"/>
              <w:rPr>
                <w:sz w:val="17"/>
                <w:szCs w:val="17"/>
                <w:color w:val="auto"/>
              </w:rPr>
            </w:pPr>
          </w:p>
        </w:tc>
      </w:tr>
      <w:tr>
        <w:trPr>
          <w:trHeight w:val="20"/>
        </w:trPr>
        <w:tc>
          <w:tcPr>
            <w:tcW w:w="47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42" w:right="259" w:bottom="0"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9"/>
        </w:trPr>
        <w:tc>
          <w:tcPr>
            <w:tcW w:w="478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4780" w:type="dxa"/>
            <w:vAlign w:val="bottom"/>
          </w:tcPr>
          <w:p>
            <w:pPr>
              <w:spacing w:after="0"/>
              <w:rPr>
                <w:sz w:val="24"/>
                <w:szCs w:val="24"/>
                <w:color w:val="auto"/>
              </w:rPr>
            </w:pPr>
          </w:p>
        </w:tc>
        <w:tc>
          <w:tcPr>
            <w:tcW w:w="4780" w:type="dxa"/>
            <w:vAlign w:val="bottom"/>
            <w:gridSpan w:val="5"/>
          </w:tcPr>
          <w:p>
            <w:pPr>
              <w:jc w:val="center"/>
              <w:ind w:left="1679"/>
              <w:spacing w:after="0"/>
              <w:rPr>
                <w:sz w:val="20"/>
                <w:szCs w:val="20"/>
                <w:color w:val="auto"/>
              </w:rPr>
            </w:pPr>
            <w:r>
              <w:rPr>
                <w:rFonts w:ascii="Arial" w:cs="Arial" w:eastAsia="Arial" w:hAnsi="Arial"/>
                <w:sz w:val="16"/>
                <w:szCs w:val="16"/>
                <w:b w:val="1"/>
                <w:bCs w:val="1"/>
                <w:color w:val="auto"/>
                <w:w w:val="92"/>
              </w:rPr>
              <w:t>IFRS Common Control Reported Results</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7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For the three months ended</w:t>
            </w:r>
          </w:p>
        </w:tc>
        <w:tc>
          <w:tcPr>
            <w:tcW w:w="17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4780" w:type="dxa"/>
            <w:vAlign w:val="bottom"/>
          </w:tcPr>
          <w:p>
            <w:pPr>
              <w:spacing w:after="0"/>
              <w:rPr>
                <w:sz w:val="20"/>
                <w:szCs w:val="20"/>
                <w:color w:val="auto"/>
              </w:rPr>
            </w:pPr>
          </w:p>
        </w:tc>
        <w:tc>
          <w:tcPr>
            <w:tcW w:w="210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 2017</w:t>
            </w:r>
          </w:p>
        </w:tc>
        <w:tc>
          <w:tcPr>
            <w:tcW w:w="2680" w:type="dxa"/>
            <w:vAlign w:val="bottom"/>
            <w:gridSpan w:val="3"/>
          </w:tcPr>
          <w:p>
            <w:pPr>
              <w:ind w:left="620"/>
              <w:spacing w:after="0"/>
              <w:rPr>
                <w:sz w:val="20"/>
                <w:szCs w:val="20"/>
                <w:color w:val="auto"/>
              </w:rPr>
            </w:pPr>
            <w:r>
              <w:rPr>
                <w:rFonts w:ascii="Arial" w:cs="Arial" w:eastAsia="Arial" w:hAnsi="Arial"/>
                <w:sz w:val="16"/>
                <w:szCs w:val="16"/>
                <w:b w:val="1"/>
                <w:bCs w:val="1"/>
                <w:color w:val="auto"/>
              </w:rPr>
              <w:t>June 30, 2018</w:t>
            </w:r>
          </w:p>
        </w:tc>
        <w:tc>
          <w:tcPr>
            <w:tcW w:w="18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3"/>
              </w:rPr>
              <w:t>September 30, 2018</w:t>
            </w:r>
          </w:p>
        </w:tc>
      </w:tr>
      <w:tr>
        <w:trPr>
          <w:trHeight w:val="199"/>
        </w:trPr>
        <w:tc>
          <w:tcPr>
            <w:tcW w:w="4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31,007</w:t>
            </w:r>
          </w:p>
        </w:tc>
        <w:tc>
          <w:tcPr>
            <w:tcW w:w="220" w:type="dxa"/>
            <w:vAlign w:val="bottom"/>
            <w:tcBorders>
              <w:top w:val="single" w:sz="8" w:color="E5FFFF"/>
            </w:tcBorders>
            <w:shd w:val="clear" w:color="auto" w:fill="E5FFFF"/>
          </w:tcPr>
          <w:p>
            <w:pPr>
              <w:spacing w:after="0"/>
              <w:rPr>
                <w:sz w:val="17"/>
                <w:szCs w:val="17"/>
                <w:color w:val="auto"/>
              </w:rPr>
            </w:pPr>
          </w:p>
        </w:tc>
        <w:tc>
          <w:tcPr>
            <w:tcW w:w="2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23,841</w:t>
            </w:r>
          </w:p>
        </w:tc>
        <w:tc>
          <w:tcPr>
            <w:tcW w:w="22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1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27,270</w:t>
            </w:r>
          </w:p>
        </w:tc>
        <w:tc>
          <w:tcPr>
            <w:tcW w:w="40" w:type="dxa"/>
            <w:vAlign w:val="bottom"/>
          </w:tcPr>
          <w:p>
            <w:pPr>
              <w:spacing w:after="0"/>
              <w:rPr>
                <w:sz w:val="17"/>
                <w:szCs w:val="17"/>
                <w:color w:val="auto"/>
              </w:rPr>
            </w:pPr>
          </w:p>
        </w:tc>
      </w:tr>
      <w:tr>
        <w:trPr>
          <w:trHeight w:val="224"/>
        </w:trPr>
        <w:tc>
          <w:tcPr>
            <w:tcW w:w="4780" w:type="dxa"/>
            <w:vAlign w:val="bottom"/>
          </w:tcPr>
          <w:p>
            <w:pPr>
              <w:spacing w:after="0"/>
              <w:rPr>
                <w:sz w:val="20"/>
                <w:szCs w:val="20"/>
                <w:color w:val="auto"/>
              </w:rPr>
            </w:pPr>
            <w:r>
              <w:rPr>
                <w:rFonts w:ascii="Arial" w:cs="Arial" w:eastAsia="Arial" w:hAnsi="Arial"/>
                <w:sz w:val="16"/>
                <w:szCs w:val="16"/>
                <w:color w:val="auto"/>
              </w:rPr>
              <w:t>Non-cash loss/(gain) on derivatives</w:t>
            </w:r>
          </w:p>
        </w:tc>
        <w:tc>
          <w:tcPr>
            <w:tcW w:w="1880" w:type="dxa"/>
            <w:vAlign w:val="bottom"/>
          </w:tcPr>
          <w:p>
            <w:pPr>
              <w:jc w:val="right"/>
              <w:spacing w:after="0"/>
              <w:rPr>
                <w:sz w:val="20"/>
                <w:szCs w:val="20"/>
                <w:color w:val="auto"/>
              </w:rPr>
            </w:pPr>
            <w:r>
              <w:rPr>
                <w:rFonts w:ascii="Arial" w:cs="Arial" w:eastAsia="Arial" w:hAnsi="Arial"/>
                <w:sz w:val="16"/>
                <w:szCs w:val="16"/>
                <w:color w:val="auto"/>
              </w:rPr>
              <w:t>185</w:t>
            </w:r>
          </w:p>
        </w:tc>
        <w:tc>
          <w:tcPr>
            <w:tcW w:w="220" w:type="dxa"/>
            <w:vAlign w:val="bottom"/>
          </w:tcPr>
          <w:p>
            <w:pPr>
              <w:spacing w:after="0"/>
              <w:rPr>
                <w:sz w:val="19"/>
                <w:szCs w:val="19"/>
                <w:color w:val="auto"/>
              </w:rPr>
            </w:pPr>
          </w:p>
        </w:tc>
        <w:tc>
          <w:tcPr>
            <w:tcW w:w="2420" w:type="dxa"/>
            <w:vAlign w:val="bottom"/>
            <w:gridSpan w:val="2"/>
          </w:tcPr>
          <w:p>
            <w:pPr>
              <w:jc w:val="right"/>
              <w:ind w:right="180"/>
              <w:spacing w:after="0"/>
              <w:rPr>
                <w:sz w:val="20"/>
                <w:szCs w:val="20"/>
                <w:color w:val="auto"/>
              </w:rPr>
            </w:pPr>
            <w:r>
              <w:rPr>
                <w:rFonts w:ascii="Arial" w:cs="Arial" w:eastAsia="Arial" w:hAnsi="Arial"/>
                <w:sz w:val="16"/>
                <w:szCs w:val="16"/>
                <w:color w:val="auto"/>
              </w:rPr>
              <w:t>(1,001)</w:t>
            </w:r>
          </w:p>
        </w:tc>
        <w:tc>
          <w:tcPr>
            <w:tcW w:w="2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(1,653)</w:t>
            </w:r>
          </w:p>
        </w:tc>
      </w:tr>
      <w:tr>
        <w:trPr>
          <w:trHeight w:val="202"/>
        </w:trPr>
        <w:tc>
          <w:tcPr>
            <w:tcW w:w="47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1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31,192</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2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22,840</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spacing w:after="0"/>
              <w:rPr>
                <w:sz w:val="17"/>
                <w:szCs w:val="17"/>
                <w:color w:val="auto"/>
              </w:rPr>
            </w:pPr>
          </w:p>
        </w:tc>
        <w:tc>
          <w:tcPr>
            <w:tcW w:w="1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25,617</w:t>
            </w:r>
          </w:p>
        </w:tc>
        <w:tc>
          <w:tcPr>
            <w:tcW w:w="40" w:type="dxa"/>
            <w:vAlign w:val="bottom"/>
          </w:tcPr>
          <w:p>
            <w:pPr>
              <w:spacing w:after="0"/>
              <w:rPr>
                <w:sz w:val="17"/>
                <w:szCs w:val="17"/>
                <w:color w:val="auto"/>
              </w:rPr>
            </w:pPr>
          </w:p>
        </w:tc>
      </w:tr>
      <w:tr>
        <w:trPr>
          <w:trHeight w:val="20"/>
        </w:trPr>
        <w:tc>
          <w:tcPr>
            <w:tcW w:w="47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09"/>
        </w:trPr>
        <w:tc>
          <w:tcPr>
            <w:tcW w:w="4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Partnership Performance Results</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7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For the three months ended</w:t>
            </w:r>
          </w:p>
        </w:tc>
        <w:tc>
          <w:tcPr>
            <w:tcW w:w="17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4780" w:type="dxa"/>
            <w:vAlign w:val="bottom"/>
          </w:tcPr>
          <w:p>
            <w:pPr>
              <w:spacing w:after="0"/>
              <w:rPr>
                <w:sz w:val="20"/>
                <w:szCs w:val="20"/>
                <w:color w:val="auto"/>
              </w:rPr>
            </w:pPr>
          </w:p>
        </w:tc>
        <w:tc>
          <w:tcPr>
            <w:tcW w:w="210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 2017</w:t>
            </w:r>
          </w:p>
        </w:tc>
        <w:tc>
          <w:tcPr>
            <w:tcW w:w="2680" w:type="dxa"/>
            <w:vAlign w:val="bottom"/>
            <w:gridSpan w:val="3"/>
          </w:tcPr>
          <w:p>
            <w:pPr>
              <w:ind w:left="620"/>
              <w:spacing w:after="0"/>
              <w:rPr>
                <w:sz w:val="20"/>
                <w:szCs w:val="20"/>
                <w:color w:val="auto"/>
              </w:rPr>
            </w:pPr>
            <w:r>
              <w:rPr>
                <w:rFonts w:ascii="Arial" w:cs="Arial" w:eastAsia="Arial" w:hAnsi="Arial"/>
                <w:sz w:val="16"/>
                <w:szCs w:val="16"/>
                <w:b w:val="1"/>
                <w:bCs w:val="1"/>
                <w:color w:val="auto"/>
              </w:rPr>
              <w:t>June 30, 2018</w:t>
            </w:r>
          </w:p>
        </w:tc>
        <w:tc>
          <w:tcPr>
            <w:tcW w:w="18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3"/>
              </w:rPr>
              <w:t>September 30, 2018</w:t>
            </w:r>
          </w:p>
        </w:tc>
      </w:tr>
      <w:tr>
        <w:trPr>
          <w:trHeight w:val="199"/>
        </w:trPr>
        <w:tc>
          <w:tcPr>
            <w:tcW w:w="4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25,299</w:t>
            </w:r>
          </w:p>
        </w:tc>
        <w:tc>
          <w:tcPr>
            <w:tcW w:w="220" w:type="dxa"/>
            <w:vAlign w:val="bottom"/>
            <w:tcBorders>
              <w:top w:val="single" w:sz="8" w:color="E5FFFF"/>
            </w:tcBorders>
            <w:shd w:val="clear" w:color="auto" w:fill="E5FFFF"/>
          </w:tcPr>
          <w:p>
            <w:pPr>
              <w:spacing w:after="0"/>
              <w:rPr>
                <w:sz w:val="17"/>
                <w:szCs w:val="17"/>
                <w:color w:val="auto"/>
              </w:rPr>
            </w:pPr>
          </w:p>
        </w:tc>
        <w:tc>
          <w:tcPr>
            <w:tcW w:w="2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22,901</w:t>
            </w:r>
          </w:p>
        </w:tc>
        <w:tc>
          <w:tcPr>
            <w:tcW w:w="22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1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27,270</w:t>
            </w:r>
          </w:p>
        </w:tc>
        <w:tc>
          <w:tcPr>
            <w:tcW w:w="40" w:type="dxa"/>
            <w:vAlign w:val="bottom"/>
          </w:tcPr>
          <w:p>
            <w:pPr>
              <w:spacing w:after="0"/>
              <w:rPr>
                <w:sz w:val="17"/>
                <w:szCs w:val="17"/>
                <w:color w:val="auto"/>
              </w:rPr>
            </w:pPr>
          </w:p>
        </w:tc>
      </w:tr>
      <w:tr>
        <w:trPr>
          <w:trHeight w:val="224"/>
        </w:trPr>
        <w:tc>
          <w:tcPr>
            <w:tcW w:w="4780" w:type="dxa"/>
            <w:vAlign w:val="bottom"/>
          </w:tcPr>
          <w:p>
            <w:pPr>
              <w:spacing w:after="0"/>
              <w:rPr>
                <w:sz w:val="20"/>
                <w:szCs w:val="20"/>
                <w:color w:val="auto"/>
              </w:rPr>
            </w:pPr>
            <w:r>
              <w:rPr>
                <w:rFonts w:ascii="Arial" w:cs="Arial" w:eastAsia="Arial" w:hAnsi="Arial"/>
                <w:sz w:val="16"/>
                <w:szCs w:val="16"/>
                <w:color w:val="auto"/>
              </w:rPr>
              <w:t>Non-cash loss/(gain) on derivatives</w:t>
            </w:r>
          </w:p>
        </w:tc>
        <w:tc>
          <w:tcPr>
            <w:tcW w:w="1880" w:type="dxa"/>
            <w:vAlign w:val="bottom"/>
          </w:tcPr>
          <w:p>
            <w:pPr>
              <w:jc w:val="right"/>
              <w:spacing w:after="0"/>
              <w:rPr>
                <w:sz w:val="20"/>
                <w:szCs w:val="20"/>
                <w:color w:val="auto"/>
              </w:rPr>
            </w:pPr>
            <w:r>
              <w:rPr>
                <w:rFonts w:ascii="Arial" w:cs="Arial" w:eastAsia="Arial" w:hAnsi="Arial"/>
                <w:sz w:val="16"/>
                <w:szCs w:val="16"/>
                <w:color w:val="auto"/>
              </w:rPr>
              <w:t>185</w:t>
            </w:r>
          </w:p>
        </w:tc>
        <w:tc>
          <w:tcPr>
            <w:tcW w:w="220" w:type="dxa"/>
            <w:vAlign w:val="bottom"/>
          </w:tcPr>
          <w:p>
            <w:pPr>
              <w:spacing w:after="0"/>
              <w:rPr>
                <w:sz w:val="19"/>
                <w:szCs w:val="19"/>
                <w:color w:val="auto"/>
              </w:rPr>
            </w:pPr>
          </w:p>
        </w:tc>
        <w:tc>
          <w:tcPr>
            <w:tcW w:w="2420" w:type="dxa"/>
            <w:vAlign w:val="bottom"/>
            <w:gridSpan w:val="2"/>
          </w:tcPr>
          <w:p>
            <w:pPr>
              <w:jc w:val="right"/>
              <w:ind w:right="180"/>
              <w:spacing w:after="0"/>
              <w:rPr>
                <w:sz w:val="20"/>
                <w:szCs w:val="20"/>
                <w:color w:val="auto"/>
              </w:rPr>
            </w:pPr>
            <w:r>
              <w:rPr>
                <w:rFonts w:ascii="Arial" w:cs="Arial" w:eastAsia="Arial" w:hAnsi="Arial"/>
                <w:sz w:val="16"/>
                <w:szCs w:val="16"/>
                <w:color w:val="auto"/>
              </w:rPr>
              <w:t>(1,001)</w:t>
            </w:r>
          </w:p>
        </w:tc>
        <w:tc>
          <w:tcPr>
            <w:tcW w:w="2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(1,653)</w:t>
            </w:r>
          </w:p>
        </w:tc>
      </w:tr>
      <w:tr>
        <w:trPr>
          <w:trHeight w:val="202"/>
        </w:trPr>
        <w:tc>
          <w:tcPr>
            <w:tcW w:w="47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1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25,484</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2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21,900</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spacing w:after="0"/>
              <w:rPr>
                <w:sz w:val="17"/>
                <w:szCs w:val="17"/>
                <w:color w:val="auto"/>
              </w:rPr>
            </w:pPr>
          </w:p>
        </w:tc>
        <w:tc>
          <w:tcPr>
            <w:tcW w:w="1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25,617</w:t>
            </w:r>
          </w:p>
        </w:tc>
        <w:tc>
          <w:tcPr>
            <w:tcW w:w="40" w:type="dxa"/>
            <w:vAlign w:val="bottom"/>
          </w:tcPr>
          <w:p>
            <w:pPr>
              <w:spacing w:after="0"/>
              <w:rPr>
                <w:sz w:val="17"/>
                <w:szCs w:val="17"/>
                <w:color w:val="auto"/>
              </w:rPr>
            </w:pPr>
          </w:p>
        </w:tc>
      </w:tr>
      <w:tr>
        <w:trPr>
          <w:trHeight w:val="20"/>
        </w:trPr>
        <w:tc>
          <w:tcPr>
            <w:tcW w:w="47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Distributable Cash Flow</w:t>
      </w:r>
    </w:p>
    <w:p>
      <w:pPr>
        <w:spacing w:after="0" w:line="239"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Distributable cash flow means EBITDA, on the basis of the Partnership Performance Results, after considering financial costs for the period, including realized loss on derivatives (interest rate swaps and forward foreign exchange contracts) and excluding amortization of loan fees,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 term the operating capacity of, or the revenues generated by, our capital assets. Distributable cash flow, which is a non-GAAP financial measure, is a quantitative standard used by investors in publicly 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20"/>
                <w:szCs w:val="20"/>
                <w:color w:val="auto"/>
              </w:rPr>
            </w:pPr>
            <w:r>
              <w:rPr>
                <w:rFonts w:ascii="Arial" w:cs="Arial" w:eastAsia="Arial" w:hAnsi="Arial"/>
                <w:sz w:val="16"/>
                <w:szCs w:val="16"/>
                <w:b w:val="1"/>
                <w:bCs w:val="1"/>
                <w:color w:val="auto"/>
                <w:w w:val="95"/>
              </w:rPr>
              <w:t>Reconciliation of Distributable Cash Flow to Partnership’s Profit:</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9"/>
        </w:trPr>
        <w:tc>
          <w:tcPr>
            <w:tcW w:w="474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4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For the three months ended</w:t>
            </w: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6"/>
        </w:trPr>
        <w:tc>
          <w:tcPr>
            <w:tcW w:w="4740" w:type="dxa"/>
            <w:vAlign w:val="bottom"/>
          </w:tcPr>
          <w:p>
            <w:pPr>
              <w:spacing w:after="0"/>
              <w:rPr>
                <w:sz w:val="20"/>
                <w:szCs w:val="20"/>
                <w:color w:val="auto"/>
              </w:rPr>
            </w:pPr>
          </w:p>
        </w:tc>
        <w:tc>
          <w:tcPr>
            <w:tcW w:w="2120" w:type="dxa"/>
            <w:vAlign w:val="bottom"/>
            <w:gridSpan w:val="2"/>
          </w:tcPr>
          <w:p>
            <w:pPr>
              <w:jc w:val="right"/>
              <w:ind w:right="400"/>
              <w:spacing w:after="0" w:line="236" w:lineRule="exact"/>
              <w:rPr>
                <w:sz w:val="20"/>
                <w:szCs w:val="20"/>
                <w:color w:val="auto"/>
              </w:rPr>
            </w:pPr>
            <w:r>
              <w:rPr>
                <w:rFonts w:ascii="Arial" w:cs="Arial" w:eastAsia="Arial" w:hAnsi="Arial"/>
                <w:sz w:val="16"/>
                <w:szCs w:val="16"/>
                <w:b w:val="1"/>
                <w:bCs w:val="1"/>
                <w:color w:val="auto"/>
                <w:w w:val="99"/>
              </w:rPr>
              <w:t xml:space="preserve">September 30, 2017 </w:t>
            </w:r>
            <w:r>
              <w:rPr>
                <w:rFonts w:ascii="Arial" w:cs="Arial" w:eastAsia="Arial" w:hAnsi="Arial"/>
                <w:sz w:val="21"/>
                <w:szCs w:val="21"/>
                <w:b w:val="1"/>
                <w:bCs w:val="1"/>
                <w:color w:val="auto"/>
                <w:w w:val="99"/>
                <w:vertAlign w:val="superscript"/>
              </w:rPr>
              <w:t>(1)</w:t>
            </w:r>
          </w:p>
        </w:tc>
        <w:tc>
          <w:tcPr>
            <w:tcW w:w="2420" w:type="dxa"/>
            <w:vAlign w:val="bottom"/>
            <w:gridSpan w:val="2"/>
          </w:tcPr>
          <w:p>
            <w:pPr>
              <w:jc w:val="right"/>
              <w:ind w:right="760"/>
              <w:spacing w:after="0" w:line="236" w:lineRule="exact"/>
              <w:rPr>
                <w:sz w:val="20"/>
                <w:szCs w:val="20"/>
                <w:color w:val="auto"/>
              </w:rPr>
            </w:pPr>
            <w:r>
              <w:rPr>
                <w:rFonts w:ascii="Arial" w:cs="Arial" w:eastAsia="Arial" w:hAnsi="Arial"/>
                <w:sz w:val="16"/>
                <w:szCs w:val="16"/>
                <w:b w:val="1"/>
                <w:bCs w:val="1"/>
                <w:color w:val="auto"/>
              </w:rPr>
              <w:t xml:space="preserve">June 30, 2018 </w:t>
            </w:r>
            <w:r>
              <w:rPr>
                <w:rFonts w:ascii="Arial" w:cs="Arial" w:eastAsia="Arial" w:hAnsi="Arial"/>
                <w:sz w:val="21"/>
                <w:szCs w:val="21"/>
                <w:b w:val="1"/>
                <w:bCs w:val="1"/>
                <w:color w:val="auto"/>
                <w:vertAlign w:val="superscript"/>
              </w:rPr>
              <w:t>(1)</w:t>
            </w:r>
          </w:p>
        </w:tc>
        <w:tc>
          <w:tcPr>
            <w:tcW w:w="20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September 30, 2018</w:t>
            </w:r>
          </w:p>
        </w:tc>
      </w:tr>
      <w:tr>
        <w:trPr>
          <w:trHeight w:val="196"/>
        </w:trPr>
        <w:tc>
          <w:tcPr>
            <w:tcW w:w="4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Partnership’s profit for the period</w:t>
            </w:r>
          </w:p>
        </w:tc>
        <w:tc>
          <w:tcPr>
            <w:tcW w:w="1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25,299</w:t>
            </w:r>
          </w:p>
        </w:tc>
        <w:tc>
          <w:tcPr>
            <w:tcW w:w="220" w:type="dxa"/>
            <w:vAlign w:val="bottom"/>
            <w:tcBorders>
              <w:top w:val="single" w:sz="8" w:color="E5FFFF"/>
            </w:tcBorders>
            <w:shd w:val="clear" w:color="auto" w:fill="E5FFFF"/>
          </w:tcPr>
          <w:p>
            <w:pPr>
              <w:spacing w:after="0"/>
              <w:rPr>
                <w:sz w:val="17"/>
                <w:szCs w:val="17"/>
                <w:color w:val="auto"/>
              </w:rPr>
            </w:pPr>
          </w:p>
        </w:tc>
        <w:tc>
          <w:tcPr>
            <w:tcW w:w="2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22,901</w:t>
            </w:r>
          </w:p>
        </w:tc>
        <w:tc>
          <w:tcPr>
            <w:tcW w:w="200" w:type="dxa"/>
            <w:vAlign w:val="bottom"/>
            <w:tcBorders>
              <w:top w:val="single" w:sz="8" w:color="E5FFFF"/>
            </w:tcBorders>
            <w:shd w:val="clear" w:color="auto" w:fill="E5FFFF"/>
          </w:tcPr>
          <w:p>
            <w:pPr>
              <w:spacing w:after="0"/>
              <w:rPr>
                <w:sz w:val="17"/>
                <w:szCs w:val="17"/>
                <w:color w:val="auto"/>
              </w:rPr>
            </w:pPr>
          </w:p>
        </w:tc>
        <w:tc>
          <w:tcPr>
            <w:tcW w:w="20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27,270</w:t>
            </w:r>
          </w:p>
        </w:tc>
        <w:tc>
          <w:tcPr>
            <w:tcW w:w="40" w:type="dxa"/>
            <w:vAlign w:val="bottom"/>
          </w:tcPr>
          <w:p>
            <w:pPr>
              <w:spacing w:after="0"/>
              <w:rPr>
                <w:sz w:val="17"/>
                <w:szCs w:val="17"/>
                <w:color w:val="auto"/>
              </w:rPr>
            </w:pPr>
          </w:p>
        </w:tc>
      </w:tr>
      <w:tr>
        <w:trPr>
          <w:trHeight w:val="227"/>
        </w:trPr>
        <w:tc>
          <w:tcPr>
            <w:tcW w:w="4740" w:type="dxa"/>
            <w:vAlign w:val="bottom"/>
          </w:tcPr>
          <w:p>
            <w:pPr>
              <w:spacing w:after="0"/>
              <w:rPr>
                <w:sz w:val="20"/>
                <w:szCs w:val="20"/>
                <w:color w:val="auto"/>
              </w:rPr>
            </w:pPr>
            <w:r>
              <w:rPr>
                <w:rFonts w:ascii="Arial" w:cs="Arial" w:eastAsia="Arial" w:hAnsi="Arial"/>
                <w:sz w:val="16"/>
                <w:szCs w:val="16"/>
                <w:color w:val="auto"/>
              </w:rPr>
              <w:t>Depreciation</w:t>
            </w:r>
          </w:p>
        </w:tc>
        <w:tc>
          <w:tcPr>
            <w:tcW w:w="2120" w:type="dxa"/>
            <w:vAlign w:val="bottom"/>
            <w:gridSpan w:val="2"/>
          </w:tcPr>
          <w:p>
            <w:pPr>
              <w:jc w:val="right"/>
              <w:ind w:right="220"/>
              <w:spacing w:after="0"/>
              <w:rPr>
                <w:sz w:val="20"/>
                <w:szCs w:val="20"/>
                <w:color w:val="auto"/>
              </w:rPr>
            </w:pPr>
            <w:r>
              <w:rPr>
                <w:rFonts w:ascii="Arial" w:cs="Arial" w:eastAsia="Arial" w:hAnsi="Arial"/>
                <w:sz w:val="16"/>
                <w:szCs w:val="16"/>
                <w:color w:val="auto"/>
              </w:rPr>
              <w:t>15,580</w:t>
            </w:r>
          </w:p>
        </w:tc>
        <w:tc>
          <w:tcPr>
            <w:tcW w:w="2220" w:type="dxa"/>
            <w:vAlign w:val="bottom"/>
          </w:tcPr>
          <w:p>
            <w:pPr>
              <w:jc w:val="right"/>
              <w:spacing w:after="0"/>
              <w:rPr>
                <w:sz w:val="20"/>
                <w:szCs w:val="20"/>
                <w:color w:val="auto"/>
              </w:rPr>
            </w:pPr>
            <w:r>
              <w:rPr>
                <w:rFonts w:ascii="Arial" w:cs="Arial" w:eastAsia="Arial" w:hAnsi="Arial"/>
                <w:sz w:val="16"/>
                <w:szCs w:val="16"/>
                <w:color w:val="auto"/>
              </w:rPr>
              <w:t>17,974</w:t>
            </w:r>
          </w:p>
        </w:tc>
        <w:tc>
          <w:tcPr>
            <w:tcW w:w="200" w:type="dxa"/>
            <w:vAlign w:val="bottom"/>
          </w:tcPr>
          <w:p>
            <w:pPr>
              <w:spacing w:after="0"/>
              <w:rPr>
                <w:sz w:val="19"/>
                <w:szCs w:val="19"/>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6"/>
                <w:szCs w:val="16"/>
                <w:color w:val="auto"/>
              </w:rPr>
              <w:t>18,710</w:t>
            </w:r>
          </w:p>
        </w:tc>
      </w:tr>
      <w:tr>
        <w:trPr>
          <w:trHeight w:val="233"/>
        </w:trPr>
        <w:tc>
          <w:tcPr>
            <w:tcW w:w="47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2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12,289</w:t>
            </w:r>
          </w:p>
        </w:tc>
        <w:tc>
          <w:tcPr>
            <w:tcW w:w="2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14,552</w:t>
            </w:r>
          </w:p>
        </w:tc>
        <w:tc>
          <w:tcPr>
            <w:tcW w:w="200" w:type="dxa"/>
            <w:vAlign w:val="bottom"/>
            <w:shd w:val="clear" w:color="auto" w:fill="E5FFFF"/>
          </w:tcPr>
          <w:p>
            <w:pPr>
              <w:spacing w:after="0"/>
              <w:rPr>
                <w:sz w:val="20"/>
                <w:szCs w:val="20"/>
                <w:color w:val="auto"/>
              </w:rPr>
            </w:pPr>
          </w:p>
        </w:tc>
        <w:tc>
          <w:tcPr>
            <w:tcW w:w="2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15,533</w:t>
            </w:r>
          </w:p>
        </w:tc>
        <w:tc>
          <w:tcPr>
            <w:tcW w:w="40" w:type="dxa"/>
            <w:vAlign w:val="bottom"/>
          </w:tcPr>
          <w:p>
            <w:pPr>
              <w:spacing w:after="0"/>
              <w:rPr>
                <w:sz w:val="20"/>
                <w:szCs w:val="20"/>
                <w:color w:val="auto"/>
              </w:rPr>
            </w:pPr>
          </w:p>
        </w:tc>
      </w:tr>
      <w:tr>
        <w:trPr>
          <w:trHeight w:val="227"/>
        </w:trPr>
        <w:tc>
          <w:tcPr>
            <w:tcW w:w="4740" w:type="dxa"/>
            <w:vAlign w:val="bottom"/>
          </w:tcPr>
          <w:p>
            <w:pPr>
              <w:spacing w:after="0"/>
              <w:rPr>
                <w:sz w:val="20"/>
                <w:szCs w:val="20"/>
                <w:color w:val="auto"/>
              </w:rPr>
            </w:pPr>
            <w:r>
              <w:rPr>
                <w:rFonts w:ascii="Arial" w:cs="Arial" w:eastAsia="Arial" w:hAnsi="Arial"/>
                <w:sz w:val="16"/>
                <w:szCs w:val="16"/>
                <w:color w:val="auto"/>
              </w:rPr>
              <w:t>Financial income</w:t>
            </w:r>
          </w:p>
        </w:tc>
        <w:tc>
          <w:tcPr>
            <w:tcW w:w="2120" w:type="dxa"/>
            <w:vAlign w:val="bottom"/>
            <w:gridSpan w:val="2"/>
          </w:tcPr>
          <w:p>
            <w:pPr>
              <w:jc w:val="right"/>
              <w:ind w:right="160"/>
              <w:spacing w:after="0"/>
              <w:rPr>
                <w:sz w:val="20"/>
                <w:szCs w:val="20"/>
                <w:color w:val="auto"/>
              </w:rPr>
            </w:pPr>
            <w:r>
              <w:rPr>
                <w:rFonts w:ascii="Arial" w:cs="Arial" w:eastAsia="Arial" w:hAnsi="Arial"/>
                <w:sz w:val="16"/>
                <w:szCs w:val="16"/>
                <w:color w:val="auto"/>
              </w:rPr>
              <w:t>(311)</w:t>
            </w:r>
          </w:p>
        </w:tc>
        <w:tc>
          <w:tcPr>
            <w:tcW w:w="2420" w:type="dxa"/>
            <w:vAlign w:val="bottom"/>
            <w:gridSpan w:val="2"/>
          </w:tcPr>
          <w:p>
            <w:pPr>
              <w:jc w:val="right"/>
              <w:ind w:right="160"/>
              <w:spacing w:after="0"/>
              <w:rPr>
                <w:sz w:val="20"/>
                <w:szCs w:val="20"/>
                <w:color w:val="auto"/>
              </w:rPr>
            </w:pPr>
            <w:r>
              <w:rPr>
                <w:rFonts w:ascii="Arial" w:cs="Arial" w:eastAsia="Arial" w:hAnsi="Arial"/>
                <w:sz w:val="16"/>
                <w:szCs w:val="16"/>
                <w:color w:val="auto"/>
              </w:rPr>
              <w:t>(579)</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(581)</w:t>
            </w:r>
          </w:p>
        </w:tc>
      </w:tr>
      <w:tr>
        <w:trPr>
          <w:trHeight w:val="233"/>
        </w:trPr>
        <w:tc>
          <w:tcPr>
            <w:tcW w:w="474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2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672</w:t>
            </w:r>
          </w:p>
        </w:tc>
        <w:tc>
          <w:tcPr>
            <w:tcW w:w="24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(1,588)</w:t>
            </w:r>
          </w:p>
        </w:tc>
        <w:tc>
          <w:tcPr>
            <w:tcW w:w="2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(2,082)</w:t>
            </w:r>
          </w:p>
        </w:tc>
        <w:tc>
          <w:tcPr>
            <w:tcW w:w="40" w:type="dxa"/>
            <w:vAlign w:val="bottom"/>
          </w:tcPr>
          <w:p>
            <w:pPr>
              <w:spacing w:after="0"/>
              <w:rPr>
                <w:sz w:val="20"/>
                <w:szCs w:val="20"/>
                <w:color w:val="auto"/>
              </w:rPr>
            </w:pPr>
          </w:p>
        </w:tc>
      </w:tr>
      <w:tr>
        <w:trPr>
          <w:trHeight w:val="204"/>
        </w:trPr>
        <w:tc>
          <w:tcPr>
            <w:tcW w:w="47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53,529</w:t>
            </w:r>
          </w:p>
        </w:tc>
        <w:tc>
          <w:tcPr>
            <w:tcW w:w="220" w:type="dxa"/>
            <w:vAlign w:val="bottom"/>
            <w:tcBorders>
              <w:bottom w:val="single" w:sz="8" w:color="E5FFFF"/>
            </w:tcBorders>
          </w:tcPr>
          <w:p>
            <w:pPr>
              <w:spacing w:after="0"/>
              <w:rPr>
                <w:sz w:val="17"/>
                <w:szCs w:val="17"/>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53,260</w:t>
            </w:r>
          </w:p>
        </w:tc>
        <w:tc>
          <w:tcPr>
            <w:tcW w:w="200" w:type="dxa"/>
            <w:vAlign w:val="bottom"/>
            <w:tcBorders>
              <w:bottom w:val="single" w:sz="8" w:color="E5FFFF"/>
            </w:tcBorders>
          </w:tcPr>
          <w:p>
            <w:pPr>
              <w:spacing w:after="0"/>
              <w:rPr>
                <w:sz w:val="17"/>
                <w:szCs w:val="17"/>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58,850</w:t>
            </w:r>
          </w:p>
        </w:tc>
        <w:tc>
          <w:tcPr>
            <w:tcW w:w="40" w:type="dxa"/>
            <w:vAlign w:val="bottom"/>
          </w:tcPr>
          <w:p>
            <w:pPr>
              <w:spacing w:after="0"/>
              <w:rPr>
                <w:sz w:val="17"/>
                <w:szCs w:val="17"/>
                <w:color w:val="auto"/>
              </w:rPr>
            </w:pPr>
          </w:p>
        </w:tc>
      </w:tr>
      <w:tr>
        <w:trPr>
          <w:trHeight w:val="178"/>
        </w:trPr>
        <w:tc>
          <w:tcPr>
            <w:tcW w:w="4740" w:type="dxa"/>
            <w:vAlign w:val="bottom"/>
            <w:shd w:val="clear" w:color="auto" w:fill="E5FFFF"/>
          </w:tcPr>
          <w:p>
            <w:pPr>
              <w:spacing w:after="0" w:line="178" w:lineRule="exact"/>
              <w:rPr>
                <w:sz w:val="20"/>
                <w:szCs w:val="20"/>
                <w:color w:val="auto"/>
              </w:rPr>
            </w:pPr>
            <w:r>
              <w:rPr>
                <w:rFonts w:ascii="Arial" w:cs="Arial" w:eastAsia="Arial" w:hAnsi="Arial"/>
                <w:sz w:val="16"/>
                <w:szCs w:val="16"/>
                <w:color w:val="auto"/>
              </w:rPr>
              <w:t>Financial costs (excluding amortization of loan fees) and realized</w:t>
            </w:r>
          </w:p>
        </w:tc>
        <w:tc>
          <w:tcPr>
            <w:tcW w:w="19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2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204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4740" w:type="dxa"/>
            <w:vAlign w:val="bottom"/>
            <w:shd w:val="clear" w:color="auto" w:fill="E5FFFF"/>
          </w:tcPr>
          <w:p>
            <w:pPr>
              <w:ind w:left="200"/>
              <w:spacing w:after="0"/>
              <w:rPr>
                <w:sz w:val="20"/>
                <w:szCs w:val="20"/>
                <w:color w:val="auto"/>
              </w:rPr>
            </w:pPr>
            <w:r>
              <w:rPr>
                <w:rFonts w:ascii="Arial" w:cs="Arial" w:eastAsia="Arial" w:hAnsi="Arial"/>
                <w:sz w:val="16"/>
                <w:szCs w:val="16"/>
                <w:color w:val="auto"/>
              </w:rPr>
              <w:t>(loss)/gain on derivatives</w:t>
            </w:r>
          </w:p>
        </w:tc>
        <w:tc>
          <w:tcPr>
            <w:tcW w:w="21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(11,380)</w:t>
            </w:r>
          </w:p>
        </w:tc>
        <w:tc>
          <w:tcPr>
            <w:tcW w:w="24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(12,674)</w:t>
            </w:r>
          </w:p>
        </w:tc>
        <w:tc>
          <w:tcPr>
            <w:tcW w:w="2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(13,764)</w:t>
            </w:r>
          </w:p>
        </w:tc>
        <w:tc>
          <w:tcPr>
            <w:tcW w:w="40" w:type="dxa"/>
            <w:vAlign w:val="bottom"/>
          </w:tcPr>
          <w:p>
            <w:pPr>
              <w:spacing w:after="0"/>
              <w:rPr>
                <w:sz w:val="18"/>
                <w:szCs w:val="18"/>
                <w:color w:val="auto"/>
              </w:rPr>
            </w:pPr>
          </w:p>
        </w:tc>
      </w:tr>
      <w:tr>
        <w:trPr>
          <w:trHeight w:val="227"/>
        </w:trPr>
        <w:tc>
          <w:tcPr>
            <w:tcW w:w="4740" w:type="dxa"/>
            <w:vAlign w:val="bottom"/>
          </w:tcPr>
          <w:p>
            <w:pPr>
              <w:spacing w:after="0"/>
              <w:rPr>
                <w:sz w:val="20"/>
                <w:szCs w:val="20"/>
                <w:color w:val="auto"/>
              </w:rPr>
            </w:pPr>
            <w:r>
              <w:rPr>
                <w:rFonts w:ascii="Arial" w:cs="Arial" w:eastAsia="Arial" w:hAnsi="Arial"/>
                <w:sz w:val="16"/>
                <w:szCs w:val="16"/>
                <w:color w:val="auto"/>
              </w:rPr>
              <w:t>Dry-docking capital reserve</w:t>
            </w:r>
          </w:p>
        </w:tc>
        <w:tc>
          <w:tcPr>
            <w:tcW w:w="2120" w:type="dxa"/>
            <w:vAlign w:val="bottom"/>
            <w:gridSpan w:val="2"/>
          </w:tcPr>
          <w:p>
            <w:pPr>
              <w:jc w:val="right"/>
              <w:ind w:right="160"/>
              <w:spacing w:after="0"/>
              <w:rPr>
                <w:sz w:val="20"/>
                <w:szCs w:val="20"/>
                <w:color w:val="auto"/>
              </w:rPr>
            </w:pPr>
            <w:r>
              <w:rPr>
                <w:rFonts w:ascii="Arial" w:cs="Arial" w:eastAsia="Arial" w:hAnsi="Arial"/>
                <w:sz w:val="16"/>
                <w:szCs w:val="16"/>
                <w:color w:val="auto"/>
              </w:rPr>
              <w:t>(3,240)</w:t>
            </w:r>
          </w:p>
        </w:tc>
        <w:tc>
          <w:tcPr>
            <w:tcW w:w="2420" w:type="dxa"/>
            <w:vAlign w:val="bottom"/>
            <w:gridSpan w:val="2"/>
          </w:tcPr>
          <w:p>
            <w:pPr>
              <w:jc w:val="right"/>
              <w:ind w:right="160"/>
              <w:spacing w:after="0"/>
              <w:rPr>
                <w:sz w:val="20"/>
                <w:szCs w:val="20"/>
                <w:color w:val="auto"/>
              </w:rPr>
            </w:pPr>
            <w:r>
              <w:rPr>
                <w:rFonts w:ascii="Arial" w:cs="Arial" w:eastAsia="Arial" w:hAnsi="Arial"/>
                <w:sz w:val="16"/>
                <w:szCs w:val="16"/>
                <w:color w:val="auto"/>
              </w:rPr>
              <w:t>(3,447)</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(3,523)</w:t>
            </w:r>
          </w:p>
        </w:tc>
      </w:tr>
      <w:tr>
        <w:trPr>
          <w:trHeight w:val="233"/>
        </w:trPr>
        <w:tc>
          <w:tcPr>
            <w:tcW w:w="4740" w:type="dxa"/>
            <w:vAlign w:val="bottom"/>
            <w:shd w:val="clear" w:color="auto" w:fill="E5FFFF"/>
          </w:tcPr>
          <w:p>
            <w:pPr>
              <w:spacing w:after="0"/>
              <w:rPr>
                <w:sz w:val="20"/>
                <w:szCs w:val="20"/>
                <w:color w:val="auto"/>
              </w:rPr>
            </w:pPr>
            <w:r>
              <w:rPr>
                <w:rFonts w:ascii="Arial" w:cs="Arial" w:eastAsia="Arial" w:hAnsi="Arial"/>
                <w:sz w:val="16"/>
                <w:szCs w:val="16"/>
                <w:color w:val="auto"/>
              </w:rPr>
              <w:t>Replacement capital reserve</w:t>
            </w:r>
          </w:p>
        </w:tc>
        <w:tc>
          <w:tcPr>
            <w:tcW w:w="21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(8,942)</w:t>
            </w:r>
          </w:p>
        </w:tc>
        <w:tc>
          <w:tcPr>
            <w:tcW w:w="24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(8,767)</w:t>
            </w:r>
          </w:p>
        </w:tc>
        <w:tc>
          <w:tcPr>
            <w:tcW w:w="2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(8,939)</w:t>
            </w:r>
          </w:p>
        </w:tc>
        <w:tc>
          <w:tcPr>
            <w:tcW w:w="40" w:type="dxa"/>
            <w:vAlign w:val="bottom"/>
          </w:tcPr>
          <w:p>
            <w:pPr>
              <w:spacing w:after="0"/>
              <w:rPr>
                <w:sz w:val="20"/>
                <w:szCs w:val="20"/>
                <w:color w:val="auto"/>
              </w:rPr>
            </w:pPr>
          </w:p>
        </w:tc>
      </w:tr>
      <w:tr>
        <w:trPr>
          <w:trHeight w:val="227"/>
        </w:trPr>
        <w:tc>
          <w:tcPr>
            <w:tcW w:w="4740" w:type="dxa"/>
            <w:vAlign w:val="bottom"/>
          </w:tcPr>
          <w:p>
            <w:pPr>
              <w:spacing w:after="0"/>
              <w:rPr>
                <w:sz w:val="20"/>
                <w:szCs w:val="20"/>
                <w:color w:val="auto"/>
              </w:rPr>
            </w:pPr>
            <w:r>
              <w:rPr>
                <w:rFonts w:ascii="Arial" w:cs="Arial" w:eastAsia="Arial" w:hAnsi="Arial"/>
                <w:sz w:val="16"/>
                <w:szCs w:val="16"/>
                <w:color w:val="auto"/>
              </w:rPr>
              <w:t>Accrued preferred equity distribution</w:t>
            </w:r>
          </w:p>
        </w:tc>
        <w:tc>
          <w:tcPr>
            <w:tcW w:w="2120" w:type="dxa"/>
            <w:vAlign w:val="bottom"/>
            <w:gridSpan w:val="2"/>
          </w:tcPr>
          <w:p>
            <w:pPr>
              <w:jc w:val="right"/>
              <w:ind w:right="160"/>
              <w:spacing w:after="0"/>
              <w:rPr>
                <w:sz w:val="20"/>
                <w:szCs w:val="20"/>
                <w:color w:val="auto"/>
              </w:rPr>
            </w:pPr>
            <w:r>
              <w:rPr>
                <w:rFonts w:ascii="Arial" w:cs="Arial" w:eastAsia="Arial" w:hAnsi="Arial"/>
                <w:sz w:val="16"/>
                <w:szCs w:val="16"/>
                <w:color w:val="auto"/>
              </w:rPr>
              <w:t>(3,100)</w:t>
            </w:r>
          </w:p>
        </w:tc>
        <w:tc>
          <w:tcPr>
            <w:tcW w:w="2420" w:type="dxa"/>
            <w:vAlign w:val="bottom"/>
            <w:gridSpan w:val="2"/>
          </w:tcPr>
          <w:p>
            <w:pPr>
              <w:jc w:val="right"/>
              <w:ind w:right="160"/>
              <w:spacing w:after="0"/>
              <w:rPr>
                <w:sz w:val="20"/>
                <w:szCs w:val="20"/>
                <w:color w:val="auto"/>
              </w:rPr>
            </w:pPr>
            <w:r>
              <w:rPr>
                <w:rFonts w:ascii="Arial" w:cs="Arial" w:eastAsia="Arial" w:hAnsi="Arial"/>
                <w:sz w:val="16"/>
                <w:szCs w:val="16"/>
                <w:color w:val="auto"/>
              </w:rPr>
              <w:t>(5,457)</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(5,457)</w:t>
            </w:r>
          </w:p>
        </w:tc>
      </w:tr>
      <w:tr>
        <w:trPr>
          <w:trHeight w:val="213"/>
        </w:trPr>
        <w:tc>
          <w:tcPr>
            <w:tcW w:w="4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Distributable cash flow</w:t>
            </w:r>
          </w:p>
        </w:tc>
        <w:tc>
          <w:tcPr>
            <w:tcW w:w="1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26,867</w:t>
            </w:r>
          </w:p>
        </w:tc>
        <w:tc>
          <w:tcPr>
            <w:tcW w:w="220" w:type="dxa"/>
            <w:vAlign w:val="bottom"/>
            <w:tcBorders>
              <w:top w:val="single" w:sz="8" w:color="E5FFFF"/>
            </w:tcBorders>
            <w:shd w:val="clear" w:color="auto" w:fill="E5FFFF"/>
          </w:tcPr>
          <w:p>
            <w:pPr>
              <w:spacing w:after="0"/>
              <w:rPr>
                <w:sz w:val="18"/>
                <w:szCs w:val="18"/>
                <w:color w:val="auto"/>
              </w:rPr>
            </w:pPr>
          </w:p>
        </w:tc>
        <w:tc>
          <w:tcPr>
            <w:tcW w:w="2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22,915</w:t>
            </w:r>
          </w:p>
        </w:tc>
        <w:tc>
          <w:tcPr>
            <w:tcW w:w="200" w:type="dxa"/>
            <w:vAlign w:val="bottom"/>
            <w:tcBorders>
              <w:top w:val="single" w:sz="8" w:color="E5FFFF"/>
            </w:tcBorders>
            <w:shd w:val="clear" w:color="auto" w:fill="E5FFFF"/>
          </w:tcPr>
          <w:p>
            <w:pPr>
              <w:spacing w:after="0"/>
              <w:rPr>
                <w:sz w:val="18"/>
                <w:szCs w:val="18"/>
                <w:color w:val="auto"/>
              </w:rPr>
            </w:pPr>
          </w:p>
        </w:tc>
        <w:tc>
          <w:tcPr>
            <w:tcW w:w="2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27,167</w:t>
            </w:r>
          </w:p>
        </w:tc>
        <w:tc>
          <w:tcPr>
            <w:tcW w:w="40" w:type="dxa"/>
            <w:vAlign w:val="bottom"/>
          </w:tcPr>
          <w:p>
            <w:pPr>
              <w:spacing w:after="0"/>
              <w:rPr>
                <w:sz w:val="18"/>
                <w:szCs w:val="18"/>
                <w:color w:val="auto"/>
              </w:rPr>
            </w:pPr>
          </w:p>
        </w:tc>
      </w:tr>
      <w:tr>
        <w:trPr>
          <w:trHeight w:val="210"/>
        </w:trPr>
        <w:tc>
          <w:tcPr>
            <w:tcW w:w="4740" w:type="dxa"/>
            <w:vAlign w:val="bottom"/>
          </w:tcPr>
          <w:p>
            <w:pPr>
              <w:spacing w:after="0" w:line="210" w:lineRule="exact"/>
              <w:rPr>
                <w:sz w:val="20"/>
                <w:szCs w:val="20"/>
                <w:color w:val="auto"/>
              </w:rPr>
            </w:pPr>
            <w:r>
              <w:rPr>
                <w:rFonts w:ascii="Arial" w:cs="Arial" w:eastAsia="Arial" w:hAnsi="Arial"/>
                <w:sz w:val="16"/>
                <w:szCs w:val="16"/>
                <w:color w:val="auto"/>
              </w:rPr>
              <w:t xml:space="preserve">Other reserves </w:t>
            </w:r>
            <w:r>
              <w:rPr>
                <w:rFonts w:ascii="Arial" w:cs="Arial" w:eastAsia="Arial" w:hAnsi="Arial"/>
                <w:sz w:val="21"/>
                <w:szCs w:val="21"/>
                <w:color w:val="auto"/>
                <w:vertAlign w:val="superscript"/>
              </w:rPr>
              <w:t>(2) (3)</w:t>
            </w:r>
          </w:p>
        </w:tc>
        <w:tc>
          <w:tcPr>
            <w:tcW w:w="2120" w:type="dxa"/>
            <w:vAlign w:val="bottom"/>
            <w:gridSpan w:val="2"/>
          </w:tcPr>
          <w:p>
            <w:pPr>
              <w:jc w:val="right"/>
              <w:ind w:right="160"/>
              <w:spacing w:after="0"/>
              <w:rPr>
                <w:sz w:val="20"/>
                <w:szCs w:val="20"/>
                <w:color w:val="auto"/>
              </w:rPr>
            </w:pPr>
            <w:r>
              <w:rPr>
                <w:rFonts w:ascii="Arial" w:cs="Arial" w:eastAsia="Arial" w:hAnsi="Arial"/>
                <w:sz w:val="16"/>
                <w:szCs w:val="16"/>
                <w:color w:val="auto"/>
              </w:rPr>
              <w:t>(4,490)</w:t>
            </w:r>
          </w:p>
        </w:tc>
        <w:tc>
          <w:tcPr>
            <w:tcW w:w="2220" w:type="dxa"/>
            <w:vAlign w:val="bottom"/>
          </w:tcPr>
          <w:p>
            <w:pPr>
              <w:jc w:val="right"/>
              <w:spacing w:after="0"/>
              <w:rPr>
                <w:sz w:val="20"/>
                <w:szCs w:val="20"/>
                <w:color w:val="auto"/>
              </w:rPr>
            </w:pPr>
            <w:r>
              <w:rPr>
                <w:rFonts w:ascii="Arial" w:cs="Arial" w:eastAsia="Arial" w:hAnsi="Arial"/>
                <w:sz w:val="16"/>
                <w:szCs w:val="16"/>
                <w:color w:val="auto"/>
              </w:rPr>
              <w:t>1,357</w:t>
            </w:r>
          </w:p>
        </w:tc>
        <w:tc>
          <w:tcPr>
            <w:tcW w:w="20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(1,509)</w:t>
            </w:r>
          </w:p>
        </w:tc>
      </w:tr>
      <w:tr>
        <w:trPr>
          <w:trHeight w:val="196"/>
        </w:trPr>
        <w:tc>
          <w:tcPr>
            <w:tcW w:w="4740" w:type="dxa"/>
            <w:vAlign w:val="bottom"/>
            <w:tcBorders>
              <w:top w:val="single" w:sz="8" w:color="E5FFFF"/>
              <w:bottom w:val="single" w:sz="8" w:color="E5FFFF"/>
            </w:tcBorders>
            <w:shd w:val="clear" w:color="auto" w:fill="E5FFFF"/>
          </w:tcPr>
          <w:p>
            <w:pPr>
              <w:spacing w:after="0" w:line="196" w:lineRule="exact"/>
              <w:rPr>
                <w:sz w:val="20"/>
                <w:szCs w:val="20"/>
                <w:color w:val="auto"/>
              </w:rPr>
            </w:pPr>
            <w:r>
              <w:rPr>
                <w:rFonts w:ascii="Arial" w:cs="Arial" w:eastAsia="Arial" w:hAnsi="Arial"/>
                <w:sz w:val="16"/>
                <w:szCs w:val="16"/>
                <w:b w:val="1"/>
                <w:bCs w:val="1"/>
                <w:color w:val="auto"/>
              </w:rPr>
              <w:t xml:space="preserve">Cash distribution declared </w:t>
            </w:r>
            <w:r>
              <w:rPr>
                <w:rFonts w:ascii="Arial" w:cs="Arial" w:eastAsia="Arial" w:hAnsi="Arial"/>
                <w:sz w:val="21"/>
                <w:szCs w:val="21"/>
                <w:color w:val="auto"/>
                <w:vertAlign w:val="superscript"/>
              </w:rPr>
              <w:t>(3)</w:t>
            </w:r>
          </w:p>
        </w:tc>
        <w:tc>
          <w:tcPr>
            <w:tcW w:w="1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22,377</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2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24,272</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2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25,658</w:t>
            </w:r>
          </w:p>
        </w:tc>
        <w:tc>
          <w:tcPr>
            <w:tcW w:w="4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right="200" w:hanging="332"/>
        <w:spacing w:after="0" w:line="244"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color w:val="auto"/>
        </w:rPr>
        <w:t xml:space="preserve">Excludes amounts related to GAS-thirteen Ltd., the owner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GAS-eight Ltd., the owner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GAS-fourteen Ltd., the owner of the </w:t>
      </w:r>
      <w:r>
        <w:rPr>
          <w:rFonts w:ascii="Arial" w:cs="Arial" w:eastAsia="Arial" w:hAnsi="Arial"/>
          <w:sz w:val="16"/>
          <w:szCs w:val="16"/>
          <w:i w:val="1"/>
          <w:iCs w:val="1"/>
          <w:color w:val="auto"/>
        </w:rPr>
        <w:t>GasLog Gibraltar</w:t>
      </w:r>
      <w:r>
        <w:rPr>
          <w:rFonts w:ascii="Arial" w:cs="Arial" w:eastAsia="Arial" w:hAnsi="Arial"/>
          <w:sz w:val="16"/>
          <w:szCs w:val="16"/>
          <w:color w:val="auto"/>
        </w:rPr>
        <w:t>, for the periods prior to their transfers to the Partnership on July 3, 2017, October 20, 2017 and April 26, 2018, respectively. While such amounts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reflected in the Partnership’s unaudited condensed consolidated financial statements because the transfers to the Partnership were accounted for as reorganizations of entities under common control under IFRS, the aforementioned entities were not owned by the Partnership prior to their respective transfers to the Partnership in July 2017, October 2017 and April 2018,</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5" w:name="page16"/>
    <w:bookmarkEnd w:id="15"/>
    <w:p>
      <w:pPr>
        <w:ind w:left="332"/>
        <w:spacing w:after="0"/>
        <w:rPr>
          <w:sz w:val="20"/>
          <w:szCs w:val="20"/>
          <w:color w:val="auto"/>
        </w:rPr>
      </w:pPr>
      <w:r>
        <w:rPr>
          <w:rFonts w:ascii="Arial" w:cs="Arial" w:eastAsia="Arial" w:hAnsi="Arial"/>
          <w:sz w:val="16"/>
          <w:szCs w:val="16"/>
          <w:color w:val="auto"/>
        </w:rPr>
        <w:t>respectively, and accordingly the Partnership was not entitled to the cash or results generated in the period prior to such transfers.</w:t>
      </w:r>
    </w:p>
    <w:p>
      <w:pPr>
        <w:spacing w:after="0" w:line="235" w:lineRule="exact"/>
        <w:rPr>
          <w:sz w:val="20"/>
          <w:szCs w:val="20"/>
          <w:color w:val="auto"/>
        </w:rPr>
      </w:pPr>
    </w:p>
    <w:p>
      <w:pPr>
        <w:ind w:left="332" w:right="580" w:hanging="332"/>
        <w:spacing w:after="0" w:line="218" w:lineRule="auto"/>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Refers to movements in reserves (other than the dry-docking and replacement capital reserves) for the proper conduct of the business of the Partnership and its subsidiaries.</w:t>
      </w:r>
    </w:p>
    <w:p>
      <w:pPr>
        <w:spacing w:after="0" w:line="213" w:lineRule="exact"/>
        <w:rPr>
          <w:rFonts w:ascii="Arial" w:cs="Arial" w:eastAsia="Arial" w:hAnsi="Arial"/>
          <w:sz w:val="23"/>
          <w:szCs w:val="23"/>
          <w:color w:val="auto"/>
          <w:vertAlign w:val="superscript"/>
        </w:rPr>
      </w:pPr>
    </w:p>
    <w:p>
      <w:pPr>
        <w:ind w:left="332" w:hanging="332"/>
        <w:spacing w:after="0" w:line="232" w:lineRule="auto"/>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For the three months ended September 30, 2018, the cash distributions declared and the other reserves have been affected by $88 payable in respect of the Partnership’s issuance of 156,225 common units to Tortoise through the Partnership’s ATM Programme (in connection with the agreement entered into in September 2018) and an additional issuance of 3,188 general partner units (in order for GasLog to retain its 2.0% general partner interest).</w:t>
      </w:r>
    </w:p>
    <w:p>
      <w:pPr>
        <w:spacing w:after="0" w:line="20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72"/>
          </w:cols>
          <w:pgMar w:left="248" w:top="346" w:right="47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color w:val="auto"/>
        </w:rPr>
        <w:t>Exhibit 99.2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and Nine Months Ended September 30, 2018</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39" w:lineRule="exact"/>
        <w:rPr>
          <w:sz w:val="20"/>
          <w:szCs w:val="20"/>
          <w:color w:val="auto"/>
        </w:rPr>
      </w:pPr>
    </w:p>
    <w:p>
      <w:pPr>
        <w:ind w:right="20" w:firstLine="405"/>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 and nine-month periods ended September 30, 2018 and September 30, 2017.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February 12, 2018.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100" w:firstLine="383"/>
        <w:spacing w:after="0" w:line="289" w:lineRule="auto"/>
        <w:rPr>
          <w:sz w:val="20"/>
          <w:szCs w:val="20"/>
          <w:color w:val="auto"/>
        </w:rPr>
      </w:pPr>
      <w:r>
        <w:rPr>
          <w:rFonts w:ascii="Arial" w:cs="Arial" w:eastAsia="Arial" w:hAnsi="Arial"/>
          <w:sz w:val="15"/>
          <w:szCs w:val="15"/>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48" w:lineRule="exact"/>
        <w:rPr>
          <w:sz w:val="20"/>
          <w:szCs w:val="20"/>
          <w:color w:val="auto"/>
        </w:rPr>
      </w:pPr>
    </w:p>
    <w:p>
      <w:pPr>
        <w:ind w:left="660" w:right="300" w:hanging="328"/>
        <w:spacing w:after="0" w:line="266" w:lineRule="auto"/>
        <w:tabs>
          <w:tab w:leader="none" w:pos="624" w:val="left"/>
        </w:tabs>
        <w:numPr>
          <w:ilvl w:val="0"/>
          <w:numId w:val="9"/>
        </w:numPr>
        <w:rPr>
          <w:rFonts w:ascii="Arial" w:cs="Arial" w:eastAsia="Arial" w:hAnsi="Arial"/>
          <w:sz w:val="17"/>
          <w:szCs w:val="17"/>
          <w:color w:val="auto"/>
        </w:rPr>
      </w:pPr>
      <w:r>
        <w:rPr>
          <w:rFonts w:ascii="Arial" w:cs="Arial" w:eastAsia="Arial" w:hAnsi="Arial"/>
          <w:sz w:val="15"/>
          <w:szCs w:val="15"/>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fluctuations in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60" w:right="240" w:hanging="328"/>
        <w:spacing w:after="0" w:line="266" w:lineRule="auto"/>
        <w:tabs>
          <w:tab w:leader="none" w:pos="624" w:val="left"/>
        </w:tabs>
        <w:numPr>
          <w:ilvl w:val="0"/>
          <w:numId w:val="9"/>
        </w:numPr>
        <w:rPr>
          <w:rFonts w:ascii="Arial" w:cs="Arial" w:eastAsia="Arial" w:hAnsi="Arial"/>
          <w:sz w:val="17"/>
          <w:szCs w:val="17"/>
          <w:color w:val="auto"/>
        </w:rPr>
      </w:pPr>
      <w:r>
        <w:rPr>
          <w:rFonts w:ascii="Arial" w:cs="Arial" w:eastAsia="Arial" w:hAnsi="Arial"/>
          <w:sz w:val="15"/>
          <w:szCs w:val="15"/>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expand our fleet by acquiring vessels through our drop-down pipeline with GasLog Ltd. (“GasLog”);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ability of GasLog to maintain long-term relationships with major energy companies;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acquire assets in the future, including vessels from GasLog;</w:t>
      </w:r>
    </w:p>
    <w:p>
      <w:pPr>
        <w:spacing w:after="0" w:line="9" w:lineRule="exact"/>
        <w:rPr>
          <w:rFonts w:ascii="Arial" w:cs="Arial" w:eastAsia="Arial" w:hAnsi="Arial"/>
          <w:sz w:val="18"/>
          <w:szCs w:val="18"/>
          <w:color w:val="auto"/>
        </w:rPr>
      </w:pPr>
    </w:p>
    <w:p>
      <w:pPr>
        <w:jc w:val="both"/>
        <w:ind w:left="660" w:right="200" w:hanging="328"/>
        <w:spacing w:after="0" w:line="255"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9" w:lineRule="exact"/>
        <w:rPr>
          <w:rFonts w:ascii="Arial" w:cs="Arial" w:eastAsia="Arial" w:hAnsi="Arial"/>
          <w:sz w:val="18"/>
          <w:szCs w:val="18"/>
          <w:color w:val="auto"/>
        </w:rPr>
      </w:pPr>
    </w:p>
    <w:p>
      <w:pPr>
        <w:ind w:left="660" w:right="60" w:hanging="328"/>
        <w:spacing w:after="0" w:line="251"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risks inherent in ship operations, including the discharge of pollutants;</w:t>
      </w:r>
    </w:p>
    <w:p>
      <w:pPr>
        <w:spacing w:after="0" w:line="9" w:lineRule="exact"/>
        <w:rPr>
          <w:rFonts w:ascii="Arial" w:cs="Arial" w:eastAsia="Arial" w:hAnsi="Arial"/>
          <w:sz w:val="18"/>
          <w:szCs w:val="18"/>
          <w:color w:val="auto"/>
        </w:rPr>
      </w:pPr>
    </w:p>
    <w:p>
      <w:pPr>
        <w:ind w:left="660" w:right="360" w:hanging="328"/>
        <w:spacing w:after="0" w:line="251"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potential liability from future litigation;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breach; and</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5"/>
          <w:szCs w:val="15"/>
          <w:color w:val="auto"/>
        </w:rPr>
        <w:t xml:space="preserve">other risks and uncertainties described in the Partnership’s Annual Report on Form 20-F filed with the SEC on February 12, 2018,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 w:name="page18"/>
    <w:bookmarkEnd w:id="17"/>
    <w:p>
      <w:pPr>
        <w:ind w:right="8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right="300" w:firstLine="324"/>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Distribution</w:t>
      </w:r>
    </w:p>
    <w:p>
      <w:pPr>
        <w:spacing w:after="0" w:line="239" w:lineRule="exact"/>
        <w:rPr>
          <w:sz w:val="20"/>
          <w:szCs w:val="20"/>
          <w:color w:val="auto"/>
        </w:rPr>
      </w:pPr>
    </w:p>
    <w:p>
      <w:pPr>
        <w:ind w:right="220" w:firstLine="383"/>
        <w:spacing w:after="0" w:line="318" w:lineRule="auto"/>
        <w:rPr>
          <w:sz w:val="20"/>
          <w:szCs w:val="20"/>
          <w:color w:val="auto"/>
        </w:rPr>
      </w:pPr>
      <w:r>
        <w:rPr>
          <w:rFonts w:ascii="Arial" w:cs="Arial" w:eastAsia="Arial" w:hAnsi="Arial"/>
          <w:sz w:val="14"/>
          <w:szCs w:val="14"/>
          <w:color w:val="auto"/>
        </w:rPr>
        <w:t>On October 24, 2018, the board of directors of GasLog Partners approved and declared a quarterly cash distribution of $0.53 per common unit for the quarter ended September 30, 2018. The cash distribution is payable on November 9, 2018 to all unitholders of record as of November 5, 2018. The aggregate amount of the declared distribution will be $25.7 million based on the number of units issued and outstanding after giving effect to the Partnership’s post-quarter end issuance of 156,225 common units through the Partnership’s at-the-market common equity offering programme (“ATM Programme”), in connection with the agreement entered into with Tortoise Capital Advisors, L.L.C. (“Tortoise”) in September 2018, and an additional issuance of 3,188 general partner units (in order for GasLog to retain its 2.0% general partner interest).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9" w:lineRule="exact"/>
        <w:rPr>
          <w:sz w:val="20"/>
          <w:szCs w:val="20"/>
          <w:color w:val="auto"/>
        </w:rPr>
      </w:pPr>
    </w:p>
    <w:p>
      <w:pPr>
        <w:jc w:val="both"/>
        <w:ind w:firstLine="383"/>
        <w:spacing w:after="0" w:line="271" w:lineRule="auto"/>
        <w:rPr>
          <w:sz w:val="20"/>
          <w:szCs w:val="20"/>
          <w:color w:val="auto"/>
        </w:rPr>
      </w:pPr>
      <w:r>
        <w:rPr>
          <w:rFonts w:ascii="Arial" w:cs="Arial" w:eastAsia="Arial" w:hAnsi="Arial"/>
          <w:sz w:val="16"/>
          <w:szCs w:val="16"/>
          <w:color w:val="auto"/>
        </w:rPr>
        <w:t xml:space="preserve">On October 25, 2018, GasLog Partners announced an agreement to acquire from GasLog 100% of the shares in the entity that owns and charters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is a 170,000 cubic meter (“cbm”) tri-fuel diesel electric (“TFDE”) LNG carrier built in 2010 which is chartered to a subsidiary of Royal Dutch Shell plc (“Shell”) through March 2024. The aggregate purchase price for the acquisition will be $207.4 million, which includes $1.0 million for positive net working capital balances transferred with the vessel. GasLog Partners expects to finance the acquisition with cash on hand, plus the assumption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’s outstanding indebtedness of $93.9 million. The acquisition is expected to close in the fourth quarter of 2018.</w:t>
      </w:r>
    </w:p>
    <w:p>
      <w:pPr>
        <w:spacing w:after="0" w:line="190" w:lineRule="exact"/>
        <w:rPr>
          <w:sz w:val="20"/>
          <w:szCs w:val="20"/>
          <w:color w:val="auto"/>
        </w:rPr>
      </w:pPr>
    </w:p>
    <w:p>
      <w:pPr>
        <w:jc w:val="both"/>
        <w:ind w:firstLine="383"/>
        <w:spacing w:after="0" w:line="273" w:lineRule="auto"/>
        <w:rPr>
          <w:sz w:val="20"/>
          <w:szCs w:val="20"/>
          <w:color w:val="auto"/>
        </w:rPr>
      </w:pPr>
      <w:r>
        <w:rPr>
          <w:rFonts w:ascii="Arial" w:cs="Arial" w:eastAsia="Arial" w:hAnsi="Arial"/>
          <w:sz w:val="16"/>
          <w:szCs w:val="16"/>
          <w:color w:val="auto"/>
        </w:rPr>
        <w:t>On September 26, 2018, GasLog Partners announced an agreement to sell 2,250,000 common units to funds managed by Tortoise, a leading energy infrastructure investor, for gross proceeds of $53.1 million and net proceeds of $53.0 million. The common units were sold at a price of $23.60 per common unit through the Partnership’s ATM Programme. The sale of the units was settled in two tranches, with 2,093,775 units settled on September 27, 2018 and the remaining 156,225 units settled on October 9, 2018.</w:t>
      </w:r>
    </w:p>
    <w:p>
      <w:pPr>
        <w:spacing w:after="0" w:line="189" w:lineRule="exact"/>
        <w:rPr>
          <w:sz w:val="20"/>
          <w:szCs w:val="20"/>
          <w:color w:val="auto"/>
        </w:rPr>
      </w:pPr>
    </w:p>
    <w:p>
      <w:pPr>
        <w:ind w:right="160" w:firstLine="383"/>
        <w:spacing w:after="0" w:line="278" w:lineRule="auto"/>
        <w:rPr>
          <w:sz w:val="20"/>
          <w:szCs w:val="20"/>
          <w:color w:val="auto"/>
        </w:rPr>
      </w:pPr>
      <w:r>
        <w:rPr>
          <w:rFonts w:ascii="Arial" w:cs="Arial" w:eastAsia="Arial" w:hAnsi="Arial"/>
          <w:sz w:val="16"/>
          <w:szCs w:val="16"/>
          <w:color w:val="auto"/>
        </w:rPr>
        <w:t>As of September 30, 2018, GasLog held a 27.7% interest in the Partnership (including 2.0% through general partner units).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w:t>
      </w:r>
    </w:p>
    <w:p>
      <w:pPr>
        <w:spacing w:after="0" w:line="235" w:lineRule="exact"/>
        <w:rPr>
          <w:sz w:val="20"/>
          <w:szCs w:val="20"/>
          <w:color w:val="auto"/>
        </w:rPr>
      </w:pPr>
    </w:p>
    <w:p>
      <w:pPr>
        <w:jc w:val="both"/>
        <w:ind w:right="300" w:firstLine="428"/>
        <w:spacing w:after="0" w:line="335" w:lineRule="auto"/>
        <w:rPr>
          <w:sz w:val="20"/>
          <w:szCs w:val="20"/>
          <w:color w:val="auto"/>
        </w:rPr>
      </w:pPr>
      <w:r>
        <w:rPr>
          <w:rFonts w:ascii="Arial" w:cs="Arial" w:eastAsia="Arial" w:hAnsi="Arial"/>
          <w:sz w:val="14"/>
          <w:szCs w:val="14"/>
          <w:color w:val="auto"/>
        </w:rPr>
        <w:t>As of September 30, 2018, our fleet consisted of 13 LNG carriers, including eight vessels with modern TFDE propulsion and five modern steam propulsion vessels (“Steam”).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w:t>
      </w:r>
    </w:p>
    <w:p>
      <w:pPr>
        <w:spacing w:after="0" w:line="150" w:lineRule="exact"/>
        <w:rPr>
          <w:sz w:val="20"/>
          <w:szCs w:val="20"/>
          <w:color w:val="auto"/>
        </w:rPr>
      </w:pPr>
    </w:p>
    <w:p>
      <w:pPr>
        <w:ind w:right="40" w:firstLine="428"/>
        <w:spacing w:after="0" w:line="293" w:lineRule="auto"/>
        <w:rPr>
          <w:sz w:val="20"/>
          <w:szCs w:val="20"/>
          <w:color w:val="auto"/>
        </w:rPr>
      </w:pPr>
      <w:r>
        <w:rPr>
          <w:rFonts w:ascii="Arial" w:cs="Arial" w:eastAsia="Arial" w:hAnsi="Arial"/>
          <w:sz w:val="15"/>
          <w:szCs w:val="15"/>
          <w:color w:val="auto"/>
        </w:rPr>
        <w:t>We operate our vessels mainly under multi-year charters with fixed-fee contracts that generate predictable cash flows during the life of these charters. One of our vessels currently operates in the spot market through the Cool Pool, an LNG carrier pooling arrangement operated by GasLog and Golar LNG Ltd. (the “Cool Pool”). We intend to grow our portfolio through further acquisitions of LNG carriers or other LNG infrastructure assets from GasLog and third parties. However, we cannot assure you that we will make any particular acquisition or that, as a consequence, we will successfully grow our distributions per common unit. Among other things, our ability to acquire additional LNG carriers or other LNG infrastructure assets will be dependent upon our ability to raise additional equity and debt financing.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Fleet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fleet currently consists of the following vessels:</w:t>
      </w:r>
    </w:p>
    <w:p>
      <w:pPr>
        <w:sectPr>
          <w:pgSz w:w="11900" w:h="16838" w:orient="portrait"/>
          <w:cols w:equalWidth="0" w:num="1">
            <w:col w:w="11420"/>
          </w:cols>
          <w:pgMar w:left="240" w:top="3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LNG Carrier</w:t>
      </w:r>
    </w:p>
    <w:p>
      <w:pPr>
        <w:spacing w:after="0" w:line="32" w:lineRule="exact"/>
        <w:rPr>
          <w:sz w:val="20"/>
          <w:szCs w:val="20"/>
          <w:color w:val="auto"/>
        </w:rPr>
      </w:pPr>
    </w:p>
    <w:p>
      <w:pPr>
        <w:ind w:left="380" w:hanging="223"/>
        <w:spacing w:after="0"/>
        <w:tabs>
          <w:tab w:leader="none" w:pos="380" w:val="left"/>
        </w:tabs>
        <w:numPr>
          <w:ilvl w:val="0"/>
          <w:numId w:val="10"/>
        </w:numPr>
        <w:rPr>
          <w:rFonts w:ascii="Arial" w:cs="Arial" w:eastAsia="Arial" w:hAnsi="Arial"/>
          <w:sz w:val="16"/>
          <w:szCs w:val="16"/>
          <w:b w:val="1"/>
          <w:bCs w:val="1"/>
          <w:color w:val="auto"/>
        </w:rPr>
      </w:pPr>
      <w:r>
        <w:rPr>
          <w:rFonts w:ascii="Arial" w:cs="Arial" w:eastAsia="Arial" w:hAnsi="Arial"/>
          <w:sz w:val="16"/>
          <w:szCs w:val="16"/>
          <w:i w:val="1"/>
          <w:iCs w:val="1"/>
          <w:color w:val="auto"/>
        </w:rPr>
        <w:t>Methane Rita Andrea</w:t>
      </w:r>
    </w:p>
    <w:p>
      <w:pPr>
        <w:spacing w:after="0" w:line="22" w:lineRule="exact"/>
        <w:rPr>
          <w:sz w:val="20"/>
          <w:szCs w:val="20"/>
          <w:color w:val="auto"/>
        </w:rPr>
      </w:pPr>
    </w:p>
    <w:p>
      <w:pPr>
        <w:ind w:left="380" w:hanging="223"/>
        <w:spacing w:after="0"/>
        <w:tabs>
          <w:tab w:leader="none" w:pos="380" w:val="left"/>
        </w:tabs>
        <w:numPr>
          <w:ilvl w:val="0"/>
          <w:numId w:val="11"/>
        </w:numPr>
        <w:rPr>
          <w:rFonts w:ascii="Arial" w:cs="Arial" w:eastAsia="Arial" w:hAnsi="Arial"/>
          <w:sz w:val="16"/>
          <w:szCs w:val="16"/>
          <w:b w:val="1"/>
          <w:bCs w:val="1"/>
          <w:color w:val="auto"/>
        </w:rPr>
      </w:pPr>
      <w:r>
        <w:rPr>
          <w:rFonts w:ascii="Arial" w:cs="Arial" w:eastAsia="Arial" w:hAnsi="Arial"/>
          <w:sz w:val="16"/>
          <w:szCs w:val="16"/>
          <w:i w:val="1"/>
          <w:iCs w:val="1"/>
          <w:color w:val="auto"/>
        </w:rPr>
        <w:t>Methane Jane Elizabeth</w:t>
      </w:r>
    </w:p>
    <w:p>
      <w:pPr>
        <w:spacing w:after="0" w:line="18" w:lineRule="exact"/>
        <w:rPr>
          <w:rFonts w:ascii="Arial" w:cs="Arial" w:eastAsia="Arial" w:hAnsi="Arial"/>
          <w:sz w:val="16"/>
          <w:szCs w:val="16"/>
          <w:b w:val="1"/>
          <w:bCs w:val="1"/>
          <w:color w:val="auto"/>
        </w:rPr>
      </w:pPr>
    </w:p>
    <w:p>
      <w:pPr>
        <w:jc w:val="both"/>
        <w:ind w:left="380" w:hanging="230"/>
        <w:spacing w:after="0" w:line="339" w:lineRule="auto"/>
        <w:rPr>
          <w:rFonts w:ascii="Arial" w:cs="Arial" w:eastAsia="Arial" w:hAnsi="Arial"/>
          <w:sz w:val="16"/>
          <w:szCs w:val="16"/>
          <w:b w:val="1"/>
          <w:bCs w:val="1"/>
          <w:color w:val="auto"/>
        </w:rPr>
      </w:pPr>
      <w:r>
        <w:rPr>
          <w:rFonts w:ascii="Arial" w:cs="Arial" w:eastAsia="Arial" w:hAnsi="Arial"/>
          <w:sz w:val="14"/>
          <w:szCs w:val="14"/>
          <w:b w:val="1"/>
          <w:bCs w:val="1"/>
          <w:color w:val="auto"/>
        </w:rPr>
        <w:t xml:space="preserve">3 </w:t>
      </w:r>
      <w:r>
        <w:rPr>
          <w:rFonts w:ascii="Arial" w:cs="Arial" w:eastAsia="Arial" w:hAnsi="Arial"/>
          <w:sz w:val="14"/>
          <w:szCs w:val="14"/>
          <w:i w:val="1"/>
          <w:iCs w:val="1"/>
          <w:color w:val="auto"/>
        </w:rPr>
        <w:t>Methane Alison Victoria</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 xml:space="preserve">Methane Jane Elizabeth </w:t>
      </w:r>
      <w:r>
        <w:rPr>
          <w:rFonts w:ascii="Arial" w:cs="Arial" w:eastAsia="Arial" w:hAnsi="Arial"/>
          <w:sz w:val="14"/>
          <w:szCs w:val="14"/>
          <w:color w:val="auto"/>
        </w:rPr>
        <w:t>or</w:t>
      </w:r>
      <w:r>
        <w:rPr>
          <w:rFonts w:ascii="Arial" w:cs="Arial" w:eastAsia="Arial" w:hAnsi="Arial"/>
          <w:sz w:val="14"/>
          <w:szCs w:val="14"/>
          <w:i w:val="1"/>
          <w:iCs w:val="1"/>
          <w:color w:val="auto"/>
        </w:rPr>
        <w:t xml:space="preserve"> Methane Alison Victoria </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Cargo</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Capacity</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Year Built</w:t>
            </w: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(cbm)</w:t>
            </w: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Charterer</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Propulsion</w:t>
            </w:r>
          </w:p>
        </w:tc>
        <w:tc>
          <w:tcPr>
            <w:tcW w:w="2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Charter Expiration</w:t>
            </w:r>
          </w:p>
        </w:tc>
        <w:tc>
          <w:tcPr>
            <w:tcW w:w="1360" w:type="dxa"/>
            <w:vAlign w:val="bottom"/>
          </w:tcPr>
          <w:p>
            <w:pPr>
              <w:ind w:left="120"/>
              <w:spacing w:after="0"/>
              <w:rPr>
                <w:sz w:val="20"/>
                <w:szCs w:val="20"/>
                <w:color w:val="auto"/>
              </w:rPr>
            </w:pPr>
            <w:r>
              <w:rPr>
                <w:rFonts w:ascii="Arial" w:cs="Arial" w:eastAsia="Arial" w:hAnsi="Arial"/>
                <w:sz w:val="16"/>
                <w:szCs w:val="16"/>
                <w:b w:val="1"/>
                <w:bCs w:val="1"/>
                <w:color w:val="auto"/>
              </w:rPr>
              <w:t>Optional Period</w:t>
            </w:r>
          </w:p>
        </w:tc>
        <w:tc>
          <w:tcPr>
            <w:tcW w:w="0" w:type="dxa"/>
            <w:vAlign w:val="bottom"/>
          </w:tcPr>
          <w:p>
            <w:pPr>
              <w:spacing w:after="0"/>
              <w:rPr>
                <w:sz w:val="1"/>
                <w:szCs w:val="1"/>
                <w:color w:val="auto"/>
              </w:rPr>
            </w:pPr>
          </w:p>
        </w:tc>
      </w:tr>
      <w:tr>
        <w:trPr>
          <w:trHeight w:val="189"/>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2006</w:t>
            </w:r>
          </w:p>
        </w:tc>
        <w:tc>
          <w:tcPr>
            <w:tcW w:w="18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tcPr>
          <w:p>
            <w:pPr>
              <w:spacing w:after="0"/>
              <w:rPr>
                <w:sz w:val="16"/>
                <w:szCs w:val="16"/>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Shell</w:t>
            </w:r>
          </w:p>
        </w:tc>
        <w:tc>
          <w:tcPr>
            <w:tcW w:w="16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Steam</w:t>
            </w:r>
          </w:p>
        </w:tc>
        <w:tc>
          <w:tcPr>
            <w:tcW w:w="160" w:type="dxa"/>
            <w:vAlign w:val="bottom"/>
          </w:tcPr>
          <w:p>
            <w:pPr>
              <w:spacing w:after="0"/>
              <w:rPr>
                <w:sz w:val="16"/>
                <w:szCs w:val="16"/>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April 2020</w:t>
            </w:r>
          </w:p>
        </w:tc>
        <w:tc>
          <w:tcPr>
            <w:tcW w:w="160" w:type="dxa"/>
            <w:vAlign w:val="bottom"/>
          </w:tcPr>
          <w:p>
            <w:pPr>
              <w:spacing w:after="0"/>
              <w:rPr>
                <w:sz w:val="16"/>
                <w:szCs w:val="16"/>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1100" w:type="dxa"/>
            <w:vAlign w:val="bottom"/>
          </w:tcPr>
          <w:p>
            <w:pPr>
              <w:jc w:val="center"/>
              <w:spacing w:after="0"/>
              <w:rPr>
                <w:sz w:val="20"/>
                <w:szCs w:val="20"/>
                <w:color w:val="auto"/>
              </w:rPr>
            </w:pPr>
            <w:r>
              <w:rPr>
                <w:rFonts w:ascii="Arial" w:cs="Arial" w:eastAsia="Arial" w:hAnsi="Arial"/>
                <w:sz w:val="16"/>
                <w:szCs w:val="16"/>
                <w:color w:val="auto"/>
                <w:w w:val="89"/>
              </w:rPr>
              <w:t>2006</w:t>
            </w:r>
          </w:p>
        </w:tc>
        <w:tc>
          <w:tcPr>
            <w:tcW w:w="1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tcPr>
          <w:p>
            <w:pPr>
              <w:spacing w:after="0"/>
              <w:rPr>
                <w:sz w:val="17"/>
                <w:szCs w:val="17"/>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86"/>
              </w:rPr>
              <w:t>Steam</w:t>
            </w:r>
          </w:p>
        </w:tc>
        <w:tc>
          <w:tcPr>
            <w:tcW w:w="2000" w:type="dxa"/>
            <w:vAlign w:val="bottom"/>
            <w:gridSpan w:val="2"/>
          </w:tcPr>
          <w:p>
            <w:pPr>
              <w:jc w:val="center"/>
              <w:ind w:right="180"/>
              <w:spacing w:after="0" w:line="203" w:lineRule="exact"/>
              <w:rPr>
                <w:sz w:val="20"/>
                <w:szCs w:val="20"/>
                <w:color w:val="auto"/>
              </w:rPr>
            </w:pPr>
            <w:r>
              <w:rPr>
                <w:rFonts w:ascii="Arial" w:cs="Arial" w:eastAsia="Arial" w:hAnsi="Arial"/>
                <w:sz w:val="16"/>
                <w:szCs w:val="16"/>
                <w:color w:val="auto"/>
                <w:w w:val="89"/>
              </w:rPr>
              <w:t xml:space="preserve">October 2019 </w:t>
            </w:r>
            <w:r>
              <w:rPr>
                <w:rFonts w:ascii="Arial" w:cs="Arial" w:eastAsia="Arial" w:hAnsi="Arial"/>
                <w:sz w:val="21"/>
                <w:szCs w:val="21"/>
                <w:color w:val="auto"/>
                <w:w w:val="89"/>
                <w:vertAlign w:val="superscript"/>
              </w:rPr>
              <w:t>(1)</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110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1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tcPr>
          <w:p>
            <w:pPr>
              <w:spacing w:after="0"/>
              <w:rPr>
                <w:sz w:val="17"/>
                <w:szCs w:val="17"/>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Shell</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86"/>
              </w:rPr>
              <w:t>Steam</w:t>
            </w:r>
          </w:p>
        </w:tc>
        <w:tc>
          <w:tcPr>
            <w:tcW w:w="2000" w:type="dxa"/>
            <w:vAlign w:val="bottom"/>
            <w:gridSpan w:val="2"/>
          </w:tcPr>
          <w:p>
            <w:pPr>
              <w:jc w:val="center"/>
              <w:ind w:right="160"/>
              <w:spacing w:after="0" w:line="203" w:lineRule="exact"/>
              <w:rPr>
                <w:sz w:val="20"/>
                <w:szCs w:val="20"/>
                <w:color w:val="auto"/>
              </w:rPr>
            </w:pPr>
            <w:r>
              <w:rPr>
                <w:rFonts w:ascii="Arial" w:cs="Arial" w:eastAsia="Arial" w:hAnsi="Arial"/>
                <w:sz w:val="16"/>
                <w:szCs w:val="16"/>
                <w:color w:val="auto"/>
                <w:w w:val="88"/>
              </w:rPr>
              <w:t xml:space="preserve">December 2019 </w:t>
            </w:r>
            <w:r>
              <w:rPr>
                <w:rFonts w:ascii="Arial" w:cs="Arial" w:eastAsia="Arial" w:hAnsi="Arial"/>
                <w:sz w:val="21"/>
                <w:szCs w:val="21"/>
                <w:color w:val="auto"/>
                <w:w w:val="88"/>
                <w:vertAlign w:val="superscript"/>
              </w:rPr>
              <w:t>(1)</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2"/>
              </w:rPr>
              <w:t>2006/2007</w:t>
            </w:r>
          </w:p>
        </w:tc>
        <w:tc>
          <w:tcPr>
            <w:tcW w:w="180" w:type="dxa"/>
            <w:vAlign w:val="bottom"/>
          </w:tcPr>
          <w:p>
            <w:pPr>
              <w:spacing w:after="0"/>
              <w:rPr>
                <w:sz w:val="17"/>
                <w:szCs w:val="17"/>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tcPr>
          <w:p>
            <w:pPr>
              <w:spacing w:after="0"/>
              <w:rPr>
                <w:sz w:val="17"/>
                <w:szCs w:val="17"/>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2"/>
              </w:rPr>
              <w:t>New Customer</w:t>
            </w: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86"/>
              </w:rPr>
              <w:t>Steam</w:t>
            </w:r>
          </w:p>
        </w:tc>
        <w:tc>
          <w:tcPr>
            <w:tcW w:w="200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November or</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w w:val="86"/>
              </w:rPr>
              <w:t xml:space="preserve">2021–2024 </w:t>
            </w:r>
            <w:r>
              <w:rPr>
                <w:rFonts w:ascii="Arial" w:cs="Arial" w:eastAsia="Arial" w:hAnsi="Arial"/>
                <w:sz w:val="21"/>
                <w:szCs w:val="21"/>
                <w:color w:val="auto"/>
                <w:w w:val="86"/>
                <w:vertAlign w:val="superscript"/>
              </w:rPr>
              <w:t>(2)</w:t>
            </w:r>
          </w:p>
        </w:tc>
        <w:tc>
          <w:tcPr>
            <w:tcW w:w="0" w:type="dxa"/>
            <w:vAlign w:val="bottom"/>
          </w:tcPr>
          <w:p>
            <w:pPr>
              <w:spacing w:after="0"/>
              <w:rPr>
                <w:sz w:val="1"/>
                <w:szCs w:val="1"/>
                <w:color w:val="auto"/>
              </w:rPr>
            </w:pPr>
          </w:p>
        </w:tc>
      </w:tr>
      <w:tr>
        <w:trPr>
          <w:trHeight w:val="158"/>
        </w:trPr>
        <w:tc>
          <w:tcPr>
            <w:tcW w:w="1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00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1"/>
              </w:rPr>
              <w:t>December 2020</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-381635</wp:posOffset>
            </wp:positionV>
            <wp:extent cx="72466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-647065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2140" w:space="560"/>
            <w:col w:w="8720"/>
          </w:cols>
          <w:pgMar w:left="240" w:top="346"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3"/>
        </w:trPr>
        <w:tc>
          <w:tcPr>
            <w:tcW w:w="340" w:type="dxa"/>
            <w:vAlign w:val="bottom"/>
            <w:shd w:val="clear" w:color="auto" w:fill="E4FFFF"/>
          </w:tcPr>
          <w:p>
            <w:pPr>
              <w:jc w:val="center"/>
              <w:spacing w:after="0"/>
              <w:rPr>
                <w:sz w:val="20"/>
                <w:szCs w:val="20"/>
                <w:color w:val="auto"/>
              </w:rPr>
            </w:pPr>
            <w:r>
              <w:rPr>
                <w:rFonts w:ascii="Arial" w:cs="Arial" w:eastAsia="Arial" w:hAnsi="Arial"/>
                <w:sz w:val="16"/>
                <w:szCs w:val="16"/>
                <w:b w:val="1"/>
                <w:bCs w:val="1"/>
                <w:color w:val="auto"/>
                <w:w w:val="89"/>
              </w:rPr>
              <w:t>4</w:t>
            </w:r>
          </w:p>
        </w:tc>
        <w:tc>
          <w:tcPr>
            <w:tcW w:w="2260" w:type="dxa"/>
            <w:vAlign w:val="bottom"/>
            <w:shd w:val="clear" w:color="auto" w:fill="E4FFFF"/>
          </w:tcPr>
          <w:p>
            <w:pPr>
              <w:ind w:left="40"/>
              <w:spacing w:after="0"/>
              <w:rPr>
                <w:sz w:val="20"/>
                <w:szCs w:val="20"/>
                <w:color w:val="auto"/>
              </w:rPr>
            </w:pPr>
            <w:r>
              <w:rPr>
                <w:rFonts w:ascii="Arial" w:cs="Arial" w:eastAsia="Arial" w:hAnsi="Arial"/>
                <w:sz w:val="16"/>
                <w:szCs w:val="16"/>
                <w:i w:val="1"/>
                <w:iCs w:val="1"/>
                <w:color w:val="auto"/>
              </w:rPr>
              <w:t>Methane Shirley Elisabeth</w:t>
            </w:r>
          </w:p>
        </w:tc>
        <w:tc>
          <w:tcPr>
            <w:tcW w:w="1260" w:type="dxa"/>
            <w:vAlign w:val="bottom"/>
            <w:shd w:val="clear" w:color="auto" w:fill="E4FFFF"/>
          </w:tcPr>
          <w:p>
            <w:pPr>
              <w:jc w:val="right"/>
              <w:ind w:right="359"/>
              <w:spacing w:after="0"/>
              <w:rPr>
                <w:sz w:val="20"/>
                <w:szCs w:val="20"/>
                <w:color w:val="auto"/>
              </w:rPr>
            </w:pPr>
            <w:r>
              <w:rPr>
                <w:rFonts w:ascii="Arial" w:cs="Arial" w:eastAsia="Arial" w:hAnsi="Arial"/>
                <w:sz w:val="16"/>
                <w:szCs w:val="16"/>
                <w:color w:val="auto"/>
              </w:rPr>
              <w:t>2007</w:t>
            </w:r>
          </w:p>
        </w:tc>
        <w:tc>
          <w:tcPr>
            <w:tcW w:w="1280" w:type="dxa"/>
            <w:vAlign w:val="bottom"/>
            <w:shd w:val="clear" w:color="auto" w:fill="E4FFFF"/>
          </w:tcPr>
          <w:p>
            <w:pPr>
              <w:jc w:val="right"/>
              <w:ind w:right="239"/>
              <w:spacing w:after="0"/>
              <w:rPr>
                <w:sz w:val="20"/>
                <w:szCs w:val="20"/>
                <w:color w:val="auto"/>
              </w:rPr>
            </w:pPr>
            <w:r>
              <w:rPr>
                <w:rFonts w:ascii="Arial" w:cs="Arial" w:eastAsia="Arial" w:hAnsi="Arial"/>
                <w:sz w:val="16"/>
                <w:szCs w:val="16"/>
                <w:color w:val="auto"/>
              </w:rPr>
              <w:t>145,000</w:t>
            </w:r>
          </w:p>
        </w:tc>
        <w:tc>
          <w:tcPr>
            <w:tcW w:w="164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95"/>
              </w:rPr>
              <w:t>Shell</w:t>
            </w:r>
          </w:p>
        </w:tc>
        <w:tc>
          <w:tcPr>
            <w:tcW w:w="1160" w:type="dxa"/>
            <w:vAlign w:val="bottom"/>
            <w:shd w:val="clear" w:color="auto" w:fill="E4FFFF"/>
          </w:tcPr>
          <w:p>
            <w:pPr>
              <w:ind w:left="340"/>
              <w:spacing w:after="0"/>
              <w:rPr>
                <w:sz w:val="20"/>
                <w:szCs w:val="20"/>
                <w:color w:val="auto"/>
              </w:rPr>
            </w:pPr>
            <w:r>
              <w:rPr>
                <w:rFonts w:ascii="Arial" w:cs="Arial" w:eastAsia="Arial" w:hAnsi="Arial"/>
                <w:sz w:val="16"/>
                <w:szCs w:val="16"/>
                <w:color w:val="auto"/>
              </w:rPr>
              <w:t>Steam</w:t>
            </w:r>
          </w:p>
        </w:tc>
        <w:tc>
          <w:tcPr>
            <w:tcW w:w="198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8"/>
              </w:rPr>
              <w:t>June 2020</w:t>
            </w:r>
          </w:p>
        </w:tc>
        <w:tc>
          <w:tcPr>
            <w:tcW w:w="1500" w:type="dxa"/>
            <w:vAlign w:val="bottom"/>
            <w:shd w:val="clear" w:color="auto" w:fill="E4FF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5</w:t>
            </w:r>
          </w:p>
        </w:tc>
        <w:tc>
          <w:tcPr>
            <w:tcW w:w="2260" w:type="dxa"/>
            <w:vAlign w:val="bottom"/>
          </w:tcPr>
          <w:p>
            <w:pPr>
              <w:ind w:left="40"/>
              <w:spacing w:after="0"/>
              <w:rPr>
                <w:sz w:val="20"/>
                <w:szCs w:val="20"/>
                <w:color w:val="auto"/>
              </w:rPr>
            </w:pPr>
            <w:r>
              <w:rPr>
                <w:rFonts w:ascii="Arial" w:cs="Arial" w:eastAsia="Arial" w:hAnsi="Arial"/>
                <w:sz w:val="16"/>
                <w:szCs w:val="16"/>
                <w:i w:val="1"/>
                <w:iCs w:val="1"/>
                <w:color w:val="auto"/>
              </w:rPr>
              <w:t>Methane Heather Sally</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2007</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145,000</w:t>
            </w: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Shell</w:t>
            </w:r>
          </w:p>
        </w:tc>
        <w:tc>
          <w:tcPr>
            <w:tcW w:w="1160" w:type="dxa"/>
            <w:vAlign w:val="bottom"/>
          </w:tcPr>
          <w:p>
            <w:pPr>
              <w:ind w:left="340"/>
              <w:spacing w:after="0"/>
              <w:rPr>
                <w:sz w:val="20"/>
                <w:szCs w:val="20"/>
                <w:color w:val="auto"/>
              </w:rPr>
            </w:pPr>
            <w:r>
              <w:rPr>
                <w:rFonts w:ascii="Arial" w:cs="Arial" w:eastAsia="Arial" w:hAnsi="Arial"/>
                <w:sz w:val="16"/>
                <w:szCs w:val="16"/>
                <w:color w:val="auto"/>
              </w:rPr>
              <w:t>Steam</w:t>
            </w:r>
          </w:p>
        </w:tc>
        <w:tc>
          <w:tcPr>
            <w:tcW w:w="1980" w:type="dxa"/>
            <w:vAlign w:val="bottom"/>
          </w:tcPr>
          <w:p>
            <w:pPr>
              <w:jc w:val="center"/>
              <w:ind w:left="19"/>
              <w:spacing w:after="0"/>
              <w:rPr>
                <w:sz w:val="20"/>
                <w:szCs w:val="20"/>
                <w:color w:val="auto"/>
              </w:rPr>
            </w:pPr>
            <w:r>
              <w:rPr>
                <w:rFonts w:ascii="Arial" w:cs="Arial" w:eastAsia="Arial" w:hAnsi="Arial"/>
                <w:sz w:val="16"/>
                <w:szCs w:val="16"/>
                <w:color w:val="auto"/>
                <w:w w:val="91"/>
              </w:rPr>
              <w:t>December 2020</w:t>
            </w:r>
          </w:p>
        </w:tc>
        <w:tc>
          <w:tcPr>
            <w:tcW w:w="1500" w:type="dxa"/>
            <w:vAlign w:val="bottom"/>
          </w:tcPr>
          <w:p>
            <w:pPr>
              <w:jc w:val="center"/>
              <w:ind w:left="59"/>
              <w:spacing w:after="0" w:line="203" w:lineRule="exact"/>
              <w:rPr>
                <w:sz w:val="20"/>
                <w:szCs w:val="20"/>
                <w:color w:val="auto"/>
              </w:rPr>
            </w:pPr>
            <w:r>
              <w:rPr>
                <w:rFonts w:ascii="Arial" w:cs="Arial" w:eastAsia="Arial" w:hAnsi="Arial"/>
                <w:sz w:val="16"/>
                <w:szCs w:val="16"/>
                <w:color w:val="auto"/>
                <w:w w:val="86"/>
              </w:rPr>
              <w:t xml:space="preserve">2023–2025 </w:t>
            </w:r>
            <w:r>
              <w:rPr>
                <w:rFonts w:ascii="Arial" w:cs="Arial" w:eastAsia="Arial" w:hAnsi="Arial"/>
                <w:sz w:val="21"/>
                <w:szCs w:val="21"/>
                <w:color w:val="auto"/>
                <w:w w:val="86"/>
                <w:vertAlign w:val="superscript"/>
              </w:rPr>
              <w:t>(3)</w:t>
            </w:r>
          </w:p>
        </w:tc>
        <w:tc>
          <w:tcPr>
            <w:tcW w:w="0" w:type="dxa"/>
            <w:vAlign w:val="bottom"/>
          </w:tcPr>
          <w:p>
            <w:pPr>
              <w:spacing w:after="0"/>
              <w:rPr>
                <w:sz w:val="1"/>
                <w:szCs w:val="1"/>
                <w:color w:val="auto"/>
              </w:rPr>
            </w:pPr>
          </w:p>
        </w:tc>
      </w:tr>
      <w:tr>
        <w:trPr>
          <w:trHeight w:val="203"/>
        </w:trPr>
        <w:tc>
          <w:tcPr>
            <w:tcW w:w="340" w:type="dxa"/>
            <w:vAlign w:val="bottom"/>
            <w:shd w:val="clear" w:color="auto" w:fill="E4FFFF"/>
          </w:tcPr>
          <w:p>
            <w:pPr>
              <w:jc w:val="center"/>
              <w:spacing w:after="0"/>
              <w:rPr>
                <w:sz w:val="20"/>
                <w:szCs w:val="20"/>
                <w:color w:val="auto"/>
              </w:rPr>
            </w:pPr>
            <w:r>
              <w:rPr>
                <w:rFonts w:ascii="Arial" w:cs="Arial" w:eastAsia="Arial" w:hAnsi="Arial"/>
                <w:sz w:val="16"/>
                <w:szCs w:val="16"/>
                <w:b w:val="1"/>
                <w:bCs w:val="1"/>
                <w:color w:val="auto"/>
                <w:w w:val="89"/>
              </w:rPr>
              <w:t>6</w:t>
            </w:r>
          </w:p>
        </w:tc>
        <w:tc>
          <w:tcPr>
            <w:tcW w:w="2260" w:type="dxa"/>
            <w:vAlign w:val="bottom"/>
            <w:shd w:val="clear" w:color="auto" w:fill="E4FFFF"/>
          </w:tcPr>
          <w:p>
            <w:pPr>
              <w:ind w:left="40"/>
              <w:spacing w:after="0"/>
              <w:rPr>
                <w:sz w:val="20"/>
                <w:szCs w:val="20"/>
                <w:color w:val="auto"/>
              </w:rPr>
            </w:pPr>
            <w:r>
              <w:rPr>
                <w:rFonts w:ascii="Arial" w:cs="Arial" w:eastAsia="Arial" w:hAnsi="Arial"/>
                <w:sz w:val="16"/>
                <w:szCs w:val="16"/>
                <w:i w:val="1"/>
                <w:iCs w:val="1"/>
                <w:color w:val="auto"/>
              </w:rPr>
              <w:t>GasLog Shanghai</w:t>
            </w:r>
          </w:p>
        </w:tc>
        <w:tc>
          <w:tcPr>
            <w:tcW w:w="1260" w:type="dxa"/>
            <w:vAlign w:val="bottom"/>
            <w:shd w:val="clear" w:color="auto" w:fill="E4FFFF"/>
          </w:tcPr>
          <w:p>
            <w:pPr>
              <w:jc w:val="right"/>
              <w:ind w:right="359"/>
              <w:spacing w:after="0"/>
              <w:rPr>
                <w:sz w:val="20"/>
                <w:szCs w:val="20"/>
                <w:color w:val="auto"/>
              </w:rPr>
            </w:pPr>
            <w:r>
              <w:rPr>
                <w:rFonts w:ascii="Arial" w:cs="Arial" w:eastAsia="Arial" w:hAnsi="Arial"/>
                <w:sz w:val="16"/>
                <w:szCs w:val="16"/>
                <w:color w:val="auto"/>
              </w:rPr>
              <w:t>2013</w:t>
            </w:r>
          </w:p>
        </w:tc>
        <w:tc>
          <w:tcPr>
            <w:tcW w:w="1280" w:type="dxa"/>
            <w:vAlign w:val="bottom"/>
            <w:shd w:val="clear" w:color="auto" w:fill="E4FFFF"/>
          </w:tcPr>
          <w:p>
            <w:pPr>
              <w:jc w:val="right"/>
              <w:ind w:right="239"/>
              <w:spacing w:after="0"/>
              <w:rPr>
                <w:sz w:val="20"/>
                <w:szCs w:val="20"/>
                <w:color w:val="auto"/>
              </w:rPr>
            </w:pPr>
            <w:r>
              <w:rPr>
                <w:rFonts w:ascii="Arial" w:cs="Arial" w:eastAsia="Arial" w:hAnsi="Arial"/>
                <w:sz w:val="16"/>
                <w:szCs w:val="16"/>
                <w:color w:val="auto"/>
              </w:rPr>
              <w:t>155,000</w:t>
            </w:r>
          </w:p>
        </w:tc>
        <w:tc>
          <w:tcPr>
            <w:tcW w:w="1640" w:type="dxa"/>
            <w:vAlign w:val="bottom"/>
            <w:shd w:val="clear" w:color="auto" w:fill="E4FFFF"/>
          </w:tcPr>
          <w:p>
            <w:pPr>
              <w:jc w:val="center"/>
              <w:spacing w:after="0" w:line="203" w:lineRule="exact"/>
              <w:rPr>
                <w:sz w:val="20"/>
                <w:szCs w:val="20"/>
                <w:color w:val="auto"/>
              </w:rPr>
            </w:pPr>
            <w:r>
              <w:rPr>
                <w:rFonts w:ascii="Arial" w:cs="Arial" w:eastAsia="Arial" w:hAnsi="Arial"/>
                <w:sz w:val="16"/>
                <w:szCs w:val="16"/>
                <w:color w:val="auto"/>
                <w:w w:val="90"/>
              </w:rPr>
              <w:t xml:space="preserve">Spot Market </w:t>
            </w:r>
            <w:r>
              <w:rPr>
                <w:rFonts w:ascii="Arial" w:cs="Arial" w:eastAsia="Arial" w:hAnsi="Arial"/>
                <w:sz w:val="21"/>
                <w:szCs w:val="21"/>
                <w:color w:val="auto"/>
                <w:w w:val="90"/>
                <w:vertAlign w:val="superscript"/>
              </w:rPr>
              <w:t>(4)</w:t>
            </w:r>
          </w:p>
        </w:tc>
        <w:tc>
          <w:tcPr>
            <w:tcW w:w="1160" w:type="dxa"/>
            <w:vAlign w:val="bottom"/>
            <w:shd w:val="clear" w:color="auto" w:fill="E4FFFF"/>
          </w:tcPr>
          <w:p>
            <w:pPr>
              <w:ind w:left="340"/>
              <w:spacing w:after="0"/>
              <w:rPr>
                <w:sz w:val="20"/>
                <w:szCs w:val="20"/>
                <w:color w:val="auto"/>
              </w:rPr>
            </w:pPr>
            <w:r>
              <w:rPr>
                <w:rFonts w:ascii="Arial" w:cs="Arial" w:eastAsia="Arial" w:hAnsi="Arial"/>
                <w:sz w:val="16"/>
                <w:szCs w:val="16"/>
                <w:color w:val="auto"/>
              </w:rPr>
              <w:t>TFDE</w:t>
            </w:r>
          </w:p>
        </w:tc>
        <w:tc>
          <w:tcPr>
            <w:tcW w:w="1980" w:type="dxa"/>
            <w:vAlign w:val="bottom"/>
            <w:shd w:val="clear" w:color="auto" w:fill="E4FFFF"/>
          </w:tcPr>
          <w:p>
            <w:pPr>
              <w:jc w:val="center"/>
              <w:ind w:left="19"/>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E4FF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7</w:t>
            </w:r>
          </w:p>
        </w:tc>
        <w:tc>
          <w:tcPr>
            <w:tcW w:w="226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GasLog Santiago</w:t>
            </w:r>
          </w:p>
        </w:tc>
        <w:tc>
          <w:tcPr>
            <w:tcW w:w="1260" w:type="dxa"/>
            <w:vAlign w:val="bottom"/>
            <w:vMerge w:val="restart"/>
          </w:tcPr>
          <w:p>
            <w:pPr>
              <w:jc w:val="right"/>
              <w:ind w:right="359"/>
              <w:spacing w:after="0"/>
              <w:rPr>
                <w:sz w:val="20"/>
                <w:szCs w:val="20"/>
                <w:color w:val="auto"/>
              </w:rPr>
            </w:pPr>
            <w:r>
              <w:rPr>
                <w:rFonts w:ascii="Arial" w:cs="Arial" w:eastAsia="Arial" w:hAnsi="Arial"/>
                <w:sz w:val="16"/>
                <w:szCs w:val="16"/>
                <w:color w:val="auto"/>
              </w:rPr>
              <w:t>2013</w:t>
            </w:r>
          </w:p>
        </w:tc>
        <w:tc>
          <w:tcPr>
            <w:tcW w:w="1280" w:type="dxa"/>
            <w:vAlign w:val="bottom"/>
            <w:vMerge w:val="restart"/>
          </w:tcPr>
          <w:p>
            <w:pPr>
              <w:jc w:val="right"/>
              <w:ind w:right="239"/>
              <w:spacing w:after="0"/>
              <w:rPr>
                <w:sz w:val="20"/>
                <w:szCs w:val="20"/>
                <w:color w:val="auto"/>
              </w:rPr>
            </w:pPr>
            <w:r>
              <w:rPr>
                <w:rFonts w:ascii="Arial" w:cs="Arial" w:eastAsia="Arial" w:hAnsi="Arial"/>
                <w:sz w:val="16"/>
                <w:szCs w:val="16"/>
                <w:color w:val="auto"/>
              </w:rPr>
              <w:t>155,000</w:t>
            </w: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w w:val="92"/>
              </w:rPr>
              <w:t>New Customer</w:t>
            </w:r>
          </w:p>
        </w:tc>
        <w:tc>
          <w:tcPr>
            <w:tcW w:w="1160" w:type="dxa"/>
            <w:vAlign w:val="bottom"/>
            <w:vMerge w:val="restart"/>
          </w:tcPr>
          <w:p>
            <w:pPr>
              <w:ind w:left="340"/>
              <w:spacing w:after="0"/>
              <w:rPr>
                <w:sz w:val="20"/>
                <w:szCs w:val="20"/>
                <w:color w:val="auto"/>
              </w:rPr>
            </w:pPr>
            <w:r>
              <w:rPr>
                <w:rFonts w:ascii="Arial" w:cs="Arial" w:eastAsia="Arial" w:hAnsi="Arial"/>
                <w:sz w:val="16"/>
                <w:szCs w:val="16"/>
                <w:color w:val="auto"/>
              </w:rPr>
              <w:t>TFDE</w:t>
            </w:r>
          </w:p>
        </w:tc>
        <w:tc>
          <w:tcPr>
            <w:tcW w:w="1980" w:type="dxa"/>
            <w:vAlign w:val="bottom"/>
          </w:tcPr>
          <w:p>
            <w:pPr>
              <w:jc w:val="center"/>
              <w:ind w:left="19"/>
              <w:spacing w:after="0"/>
              <w:rPr>
                <w:sz w:val="20"/>
                <w:szCs w:val="20"/>
                <w:color w:val="auto"/>
              </w:rPr>
            </w:pPr>
            <w:r>
              <w:rPr>
                <w:rFonts w:ascii="Arial" w:cs="Arial" w:eastAsia="Arial" w:hAnsi="Arial"/>
                <w:sz w:val="16"/>
                <w:szCs w:val="16"/>
                <w:color w:val="auto"/>
                <w:w w:val="90"/>
              </w:rPr>
              <w:t>December 2021 or</w:t>
            </w:r>
          </w:p>
        </w:tc>
        <w:tc>
          <w:tcPr>
            <w:tcW w:w="150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 xml:space="preserve">2022-2028 </w:t>
            </w:r>
            <w:r>
              <w:rPr>
                <w:rFonts w:ascii="Arial" w:cs="Arial" w:eastAsia="Arial" w:hAnsi="Arial"/>
                <w:sz w:val="21"/>
                <w:szCs w:val="21"/>
                <w:color w:val="auto"/>
                <w:w w:val="89"/>
                <w:vertAlign w:val="superscript"/>
              </w:rPr>
              <w:t>(5)</w:t>
            </w:r>
          </w:p>
        </w:tc>
        <w:tc>
          <w:tcPr>
            <w:tcW w:w="0" w:type="dxa"/>
            <w:vAlign w:val="bottom"/>
          </w:tcPr>
          <w:p>
            <w:pPr>
              <w:spacing w:after="0"/>
              <w:rPr>
                <w:sz w:val="1"/>
                <w:szCs w:val="1"/>
                <w:color w:val="auto"/>
              </w:rPr>
            </w:pPr>
          </w:p>
        </w:tc>
      </w:tr>
      <w:tr>
        <w:trPr>
          <w:trHeight w:val="158"/>
        </w:trPr>
        <w:tc>
          <w:tcPr>
            <w:tcW w:w="340" w:type="dxa"/>
            <w:vAlign w:val="bottom"/>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Arial" w:cs="Arial" w:eastAsia="Arial" w:hAnsi="Arial"/>
                <w:sz w:val="16"/>
                <w:szCs w:val="16"/>
                <w:color w:val="auto"/>
                <w:w w:val="88"/>
              </w:rPr>
              <w:t>January 2022</w:t>
            </w: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3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40" w:type="dxa"/>
            <w:vAlign w:val="bottom"/>
            <w:shd w:val="clear" w:color="auto" w:fill="E4FFFF"/>
          </w:tcPr>
          <w:p>
            <w:pPr>
              <w:jc w:val="center"/>
              <w:spacing w:after="0"/>
              <w:rPr>
                <w:sz w:val="20"/>
                <w:szCs w:val="20"/>
                <w:color w:val="auto"/>
              </w:rPr>
            </w:pPr>
            <w:r>
              <w:rPr>
                <w:rFonts w:ascii="Arial" w:cs="Arial" w:eastAsia="Arial" w:hAnsi="Arial"/>
                <w:sz w:val="16"/>
                <w:szCs w:val="16"/>
                <w:b w:val="1"/>
                <w:bCs w:val="1"/>
                <w:color w:val="auto"/>
                <w:w w:val="89"/>
              </w:rPr>
              <w:t>8</w:t>
            </w:r>
          </w:p>
        </w:tc>
        <w:tc>
          <w:tcPr>
            <w:tcW w:w="2260" w:type="dxa"/>
            <w:vAlign w:val="bottom"/>
            <w:shd w:val="clear" w:color="auto" w:fill="E4FFFF"/>
          </w:tcPr>
          <w:p>
            <w:pPr>
              <w:ind w:left="40"/>
              <w:spacing w:after="0"/>
              <w:rPr>
                <w:sz w:val="20"/>
                <w:szCs w:val="20"/>
                <w:color w:val="auto"/>
              </w:rPr>
            </w:pPr>
            <w:r>
              <w:rPr>
                <w:rFonts w:ascii="Arial" w:cs="Arial" w:eastAsia="Arial" w:hAnsi="Arial"/>
                <w:sz w:val="16"/>
                <w:szCs w:val="16"/>
                <w:i w:val="1"/>
                <w:iCs w:val="1"/>
                <w:color w:val="auto"/>
              </w:rPr>
              <w:t>GasLog Sydney</w:t>
            </w:r>
          </w:p>
        </w:tc>
        <w:tc>
          <w:tcPr>
            <w:tcW w:w="1260" w:type="dxa"/>
            <w:vAlign w:val="bottom"/>
            <w:shd w:val="clear" w:color="auto" w:fill="E4FFFF"/>
          </w:tcPr>
          <w:p>
            <w:pPr>
              <w:jc w:val="right"/>
              <w:ind w:right="359"/>
              <w:spacing w:after="0"/>
              <w:rPr>
                <w:sz w:val="20"/>
                <w:szCs w:val="20"/>
                <w:color w:val="auto"/>
              </w:rPr>
            </w:pPr>
            <w:r>
              <w:rPr>
                <w:rFonts w:ascii="Arial" w:cs="Arial" w:eastAsia="Arial" w:hAnsi="Arial"/>
                <w:sz w:val="16"/>
                <w:szCs w:val="16"/>
                <w:color w:val="auto"/>
              </w:rPr>
              <w:t>2013</w:t>
            </w:r>
          </w:p>
        </w:tc>
        <w:tc>
          <w:tcPr>
            <w:tcW w:w="1280" w:type="dxa"/>
            <w:vAlign w:val="bottom"/>
            <w:shd w:val="clear" w:color="auto" w:fill="E4FFFF"/>
          </w:tcPr>
          <w:p>
            <w:pPr>
              <w:jc w:val="right"/>
              <w:ind w:right="239"/>
              <w:spacing w:after="0"/>
              <w:rPr>
                <w:sz w:val="20"/>
                <w:szCs w:val="20"/>
                <w:color w:val="auto"/>
              </w:rPr>
            </w:pPr>
            <w:r>
              <w:rPr>
                <w:rFonts w:ascii="Arial" w:cs="Arial" w:eastAsia="Arial" w:hAnsi="Arial"/>
                <w:sz w:val="16"/>
                <w:szCs w:val="16"/>
                <w:color w:val="auto"/>
              </w:rPr>
              <w:t>155,000</w:t>
            </w:r>
          </w:p>
        </w:tc>
        <w:tc>
          <w:tcPr>
            <w:tcW w:w="1640" w:type="dxa"/>
            <w:vAlign w:val="bottom"/>
            <w:shd w:val="clear" w:color="auto" w:fill="E4FFFF"/>
          </w:tcPr>
          <w:p>
            <w:pPr>
              <w:jc w:val="center"/>
              <w:spacing w:after="0" w:line="206" w:lineRule="exact"/>
              <w:rPr>
                <w:sz w:val="20"/>
                <w:szCs w:val="20"/>
                <w:color w:val="auto"/>
              </w:rPr>
            </w:pPr>
            <w:r>
              <w:rPr>
                <w:rFonts w:ascii="Arial" w:cs="Arial" w:eastAsia="Arial" w:hAnsi="Arial"/>
                <w:sz w:val="16"/>
                <w:szCs w:val="16"/>
                <w:color w:val="auto"/>
                <w:w w:val="85"/>
              </w:rPr>
              <w:t xml:space="preserve">Cheniere </w:t>
            </w:r>
            <w:r>
              <w:rPr>
                <w:rFonts w:ascii="Arial" w:cs="Arial" w:eastAsia="Arial" w:hAnsi="Arial"/>
                <w:sz w:val="21"/>
                <w:szCs w:val="21"/>
                <w:color w:val="auto"/>
                <w:w w:val="85"/>
                <w:vertAlign w:val="superscript"/>
              </w:rPr>
              <w:t>(6)</w:t>
            </w:r>
          </w:p>
        </w:tc>
        <w:tc>
          <w:tcPr>
            <w:tcW w:w="1160" w:type="dxa"/>
            <w:vAlign w:val="bottom"/>
            <w:shd w:val="clear" w:color="auto" w:fill="E4FFFF"/>
          </w:tcPr>
          <w:p>
            <w:pPr>
              <w:ind w:left="340"/>
              <w:spacing w:after="0"/>
              <w:rPr>
                <w:sz w:val="20"/>
                <w:szCs w:val="20"/>
                <w:color w:val="auto"/>
              </w:rPr>
            </w:pPr>
            <w:r>
              <w:rPr>
                <w:rFonts w:ascii="Arial" w:cs="Arial" w:eastAsia="Arial" w:hAnsi="Arial"/>
                <w:sz w:val="16"/>
                <w:szCs w:val="16"/>
                <w:color w:val="auto"/>
              </w:rPr>
              <w:t>TFDE</w:t>
            </w:r>
          </w:p>
        </w:tc>
        <w:tc>
          <w:tcPr>
            <w:tcW w:w="198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97"/>
              </w:rPr>
              <w:t>April 2020</w:t>
            </w:r>
          </w:p>
        </w:tc>
        <w:tc>
          <w:tcPr>
            <w:tcW w:w="1500" w:type="dxa"/>
            <w:vAlign w:val="bottom"/>
            <w:shd w:val="clear" w:color="auto" w:fill="E4FFFF"/>
          </w:tcPr>
          <w:p>
            <w:pPr>
              <w:jc w:val="center"/>
              <w:ind w:left="59"/>
              <w:spacing w:after="0" w:line="206" w:lineRule="exact"/>
              <w:rPr>
                <w:sz w:val="20"/>
                <w:szCs w:val="20"/>
                <w:color w:val="auto"/>
              </w:rPr>
            </w:pPr>
            <w:r>
              <w:rPr>
                <w:rFonts w:ascii="Arial" w:cs="Arial" w:eastAsia="Arial" w:hAnsi="Arial"/>
                <w:sz w:val="16"/>
                <w:szCs w:val="16"/>
                <w:color w:val="auto"/>
                <w:w w:val="89"/>
              </w:rPr>
              <w:t xml:space="preserve">2020-2021 </w:t>
            </w:r>
            <w:r>
              <w:rPr>
                <w:rFonts w:ascii="Arial" w:cs="Arial" w:eastAsia="Arial" w:hAnsi="Arial"/>
                <w:sz w:val="21"/>
                <w:szCs w:val="21"/>
                <w:color w:val="auto"/>
                <w:w w:val="89"/>
                <w:vertAlign w:val="superscript"/>
              </w:rPr>
              <w:t>(7)</w:t>
            </w:r>
          </w:p>
        </w:tc>
        <w:tc>
          <w:tcPr>
            <w:tcW w:w="0" w:type="dxa"/>
            <w:vAlign w:val="bottom"/>
          </w:tcPr>
          <w:p>
            <w:pPr>
              <w:spacing w:after="0"/>
              <w:rPr>
                <w:sz w:val="1"/>
                <w:szCs w:val="1"/>
                <w:color w:val="auto"/>
              </w:rPr>
            </w:pPr>
          </w:p>
        </w:tc>
      </w:tr>
      <w:tr>
        <w:trPr>
          <w:trHeight w:val="203"/>
        </w:trPr>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9</w:t>
            </w:r>
          </w:p>
        </w:tc>
        <w:tc>
          <w:tcPr>
            <w:tcW w:w="2260" w:type="dxa"/>
            <w:vAlign w:val="bottom"/>
          </w:tcPr>
          <w:p>
            <w:pPr>
              <w:ind w:left="40"/>
              <w:spacing w:after="0"/>
              <w:rPr>
                <w:sz w:val="20"/>
                <w:szCs w:val="20"/>
                <w:color w:val="auto"/>
              </w:rPr>
            </w:pPr>
            <w:r>
              <w:rPr>
                <w:rFonts w:ascii="Arial" w:cs="Arial" w:eastAsia="Arial" w:hAnsi="Arial"/>
                <w:sz w:val="16"/>
                <w:szCs w:val="16"/>
                <w:i w:val="1"/>
                <w:iCs w:val="1"/>
                <w:color w:val="auto"/>
              </w:rPr>
              <w:t>GasLog Seattle</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2013</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155,000</w:t>
            </w: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Shell</w:t>
            </w:r>
          </w:p>
        </w:tc>
        <w:tc>
          <w:tcPr>
            <w:tcW w:w="1160" w:type="dxa"/>
            <w:vAlign w:val="bottom"/>
          </w:tcPr>
          <w:p>
            <w:pPr>
              <w:ind w:left="340"/>
              <w:spacing w:after="0"/>
              <w:rPr>
                <w:sz w:val="20"/>
                <w:szCs w:val="20"/>
                <w:color w:val="auto"/>
              </w:rPr>
            </w:pPr>
            <w:r>
              <w:rPr>
                <w:rFonts w:ascii="Arial" w:cs="Arial" w:eastAsia="Arial" w:hAnsi="Arial"/>
                <w:sz w:val="16"/>
                <w:szCs w:val="16"/>
                <w:color w:val="auto"/>
              </w:rPr>
              <w:t>TFDE</w:t>
            </w:r>
          </w:p>
        </w:tc>
        <w:tc>
          <w:tcPr>
            <w:tcW w:w="1980" w:type="dxa"/>
            <w:vAlign w:val="bottom"/>
          </w:tcPr>
          <w:p>
            <w:pPr>
              <w:jc w:val="center"/>
              <w:ind w:left="19"/>
              <w:spacing w:after="0"/>
              <w:rPr>
                <w:sz w:val="20"/>
                <w:szCs w:val="20"/>
                <w:color w:val="auto"/>
              </w:rPr>
            </w:pPr>
            <w:r>
              <w:rPr>
                <w:rFonts w:ascii="Arial" w:cs="Arial" w:eastAsia="Arial" w:hAnsi="Arial"/>
                <w:sz w:val="16"/>
                <w:szCs w:val="16"/>
                <w:color w:val="auto"/>
                <w:w w:val="91"/>
              </w:rPr>
              <w:t>December 2020</w:t>
            </w:r>
          </w:p>
        </w:tc>
        <w:tc>
          <w:tcPr>
            <w:tcW w:w="1500" w:type="dxa"/>
            <w:vAlign w:val="bottom"/>
          </w:tcPr>
          <w:p>
            <w:pPr>
              <w:jc w:val="center"/>
              <w:ind w:left="59"/>
              <w:spacing w:after="0" w:line="203" w:lineRule="exact"/>
              <w:rPr>
                <w:sz w:val="20"/>
                <w:szCs w:val="20"/>
                <w:color w:val="auto"/>
              </w:rPr>
            </w:pPr>
            <w:r>
              <w:rPr>
                <w:rFonts w:ascii="Arial" w:cs="Arial" w:eastAsia="Arial" w:hAnsi="Arial"/>
                <w:sz w:val="16"/>
                <w:szCs w:val="16"/>
                <w:color w:val="auto"/>
                <w:w w:val="86"/>
              </w:rPr>
              <w:t xml:space="preserve">2025–2030 </w:t>
            </w:r>
            <w:r>
              <w:rPr>
                <w:rFonts w:ascii="Arial" w:cs="Arial" w:eastAsia="Arial" w:hAnsi="Arial"/>
                <w:sz w:val="21"/>
                <w:szCs w:val="21"/>
                <w:color w:val="auto"/>
                <w:w w:val="86"/>
                <w:vertAlign w:val="superscript"/>
              </w:rPr>
              <w:t>(8)</w:t>
            </w:r>
          </w:p>
        </w:tc>
        <w:tc>
          <w:tcPr>
            <w:tcW w:w="0" w:type="dxa"/>
            <w:vAlign w:val="bottom"/>
          </w:tcPr>
          <w:p>
            <w:pPr>
              <w:spacing w:after="0"/>
              <w:rPr>
                <w:sz w:val="1"/>
                <w:szCs w:val="1"/>
                <w:color w:val="auto"/>
              </w:rPr>
            </w:pPr>
          </w:p>
        </w:tc>
      </w:tr>
      <w:tr>
        <w:trPr>
          <w:trHeight w:val="203"/>
        </w:trPr>
        <w:tc>
          <w:tcPr>
            <w:tcW w:w="340" w:type="dxa"/>
            <w:vAlign w:val="bottom"/>
            <w:shd w:val="clear" w:color="auto" w:fill="E4FFFF"/>
          </w:tcPr>
          <w:p>
            <w:pPr>
              <w:jc w:val="center"/>
              <w:spacing w:after="0"/>
              <w:rPr>
                <w:sz w:val="20"/>
                <w:szCs w:val="20"/>
                <w:color w:val="auto"/>
              </w:rPr>
            </w:pPr>
            <w:r>
              <w:rPr>
                <w:rFonts w:ascii="Arial" w:cs="Arial" w:eastAsia="Arial" w:hAnsi="Arial"/>
                <w:sz w:val="16"/>
                <w:szCs w:val="16"/>
                <w:b w:val="1"/>
                <w:bCs w:val="1"/>
                <w:color w:val="auto"/>
                <w:w w:val="89"/>
              </w:rPr>
              <w:t>10</w:t>
            </w:r>
          </w:p>
        </w:tc>
        <w:tc>
          <w:tcPr>
            <w:tcW w:w="2260" w:type="dxa"/>
            <w:vAlign w:val="bottom"/>
            <w:shd w:val="clear" w:color="auto" w:fill="E4FFFF"/>
          </w:tcPr>
          <w:p>
            <w:pPr>
              <w:ind w:left="40"/>
              <w:spacing w:after="0"/>
              <w:rPr>
                <w:sz w:val="20"/>
                <w:szCs w:val="20"/>
                <w:color w:val="auto"/>
              </w:rPr>
            </w:pPr>
            <w:r>
              <w:rPr>
                <w:rFonts w:ascii="Arial" w:cs="Arial" w:eastAsia="Arial" w:hAnsi="Arial"/>
                <w:sz w:val="16"/>
                <w:szCs w:val="16"/>
                <w:i w:val="1"/>
                <w:iCs w:val="1"/>
                <w:color w:val="auto"/>
              </w:rPr>
              <w:t>Solaris</w:t>
            </w:r>
          </w:p>
        </w:tc>
        <w:tc>
          <w:tcPr>
            <w:tcW w:w="1260" w:type="dxa"/>
            <w:vAlign w:val="bottom"/>
            <w:shd w:val="clear" w:color="auto" w:fill="E4FFFF"/>
          </w:tcPr>
          <w:p>
            <w:pPr>
              <w:jc w:val="right"/>
              <w:ind w:right="359"/>
              <w:spacing w:after="0"/>
              <w:rPr>
                <w:sz w:val="20"/>
                <w:szCs w:val="20"/>
                <w:color w:val="auto"/>
              </w:rPr>
            </w:pPr>
            <w:r>
              <w:rPr>
                <w:rFonts w:ascii="Arial" w:cs="Arial" w:eastAsia="Arial" w:hAnsi="Arial"/>
                <w:sz w:val="16"/>
                <w:szCs w:val="16"/>
                <w:color w:val="auto"/>
              </w:rPr>
              <w:t>2014</w:t>
            </w:r>
          </w:p>
        </w:tc>
        <w:tc>
          <w:tcPr>
            <w:tcW w:w="1280" w:type="dxa"/>
            <w:vAlign w:val="bottom"/>
            <w:shd w:val="clear" w:color="auto" w:fill="E4FFFF"/>
          </w:tcPr>
          <w:p>
            <w:pPr>
              <w:jc w:val="right"/>
              <w:ind w:right="239"/>
              <w:spacing w:after="0"/>
              <w:rPr>
                <w:sz w:val="20"/>
                <w:szCs w:val="20"/>
                <w:color w:val="auto"/>
              </w:rPr>
            </w:pPr>
            <w:r>
              <w:rPr>
                <w:rFonts w:ascii="Arial" w:cs="Arial" w:eastAsia="Arial" w:hAnsi="Arial"/>
                <w:sz w:val="16"/>
                <w:szCs w:val="16"/>
                <w:color w:val="auto"/>
              </w:rPr>
              <w:t>155,000</w:t>
            </w:r>
          </w:p>
        </w:tc>
        <w:tc>
          <w:tcPr>
            <w:tcW w:w="164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95"/>
              </w:rPr>
              <w:t>Shell</w:t>
            </w:r>
          </w:p>
        </w:tc>
        <w:tc>
          <w:tcPr>
            <w:tcW w:w="1160" w:type="dxa"/>
            <w:vAlign w:val="bottom"/>
            <w:shd w:val="clear" w:color="auto" w:fill="E4FFFF"/>
          </w:tcPr>
          <w:p>
            <w:pPr>
              <w:ind w:left="340"/>
              <w:spacing w:after="0"/>
              <w:rPr>
                <w:sz w:val="20"/>
                <w:szCs w:val="20"/>
                <w:color w:val="auto"/>
              </w:rPr>
            </w:pPr>
            <w:r>
              <w:rPr>
                <w:rFonts w:ascii="Arial" w:cs="Arial" w:eastAsia="Arial" w:hAnsi="Arial"/>
                <w:sz w:val="16"/>
                <w:szCs w:val="16"/>
                <w:color w:val="auto"/>
              </w:rPr>
              <w:t>TFDE</w:t>
            </w:r>
          </w:p>
        </w:tc>
        <w:tc>
          <w:tcPr>
            <w:tcW w:w="198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8"/>
              </w:rPr>
              <w:t>June 2021</w:t>
            </w:r>
          </w:p>
        </w:tc>
        <w:tc>
          <w:tcPr>
            <w:tcW w:w="1500" w:type="dxa"/>
            <w:vAlign w:val="bottom"/>
            <w:shd w:val="clear" w:color="auto" w:fill="E4FFFF"/>
          </w:tcPr>
          <w:p>
            <w:pPr>
              <w:jc w:val="center"/>
              <w:ind w:left="59"/>
              <w:spacing w:after="0" w:line="203" w:lineRule="exact"/>
              <w:rPr>
                <w:sz w:val="20"/>
                <w:szCs w:val="20"/>
                <w:color w:val="auto"/>
              </w:rPr>
            </w:pPr>
            <w:r>
              <w:rPr>
                <w:rFonts w:ascii="Arial" w:cs="Arial" w:eastAsia="Arial" w:hAnsi="Arial"/>
                <w:sz w:val="16"/>
                <w:szCs w:val="16"/>
                <w:color w:val="auto"/>
                <w:w w:val="86"/>
              </w:rPr>
              <w:t xml:space="preserve">2026–2031 </w:t>
            </w:r>
            <w:r>
              <w:rPr>
                <w:rFonts w:ascii="Arial" w:cs="Arial" w:eastAsia="Arial" w:hAnsi="Arial"/>
                <w:sz w:val="21"/>
                <w:szCs w:val="21"/>
                <w:color w:val="auto"/>
                <w:w w:val="86"/>
                <w:vertAlign w:val="superscript"/>
              </w:rPr>
              <w:t>(8)</w:t>
            </w:r>
          </w:p>
        </w:tc>
        <w:tc>
          <w:tcPr>
            <w:tcW w:w="0" w:type="dxa"/>
            <w:vAlign w:val="bottom"/>
          </w:tcPr>
          <w:p>
            <w:pPr>
              <w:spacing w:after="0"/>
              <w:rPr>
                <w:sz w:val="1"/>
                <w:szCs w:val="1"/>
                <w:color w:val="auto"/>
              </w:rPr>
            </w:pPr>
          </w:p>
        </w:tc>
      </w:tr>
      <w:tr>
        <w:trPr>
          <w:trHeight w:val="203"/>
        </w:trPr>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11</w:t>
            </w:r>
          </w:p>
        </w:tc>
        <w:tc>
          <w:tcPr>
            <w:tcW w:w="2260" w:type="dxa"/>
            <w:vAlign w:val="bottom"/>
          </w:tcPr>
          <w:p>
            <w:pPr>
              <w:ind w:left="40"/>
              <w:spacing w:after="0"/>
              <w:rPr>
                <w:sz w:val="20"/>
                <w:szCs w:val="20"/>
                <w:color w:val="auto"/>
              </w:rPr>
            </w:pPr>
            <w:r>
              <w:rPr>
                <w:rFonts w:ascii="Arial" w:cs="Arial" w:eastAsia="Arial" w:hAnsi="Arial"/>
                <w:sz w:val="16"/>
                <w:szCs w:val="16"/>
                <w:i w:val="1"/>
                <w:iCs w:val="1"/>
                <w:color w:val="auto"/>
              </w:rPr>
              <w:t>GasLog Greece</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2016</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174,000</w:t>
            </w: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Shell</w:t>
            </w:r>
          </w:p>
        </w:tc>
        <w:tc>
          <w:tcPr>
            <w:tcW w:w="1160" w:type="dxa"/>
            <w:vAlign w:val="bottom"/>
          </w:tcPr>
          <w:p>
            <w:pPr>
              <w:ind w:left="340"/>
              <w:spacing w:after="0"/>
              <w:rPr>
                <w:sz w:val="20"/>
                <w:szCs w:val="20"/>
                <w:color w:val="auto"/>
              </w:rPr>
            </w:pPr>
            <w:r>
              <w:rPr>
                <w:rFonts w:ascii="Arial" w:cs="Arial" w:eastAsia="Arial" w:hAnsi="Arial"/>
                <w:sz w:val="16"/>
                <w:szCs w:val="16"/>
                <w:color w:val="auto"/>
              </w:rPr>
              <w:t>TFDE</w:t>
            </w:r>
          </w:p>
        </w:tc>
        <w:tc>
          <w:tcPr>
            <w:tcW w:w="1980" w:type="dxa"/>
            <w:vAlign w:val="bottom"/>
          </w:tcPr>
          <w:p>
            <w:pPr>
              <w:jc w:val="center"/>
              <w:spacing w:after="0"/>
              <w:rPr>
                <w:sz w:val="20"/>
                <w:szCs w:val="20"/>
                <w:color w:val="auto"/>
              </w:rPr>
            </w:pPr>
            <w:r>
              <w:rPr>
                <w:rFonts w:ascii="Arial" w:cs="Arial" w:eastAsia="Arial" w:hAnsi="Arial"/>
                <w:sz w:val="16"/>
                <w:szCs w:val="16"/>
                <w:color w:val="auto"/>
                <w:w w:val="92"/>
              </w:rPr>
              <w:t>March 2026</w:t>
            </w:r>
          </w:p>
        </w:tc>
        <w:tc>
          <w:tcPr>
            <w:tcW w:w="1500" w:type="dxa"/>
            <w:vAlign w:val="bottom"/>
          </w:tcPr>
          <w:p>
            <w:pPr>
              <w:jc w:val="center"/>
              <w:ind w:left="59"/>
              <w:spacing w:after="0" w:line="203" w:lineRule="exact"/>
              <w:rPr>
                <w:sz w:val="20"/>
                <w:szCs w:val="20"/>
                <w:color w:val="auto"/>
              </w:rPr>
            </w:pPr>
            <w:r>
              <w:rPr>
                <w:rFonts w:ascii="Arial" w:cs="Arial" w:eastAsia="Arial" w:hAnsi="Arial"/>
                <w:sz w:val="16"/>
                <w:szCs w:val="16"/>
                <w:color w:val="auto"/>
                <w:w w:val="83"/>
              </w:rPr>
              <w:t xml:space="preserve">2031 </w:t>
            </w:r>
            <w:r>
              <w:rPr>
                <w:rFonts w:ascii="Arial" w:cs="Arial" w:eastAsia="Arial" w:hAnsi="Arial"/>
                <w:sz w:val="21"/>
                <w:szCs w:val="21"/>
                <w:color w:val="auto"/>
                <w:w w:val="83"/>
                <w:vertAlign w:val="superscript"/>
              </w:rPr>
              <w:t>(9)</w:t>
            </w:r>
          </w:p>
        </w:tc>
        <w:tc>
          <w:tcPr>
            <w:tcW w:w="0" w:type="dxa"/>
            <w:vAlign w:val="bottom"/>
          </w:tcPr>
          <w:p>
            <w:pPr>
              <w:spacing w:after="0"/>
              <w:rPr>
                <w:sz w:val="1"/>
                <w:szCs w:val="1"/>
                <w:color w:val="auto"/>
              </w:rPr>
            </w:pPr>
          </w:p>
        </w:tc>
      </w:tr>
      <w:tr>
        <w:trPr>
          <w:trHeight w:val="203"/>
        </w:trPr>
        <w:tc>
          <w:tcPr>
            <w:tcW w:w="340" w:type="dxa"/>
            <w:vAlign w:val="bottom"/>
            <w:shd w:val="clear" w:color="auto" w:fill="E4FFFF"/>
          </w:tcPr>
          <w:p>
            <w:pPr>
              <w:jc w:val="center"/>
              <w:spacing w:after="0"/>
              <w:rPr>
                <w:sz w:val="20"/>
                <w:szCs w:val="20"/>
                <w:color w:val="auto"/>
              </w:rPr>
            </w:pPr>
            <w:r>
              <w:rPr>
                <w:rFonts w:ascii="Arial" w:cs="Arial" w:eastAsia="Arial" w:hAnsi="Arial"/>
                <w:sz w:val="16"/>
                <w:szCs w:val="16"/>
                <w:b w:val="1"/>
                <w:bCs w:val="1"/>
                <w:color w:val="auto"/>
                <w:w w:val="89"/>
              </w:rPr>
              <w:t>12</w:t>
            </w:r>
          </w:p>
        </w:tc>
        <w:tc>
          <w:tcPr>
            <w:tcW w:w="2260" w:type="dxa"/>
            <w:vAlign w:val="bottom"/>
            <w:shd w:val="clear" w:color="auto" w:fill="E4FFFF"/>
          </w:tcPr>
          <w:p>
            <w:pPr>
              <w:ind w:left="40"/>
              <w:spacing w:after="0"/>
              <w:rPr>
                <w:sz w:val="20"/>
                <w:szCs w:val="20"/>
                <w:color w:val="auto"/>
              </w:rPr>
            </w:pPr>
            <w:r>
              <w:rPr>
                <w:rFonts w:ascii="Arial" w:cs="Arial" w:eastAsia="Arial" w:hAnsi="Arial"/>
                <w:sz w:val="16"/>
                <w:szCs w:val="16"/>
                <w:i w:val="1"/>
                <w:iCs w:val="1"/>
                <w:color w:val="auto"/>
              </w:rPr>
              <w:t>GasLog Geneva</w:t>
            </w:r>
          </w:p>
        </w:tc>
        <w:tc>
          <w:tcPr>
            <w:tcW w:w="1260" w:type="dxa"/>
            <w:vAlign w:val="bottom"/>
            <w:shd w:val="clear" w:color="auto" w:fill="E4FFFF"/>
          </w:tcPr>
          <w:p>
            <w:pPr>
              <w:jc w:val="right"/>
              <w:ind w:right="359"/>
              <w:spacing w:after="0"/>
              <w:rPr>
                <w:sz w:val="20"/>
                <w:szCs w:val="20"/>
                <w:color w:val="auto"/>
              </w:rPr>
            </w:pPr>
            <w:r>
              <w:rPr>
                <w:rFonts w:ascii="Arial" w:cs="Arial" w:eastAsia="Arial" w:hAnsi="Arial"/>
                <w:sz w:val="16"/>
                <w:szCs w:val="16"/>
                <w:color w:val="auto"/>
              </w:rPr>
              <w:t>2016</w:t>
            </w:r>
          </w:p>
        </w:tc>
        <w:tc>
          <w:tcPr>
            <w:tcW w:w="1280" w:type="dxa"/>
            <w:vAlign w:val="bottom"/>
            <w:shd w:val="clear" w:color="auto" w:fill="E4FFFF"/>
          </w:tcPr>
          <w:p>
            <w:pPr>
              <w:jc w:val="right"/>
              <w:ind w:right="239"/>
              <w:spacing w:after="0"/>
              <w:rPr>
                <w:sz w:val="20"/>
                <w:szCs w:val="20"/>
                <w:color w:val="auto"/>
              </w:rPr>
            </w:pPr>
            <w:r>
              <w:rPr>
                <w:rFonts w:ascii="Arial" w:cs="Arial" w:eastAsia="Arial" w:hAnsi="Arial"/>
                <w:sz w:val="16"/>
                <w:szCs w:val="16"/>
                <w:color w:val="auto"/>
              </w:rPr>
              <w:t>174,000</w:t>
            </w:r>
          </w:p>
        </w:tc>
        <w:tc>
          <w:tcPr>
            <w:tcW w:w="164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95"/>
              </w:rPr>
              <w:t>Shell</w:t>
            </w:r>
          </w:p>
        </w:tc>
        <w:tc>
          <w:tcPr>
            <w:tcW w:w="1160" w:type="dxa"/>
            <w:vAlign w:val="bottom"/>
            <w:shd w:val="clear" w:color="auto" w:fill="E4FFFF"/>
          </w:tcPr>
          <w:p>
            <w:pPr>
              <w:ind w:left="340"/>
              <w:spacing w:after="0"/>
              <w:rPr>
                <w:sz w:val="20"/>
                <w:szCs w:val="20"/>
                <w:color w:val="auto"/>
              </w:rPr>
            </w:pPr>
            <w:r>
              <w:rPr>
                <w:rFonts w:ascii="Arial" w:cs="Arial" w:eastAsia="Arial" w:hAnsi="Arial"/>
                <w:sz w:val="16"/>
                <w:szCs w:val="16"/>
                <w:color w:val="auto"/>
              </w:rPr>
              <w:t>TFDE</w:t>
            </w:r>
          </w:p>
        </w:tc>
        <w:tc>
          <w:tcPr>
            <w:tcW w:w="198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9"/>
              </w:rPr>
              <w:t>September 2023</w:t>
            </w:r>
          </w:p>
        </w:tc>
        <w:tc>
          <w:tcPr>
            <w:tcW w:w="1500" w:type="dxa"/>
            <w:vAlign w:val="bottom"/>
            <w:shd w:val="clear" w:color="auto" w:fill="E4FFFF"/>
          </w:tcPr>
          <w:p>
            <w:pPr>
              <w:jc w:val="center"/>
              <w:ind w:left="59"/>
              <w:spacing w:after="0" w:line="203" w:lineRule="exact"/>
              <w:rPr>
                <w:sz w:val="20"/>
                <w:szCs w:val="20"/>
                <w:color w:val="auto"/>
              </w:rPr>
            </w:pPr>
            <w:r>
              <w:rPr>
                <w:rFonts w:ascii="Arial" w:cs="Arial" w:eastAsia="Arial" w:hAnsi="Arial"/>
                <w:sz w:val="16"/>
                <w:szCs w:val="16"/>
                <w:color w:val="auto"/>
                <w:w w:val="87"/>
              </w:rPr>
              <w:t xml:space="preserve">2028–2031 </w:t>
            </w:r>
            <w:r>
              <w:rPr>
                <w:rFonts w:ascii="Arial" w:cs="Arial" w:eastAsia="Arial" w:hAnsi="Arial"/>
                <w:sz w:val="21"/>
                <w:szCs w:val="21"/>
                <w:color w:val="auto"/>
                <w:w w:val="87"/>
                <w:vertAlign w:val="superscript"/>
              </w:rPr>
              <w:t>(10)</w:t>
            </w:r>
          </w:p>
        </w:tc>
        <w:tc>
          <w:tcPr>
            <w:tcW w:w="0" w:type="dxa"/>
            <w:vAlign w:val="bottom"/>
          </w:tcPr>
          <w:p>
            <w:pPr>
              <w:spacing w:after="0"/>
              <w:rPr>
                <w:sz w:val="1"/>
                <w:szCs w:val="1"/>
                <w:color w:val="auto"/>
              </w:rPr>
            </w:pPr>
          </w:p>
        </w:tc>
      </w:tr>
      <w:tr>
        <w:trPr>
          <w:trHeight w:val="281"/>
        </w:trPr>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13</w:t>
            </w:r>
          </w:p>
        </w:tc>
        <w:tc>
          <w:tcPr>
            <w:tcW w:w="2260" w:type="dxa"/>
            <w:vAlign w:val="bottom"/>
          </w:tcPr>
          <w:p>
            <w:pPr>
              <w:ind w:left="40"/>
              <w:spacing w:after="0"/>
              <w:rPr>
                <w:sz w:val="20"/>
                <w:szCs w:val="20"/>
                <w:color w:val="auto"/>
              </w:rPr>
            </w:pPr>
            <w:r>
              <w:rPr>
                <w:rFonts w:ascii="Arial" w:cs="Arial" w:eastAsia="Arial" w:hAnsi="Arial"/>
                <w:sz w:val="16"/>
                <w:szCs w:val="16"/>
                <w:i w:val="1"/>
                <w:iCs w:val="1"/>
                <w:color w:val="auto"/>
              </w:rPr>
              <w:t xml:space="preserve">GasLog Gibraltar </w:t>
            </w:r>
            <w:r>
              <w:rPr>
                <w:rFonts w:ascii="Arial" w:cs="Arial" w:eastAsia="Arial" w:hAnsi="Arial"/>
                <w:sz w:val="21"/>
                <w:szCs w:val="21"/>
                <w:color w:val="auto"/>
                <w:vertAlign w:val="superscript"/>
              </w:rPr>
              <w:t>(11)</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2016</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174,000</w:t>
            </w: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Shell</w:t>
            </w:r>
          </w:p>
        </w:tc>
        <w:tc>
          <w:tcPr>
            <w:tcW w:w="1160" w:type="dxa"/>
            <w:vAlign w:val="bottom"/>
          </w:tcPr>
          <w:p>
            <w:pPr>
              <w:ind w:left="340"/>
              <w:spacing w:after="0"/>
              <w:rPr>
                <w:sz w:val="20"/>
                <w:szCs w:val="20"/>
                <w:color w:val="auto"/>
              </w:rPr>
            </w:pPr>
            <w:r>
              <w:rPr>
                <w:rFonts w:ascii="Arial" w:cs="Arial" w:eastAsia="Arial" w:hAnsi="Arial"/>
                <w:sz w:val="16"/>
                <w:szCs w:val="16"/>
                <w:color w:val="auto"/>
              </w:rPr>
              <w:t>TFDE</w:t>
            </w:r>
          </w:p>
        </w:tc>
        <w:tc>
          <w:tcPr>
            <w:tcW w:w="1980" w:type="dxa"/>
            <w:vAlign w:val="bottom"/>
          </w:tcPr>
          <w:p>
            <w:pPr>
              <w:jc w:val="center"/>
              <w:ind w:left="19"/>
              <w:spacing w:after="0"/>
              <w:rPr>
                <w:sz w:val="20"/>
                <w:szCs w:val="20"/>
                <w:color w:val="auto"/>
              </w:rPr>
            </w:pPr>
            <w:r>
              <w:rPr>
                <w:rFonts w:ascii="Arial" w:cs="Arial" w:eastAsia="Arial" w:hAnsi="Arial"/>
                <w:sz w:val="16"/>
                <w:szCs w:val="16"/>
                <w:color w:val="auto"/>
                <w:w w:val="90"/>
              </w:rPr>
              <w:t>October 2023</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87"/>
              </w:rPr>
              <w:t xml:space="preserve">2028–2031 </w:t>
            </w:r>
            <w:r>
              <w:rPr>
                <w:rFonts w:ascii="Arial" w:cs="Arial" w:eastAsia="Arial" w:hAnsi="Arial"/>
                <w:sz w:val="21"/>
                <w:szCs w:val="21"/>
                <w:color w:val="auto"/>
                <w:w w:val="87"/>
                <w:vertAlign w:val="superscript"/>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08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329" w:lineRule="exact"/>
        <w:rPr>
          <w:sz w:val="20"/>
          <w:szCs w:val="20"/>
          <w:color w:val="auto"/>
        </w:rPr>
      </w:pPr>
    </w:p>
    <w:p>
      <w:pPr>
        <w:ind w:left="200" w:right="400" w:hanging="192"/>
        <w:spacing w:after="0" w:line="215"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 xml:space="preserve">GasLog Partners has secured a one-year charter for either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w:t>
      </w:r>
    </w:p>
    <w:p>
      <w:pPr>
        <w:spacing w:after="0" w:line="62" w:lineRule="exact"/>
        <w:rPr>
          <w:rFonts w:ascii="Arial" w:cs="Arial" w:eastAsia="Arial" w:hAnsi="Arial"/>
          <w:sz w:val="18"/>
          <w:szCs w:val="18"/>
          <w:color w:val="auto"/>
          <w:vertAlign w:val="superscript"/>
        </w:rPr>
      </w:pPr>
    </w:p>
    <w:p>
      <w:pPr>
        <w:ind w:left="200" w:right="220" w:hanging="192"/>
        <w:spacing w:after="0" w:line="215"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62" w:lineRule="exact"/>
        <w:rPr>
          <w:rFonts w:ascii="Arial" w:cs="Arial" w:eastAsia="Arial" w:hAnsi="Arial"/>
          <w:sz w:val="18"/>
          <w:szCs w:val="18"/>
          <w:color w:val="auto"/>
          <w:vertAlign w:val="superscript"/>
        </w:rPr>
      </w:pPr>
    </w:p>
    <w:p>
      <w:pPr>
        <w:ind w:left="200" w:right="340" w:hanging="192"/>
        <w:spacing w:after="0" w:line="215"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related charters for one extension period of three or five years, and each charter requires that the charterer gives us advance notice of its exercise of any extension option. The period shown reflects the expiration of the minimum optional period and the maximum optional period.</w:t>
      </w:r>
    </w:p>
    <w:p>
      <w:pPr>
        <w:spacing w:after="0" w:line="37"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vessel is currently operating in the spot market under the Cool Pool.</w:t>
      </w:r>
    </w:p>
    <w:p>
      <w:pPr>
        <w:spacing w:after="0" w:line="60" w:lineRule="exact"/>
        <w:rPr>
          <w:rFonts w:ascii="Arial" w:cs="Arial" w:eastAsia="Arial" w:hAnsi="Arial"/>
          <w:sz w:val="18"/>
          <w:szCs w:val="18"/>
          <w:color w:val="auto"/>
          <w:vertAlign w:val="superscript"/>
        </w:rPr>
      </w:pPr>
    </w:p>
    <w:p>
      <w:pPr>
        <w:ind w:left="200" w:right="140" w:hanging="192"/>
        <w:spacing w:after="0" w:line="215"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60"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The vessel is currently operating in the spot market under a short-term charter and is expected to begin her 18-month charter with Cheniere Energy, Inc. (“Cheniere”) in December 2018.</w:t>
      </w:r>
    </w:p>
    <w:p>
      <w:pPr>
        <w:spacing w:after="0" w:line="60" w:lineRule="exact"/>
        <w:rPr>
          <w:rFonts w:ascii="Arial" w:cs="Arial" w:eastAsia="Arial" w:hAnsi="Arial"/>
          <w:sz w:val="16"/>
          <w:szCs w:val="16"/>
          <w:color w:val="auto"/>
          <w:vertAlign w:val="superscript"/>
        </w:rPr>
      </w:pPr>
    </w:p>
    <w:p>
      <w:pPr>
        <w:ind w:left="200" w:hanging="192"/>
        <w:spacing w:after="0" w:line="215"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six to twelve months, provided that the charterer gives us advance notice of declaration. The period shown reflects the expiration of the minimum optional period and the maximum optional period.</w:t>
      </w:r>
    </w:p>
    <w:p>
      <w:pPr>
        <w:spacing w:after="0" w:line="62" w:lineRule="exact"/>
        <w:rPr>
          <w:rFonts w:ascii="Arial" w:cs="Arial" w:eastAsia="Arial" w:hAnsi="Arial"/>
          <w:sz w:val="18"/>
          <w:szCs w:val="18"/>
          <w:color w:val="auto"/>
          <w:vertAlign w:val="superscript"/>
        </w:rPr>
      </w:pPr>
    </w:p>
    <w:p>
      <w:pPr>
        <w:ind w:left="200" w:right="220" w:hanging="192"/>
        <w:spacing w:after="0" w:line="215"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these time charters for a period ranging from five to ten years, provided that the charterer gives us advance notice of its exercise of any extension option. The period shown reflects the expiration of the minimum optional period and the maximum optional period.</w:t>
      </w:r>
    </w:p>
    <w:p>
      <w:pPr>
        <w:spacing w:after="0" w:line="37"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time charter for a period of five years, provided that the charterer gives us advance notice of declaration.</w:t>
      </w:r>
    </w:p>
    <w:p>
      <w:pPr>
        <w:spacing w:after="0" w:line="60" w:lineRule="exact"/>
        <w:rPr>
          <w:rFonts w:ascii="Arial" w:cs="Arial" w:eastAsia="Arial" w:hAnsi="Arial"/>
          <w:sz w:val="18"/>
          <w:szCs w:val="18"/>
          <w:color w:val="auto"/>
          <w:vertAlign w:val="superscript"/>
        </w:rPr>
      </w:pPr>
    </w:p>
    <w:p>
      <w:pPr>
        <w:ind w:left="200" w:right="220" w:hanging="192"/>
        <w:spacing w:after="0" w:line="338" w:lineRule="auto"/>
        <w:tabs>
          <w:tab w:leader="none" w:pos="182" w:val="left"/>
        </w:tabs>
        <w:numPr>
          <w:ilvl w:val="0"/>
          <w:numId w:val="12"/>
        </w:numPr>
        <w:rPr>
          <w:rFonts w:ascii="Arial" w:cs="Arial" w:eastAsia="Arial" w:hAnsi="Arial"/>
          <w:sz w:val="13"/>
          <w:szCs w:val="13"/>
          <w:color w:val="auto"/>
          <w:vertAlign w:val="superscript"/>
        </w:rPr>
      </w:pPr>
      <w:r>
        <w:rPr>
          <w:rFonts w:ascii="Arial" w:cs="Arial" w:eastAsia="Arial" w:hAnsi="Arial"/>
          <w:sz w:val="11"/>
          <w:szCs w:val="11"/>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2" w:lineRule="exact"/>
        <w:rPr>
          <w:rFonts w:ascii="Arial" w:cs="Arial" w:eastAsia="Arial" w:hAnsi="Arial"/>
          <w:sz w:val="13"/>
          <w:szCs w:val="13"/>
          <w:color w:val="auto"/>
          <w:vertAlign w:val="superscript"/>
        </w:rPr>
      </w:pPr>
    </w:p>
    <w:p>
      <w:pPr>
        <w:ind w:left="180" w:hanging="172"/>
        <w:spacing w:after="0"/>
        <w:tabs>
          <w:tab w:leader="none" w:pos="180" w:val="left"/>
        </w:tabs>
        <w:numPr>
          <w:ilvl w:val="0"/>
          <w:numId w:val="12"/>
        </w:numPr>
        <w:rPr>
          <w:rFonts w:ascii="Arial" w:cs="Arial" w:eastAsia="Arial" w:hAnsi="Arial"/>
          <w:sz w:val="13"/>
          <w:szCs w:val="13"/>
          <w:color w:val="auto"/>
          <w:vertAlign w:val="superscript"/>
        </w:rPr>
      </w:pPr>
      <w:r>
        <w:rPr>
          <w:rFonts w:ascii="Arial" w:cs="Arial" w:eastAsia="Arial" w:hAnsi="Arial"/>
          <w:sz w:val="11"/>
          <w:szCs w:val="11"/>
          <w:color w:val="auto"/>
        </w:rPr>
        <w:t xml:space="preserve">On April 26, 2018, GasLog Partners acquired from GasLog 100% of the shares in the entity that owns and charters the </w:t>
      </w:r>
      <w:r>
        <w:rPr>
          <w:rFonts w:ascii="Arial" w:cs="Arial" w:eastAsia="Arial" w:hAnsi="Arial"/>
          <w:sz w:val="11"/>
          <w:szCs w:val="11"/>
          <w:i w:val="1"/>
          <w:iCs w:val="1"/>
          <w:color w:val="auto"/>
        </w:rPr>
        <w:t>GasLog Gibraltar</w:t>
      </w:r>
      <w:r>
        <w:rPr>
          <w:rFonts w:ascii="Arial" w:cs="Arial" w:eastAsia="Arial" w:hAnsi="Arial"/>
          <w:sz w:val="11"/>
          <w:szCs w:val="11"/>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35" w:lineRule="exact"/>
        <w:rPr>
          <w:sz w:val="20"/>
          <w:szCs w:val="20"/>
          <w:color w:val="auto"/>
        </w:rPr>
      </w:pPr>
    </w:p>
    <w:p>
      <w:pPr>
        <w:ind w:right="80" w:firstLine="428"/>
        <w:spacing w:after="0" w:line="27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are due to come off charter in October 2019, December 2019, April 2020 and June 2020, respectively, each plus or minus 30 days. GasLog Partners has secured a one-year charter for either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(as nominated by the Partnership), commencing in either November or December 2019 at the Partnership’s option. GasLog Partners continues to pursue opportunities for new multi-year charters with third parties and, on an interim basis, may consider trading the vessels in the spot market, pursuing the most advantageous redeployment depending on evolving market conditions.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Vessels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Existing Vessel Interests Purchase Options</w:t>
      </w:r>
    </w:p>
    <w:p>
      <w:pPr>
        <w:spacing w:after="0" w:line="235" w:lineRule="exact"/>
        <w:rPr>
          <w:sz w:val="20"/>
          <w:szCs w:val="20"/>
          <w:color w:val="auto"/>
        </w:rPr>
      </w:pPr>
    </w:p>
    <w:p>
      <w:pPr>
        <w:ind w:right="180" w:firstLine="428"/>
        <w:spacing w:after="0" w:line="271" w:lineRule="auto"/>
        <w:rPr>
          <w:sz w:val="20"/>
          <w:szCs w:val="20"/>
          <w:color w:val="auto"/>
        </w:rPr>
      </w:pPr>
      <w:r>
        <w:rPr>
          <w:rFonts w:ascii="Arial" w:cs="Arial" w:eastAsia="Arial" w:hAnsi="Arial"/>
          <w:sz w:val="16"/>
          <w:szCs w:val="16"/>
          <w:color w:val="auto"/>
        </w:rPr>
        <w:t xml:space="preserve">Pursuant to our announced agreement with GasLog to purchase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we currently have the option to purchase from GasLog: (i)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Glasgow </w:t>
      </w:r>
      <w:r>
        <w:rPr>
          <w:rFonts w:ascii="Arial" w:cs="Arial" w:eastAsia="Arial" w:hAnsi="Arial"/>
          <w:sz w:val="16"/>
          <w:szCs w:val="16"/>
          <w:color w:val="auto"/>
        </w:rPr>
        <w:t>within 36 months after GasLog notifies our board of directors of her acceptance by her charterers and (ii) the</w:t>
      </w:r>
      <w:r>
        <w:rPr>
          <w:rFonts w:ascii="Arial" w:cs="Arial" w:eastAsia="Arial" w:hAnsi="Arial"/>
          <w:sz w:val="16"/>
          <w:szCs w:val="16"/>
          <w:i w:val="1"/>
          <w:iCs w:val="1"/>
          <w:color w:val="auto"/>
        </w:rPr>
        <w:t xml:space="preserve"> GasLog Houston </w:t>
      </w:r>
      <w:r>
        <w:rPr>
          <w:rFonts w:ascii="Arial" w:cs="Arial" w:eastAsia="Arial" w:hAnsi="Arial"/>
          <w:sz w:val="16"/>
          <w:szCs w:val="16"/>
          <w:color w:val="auto"/>
        </w:rPr>
        <w:t>within 30 days after GasLog notifies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us that the vessel has commenced its multi-year charter with Shell. In each case, our option to purchase is at fair market value as determined pursuant to the omnibus agreement. Our option to acquire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expired in March 2018, while the options to acquire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expired in April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Cargo</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Capacity</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8"/>
              </w:rPr>
              <w:t>Charter</w:t>
            </w:r>
          </w:p>
        </w:tc>
      </w:tr>
      <w:tr>
        <w:trPr>
          <w:trHeight w:val="216"/>
        </w:trPr>
        <w:tc>
          <w:tcPr>
            <w:tcW w:w="27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Year Built</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(cbm)</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Charterer</w:t>
            </w:r>
          </w:p>
        </w:tc>
        <w:tc>
          <w:tcPr>
            <w:tcW w:w="1280" w:type="dxa"/>
            <w:vAlign w:val="bottom"/>
            <w:gridSpan w:val="2"/>
          </w:tcPr>
          <w:p>
            <w:pPr>
              <w:jc w:val="center"/>
              <w:ind w:right="160"/>
              <w:spacing w:after="0" w:line="217" w:lineRule="exact"/>
              <w:rPr>
                <w:sz w:val="20"/>
                <w:szCs w:val="20"/>
                <w:color w:val="auto"/>
              </w:rPr>
            </w:pPr>
            <w:r>
              <w:rPr>
                <w:rFonts w:ascii="Arial" w:cs="Arial" w:eastAsia="Arial" w:hAnsi="Arial"/>
                <w:sz w:val="16"/>
                <w:szCs w:val="16"/>
                <w:b w:val="1"/>
                <w:bCs w:val="1"/>
                <w:color w:val="auto"/>
                <w:w w:val="87"/>
              </w:rPr>
              <w:t>Propulsion</w:t>
            </w:r>
            <w:r>
              <w:rPr>
                <w:rFonts w:ascii="Arial" w:cs="Arial" w:eastAsia="Arial" w:hAnsi="Arial"/>
                <w:sz w:val="21"/>
                <w:szCs w:val="21"/>
                <w:b w:val="1"/>
                <w:bCs w:val="1"/>
                <w:color w:val="auto"/>
                <w:w w:val="87"/>
                <w:vertAlign w:val="superscript"/>
              </w:rPr>
              <w:t>(1)</w:t>
            </w:r>
          </w:p>
        </w:tc>
        <w:tc>
          <w:tcPr>
            <w:tcW w:w="130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(2)</w:t>
            </w:r>
          </w:p>
        </w:tc>
      </w:tr>
      <w:tr>
        <w:trPr>
          <w:trHeight w:val="196"/>
        </w:trPr>
        <w:tc>
          <w:tcPr>
            <w:tcW w:w="260" w:type="dxa"/>
            <w:vAlign w:val="bottom"/>
            <w:tcBorders>
              <w:top w:val="single" w:sz="8" w:color="auto"/>
            </w:tcBorders>
            <w:shd w:val="clear" w:color="auto" w:fill="E4FFFF"/>
          </w:tcPr>
          <w:p>
            <w:pPr>
              <w:jc w:val="right"/>
              <w:spacing w:after="0"/>
              <w:rPr>
                <w:sz w:val="20"/>
                <w:szCs w:val="20"/>
                <w:color w:val="auto"/>
              </w:rPr>
            </w:pPr>
            <w:r>
              <w:rPr>
                <w:rFonts w:ascii="Arial" w:cs="Arial" w:eastAsia="Arial" w:hAnsi="Arial"/>
                <w:sz w:val="16"/>
                <w:szCs w:val="16"/>
                <w:b w:val="1"/>
                <w:bCs w:val="1"/>
                <w:color w:val="auto"/>
              </w:rPr>
              <w:t>1</w:t>
            </w:r>
          </w:p>
        </w:tc>
        <w:tc>
          <w:tcPr>
            <w:tcW w:w="2260" w:type="dxa"/>
            <w:vAlign w:val="bottom"/>
            <w:tcBorders>
              <w:top w:val="single" w:sz="8" w:color="auto"/>
            </w:tcBorders>
            <w:shd w:val="clear" w:color="auto" w:fill="E4FFFF"/>
          </w:tcPr>
          <w:p>
            <w:pPr>
              <w:ind w:left="60"/>
              <w:spacing w:after="0"/>
              <w:rPr>
                <w:sz w:val="20"/>
                <w:szCs w:val="20"/>
                <w:color w:val="auto"/>
              </w:rPr>
            </w:pPr>
            <w:r>
              <w:rPr>
                <w:rFonts w:ascii="Arial" w:cs="Arial" w:eastAsia="Arial" w:hAnsi="Arial"/>
                <w:sz w:val="16"/>
                <w:szCs w:val="16"/>
                <w:i w:val="1"/>
                <w:iCs w:val="1"/>
                <w:color w:val="auto"/>
              </w:rPr>
              <w:t>GasLog Glasgow</w:t>
            </w:r>
          </w:p>
        </w:tc>
        <w:tc>
          <w:tcPr>
            <w:tcW w:w="180" w:type="dxa"/>
            <w:vAlign w:val="bottom"/>
            <w:tcBorders>
              <w:top w:val="single" w:sz="8" w:color="E4FFFF"/>
            </w:tcBorders>
            <w:shd w:val="clear" w:color="auto" w:fill="E4FFFF"/>
          </w:tcPr>
          <w:p>
            <w:pPr>
              <w:spacing w:after="0"/>
              <w:rPr>
                <w:sz w:val="17"/>
                <w:szCs w:val="17"/>
                <w:color w:val="auto"/>
              </w:rPr>
            </w:pPr>
          </w:p>
        </w:tc>
        <w:tc>
          <w:tcPr>
            <w:tcW w:w="114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95"/>
              </w:rPr>
              <w:t>2016</w:t>
            </w:r>
          </w:p>
        </w:tc>
        <w:tc>
          <w:tcPr>
            <w:tcW w:w="180" w:type="dxa"/>
            <w:vAlign w:val="bottom"/>
            <w:tcBorders>
              <w:top w:val="single" w:sz="8" w:color="E4FFFF"/>
            </w:tcBorders>
            <w:shd w:val="clear" w:color="auto" w:fill="E4FFFF"/>
          </w:tcPr>
          <w:p>
            <w:pPr>
              <w:spacing w:after="0"/>
              <w:rPr>
                <w:sz w:val="17"/>
                <w:szCs w:val="17"/>
                <w:color w:val="auto"/>
              </w:rPr>
            </w:pPr>
          </w:p>
        </w:tc>
        <w:tc>
          <w:tcPr>
            <w:tcW w:w="114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93"/>
              </w:rPr>
              <w:t>174,000</w:t>
            </w:r>
          </w:p>
        </w:tc>
        <w:tc>
          <w:tcPr>
            <w:tcW w:w="180" w:type="dxa"/>
            <w:vAlign w:val="bottom"/>
            <w:tcBorders>
              <w:top w:val="single" w:sz="8" w:color="E4FFFF"/>
            </w:tcBorders>
            <w:shd w:val="clear" w:color="auto" w:fill="E4FFFF"/>
          </w:tcPr>
          <w:p>
            <w:pPr>
              <w:spacing w:after="0"/>
              <w:rPr>
                <w:sz w:val="17"/>
                <w:szCs w:val="17"/>
                <w:color w:val="auto"/>
              </w:rPr>
            </w:pPr>
          </w:p>
        </w:tc>
        <w:tc>
          <w:tcPr>
            <w:tcW w:w="116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89"/>
              </w:rPr>
              <w:t>Shell</w:t>
            </w:r>
          </w:p>
        </w:tc>
        <w:tc>
          <w:tcPr>
            <w:tcW w:w="160" w:type="dxa"/>
            <w:vAlign w:val="bottom"/>
            <w:tcBorders>
              <w:top w:val="single" w:sz="8" w:color="E4FFFF"/>
            </w:tcBorders>
            <w:shd w:val="clear" w:color="auto" w:fill="E4FFFF"/>
          </w:tcPr>
          <w:p>
            <w:pPr>
              <w:spacing w:after="0"/>
              <w:rPr>
                <w:sz w:val="17"/>
                <w:szCs w:val="17"/>
                <w:color w:val="auto"/>
              </w:rPr>
            </w:pPr>
          </w:p>
        </w:tc>
        <w:tc>
          <w:tcPr>
            <w:tcW w:w="112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95"/>
              </w:rPr>
              <w:t>TFDE</w:t>
            </w:r>
          </w:p>
        </w:tc>
        <w:tc>
          <w:tcPr>
            <w:tcW w:w="160" w:type="dxa"/>
            <w:vAlign w:val="bottom"/>
            <w:tcBorders>
              <w:top w:val="single" w:sz="8" w:color="E4FFFF"/>
            </w:tcBorders>
            <w:shd w:val="clear" w:color="auto" w:fill="E4FFFF"/>
          </w:tcPr>
          <w:p>
            <w:pPr>
              <w:spacing w:after="0"/>
              <w:rPr>
                <w:sz w:val="17"/>
                <w:szCs w:val="17"/>
                <w:color w:val="auto"/>
              </w:rPr>
            </w:pPr>
          </w:p>
        </w:tc>
        <w:tc>
          <w:tcPr>
            <w:tcW w:w="130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88"/>
              </w:rPr>
              <w:t>June 2026</w:t>
            </w:r>
          </w:p>
        </w:tc>
      </w:tr>
      <w:tr>
        <w:trPr>
          <w:trHeight w:val="281"/>
        </w:trPr>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440" w:type="dxa"/>
            <w:vAlign w:val="bottom"/>
            <w:gridSpan w:val="2"/>
          </w:tcPr>
          <w:p>
            <w:pPr>
              <w:ind w:left="60"/>
              <w:spacing w:after="0"/>
              <w:rPr>
                <w:sz w:val="20"/>
                <w:szCs w:val="20"/>
                <w:color w:val="auto"/>
              </w:rPr>
            </w:pPr>
            <w:r>
              <w:rPr>
                <w:rFonts w:ascii="Arial" w:cs="Arial" w:eastAsia="Arial" w:hAnsi="Arial"/>
                <w:sz w:val="16"/>
                <w:szCs w:val="16"/>
                <w:i w:val="1"/>
                <w:iCs w:val="1"/>
                <w:color w:val="auto"/>
              </w:rPr>
              <w:t xml:space="preserve">GasLog Houston </w:t>
            </w:r>
            <w:r>
              <w:rPr>
                <w:rFonts w:ascii="Arial" w:cs="Arial" w:eastAsia="Arial" w:hAnsi="Arial"/>
                <w:sz w:val="21"/>
                <w:szCs w:val="21"/>
                <w:color w:val="auto"/>
                <w:vertAlign w:val="superscript"/>
              </w:rPr>
              <w:t>(3)</w:t>
            </w:r>
          </w:p>
        </w:tc>
        <w:tc>
          <w:tcPr>
            <w:tcW w:w="1140" w:type="dxa"/>
            <w:vAlign w:val="bottom"/>
          </w:tcPr>
          <w:p>
            <w:pPr>
              <w:jc w:val="center"/>
              <w:spacing w:after="0"/>
              <w:rPr>
                <w:sz w:val="20"/>
                <w:szCs w:val="20"/>
                <w:color w:val="auto"/>
              </w:rPr>
            </w:pPr>
            <w:r>
              <w:rPr>
                <w:rFonts w:ascii="Arial" w:cs="Arial" w:eastAsia="Arial" w:hAnsi="Arial"/>
                <w:sz w:val="16"/>
                <w:szCs w:val="16"/>
                <w:color w:val="auto"/>
                <w:w w:val="95"/>
              </w:rPr>
              <w:t>2018</w:t>
            </w:r>
          </w:p>
        </w:tc>
        <w:tc>
          <w:tcPr>
            <w:tcW w:w="1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174,000</w:t>
            </w:r>
          </w:p>
        </w:tc>
        <w:tc>
          <w:tcPr>
            <w:tcW w:w="180" w:type="dxa"/>
            <w:vAlign w:val="bottom"/>
          </w:tcPr>
          <w:p>
            <w:pPr>
              <w:spacing w:after="0"/>
              <w:rPr>
                <w:sz w:val="24"/>
                <w:szCs w:val="2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Shell</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LP-2S</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May 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25558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9" w:name="page20"/>
    <w:bookmarkEnd w:id="19"/>
    <w:p>
      <w:pPr>
        <w:ind w:left="200" w:hanging="192"/>
        <w:spacing w:after="0"/>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Reference to “LP-2S” refers to low pressure dual-fuel two-stroke engine propulsion.</w:t>
      </w:r>
    </w:p>
    <w:p>
      <w:pPr>
        <w:spacing w:after="0" w:line="157"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Indicates the expiration of the initial fixed term.</w:t>
      </w:r>
    </w:p>
    <w:p>
      <w:pPr>
        <w:spacing w:after="0" w:line="157"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vessel is currently on a short-term charter until the commencement of her multi-year charter party with a subsidiary of Shell, from the beginning of 2019 until May 2028.</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Five-Year Vessel Business Opportunities</w:t>
      </w:r>
    </w:p>
    <w:p>
      <w:pPr>
        <w:spacing w:after="0" w:line="235" w:lineRule="exact"/>
        <w:rPr>
          <w:sz w:val="20"/>
          <w:szCs w:val="20"/>
          <w:color w:val="auto"/>
        </w:rPr>
      </w:pPr>
    </w:p>
    <w:p>
      <w:pPr>
        <w:ind w:firstLine="383"/>
        <w:spacing w:after="0" w:line="269"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five newbuildings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each vessel has been acquired or has become a Five-Year Vessel.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Cargo</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Capacity</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8"/>
              </w:rPr>
              <w:t>Charter</w:t>
            </w:r>
          </w:p>
        </w:tc>
      </w:tr>
      <w:tr>
        <w:trPr>
          <w:trHeight w:val="216"/>
        </w:trPr>
        <w:tc>
          <w:tcPr>
            <w:tcW w:w="27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320" w:type="dxa"/>
            <w:vAlign w:val="bottom"/>
            <w:gridSpan w:val="2"/>
          </w:tcPr>
          <w:p>
            <w:pPr>
              <w:jc w:val="center"/>
              <w:ind w:right="180"/>
              <w:spacing w:after="0" w:line="217" w:lineRule="exact"/>
              <w:rPr>
                <w:sz w:val="20"/>
                <w:szCs w:val="20"/>
                <w:color w:val="auto"/>
              </w:rPr>
            </w:pPr>
            <w:r>
              <w:rPr>
                <w:rFonts w:ascii="Arial" w:cs="Arial" w:eastAsia="Arial" w:hAnsi="Arial"/>
                <w:sz w:val="16"/>
                <w:szCs w:val="16"/>
                <w:b w:val="1"/>
                <w:bCs w:val="1"/>
                <w:color w:val="auto"/>
                <w:w w:val="89"/>
              </w:rPr>
              <w:t>Year Built</w:t>
            </w:r>
            <w:r>
              <w:rPr>
                <w:rFonts w:ascii="Arial" w:cs="Arial" w:eastAsia="Arial" w:hAnsi="Arial"/>
                <w:sz w:val="21"/>
                <w:szCs w:val="21"/>
                <w:b w:val="1"/>
                <w:bCs w:val="1"/>
                <w:color w:val="auto"/>
                <w:w w:val="89"/>
                <w:vertAlign w:val="superscript"/>
              </w:rPr>
              <w:t>(1)</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(cbm)</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Charterer</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Propulsion</w:t>
            </w:r>
          </w:p>
        </w:tc>
        <w:tc>
          <w:tcPr>
            <w:tcW w:w="130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(3)</w:t>
            </w:r>
          </w:p>
        </w:tc>
      </w:tr>
      <w:tr>
        <w:trPr>
          <w:trHeight w:val="196"/>
        </w:trPr>
        <w:tc>
          <w:tcPr>
            <w:tcW w:w="260" w:type="dxa"/>
            <w:vAlign w:val="bottom"/>
            <w:tcBorders>
              <w:top w:val="single" w:sz="8" w:color="auto"/>
            </w:tcBorders>
            <w:shd w:val="clear" w:color="auto" w:fill="E4FFFF"/>
          </w:tcPr>
          <w:p>
            <w:pPr>
              <w:jc w:val="right"/>
              <w:spacing w:after="0"/>
              <w:rPr>
                <w:sz w:val="20"/>
                <w:szCs w:val="20"/>
                <w:color w:val="auto"/>
              </w:rPr>
            </w:pPr>
            <w:r>
              <w:rPr>
                <w:rFonts w:ascii="Arial" w:cs="Arial" w:eastAsia="Arial" w:hAnsi="Arial"/>
                <w:sz w:val="16"/>
                <w:szCs w:val="16"/>
                <w:b w:val="1"/>
                <w:bCs w:val="1"/>
                <w:color w:val="auto"/>
              </w:rPr>
              <w:t>1</w:t>
            </w:r>
          </w:p>
        </w:tc>
        <w:tc>
          <w:tcPr>
            <w:tcW w:w="2260" w:type="dxa"/>
            <w:vAlign w:val="bottom"/>
            <w:tcBorders>
              <w:top w:val="single" w:sz="8" w:color="auto"/>
            </w:tcBorders>
            <w:shd w:val="clear" w:color="auto" w:fill="E4FFFF"/>
          </w:tcPr>
          <w:p>
            <w:pPr>
              <w:ind w:left="60"/>
              <w:spacing w:after="0"/>
              <w:rPr>
                <w:sz w:val="20"/>
                <w:szCs w:val="20"/>
                <w:color w:val="auto"/>
              </w:rPr>
            </w:pPr>
            <w:r>
              <w:rPr>
                <w:rFonts w:ascii="Arial" w:cs="Arial" w:eastAsia="Arial" w:hAnsi="Arial"/>
                <w:sz w:val="16"/>
                <w:szCs w:val="16"/>
                <w:color w:val="auto"/>
              </w:rPr>
              <w:t>Hull No. 2131</w:t>
            </w:r>
          </w:p>
        </w:tc>
        <w:tc>
          <w:tcPr>
            <w:tcW w:w="180" w:type="dxa"/>
            <w:vAlign w:val="bottom"/>
            <w:tcBorders>
              <w:top w:val="single" w:sz="8" w:color="E4FFFF"/>
            </w:tcBorders>
            <w:shd w:val="clear" w:color="auto" w:fill="E4FFFF"/>
          </w:tcPr>
          <w:p>
            <w:pPr>
              <w:spacing w:after="0"/>
              <w:rPr>
                <w:sz w:val="17"/>
                <w:szCs w:val="17"/>
                <w:color w:val="auto"/>
              </w:rPr>
            </w:pPr>
          </w:p>
        </w:tc>
        <w:tc>
          <w:tcPr>
            <w:tcW w:w="114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94"/>
              </w:rPr>
              <w:t>Q1 2019</w:t>
            </w:r>
          </w:p>
        </w:tc>
        <w:tc>
          <w:tcPr>
            <w:tcW w:w="180" w:type="dxa"/>
            <w:vAlign w:val="bottom"/>
            <w:tcBorders>
              <w:top w:val="single" w:sz="8" w:color="E4FFFF"/>
            </w:tcBorders>
            <w:shd w:val="clear" w:color="auto" w:fill="E4FFFF"/>
          </w:tcPr>
          <w:p>
            <w:pPr>
              <w:spacing w:after="0"/>
              <w:rPr>
                <w:sz w:val="17"/>
                <w:szCs w:val="17"/>
                <w:color w:val="auto"/>
              </w:rPr>
            </w:pPr>
          </w:p>
        </w:tc>
        <w:tc>
          <w:tcPr>
            <w:tcW w:w="114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93"/>
              </w:rPr>
              <w:t>174,000</w:t>
            </w:r>
          </w:p>
        </w:tc>
        <w:tc>
          <w:tcPr>
            <w:tcW w:w="180" w:type="dxa"/>
            <w:vAlign w:val="bottom"/>
            <w:tcBorders>
              <w:top w:val="single" w:sz="8" w:color="E4FFFF"/>
            </w:tcBorders>
            <w:shd w:val="clear" w:color="auto" w:fill="E4FFFF"/>
          </w:tcPr>
          <w:p>
            <w:pPr>
              <w:spacing w:after="0"/>
              <w:rPr>
                <w:sz w:val="17"/>
                <w:szCs w:val="17"/>
                <w:color w:val="auto"/>
              </w:rPr>
            </w:pPr>
          </w:p>
        </w:tc>
        <w:tc>
          <w:tcPr>
            <w:tcW w:w="116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89"/>
              </w:rPr>
              <w:t>Shell</w:t>
            </w:r>
          </w:p>
        </w:tc>
        <w:tc>
          <w:tcPr>
            <w:tcW w:w="160" w:type="dxa"/>
            <w:vAlign w:val="bottom"/>
            <w:tcBorders>
              <w:top w:val="single" w:sz="8" w:color="E4FFFF"/>
            </w:tcBorders>
            <w:shd w:val="clear" w:color="auto" w:fill="E4FFFF"/>
          </w:tcPr>
          <w:p>
            <w:pPr>
              <w:spacing w:after="0"/>
              <w:rPr>
                <w:sz w:val="17"/>
                <w:szCs w:val="17"/>
                <w:color w:val="auto"/>
              </w:rPr>
            </w:pPr>
          </w:p>
        </w:tc>
        <w:tc>
          <w:tcPr>
            <w:tcW w:w="112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89"/>
              </w:rPr>
              <w:t>LP-2S</w:t>
            </w:r>
          </w:p>
        </w:tc>
        <w:tc>
          <w:tcPr>
            <w:tcW w:w="160" w:type="dxa"/>
            <w:vAlign w:val="bottom"/>
            <w:tcBorders>
              <w:top w:val="single" w:sz="8" w:color="E4FFFF"/>
            </w:tcBorders>
            <w:shd w:val="clear" w:color="auto" w:fill="E4FFFF"/>
          </w:tcPr>
          <w:p>
            <w:pPr>
              <w:spacing w:after="0"/>
              <w:rPr>
                <w:sz w:val="17"/>
                <w:szCs w:val="17"/>
                <w:color w:val="auto"/>
              </w:rPr>
            </w:pPr>
          </w:p>
        </w:tc>
        <w:tc>
          <w:tcPr>
            <w:tcW w:w="1300" w:type="dxa"/>
            <w:vAlign w:val="bottom"/>
            <w:tcBorders>
              <w:top w:val="single" w:sz="8" w:color="auto"/>
            </w:tcBorders>
            <w:shd w:val="clear" w:color="auto" w:fill="E4FFFF"/>
          </w:tcPr>
          <w:p>
            <w:pPr>
              <w:jc w:val="center"/>
              <w:spacing w:after="0"/>
              <w:rPr>
                <w:sz w:val="20"/>
                <w:szCs w:val="20"/>
                <w:color w:val="auto"/>
              </w:rPr>
            </w:pPr>
            <w:r>
              <w:rPr>
                <w:rFonts w:ascii="Arial" w:cs="Arial" w:eastAsia="Arial" w:hAnsi="Arial"/>
                <w:sz w:val="16"/>
                <w:szCs w:val="16"/>
                <w:color w:val="auto"/>
                <w:w w:val="89"/>
              </w:rPr>
              <w:t>2029</w:t>
            </w:r>
          </w:p>
        </w:tc>
      </w:tr>
      <w:tr>
        <w:trPr>
          <w:trHeight w:val="203"/>
        </w:trPr>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440" w:type="dxa"/>
            <w:vAlign w:val="bottom"/>
            <w:gridSpan w:val="2"/>
          </w:tcPr>
          <w:p>
            <w:pPr>
              <w:ind w:left="60"/>
              <w:spacing w:after="0"/>
              <w:rPr>
                <w:sz w:val="20"/>
                <w:szCs w:val="20"/>
                <w:color w:val="auto"/>
              </w:rPr>
            </w:pPr>
            <w:r>
              <w:rPr>
                <w:rFonts w:ascii="Arial" w:cs="Arial" w:eastAsia="Arial" w:hAnsi="Arial"/>
                <w:sz w:val="16"/>
                <w:szCs w:val="16"/>
                <w:color w:val="auto"/>
              </w:rPr>
              <w:t>Hull No. 2213</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Q2 2020</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180,000</w:t>
            </w:r>
          </w:p>
        </w:tc>
        <w:tc>
          <w:tcPr>
            <w:tcW w:w="180" w:type="dxa"/>
            <w:vAlign w:val="bottom"/>
          </w:tcPr>
          <w:p>
            <w:pPr>
              <w:spacing w:after="0"/>
              <w:rPr>
                <w:sz w:val="17"/>
                <w:szCs w:val="17"/>
                <w:color w:val="auto"/>
              </w:rPr>
            </w:pPr>
          </w:p>
        </w:tc>
        <w:tc>
          <w:tcPr>
            <w:tcW w:w="1320" w:type="dxa"/>
            <w:vAlign w:val="bottom"/>
            <w:gridSpan w:val="2"/>
          </w:tcPr>
          <w:p>
            <w:pPr>
              <w:jc w:val="center"/>
              <w:ind w:right="180"/>
              <w:spacing w:after="0" w:line="20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1"/>
                <w:szCs w:val="21"/>
                <w:color w:val="auto"/>
                <w:w w:val="86"/>
                <w:vertAlign w:val="superscript"/>
              </w:rPr>
              <w:t>(2)</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LP-2S</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60" w:type="dxa"/>
            <w:vAlign w:val="bottom"/>
            <w:shd w:val="clear" w:color="auto" w:fill="E4FFFF"/>
          </w:tcPr>
          <w:p>
            <w:pPr>
              <w:jc w:val="right"/>
              <w:spacing w:after="0"/>
              <w:rPr>
                <w:sz w:val="20"/>
                <w:szCs w:val="20"/>
                <w:color w:val="auto"/>
              </w:rPr>
            </w:pPr>
            <w:r>
              <w:rPr>
                <w:rFonts w:ascii="Arial" w:cs="Arial" w:eastAsia="Arial" w:hAnsi="Arial"/>
                <w:sz w:val="16"/>
                <w:szCs w:val="16"/>
                <w:b w:val="1"/>
                <w:bCs w:val="1"/>
                <w:color w:val="auto"/>
              </w:rPr>
              <w:t>3</w:t>
            </w:r>
          </w:p>
        </w:tc>
        <w:tc>
          <w:tcPr>
            <w:tcW w:w="2440" w:type="dxa"/>
            <w:vAlign w:val="bottom"/>
            <w:gridSpan w:val="2"/>
            <w:shd w:val="clear" w:color="auto" w:fill="E4FFFF"/>
          </w:tcPr>
          <w:p>
            <w:pPr>
              <w:ind w:left="60"/>
              <w:spacing w:after="0"/>
              <w:rPr>
                <w:sz w:val="20"/>
                <w:szCs w:val="20"/>
                <w:color w:val="auto"/>
              </w:rPr>
            </w:pPr>
            <w:r>
              <w:rPr>
                <w:rFonts w:ascii="Arial" w:cs="Arial" w:eastAsia="Arial" w:hAnsi="Arial"/>
                <w:sz w:val="16"/>
                <w:szCs w:val="16"/>
                <w:color w:val="auto"/>
              </w:rPr>
              <w:t>Hull No. 2262</w:t>
            </w:r>
          </w:p>
        </w:tc>
        <w:tc>
          <w:tcPr>
            <w:tcW w:w="1320" w:type="dxa"/>
            <w:vAlign w:val="bottom"/>
            <w:gridSpan w:val="2"/>
            <w:shd w:val="clear" w:color="auto" w:fill="E4FFFF"/>
          </w:tcPr>
          <w:p>
            <w:pPr>
              <w:jc w:val="center"/>
              <w:ind w:right="180"/>
              <w:spacing w:after="0"/>
              <w:rPr>
                <w:sz w:val="20"/>
                <w:szCs w:val="20"/>
                <w:color w:val="auto"/>
              </w:rPr>
            </w:pPr>
            <w:r>
              <w:rPr>
                <w:rFonts w:ascii="Arial" w:cs="Arial" w:eastAsia="Arial" w:hAnsi="Arial"/>
                <w:sz w:val="16"/>
                <w:szCs w:val="16"/>
                <w:color w:val="auto"/>
                <w:w w:val="94"/>
              </w:rPr>
              <w:t>Q3 2020</w:t>
            </w:r>
          </w:p>
        </w:tc>
        <w:tc>
          <w:tcPr>
            <w:tcW w:w="114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93"/>
              </w:rPr>
              <w:t>180,000</w:t>
            </w:r>
          </w:p>
        </w:tc>
        <w:tc>
          <w:tcPr>
            <w:tcW w:w="180" w:type="dxa"/>
            <w:vAlign w:val="bottom"/>
            <w:shd w:val="clear" w:color="auto" w:fill="E4FFFF"/>
          </w:tcPr>
          <w:p>
            <w:pPr>
              <w:spacing w:after="0"/>
              <w:rPr>
                <w:sz w:val="17"/>
                <w:szCs w:val="17"/>
                <w:color w:val="auto"/>
              </w:rPr>
            </w:pPr>
          </w:p>
        </w:tc>
        <w:tc>
          <w:tcPr>
            <w:tcW w:w="1320" w:type="dxa"/>
            <w:vAlign w:val="bottom"/>
            <w:gridSpan w:val="2"/>
            <w:shd w:val="clear" w:color="auto" w:fill="E4FFFF"/>
          </w:tcPr>
          <w:p>
            <w:pPr>
              <w:jc w:val="center"/>
              <w:ind w:right="180"/>
              <w:spacing w:after="0" w:line="20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1"/>
                <w:szCs w:val="21"/>
                <w:color w:val="auto"/>
                <w:w w:val="86"/>
                <w:vertAlign w:val="superscript"/>
              </w:rPr>
              <w:t>(2)</w:t>
            </w:r>
          </w:p>
        </w:tc>
        <w:tc>
          <w:tcPr>
            <w:tcW w:w="1280" w:type="dxa"/>
            <w:vAlign w:val="bottom"/>
            <w:gridSpan w:val="2"/>
            <w:shd w:val="clear" w:color="auto" w:fill="E4FFFF"/>
          </w:tcPr>
          <w:p>
            <w:pPr>
              <w:jc w:val="center"/>
              <w:ind w:right="160"/>
              <w:spacing w:after="0"/>
              <w:rPr>
                <w:sz w:val="20"/>
                <w:szCs w:val="20"/>
                <w:color w:val="auto"/>
              </w:rPr>
            </w:pPr>
            <w:r>
              <w:rPr>
                <w:rFonts w:ascii="Arial" w:cs="Arial" w:eastAsia="Arial" w:hAnsi="Arial"/>
                <w:sz w:val="16"/>
                <w:szCs w:val="16"/>
                <w:color w:val="auto"/>
                <w:w w:val="89"/>
              </w:rPr>
              <w:t>LP-2S</w:t>
            </w:r>
          </w:p>
        </w:tc>
        <w:tc>
          <w:tcPr>
            <w:tcW w:w="130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440" w:type="dxa"/>
            <w:vAlign w:val="bottom"/>
            <w:gridSpan w:val="2"/>
          </w:tcPr>
          <w:p>
            <w:pPr>
              <w:ind w:left="60"/>
              <w:spacing w:after="0"/>
              <w:rPr>
                <w:sz w:val="20"/>
                <w:szCs w:val="20"/>
                <w:color w:val="auto"/>
              </w:rPr>
            </w:pPr>
            <w:r>
              <w:rPr>
                <w:rFonts w:ascii="Arial" w:cs="Arial" w:eastAsia="Arial" w:hAnsi="Arial"/>
                <w:sz w:val="16"/>
                <w:szCs w:val="16"/>
                <w:color w:val="auto"/>
              </w:rPr>
              <w:t>Hull No. 2300</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Q4 2020</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174,000</w:t>
            </w:r>
          </w:p>
        </w:tc>
        <w:tc>
          <w:tcPr>
            <w:tcW w:w="18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Cheniere</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LP-2S</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60" w:type="dxa"/>
            <w:vAlign w:val="bottom"/>
            <w:shd w:val="clear" w:color="auto" w:fill="E4FFFF"/>
          </w:tcPr>
          <w:p>
            <w:pPr>
              <w:jc w:val="right"/>
              <w:spacing w:after="0"/>
              <w:rPr>
                <w:sz w:val="20"/>
                <w:szCs w:val="20"/>
                <w:color w:val="auto"/>
              </w:rPr>
            </w:pPr>
            <w:r>
              <w:rPr>
                <w:rFonts w:ascii="Arial" w:cs="Arial" w:eastAsia="Arial" w:hAnsi="Arial"/>
                <w:sz w:val="16"/>
                <w:szCs w:val="16"/>
                <w:b w:val="1"/>
                <w:bCs w:val="1"/>
                <w:color w:val="auto"/>
              </w:rPr>
              <w:t>5</w:t>
            </w:r>
          </w:p>
        </w:tc>
        <w:tc>
          <w:tcPr>
            <w:tcW w:w="2440" w:type="dxa"/>
            <w:vAlign w:val="bottom"/>
            <w:gridSpan w:val="2"/>
            <w:shd w:val="clear" w:color="auto" w:fill="E4FFFF"/>
          </w:tcPr>
          <w:p>
            <w:pPr>
              <w:ind w:left="60"/>
              <w:spacing w:after="0"/>
              <w:rPr>
                <w:sz w:val="20"/>
                <w:szCs w:val="20"/>
                <w:color w:val="auto"/>
              </w:rPr>
            </w:pPr>
            <w:r>
              <w:rPr>
                <w:rFonts w:ascii="Arial" w:cs="Arial" w:eastAsia="Arial" w:hAnsi="Arial"/>
                <w:sz w:val="16"/>
                <w:szCs w:val="16"/>
                <w:color w:val="auto"/>
              </w:rPr>
              <w:t>Hull No. 2301</w:t>
            </w:r>
          </w:p>
        </w:tc>
        <w:tc>
          <w:tcPr>
            <w:tcW w:w="1320" w:type="dxa"/>
            <w:vAlign w:val="bottom"/>
            <w:gridSpan w:val="2"/>
            <w:shd w:val="clear" w:color="auto" w:fill="E4FFFF"/>
          </w:tcPr>
          <w:p>
            <w:pPr>
              <w:jc w:val="center"/>
              <w:ind w:right="180"/>
              <w:spacing w:after="0"/>
              <w:rPr>
                <w:sz w:val="20"/>
                <w:szCs w:val="20"/>
                <w:color w:val="auto"/>
              </w:rPr>
            </w:pPr>
            <w:r>
              <w:rPr>
                <w:rFonts w:ascii="Arial" w:cs="Arial" w:eastAsia="Arial" w:hAnsi="Arial"/>
                <w:sz w:val="16"/>
                <w:szCs w:val="16"/>
                <w:color w:val="auto"/>
                <w:w w:val="94"/>
              </w:rPr>
              <w:t>Q4 2020</w:t>
            </w:r>
          </w:p>
        </w:tc>
        <w:tc>
          <w:tcPr>
            <w:tcW w:w="114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93"/>
              </w:rPr>
              <w:t>174,000</w:t>
            </w:r>
          </w:p>
        </w:tc>
        <w:tc>
          <w:tcPr>
            <w:tcW w:w="180" w:type="dxa"/>
            <w:vAlign w:val="bottom"/>
            <w:shd w:val="clear" w:color="auto" w:fill="E4FFFF"/>
          </w:tcPr>
          <w:p>
            <w:pPr>
              <w:spacing w:after="0"/>
              <w:rPr>
                <w:sz w:val="17"/>
                <w:szCs w:val="17"/>
                <w:color w:val="auto"/>
              </w:rPr>
            </w:pPr>
          </w:p>
        </w:tc>
        <w:tc>
          <w:tcPr>
            <w:tcW w:w="1320" w:type="dxa"/>
            <w:vAlign w:val="bottom"/>
            <w:gridSpan w:val="2"/>
            <w:shd w:val="clear" w:color="auto" w:fill="E4FFFF"/>
          </w:tcPr>
          <w:p>
            <w:pPr>
              <w:jc w:val="center"/>
              <w:ind w:right="180"/>
              <w:spacing w:after="0"/>
              <w:rPr>
                <w:sz w:val="20"/>
                <w:szCs w:val="20"/>
                <w:color w:val="auto"/>
              </w:rPr>
            </w:pPr>
            <w:r>
              <w:rPr>
                <w:rFonts w:ascii="Arial" w:cs="Arial" w:eastAsia="Arial" w:hAnsi="Arial"/>
                <w:sz w:val="16"/>
                <w:szCs w:val="16"/>
                <w:color w:val="auto"/>
                <w:w w:val="89"/>
              </w:rPr>
              <w:t>Cheniere</w:t>
            </w:r>
          </w:p>
        </w:tc>
        <w:tc>
          <w:tcPr>
            <w:tcW w:w="1280" w:type="dxa"/>
            <w:vAlign w:val="bottom"/>
            <w:gridSpan w:val="2"/>
            <w:shd w:val="clear" w:color="auto" w:fill="E4FFFF"/>
          </w:tcPr>
          <w:p>
            <w:pPr>
              <w:jc w:val="center"/>
              <w:ind w:right="160"/>
              <w:spacing w:after="0"/>
              <w:rPr>
                <w:sz w:val="20"/>
                <w:szCs w:val="20"/>
                <w:color w:val="auto"/>
              </w:rPr>
            </w:pPr>
            <w:r>
              <w:rPr>
                <w:rFonts w:ascii="Arial" w:cs="Arial" w:eastAsia="Arial" w:hAnsi="Arial"/>
                <w:sz w:val="16"/>
                <w:szCs w:val="16"/>
                <w:color w:val="auto"/>
                <w:w w:val="89"/>
              </w:rPr>
              <w:t>LP-2S</w:t>
            </w:r>
          </w:p>
        </w:tc>
        <w:tc>
          <w:tcPr>
            <w:tcW w:w="130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9"/>
              </w:rPr>
              <w:t>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558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Expected delivery quarters are presented.</w:t>
      </w:r>
    </w:p>
    <w:p>
      <w:pPr>
        <w:spacing w:after="0" w:line="45" w:lineRule="exact"/>
        <w:rPr>
          <w:rFonts w:ascii="Arial" w:cs="Arial" w:eastAsia="Arial" w:hAnsi="Arial"/>
          <w:sz w:val="18"/>
          <w:szCs w:val="18"/>
          <w:color w:val="auto"/>
          <w:vertAlign w:val="superscript"/>
        </w:rPr>
      </w:pPr>
    </w:p>
    <w:p>
      <w:pPr>
        <w:ind w:left="200" w:hanging="192"/>
        <w:spacing w:after="0" w:line="197" w:lineRule="auto"/>
        <w:tabs>
          <w:tab w:leader="none" w:pos="2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Pioneer Shipping Limited, a wholly owned subsidiary of Centrica plc (“Centrica”).</w:t>
      </w:r>
    </w:p>
    <w:p>
      <w:pPr>
        <w:spacing w:after="0" w:line="46" w:lineRule="exact"/>
        <w:rPr>
          <w:rFonts w:ascii="Arial" w:cs="Arial" w:eastAsia="Arial" w:hAnsi="Arial"/>
          <w:sz w:val="18"/>
          <w:szCs w:val="18"/>
          <w:color w:val="auto"/>
          <w:vertAlign w:val="superscript"/>
        </w:rPr>
      </w:pPr>
    </w:p>
    <w:p>
      <w:pPr>
        <w:ind w:left="200" w:hanging="192"/>
        <w:spacing w:after="0" w:line="197" w:lineRule="auto"/>
        <w:tabs>
          <w:tab w:leader="none" w:pos="2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Charter expiration to be determined based upon actual date of delivery.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ind w:right="60" w:firstLine="383"/>
        <w:spacing w:after="0" w:line="324" w:lineRule="auto"/>
        <w:rPr>
          <w:sz w:val="20"/>
          <w:szCs w:val="20"/>
          <w:color w:val="auto"/>
        </w:rPr>
      </w:pPr>
      <w:r>
        <w:rPr>
          <w:rFonts w:ascii="Arial" w:cs="Arial" w:eastAsia="Arial" w:hAnsi="Arial"/>
          <w:sz w:val="14"/>
          <w:szCs w:val="14"/>
          <w:color w:val="auto"/>
        </w:rPr>
        <w:t xml:space="preserve">Our results set forth below are derived from the unaudited condensed consolidated financial statements of the Partnership. The transfers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Geneva</w:t>
      </w:r>
      <w:r>
        <w:rPr>
          <w:rFonts w:ascii="Arial" w:cs="Arial" w:eastAsia="Arial" w:hAnsi="Arial"/>
          <w:sz w:val="14"/>
          <w:szCs w:val="14"/>
          <w:color w:val="auto"/>
        </w:rPr>
        <w:t>, the</w:t>
      </w:r>
      <w:r>
        <w:rPr>
          <w:rFonts w:ascii="Arial" w:cs="Arial" w:eastAsia="Arial" w:hAnsi="Arial"/>
          <w:sz w:val="14"/>
          <w:szCs w:val="14"/>
          <w:i w:val="1"/>
          <w:iCs w:val="1"/>
          <w:color w:val="auto"/>
        </w:rPr>
        <w:t xml:space="preserve"> Solaris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GasLog Gibraltar </w:t>
      </w:r>
      <w:r>
        <w:rPr>
          <w:rFonts w:ascii="Arial" w:cs="Arial" w:eastAsia="Arial" w:hAnsi="Arial"/>
          <w:sz w:val="14"/>
          <w:szCs w:val="14"/>
          <w:color w:val="auto"/>
        </w:rPr>
        <w:t>from GasLog to the Partnership on May 3, 2017, July 3, 2017, October 20, 2017, and April 26, 2018, respectively, were</w:t>
      </w:r>
      <w:r>
        <w:rPr>
          <w:rFonts w:ascii="Arial" w:cs="Arial" w:eastAsia="Arial" w:hAnsi="Arial"/>
          <w:sz w:val="14"/>
          <w:szCs w:val="14"/>
          <w:i w:val="1"/>
          <w:iCs w:val="1"/>
          <w:color w:val="auto"/>
        </w:rPr>
        <w:t xml:space="preserve"> </w:t>
      </w:r>
      <w:r>
        <w:rPr>
          <w:rFonts w:ascii="Arial" w:cs="Arial" w:eastAsia="Arial" w:hAnsi="Arial"/>
          <w:sz w:val="14"/>
          <w:szCs w:val="14"/>
          <w:color w:val="auto"/>
        </w:rPr>
        <w:t>accounted for as reorganizations of entities under common control under IFRS. The unaudited condensed consolidated financial statements include the accounts of the Partnership and its subsidiaries assuming that they are consolidated from the dates of their incorporation by GasLog as they were under the common control of GasLog.</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The Partnership’s historical results were retroactively restated to reflect the historical results of these acquired entities during the periods they were owned by GasLog.</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Three-month period ended September 30, 2017 compared to the three-month period ended September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960" w:type="dxa"/>
            <w:vAlign w:val="bottom"/>
            <w:gridSpan w:val="5"/>
          </w:tcPr>
          <w:p>
            <w:pPr>
              <w:ind w:left="80"/>
              <w:spacing w:after="0"/>
              <w:rPr>
                <w:sz w:val="20"/>
                <w:szCs w:val="20"/>
                <w:color w:val="auto"/>
              </w:rPr>
            </w:pPr>
            <w:r>
              <w:rPr>
                <w:rFonts w:ascii="Arial" w:cs="Arial" w:eastAsia="Arial" w:hAnsi="Arial"/>
                <w:sz w:val="16"/>
                <w:szCs w:val="16"/>
                <w:b w:val="1"/>
                <w:bCs w:val="1"/>
                <w:color w:val="auto"/>
                <w:w w:val="92"/>
              </w:rPr>
              <w:t>IFRS Reported Common Control Results</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1"/>
              </w:rPr>
              <w:t>Change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820" w:type="dxa"/>
            <w:vAlign w:val="bottom"/>
            <w:tcBorders>
              <w:top w:val="single" w:sz="8" w:color="auto"/>
            </w:tcBorders>
            <w:shd w:val="clear" w:color="auto" w:fill="E5FFFF"/>
          </w:tcPr>
          <w:p>
            <w:pPr>
              <w:spacing w:after="0"/>
              <w:rPr>
                <w:sz w:val="17"/>
                <w:szCs w:val="17"/>
                <w:color w:val="auto"/>
              </w:rPr>
            </w:pPr>
          </w:p>
        </w:tc>
        <w:tc>
          <w:tcPr>
            <w:tcW w:w="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98"/>
              </w:rPr>
              <w:t>86,353</w:t>
            </w:r>
          </w:p>
        </w:tc>
        <w:tc>
          <w:tcPr>
            <w:tcW w:w="4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81,887</w:t>
            </w:r>
          </w:p>
        </w:tc>
        <w:tc>
          <w:tcPr>
            <w:tcW w:w="4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(4,466)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gridSpan w:val="3"/>
          </w:tcPr>
          <w:p>
            <w:pPr>
              <w:spacing w:after="0"/>
              <w:rPr>
                <w:sz w:val="20"/>
                <w:szCs w:val="20"/>
                <w:color w:val="auto"/>
              </w:rPr>
            </w:pPr>
            <w:r>
              <w:rPr>
                <w:rFonts w:ascii="Arial" w:cs="Arial" w:eastAsia="Arial" w:hAnsi="Arial"/>
                <w:sz w:val="16"/>
                <w:szCs w:val="16"/>
                <w:color w:val="auto"/>
              </w:rPr>
              <w:t>Net pool allocation</w:t>
            </w:r>
          </w:p>
        </w:tc>
        <w:tc>
          <w:tcPr>
            <w:tcW w:w="9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780</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960" w:type="dxa"/>
            <w:vAlign w:val="bottom"/>
            <w:gridSpan w:val="2"/>
            <w:shd w:val="clear" w:color="auto" w:fill="E5FFFF"/>
          </w:tcPr>
          <w:p>
            <w:pPr>
              <w:jc w:val="right"/>
              <w:ind w:right="400"/>
              <w:spacing w:after="0"/>
              <w:rPr>
                <w:sz w:val="20"/>
                <w:szCs w:val="20"/>
                <w:color w:val="auto"/>
              </w:rPr>
            </w:pPr>
            <w:r>
              <w:rPr>
                <w:rFonts w:ascii="Arial" w:cs="Arial" w:eastAsia="Arial" w:hAnsi="Arial"/>
                <w:sz w:val="16"/>
                <w:szCs w:val="16"/>
                <w:color w:val="auto"/>
              </w:rPr>
              <w:t>(1,081)</w:t>
            </w:r>
          </w:p>
        </w:tc>
        <w:tc>
          <w:tcPr>
            <w:tcW w:w="172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(3,359)</w:t>
            </w:r>
          </w:p>
        </w:tc>
        <w:tc>
          <w:tcPr>
            <w:tcW w:w="28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gridSpan w:val="3"/>
          </w:tcPr>
          <w:p>
            <w:pPr>
              <w:spacing w:after="0"/>
              <w:rPr>
                <w:sz w:val="20"/>
                <w:szCs w:val="20"/>
                <w:color w:val="auto"/>
              </w:rPr>
            </w:pPr>
            <w:r>
              <w:rPr>
                <w:rFonts w:ascii="Arial" w:cs="Arial" w:eastAsia="Arial" w:hAnsi="Arial"/>
                <w:sz w:val="16"/>
                <w:szCs w:val="16"/>
                <w:color w:val="auto"/>
              </w:rPr>
              <w:t>Vessel operating costs</w:t>
            </w: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w w:val="90"/>
              </w:rPr>
              <w:t>(16,373)</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(15,765)</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Depreciation</w:t>
            </w:r>
          </w:p>
        </w:tc>
        <w:tc>
          <w:tcPr>
            <w:tcW w:w="960" w:type="dxa"/>
            <w:vAlign w:val="bottom"/>
            <w:gridSpan w:val="2"/>
            <w:shd w:val="clear" w:color="auto" w:fill="E5FFFF"/>
          </w:tcPr>
          <w:p>
            <w:pPr>
              <w:jc w:val="right"/>
              <w:ind w:right="400"/>
              <w:spacing w:after="0"/>
              <w:rPr>
                <w:sz w:val="20"/>
                <w:szCs w:val="20"/>
                <w:color w:val="auto"/>
              </w:rPr>
            </w:pPr>
            <w:r>
              <w:rPr>
                <w:rFonts w:ascii="Arial" w:cs="Arial" w:eastAsia="Arial" w:hAnsi="Arial"/>
                <w:sz w:val="16"/>
                <w:szCs w:val="16"/>
                <w:color w:val="auto"/>
                <w:w w:val="90"/>
              </w:rPr>
              <w:t>(18,532)</w:t>
            </w:r>
          </w:p>
        </w:tc>
        <w:tc>
          <w:tcPr>
            <w:tcW w:w="172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(18,710)</w:t>
            </w:r>
          </w:p>
        </w:tc>
        <w:tc>
          <w:tcPr>
            <w:tcW w:w="28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gridSpan w:val="3"/>
          </w:tcPr>
          <w:p>
            <w:pPr>
              <w:spacing w:after="0"/>
              <w:rPr>
                <w:sz w:val="20"/>
                <w:szCs w:val="20"/>
                <w:color w:val="auto"/>
              </w:rPr>
            </w:pPr>
            <w:r>
              <w:rPr>
                <w:rFonts w:ascii="Arial" w:cs="Arial" w:eastAsia="Arial" w:hAnsi="Arial"/>
                <w:sz w:val="16"/>
                <w:szCs w:val="16"/>
                <w:color w:val="auto"/>
              </w:rPr>
              <w:t>General and administrative expenses</w:t>
            </w: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(3,989)</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(4,693)</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820" w:type="dxa"/>
            <w:vAlign w:val="bottom"/>
            <w:tcBorders>
              <w:top w:val="single" w:sz="8" w:color="auto"/>
              <w:bottom w:val="single" w:sz="8" w:color="auto"/>
            </w:tcBorders>
            <w:shd w:val="clear" w:color="auto" w:fill="E5FFFF"/>
          </w:tcPr>
          <w:p>
            <w:pPr>
              <w:spacing w:after="0"/>
              <w:rPr>
                <w:sz w:val="17"/>
                <w:szCs w:val="17"/>
                <w:color w:val="auto"/>
              </w:rPr>
            </w:pPr>
          </w:p>
        </w:tc>
        <w:tc>
          <w:tcPr>
            <w:tcW w:w="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98"/>
              </w:rPr>
              <w:t>46,378</w:t>
            </w:r>
          </w:p>
        </w:tc>
        <w:tc>
          <w:tcPr>
            <w:tcW w:w="4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40,140</w:t>
            </w:r>
          </w:p>
        </w:tc>
        <w:tc>
          <w:tcPr>
            <w:tcW w:w="4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gridSpan w:val="2"/>
          </w:tcPr>
          <w:p>
            <w:pPr>
              <w:spacing w:after="0"/>
              <w:rPr>
                <w:sz w:val="20"/>
                <w:szCs w:val="20"/>
                <w:color w:val="auto"/>
              </w:rPr>
            </w:pPr>
            <w:r>
              <w:rPr>
                <w:rFonts w:ascii="Arial" w:cs="Arial" w:eastAsia="Arial" w:hAnsi="Arial"/>
                <w:sz w:val="16"/>
                <w:szCs w:val="16"/>
                <w:color w:val="auto"/>
              </w:rPr>
              <w:t>Financial costs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0"/>
              </w:rPr>
              <w:t>(15,020)</w:t>
            </w:r>
          </w:p>
        </w:tc>
        <w:tc>
          <w:tcPr>
            <w:tcW w:w="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(15,533)</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960" w:type="dxa"/>
            <w:vAlign w:val="bottom"/>
            <w:gridSpan w:val="2"/>
            <w:shd w:val="clear" w:color="auto" w:fill="E5FFFF"/>
          </w:tcPr>
          <w:p>
            <w:pPr>
              <w:jc w:val="right"/>
              <w:ind w:right="460"/>
              <w:spacing w:after="0"/>
              <w:rPr>
                <w:sz w:val="20"/>
                <w:szCs w:val="20"/>
                <w:color w:val="auto"/>
              </w:rPr>
            </w:pPr>
            <w:r>
              <w:rPr>
                <w:rFonts w:ascii="Arial" w:cs="Arial" w:eastAsia="Arial" w:hAnsi="Arial"/>
                <w:sz w:val="16"/>
                <w:szCs w:val="16"/>
                <w:color w:val="auto"/>
              </w:rPr>
              <w:t>321</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581</w:t>
            </w:r>
          </w:p>
        </w:tc>
        <w:tc>
          <w:tcPr>
            <w:tcW w:w="4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gridSpan w:val="3"/>
          </w:tcPr>
          <w:p>
            <w:pPr>
              <w:spacing w:after="0"/>
              <w:rPr>
                <w:sz w:val="20"/>
                <w:szCs w:val="20"/>
                <w:color w:val="auto"/>
              </w:rPr>
            </w:pPr>
            <w:r>
              <w:rPr>
                <w:rFonts w:ascii="Arial" w:cs="Arial" w:eastAsia="Arial" w:hAnsi="Arial"/>
                <w:sz w:val="16"/>
                <w:szCs w:val="16"/>
                <w:color w:val="auto"/>
              </w:rPr>
              <w:t>(Loss)/gain on derivatives</w:t>
            </w: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(672)</w:t>
            </w:r>
          </w:p>
        </w:tc>
        <w:tc>
          <w:tcPr>
            <w:tcW w:w="1320" w:type="dxa"/>
            <w:vAlign w:val="bottom"/>
          </w:tcPr>
          <w:p>
            <w:pPr>
              <w:jc w:val="right"/>
              <w:spacing w:after="0"/>
              <w:rPr>
                <w:sz w:val="20"/>
                <w:szCs w:val="20"/>
                <w:color w:val="auto"/>
              </w:rPr>
            </w:pPr>
            <w:r>
              <w:rPr>
                <w:rFonts w:ascii="Arial" w:cs="Arial" w:eastAsia="Arial" w:hAnsi="Arial"/>
                <w:sz w:val="16"/>
                <w:szCs w:val="16"/>
                <w:color w:val="auto"/>
              </w:rPr>
              <w:t>2,082</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820" w:type="dxa"/>
            <w:vAlign w:val="bottom"/>
            <w:tcBorders>
              <w:top w:val="single" w:sz="8" w:color="auto"/>
              <w:bottom w:val="single" w:sz="8" w:color="auto"/>
            </w:tcBorders>
            <w:shd w:val="clear" w:color="auto" w:fill="E5FFFF"/>
          </w:tcPr>
          <w:p>
            <w:pPr>
              <w:spacing w:after="0"/>
              <w:rPr>
                <w:sz w:val="17"/>
                <w:szCs w:val="17"/>
                <w:color w:val="auto"/>
              </w:rPr>
            </w:pPr>
          </w:p>
        </w:tc>
        <w:tc>
          <w:tcPr>
            <w:tcW w:w="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98"/>
              </w:rPr>
              <w:t>31,007</w:t>
            </w:r>
          </w:p>
        </w:tc>
        <w:tc>
          <w:tcPr>
            <w:tcW w:w="46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27,270</w:t>
            </w:r>
          </w:p>
        </w:tc>
        <w:tc>
          <w:tcPr>
            <w:tcW w:w="400" w:type="dxa"/>
            <w:vAlign w:val="bottom"/>
            <w:tcBorders>
              <w:top w:val="single" w:sz="8" w:color="E5FFFF"/>
              <w:bottom w:val="single" w:sz="8" w:color="E5FFFF"/>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(3,737)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20" w:type="dxa"/>
            <w:vAlign w:val="bottom"/>
            <w:gridSpan w:val="2"/>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8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25,299</w:t>
            </w:r>
          </w:p>
        </w:tc>
        <w:tc>
          <w:tcPr>
            <w:tcW w:w="460" w:type="dxa"/>
            <w:vAlign w:val="bottom"/>
            <w:vMerge w:val="continue"/>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4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For the three-month period ended September 30, 2017, we had an average of 13.0 vessels operating in our owned fleet having 1,196 operating days, while for the three-month period ended September 30, 2018, we had an average of 13.0 vessels operating in our owned fleet having 1,151 operating days.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decreased by $4.5 million, or 5.2%, from $86.4 million for the three-month period ended September 30, 2017 to $81.9</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20" w:name="page21"/>
    <w:bookmarkEnd w:id="20"/>
    <w:p>
      <w:pPr>
        <w:jc w:val="both"/>
        <w:spacing w:after="0" w:line="278" w:lineRule="auto"/>
        <w:rPr>
          <w:sz w:val="20"/>
          <w:szCs w:val="20"/>
          <w:color w:val="auto"/>
        </w:rPr>
      </w:pPr>
      <w:r>
        <w:rPr>
          <w:rFonts w:ascii="Arial" w:cs="Arial" w:eastAsia="Arial" w:hAnsi="Arial"/>
          <w:sz w:val="16"/>
          <w:szCs w:val="16"/>
          <w:color w:val="auto"/>
        </w:rPr>
        <w:t xml:space="preserve">million for the same period in 2018. The decrease in revenues is attributable to the expirations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GasLog Sydney </w:t>
      </w:r>
      <w:r>
        <w:rPr>
          <w:rFonts w:ascii="Arial" w:cs="Arial" w:eastAsia="Arial" w:hAnsi="Arial"/>
          <w:sz w:val="16"/>
          <w:szCs w:val="16"/>
          <w:color w:val="auto"/>
        </w:rPr>
        <w:t>and their entering the spot market in May, June and September 2018, respectively. As a result, the average daily hire rate decreased from $72,202 for the three-month period ended September 30, 2017, to $71,144 for the three-month period ended September 30, 2018.</w:t>
      </w:r>
    </w:p>
    <w:p>
      <w:pPr>
        <w:spacing w:after="0" w:line="184" w:lineRule="exact"/>
        <w:rPr>
          <w:sz w:val="20"/>
          <w:szCs w:val="20"/>
          <w:color w:val="auto"/>
        </w:rPr>
      </w:pPr>
    </w:p>
    <w:p>
      <w:pPr>
        <w:ind w:right="100" w:firstLine="428"/>
        <w:spacing w:after="0" w:line="271" w:lineRule="auto"/>
        <w:rPr>
          <w:sz w:val="20"/>
          <w:szCs w:val="20"/>
          <w:color w:val="auto"/>
        </w:rPr>
      </w:pPr>
      <w:r>
        <w:rPr>
          <w:rFonts w:ascii="Arial" w:cs="Arial" w:eastAsia="Arial" w:hAnsi="Arial"/>
          <w:sz w:val="16"/>
          <w:szCs w:val="16"/>
          <w:b w:val="1"/>
          <w:bCs w:val="1"/>
          <w:i w:val="1"/>
          <w:iCs w:val="1"/>
          <w:color w:val="auto"/>
        </w:rPr>
        <w:t xml:space="preserve">Net Pool Allocation: </w:t>
      </w:r>
      <w:r>
        <w:rPr>
          <w:rFonts w:ascii="Arial" w:cs="Arial" w:eastAsia="Arial" w:hAnsi="Arial"/>
          <w:sz w:val="16"/>
          <w:szCs w:val="16"/>
          <w:color w:val="auto"/>
        </w:rPr>
        <w:t>Net pool allocation was $0.0 million during the three-month period ended September 30, 2017 and $0.8 million during the three-month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ended September 30, 2018. The $0.8 million of net pool allocation in the three-month period ended September 30, 2018, represents the adjustment of the net results generated by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accordance with the pool distribution formula. GasLog Partners recognized gross revenues and gross voyage expenses and commissions of $4.1 million and $0.2 million, respectively, from the operation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which entered the Cool Pool in May 2018 (September 30, 2017: $0.0 million and $0.0 million, respectively). GasLog Partners’ total net pool performance is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0" w:type="dxa"/>
            <w:vAlign w:val="bottom"/>
          </w:tcPr>
          <w:p>
            <w:pPr>
              <w:spacing w:after="0"/>
              <w:rPr>
                <w:sz w:val="17"/>
                <w:szCs w:val="17"/>
                <w:color w:val="auto"/>
              </w:rPr>
            </w:pPr>
          </w:p>
        </w:tc>
        <w:tc>
          <w:tcPr>
            <w:tcW w:w="2860" w:type="dxa"/>
            <w:vAlign w:val="bottom"/>
            <w:gridSpan w:val="4"/>
          </w:tcPr>
          <w:p>
            <w:pPr>
              <w:ind w:left="40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780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78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80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440" w:type="dxa"/>
            <w:vAlign w:val="bottom"/>
            <w:gridSpan w:val="2"/>
            <w:shd w:val="clear" w:color="auto" w:fill="E5FFFF"/>
          </w:tcPr>
          <w:p>
            <w:pPr>
              <w:ind w:left="1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44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E5FFFF"/>
          </w:tcPr>
          <w:p>
            <w:pPr>
              <w:spacing w:after="0"/>
              <w:rPr>
                <w:sz w:val="20"/>
                <w:szCs w:val="20"/>
                <w:color w:val="auto"/>
              </w:rPr>
            </w:pPr>
            <w:r>
              <w:rPr>
                <w:rFonts w:ascii="Arial" w:cs="Arial" w:eastAsia="Arial" w:hAnsi="Arial"/>
                <w:sz w:val="16"/>
                <w:szCs w:val="16"/>
                <w:color w:val="auto"/>
              </w:rPr>
              <w:t>GasLog’s adjustment for net pool allocation (included in Net pool allocation)</w:t>
            </w:r>
          </w:p>
        </w:tc>
        <w:tc>
          <w:tcPr>
            <w:tcW w:w="1440" w:type="dxa"/>
            <w:vAlign w:val="bottom"/>
            <w:gridSpan w:val="2"/>
            <w:shd w:val="clear" w:color="auto" w:fill="E5FFFF"/>
          </w:tcPr>
          <w:p>
            <w:pPr>
              <w:ind w:left="1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780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0" w:type="dxa"/>
            <w:vAlign w:val="bottom"/>
          </w:tcPr>
          <w:p>
            <w:pPr>
              <w:spacing w:after="0"/>
              <w:rPr>
                <w:sz w:val="20"/>
                <w:szCs w:val="20"/>
                <w:color w:val="auto"/>
              </w:rPr>
            </w:pPr>
            <w:r>
              <w:rPr>
                <w:rFonts w:ascii="Arial" w:cs="Arial" w:eastAsia="Arial" w:hAnsi="Arial"/>
                <w:sz w:val="16"/>
                <w:szCs w:val="16"/>
                <w:b w:val="1"/>
                <w:bCs w:val="1"/>
                <w:color w:val="auto"/>
              </w:rPr>
              <w:t>GasLog Partners’ total net pool performance</w:t>
            </w:r>
          </w:p>
        </w:tc>
        <w:tc>
          <w:tcPr>
            <w:tcW w:w="128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4,680</w:t>
            </w:r>
          </w:p>
        </w:tc>
        <w:tc>
          <w:tcPr>
            <w:tcW w:w="1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firstLine="428"/>
        <w:spacing w:after="0" w:line="278"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increased by $2.3 million, from $1.1 million for the three-month period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2017 to $3.4 million for the same period in 2018. The increase is mainly attributable to increased bunker consumption costs for the periods during which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were not operating under a time-charter in the third quarter of 2018.</w:t>
      </w:r>
    </w:p>
    <w:p>
      <w:pPr>
        <w:spacing w:after="0" w:line="184" w:lineRule="exact"/>
        <w:rPr>
          <w:sz w:val="20"/>
          <w:szCs w:val="20"/>
          <w:color w:val="auto"/>
        </w:rPr>
      </w:pPr>
    </w:p>
    <w:p>
      <w:pPr>
        <w:ind w:right="200" w:firstLine="428"/>
        <w:spacing w:after="0" w:line="297" w:lineRule="auto"/>
        <w:rPr>
          <w:sz w:val="20"/>
          <w:szCs w:val="20"/>
          <w:color w:val="auto"/>
        </w:rPr>
      </w:pPr>
      <w:r>
        <w:rPr>
          <w:rFonts w:ascii="Arial" w:cs="Arial" w:eastAsia="Arial" w:hAnsi="Arial"/>
          <w:sz w:val="15"/>
          <w:szCs w:val="15"/>
          <w:b w:val="1"/>
          <w:bCs w:val="1"/>
          <w:i w:val="1"/>
          <w:iCs w:val="1"/>
          <w:color w:val="auto"/>
        </w:rPr>
        <w:t xml:space="preserve">Vessel Operating Costs: </w:t>
      </w:r>
      <w:r>
        <w:rPr>
          <w:rFonts w:ascii="Arial" w:cs="Arial" w:eastAsia="Arial" w:hAnsi="Arial"/>
          <w:sz w:val="15"/>
          <w:szCs w:val="15"/>
          <w:color w:val="auto"/>
        </w:rPr>
        <w:t>Vessel operating costs decreased by $0.6 million, or 3.7%, from $16.4 million for the three-month period ended September 30, 2017 to $15.8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same period in 2018. The decrease is mainly attributable to higher scheduled technical maintenance costs incurred in the three-month period ended September 30, 2017 related to the dry-docking completed in the following quarter. As a result, daily operating cost per vessel decreased from $14,747 per day for the three-month period ended September 30, 2017 to $14,216 per day for the three-month period ended September 30, 2018.</w:t>
      </w:r>
    </w:p>
    <w:p>
      <w:pPr>
        <w:spacing w:after="0" w:line="173" w:lineRule="exact"/>
        <w:rPr>
          <w:sz w:val="20"/>
          <w:szCs w:val="20"/>
          <w:color w:val="auto"/>
        </w:rPr>
      </w:pPr>
    </w:p>
    <w:p>
      <w:pPr>
        <w:ind w:right="60" w:firstLine="428"/>
        <w:spacing w:after="0" w:line="271"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by $0.7 million, or 17.5%, from $4.0 million for the three-month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September 30, 2017 to $4.7 million for the same period in 2018. The increase is mainly attributable to an increase in administrative expenses of $0.9 million for services provided under the administrative services agreement with GasLog due to the increase of the annual administrative fees in 2018 by $0.2 million per vessel and the incremental fees due to the acquisitions from GasLog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May 3, 2017,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on July 3, 2017,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on October 20, 2017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Gibraltar </w:t>
      </w:r>
      <w:r>
        <w:rPr>
          <w:rFonts w:ascii="Arial" w:cs="Arial" w:eastAsia="Arial" w:hAnsi="Arial"/>
          <w:sz w:val="16"/>
          <w:szCs w:val="16"/>
          <w:color w:val="auto"/>
        </w:rPr>
        <w:t>on April 26, 2018.</w:t>
      </w:r>
    </w:p>
    <w:p>
      <w:pPr>
        <w:spacing w:after="0" w:line="190" w:lineRule="exact"/>
        <w:rPr>
          <w:sz w:val="20"/>
          <w:szCs w:val="20"/>
          <w:color w:val="auto"/>
        </w:rPr>
      </w:pPr>
    </w:p>
    <w:p>
      <w:pPr>
        <w:ind w:firstLine="428"/>
        <w:spacing w:after="0" w:line="270"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$0.5 million, or 3.3%, from $15.0 million for the three-month period ended September 30, 2017 to $15.5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2018, due to an increase of $0.9 million in interest expense on loans, partially offset by a decrease of $0.3 million in amortization of loan fees, mainly due to the prepayment in January 2018 of the remaining $29.8 million balance of the junior tranche of the credit agreement entered into on February 18, 2016 (the “Five Vessel Refinancing”). During the three-month period ended September 30, 2017, we had an average of $1,352.5 million of outstanding indebtedness with a weighted average interest rate of 3.8%, compared to an average of $1,187.8 million of outstanding indebtedness with a weighted average interest rate of 4.6% during the three-month period ended September 30, 2018.</w:t>
      </w:r>
    </w:p>
    <w:p>
      <w:pPr>
        <w:spacing w:after="0" w:line="190" w:lineRule="exact"/>
        <w:rPr>
          <w:sz w:val="20"/>
          <w:szCs w:val="20"/>
          <w:color w:val="auto"/>
        </w:rPr>
      </w:pPr>
    </w:p>
    <w:p>
      <w:pPr>
        <w:ind w:right="40" w:firstLine="428"/>
        <w:spacing w:after="0" w:line="324" w:lineRule="auto"/>
        <w:rPr>
          <w:sz w:val="20"/>
          <w:szCs w:val="20"/>
          <w:color w:val="auto"/>
        </w:rPr>
      </w:pPr>
      <w:r>
        <w:rPr>
          <w:rFonts w:ascii="Arial" w:cs="Arial" w:eastAsia="Arial" w:hAnsi="Arial"/>
          <w:sz w:val="14"/>
          <w:szCs w:val="14"/>
          <w:b w:val="1"/>
          <w:bCs w:val="1"/>
          <w:i w:val="1"/>
          <w:iCs w:val="1"/>
          <w:color w:val="auto"/>
        </w:rPr>
        <w:t xml:space="preserve">(Loss)/gain on Derivatives: </w:t>
      </w:r>
      <w:r>
        <w:rPr>
          <w:rFonts w:ascii="Arial" w:cs="Arial" w:eastAsia="Arial" w:hAnsi="Arial"/>
          <w:sz w:val="14"/>
          <w:szCs w:val="14"/>
          <w:color w:val="auto"/>
        </w:rPr>
        <w:t>Loss on derivatives decreased by $2.8 million, from a loss of $0.7 million for the three-month period ended September 30, 2017 to a gain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$2.1 million for the same period in 2018. The decrease is attributable to a decrease in loss of $1.8 million from the mark-to-market valuation of our derivatives carried at fair value through profit or loss, derived mainly from the higher London Interbank Offered Rate (“LIBOR”) yield curve which was used to calculate the present value of the estimated future cash flows, as compared to the agreed fixed interest rates, and a decrease in realized loss from interest rate swaps held for trading of $0.9 million.</w:t>
      </w:r>
    </w:p>
    <w:p>
      <w:pPr>
        <w:spacing w:after="0" w:line="157" w:lineRule="exact"/>
        <w:rPr>
          <w:sz w:val="20"/>
          <w:szCs w:val="20"/>
          <w:color w:val="auto"/>
        </w:rPr>
      </w:pPr>
    </w:p>
    <w:p>
      <w:pPr>
        <w:ind w:right="440" w:firstLine="428"/>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decreased by $3.7 million, or 11.9%, from $31.0 million for the three-month period ended September 30, 2017 to $27.3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2018, as a result of the aforementioned factors.</w:t>
      </w:r>
    </w:p>
    <w:p>
      <w:pPr>
        <w:spacing w:after="0" w:line="172" w:lineRule="exact"/>
        <w:rPr>
          <w:sz w:val="20"/>
          <w:szCs w:val="20"/>
          <w:color w:val="auto"/>
        </w:rPr>
      </w:pPr>
    </w:p>
    <w:p>
      <w:pPr>
        <w:ind w:right="20" w:firstLine="428"/>
        <w:spacing w:after="0" w:line="271"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increased by $2.0 million, or 7.9%, from $25.3 million for the three-month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September 30, 2017 to $27.3 million for the three-month period ended September 30, 2018. The increase is mainly attributable to the profits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acquired by the Partnership on July 3, 2017, October 20, 2017 and April 26, 2018, respectively, and the decrease in mark-to-market loss on interest rate swaps attributable to the Partnership, which were partially offset by the decreased revenues and increased voyage expenses and commissions, due to three vessels of the remaining fleet entering the spot market.</w:t>
      </w:r>
    </w:p>
    <w:p>
      <w:pPr>
        <w:spacing w:after="0" w:line="190" w:lineRule="exact"/>
        <w:rPr>
          <w:sz w:val="20"/>
          <w:szCs w:val="20"/>
          <w:color w:val="auto"/>
        </w:rPr>
      </w:pPr>
    </w:p>
    <w:p>
      <w:pPr>
        <w:ind w:right="60" w:firstLine="428"/>
        <w:spacing w:after="0" w:line="270" w:lineRule="auto"/>
        <w:rPr>
          <w:sz w:val="20"/>
          <w:szCs w:val="20"/>
          <w:color w:val="auto"/>
        </w:rPr>
      </w:pPr>
      <w:r>
        <w:rPr>
          <w:rFonts w:ascii="Arial" w:cs="Arial" w:eastAsia="Arial" w:hAnsi="Arial"/>
          <w:sz w:val="16"/>
          <w:szCs w:val="16"/>
          <w:color w:val="auto"/>
        </w:rPr>
        <w:t xml:space="preserve">Specifically, the profit attributable to the Partnership was mainly affected by (a) an increase in revenues of $13.1 million contributed by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partially offset by a decrease in net revenues of $3.7 million from the expiry of the initial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(b) an increase in voyage expenses and commissions attributable to the Partnership of $2.4 million mainly attributable to the voyage expenses of the vessels operating in the spot market, (c) an increase in operating expenses attributable to the Partnership of $0.7 million mainly attributable to the operating expenses of the aforementioned acquired vessels, and (d) an increase in depreciation expense attributable to the Partnership of $3.1 million, resulting primarily from the aforementioned acquisitions.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firstLine="428"/>
        <w:spacing w:after="0" w:line="273" w:lineRule="auto"/>
        <w:rPr>
          <w:sz w:val="20"/>
          <w:szCs w:val="20"/>
          <w:color w:val="auto"/>
        </w:rPr>
      </w:pPr>
      <w:r>
        <w:rPr>
          <w:rFonts w:ascii="Arial" w:cs="Arial" w:eastAsia="Arial" w:hAnsi="Arial"/>
          <w:sz w:val="16"/>
          <w:szCs w:val="16"/>
          <w:color w:val="auto"/>
        </w:rPr>
        <w:t xml:space="preserve">In addition, the profit attributable to the Partnership was further affected by (a) an increase in general and administrative expenses attributable to the Partnership of $0.9 million, which is primarily due to an increase in administrative fees, (b) an increase in financial costs attributable to the Partnership of $3.2 million, mainly due to increased financial costs of $3.5 million with respect to the aggregate outstanding debt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after their respective drop-downs to the Partnership and (c) a decrease of $2.8 million in loss on derivatives.</w:t>
      </w:r>
    </w:p>
    <w:p>
      <w:pPr>
        <w:spacing w:after="0" w:line="176" w:lineRule="exact"/>
        <w:rPr>
          <w:sz w:val="20"/>
          <w:szCs w:val="20"/>
          <w:color w:val="auto"/>
        </w:rPr>
      </w:pPr>
    </w:p>
    <w:p>
      <w:pPr>
        <w:ind w:right="80" w:firstLine="428"/>
        <w:spacing w:after="0" w:line="324" w:lineRule="auto"/>
        <w:rPr>
          <w:sz w:val="20"/>
          <w:szCs w:val="20"/>
          <w:color w:val="auto"/>
        </w:rPr>
      </w:pPr>
      <w:r>
        <w:rPr>
          <w:rFonts w:ascii="Arial" w:cs="Arial" w:eastAsia="Arial" w:hAnsi="Arial"/>
          <w:sz w:val="14"/>
          <w:szCs w:val="14"/>
          <w:color w:val="auto"/>
        </w:rPr>
        <w:t>The above discussion of revenues, net pool allocation, operating expenses, depreciation expense, general and administrative expenses, financial costs and loss/gain on derivatives in relation to the Profit attributable to the Partnership for the three-month period ended September 30, 2017 and September 30, 2018, are non-GAAP measures that exclude amounts related to vessels currently owned by the Partnership for the periods prior to their respective transfers to GasLog Partners from GasLog. For a reconciliation of the results attributable to the Partnership to the most directly comparable IFRS reported results, refer to Appendix A included elsewhere in this report.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Nine-month period ended September 30, 2017 compared to the nine-month period ended September 30, 2018</w:t>
      </w:r>
    </w:p>
    <w:p>
      <w:pPr>
        <w:spacing w:after="0" w:line="221" w:lineRule="exact"/>
        <w:rPr>
          <w:sz w:val="20"/>
          <w:szCs w:val="20"/>
          <w:color w:val="auto"/>
        </w:rPr>
      </w:pPr>
    </w:p>
    <w:p>
      <w:pPr>
        <w:spacing w:after="0"/>
        <w:tabs>
          <w:tab w:leader="none" w:pos="7300" w:val="left"/>
        </w:tabs>
        <w:rPr>
          <w:sz w:val="20"/>
          <w:szCs w:val="20"/>
          <w:color w:val="auto"/>
        </w:rPr>
      </w:pPr>
      <w:r>
        <w:rPr>
          <w:rFonts w:ascii="Arial" w:cs="Arial" w:eastAsia="Arial" w:hAnsi="Arial"/>
          <w:sz w:val="16"/>
          <w:szCs w:val="16"/>
          <w:b w:val="1"/>
          <w:bCs w:val="1"/>
          <w:i w:val="1"/>
          <w:iCs w:val="1"/>
          <w:color w:val="auto"/>
        </w:rPr>
        <w:t>(in thousands of U.S. dollars)</w:t>
      </w:r>
      <w:r>
        <w:rPr>
          <w:sz w:val="20"/>
          <w:szCs w:val="20"/>
          <w:color w:val="auto"/>
        </w:rPr>
        <w:tab/>
      </w:r>
      <w:r>
        <w:rPr>
          <w:rFonts w:ascii="Arial" w:cs="Arial" w:eastAsia="Arial" w:hAnsi="Arial"/>
          <w:sz w:val="14"/>
          <w:szCs w:val="14"/>
          <w:b w:val="1"/>
          <w:bCs w:val="1"/>
          <w:color w:val="auto"/>
        </w:rPr>
        <w:t>IFRS Reported Common Control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20320</wp:posOffset>
            </wp:positionV>
            <wp:extent cx="3044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ectPr>
          <w:pgSz w:w="11900" w:h="16838" w:orient="portrait"/>
          <w:cols w:equalWidth="0" w:num="1">
            <w:col w:w="11400"/>
          </w:cols>
          <w:pgMar w:left="240" w:top="346" w:right="25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9"/>
        </w:trPr>
        <w:tc>
          <w:tcPr>
            <w:tcW w:w="6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256,235</w:t>
            </w:r>
          </w:p>
        </w:tc>
        <w:tc>
          <w:tcPr>
            <w:tcW w:w="4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243,172</w:t>
            </w:r>
          </w:p>
        </w:tc>
        <w:tc>
          <w:tcPr>
            <w:tcW w:w="4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Net pool allocation</w:t>
            </w:r>
          </w:p>
        </w:tc>
        <w:tc>
          <w:tcPr>
            <w:tcW w:w="17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423</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780" w:type="dxa"/>
            <w:vAlign w:val="bottom"/>
            <w:gridSpan w:val="2"/>
            <w:shd w:val="clear" w:color="auto" w:fill="E5FFFF"/>
          </w:tcPr>
          <w:p>
            <w:pPr>
              <w:jc w:val="right"/>
              <w:ind w:right="400"/>
              <w:spacing w:after="0"/>
              <w:rPr>
                <w:sz w:val="20"/>
                <w:szCs w:val="20"/>
                <w:color w:val="auto"/>
              </w:rPr>
            </w:pPr>
            <w:r>
              <w:rPr>
                <w:rFonts w:ascii="Arial" w:cs="Arial" w:eastAsia="Arial" w:hAnsi="Arial"/>
                <w:sz w:val="16"/>
                <w:szCs w:val="16"/>
                <w:color w:val="auto"/>
              </w:rPr>
              <w:t>(3,209)</w:t>
            </w:r>
          </w:p>
        </w:tc>
        <w:tc>
          <w:tcPr>
            <w:tcW w:w="172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(6,042)</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780" w:type="dxa"/>
            <w:vAlign w:val="bottom"/>
            <w:gridSpan w:val="2"/>
          </w:tcPr>
          <w:p>
            <w:pPr>
              <w:jc w:val="right"/>
              <w:ind w:right="400"/>
              <w:spacing w:after="0"/>
              <w:rPr>
                <w:sz w:val="20"/>
                <w:szCs w:val="20"/>
                <w:color w:val="auto"/>
              </w:rPr>
            </w:pPr>
            <w:r>
              <w:rPr>
                <w:rFonts w:ascii="Arial" w:cs="Arial" w:eastAsia="Arial" w:hAnsi="Arial"/>
                <w:sz w:val="16"/>
                <w:szCs w:val="16"/>
                <w:color w:val="auto"/>
              </w:rPr>
              <w:t>(47,593)</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(48,178)</w:t>
            </w:r>
          </w:p>
        </w:tc>
        <w:tc>
          <w:tcPr>
            <w:tcW w:w="1140" w:type="dxa"/>
            <w:vAlign w:val="bottom"/>
          </w:tcPr>
          <w:p>
            <w:pPr>
              <w:jc w:val="right"/>
              <w:spacing w:after="0"/>
              <w:rPr>
                <w:sz w:val="20"/>
                <w:szCs w:val="20"/>
                <w:color w:val="auto"/>
              </w:rPr>
            </w:pPr>
            <w:r>
              <w:rPr>
                <w:rFonts w:ascii="Arial" w:cs="Arial" w:eastAsia="Arial" w:hAnsi="Arial"/>
                <w:sz w:val="16"/>
                <w:szCs w:val="16"/>
                <w:color w:val="auto"/>
              </w:rPr>
              <w:t>(585)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780" w:type="dxa"/>
            <w:vAlign w:val="bottom"/>
            <w:gridSpan w:val="2"/>
            <w:shd w:val="clear" w:color="auto" w:fill="E5FFFF"/>
          </w:tcPr>
          <w:p>
            <w:pPr>
              <w:jc w:val="right"/>
              <w:ind w:right="400"/>
              <w:spacing w:after="0"/>
              <w:rPr>
                <w:sz w:val="20"/>
                <w:szCs w:val="20"/>
                <w:color w:val="auto"/>
              </w:rPr>
            </w:pPr>
            <w:r>
              <w:rPr>
                <w:rFonts w:ascii="Arial" w:cs="Arial" w:eastAsia="Arial" w:hAnsi="Arial"/>
                <w:sz w:val="16"/>
                <w:szCs w:val="16"/>
                <w:color w:val="auto"/>
              </w:rPr>
              <w:t>(54,996)</w:t>
            </w:r>
          </w:p>
        </w:tc>
        <w:tc>
          <w:tcPr>
            <w:tcW w:w="172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(55,314)</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780" w:type="dxa"/>
            <w:vAlign w:val="bottom"/>
            <w:gridSpan w:val="2"/>
          </w:tcPr>
          <w:p>
            <w:pPr>
              <w:jc w:val="right"/>
              <w:ind w:right="400"/>
              <w:spacing w:after="0"/>
              <w:rPr>
                <w:sz w:val="20"/>
                <w:szCs w:val="20"/>
                <w:color w:val="auto"/>
              </w:rPr>
            </w:pPr>
            <w:r>
              <w:rPr>
                <w:rFonts w:ascii="Arial" w:cs="Arial" w:eastAsia="Arial" w:hAnsi="Arial"/>
                <w:sz w:val="16"/>
                <w:szCs w:val="16"/>
                <w:color w:val="auto"/>
              </w:rPr>
              <w:t>(11,067)</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(14,074)</w:t>
            </w:r>
          </w:p>
        </w:tc>
        <w:tc>
          <w:tcPr>
            <w:tcW w:w="1140" w:type="dxa"/>
            <w:vAlign w:val="bottom"/>
          </w:tcPr>
          <w:p>
            <w:pPr>
              <w:jc w:val="right"/>
              <w:spacing w:after="0"/>
              <w:rPr>
                <w:sz w:val="20"/>
                <w:szCs w:val="20"/>
                <w:color w:val="auto"/>
              </w:rPr>
            </w:pPr>
            <w:r>
              <w:rPr>
                <w:rFonts w:ascii="Arial" w:cs="Arial" w:eastAsia="Arial" w:hAnsi="Arial"/>
                <w:sz w:val="16"/>
                <w:szCs w:val="16"/>
                <w:color w:val="auto"/>
              </w:rPr>
              <w:t>(3,007)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139,370</w:t>
            </w:r>
          </w:p>
        </w:tc>
        <w:tc>
          <w:tcPr>
            <w:tcW w:w="4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119,987</w:t>
            </w:r>
          </w:p>
        </w:tc>
        <w:tc>
          <w:tcPr>
            <w:tcW w:w="4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(19,383)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20"/>
                <w:szCs w:val="20"/>
                <w:color w:val="auto"/>
              </w:rPr>
            </w:pPr>
            <w:r>
              <w:rPr>
                <w:rFonts w:ascii="Arial" w:cs="Arial" w:eastAsia="Arial" w:hAnsi="Arial"/>
                <w:sz w:val="16"/>
                <w:szCs w:val="16"/>
                <w:color w:val="auto"/>
              </w:rPr>
              <w:t>Financial costs</w:t>
            </w:r>
          </w:p>
        </w:tc>
        <w:tc>
          <w:tcPr>
            <w:tcW w:w="1320" w:type="dxa"/>
            <w:vAlign w:val="bottom"/>
          </w:tcPr>
          <w:p>
            <w:pPr>
              <w:jc w:val="right"/>
              <w:spacing w:after="0"/>
              <w:rPr>
                <w:sz w:val="20"/>
                <w:szCs w:val="20"/>
                <w:color w:val="auto"/>
              </w:rPr>
            </w:pPr>
            <w:r>
              <w:rPr>
                <w:rFonts w:ascii="Arial" w:cs="Arial" w:eastAsia="Arial" w:hAnsi="Arial"/>
                <w:sz w:val="16"/>
                <w:szCs w:val="16"/>
                <w:color w:val="auto"/>
              </w:rPr>
              <w:t>(44,086)</w:t>
            </w:r>
          </w:p>
        </w:tc>
        <w:tc>
          <w:tcPr>
            <w:tcW w:w="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(45,826)</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780" w:type="dxa"/>
            <w:vAlign w:val="bottom"/>
            <w:gridSpan w:val="2"/>
            <w:shd w:val="clear" w:color="auto" w:fill="E5FFFF"/>
          </w:tcPr>
          <w:p>
            <w:pPr>
              <w:jc w:val="right"/>
              <w:ind w:right="460"/>
              <w:spacing w:after="0"/>
              <w:rPr>
                <w:sz w:val="20"/>
                <w:szCs w:val="20"/>
                <w:color w:val="auto"/>
              </w:rPr>
            </w:pPr>
            <w:r>
              <w:rPr>
                <w:rFonts w:ascii="Arial" w:cs="Arial" w:eastAsia="Arial" w:hAnsi="Arial"/>
                <w:sz w:val="16"/>
                <w:szCs w:val="16"/>
                <w:color w:val="auto"/>
              </w:rPr>
              <w:t>694</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1,688</w:t>
            </w:r>
          </w:p>
        </w:tc>
        <w:tc>
          <w:tcPr>
            <w:tcW w:w="40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(Loss)/gain on derivatives</w:t>
            </w:r>
          </w:p>
        </w:tc>
        <w:tc>
          <w:tcPr>
            <w:tcW w:w="1780" w:type="dxa"/>
            <w:vAlign w:val="bottom"/>
            <w:gridSpan w:val="2"/>
          </w:tcPr>
          <w:p>
            <w:pPr>
              <w:jc w:val="right"/>
              <w:ind w:right="400"/>
              <w:spacing w:after="0"/>
              <w:rPr>
                <w:sz w:val="20"/>
                <w:szCs w:val="20"/>
                <w:color w:val="auto"/>
              </w:rPr>
            </w:pPr>
            <w:r>
              <w:rPr>
                <w:rFonts w:ascii="Arial" w:cs="Arial" w:eastAsia="Arial" w:hAnsi="Arial"/>
                <w:sz w:val="16"/>
                <w:szCs w:val="16"/>
                <w:color w:val="auto"/>
              </w:rPr>
              <w:t>(2,985)</w:t>
            </w:r>
          </w:p>
        </w:tc>
        <w:tc>
          <w:tcPr>
            <w:tcW w:w="1320" w:type="dxa"/>
            <w:vAlign w:val="bottom"/>
          </w:tcPr>
          <w:p>
            <w:pPr>
              <w:jc w:val="right"/>
              <w:spacing w:after="0"/>
              <w:rPr>
                <w:sz w:val="20"/>
                <w:szCs w:val="20"/>
                <w:color w:val="auto"/>
              </w:rPr>
            </w:pPr>
            <w:r>
              <w:rPr>
                <w:rFonts w:ascii="Arial" w:cs="Arial" w:eastAsia="Arial" w:hAnsi="Arial"/>
                <w:sz w:val="16"/>
                <w:szCs w:val="16"/>
                <w:color w:val="auto"/>
              </w:rPr>
              <w:t>9,997</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92,993</w:t>
            </w:r>
          </w:p>
        </w:tc>
        <w:tc>
          <w:tcPr>
            <w:tcW w:w="46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85,846</w:t>
            </w:r>
          </w:p>
        </w:tc>
        <w:tc>
          <w:tcPr>
            <w:tcW w:w="40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(7,147)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20" w:type="dxa"/>
            <w:vAlign w:val="bottom"/>
            <w:vMerge w:val="continue"/>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65,679</w:t>
            </w:r>
          </w:p>
        </w:tc>
        <w:tc>
          <w:tcPr>
            <w:tcW w:w="460" w:type="dxa"/>
            <w:vAlign w:val="bottom"/>
            <w:vMerge w:val="continue"/>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82,173</w:t>
            </w:r>
          </w:p>
        </w:tc>
        <w:tc>
          <w:tcPr>
            <w:tcW w:w="4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40" w:firstLine="405"/>
        <w:spacing w:after="0" w:line="329" w:lineRule="auto"/>
        <w:rPr>
          <w:sz w:val="20"/>
          <w:szCs w:val="20"/>
          <w:color w:val="auto"/>
        </w:rPr>
      </w:pPr>
      <w:r>
        <w:rPr>
          <w:rFonts w:ascii="Arial" w:cs="Arial" w:eastAsia="Arial" w:hAnsi="Arial"/>
          <w:sz w:val="15"/>
          <w:szCs w:val="15"/>
          <w:color w:val="auto"/>
        </w:rPr>
        <w:t>For the nine-month period ended September 30, 2017, we had an average of 13.0 vessels operating in our owned fleet having 3,549 operating days, while during the nine-month period ended September 30, 2018, we had an average of 13.0 vessels operating in our owned fleet having 3,417 operating days.</w:t>
      </w:r>
    </w:p>
    <w:p>
      <w:pPr>
        <w:spacing w:after="0" w:line="135" w:lineRule="exact"/>
        <w:rPr>
          <w:sz w:val="20"/>
          <w:szCs w:val="20"/>
          <w:color w:val="auto"/>
        </w:rPr>
      </w:pPr>
    </w:p>
    <w:p>
      <w:pPr>
        <w:ind w:right="100" w:firstLine="428"/>
        <w:spacing w:after="0" w:line="27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decreased by $13.0 million, or 5.1%, from $256.2 million for the nine-month period ended September 30, 2017 to $243.2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period in 2018. The decrease in revenues is mainly attributable to a decrease of $7.2 million due to the expirations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Santiago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Sydney </w:t>
      </w:r>
      <w:r>
        <w:rPr>
          <w:rFonts w:ascii="Arial" w:cs="Arial" w:eastAsia="Arial" w:hAnsi="Arial"/>
          <w:sz w:val="16"/>
          <w:szCs w:val="16"/>
          <w:color w:val="auto"/>
        </w:rPr>
        <w:t>and their entering the spot market in May, July and September 2018, respectively, and a further decrease of $6.0 million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off-hire days from the scheduled dry-dockings of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The average daily hire rate decreased from $72,199 for the nine-month period ended September 30, 2017, to $71,165 for the nine-month period ended September 30, 2018.</w:t>
      </w:r>
    </w:p>
    <w:p>
      <w:pPr>
        <w:spacing w:after="0" w:line="177" w:lineRule="exact"/>
        <w:rPr>
          <w:sz w:val="20"/>
          <w:szCs w:val="20"/>
          <w:color w:val="auto"/>
        </w:rPr>
      </w:pPr>
    </w:p>
    <w:p>
      <w:pPr>
        <w:ind w:firstLine="428"/>
        <w:spacing w:after="0" w:line="271" w:lineRule="auto"/>
        <w:rPr>
          <w:sz w:val="20"/>
          <w:szCs w:val="20"/>
          <w:color w:val="auto"/>
        </w:rPr>
      </w:pPr>
      <w:r>
        <w:rPr>
          <w:rFonts w:ascii="Arial" w:cs="Arial" w:eastAsia="Arial" w:hAnsi="Arial"/>
          <w:sz w:val="16"/>
          <w:szCs w:val="16"/>
          <w:b w:val="1"/>
          <w:bCs w:val="1"/>
          <w:i w:val="1"/>
          <w:iCs w:val="1"/>
          <w:color w:val="auto"/>
        </w:rPr>
        <w:t xml:space="preserve">Net Pool Allocation: </w:t>
      </w:r>
      <w:r>
        <w:rPr>
          <w:rFonts w:ascii="Arial" w:cs="Arial" w:eastAsia="Arial" w:hAnsi="Arial"/>
          <w:sz w:val="16"/>
          <w:szCs w:val="16"/>
          <w:color w:val="auto"/>
        </w:rPr>
        <w:t>Net pool allocation was $0.0 million during the nine-month period ended September 30, 2017 and $0.4 million during the nine-month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September 30, 2018. The $0.4 million of net pool allocation in the nine-month period ended September 30, 2018 represents the adjustment of the net results generated by the </w:t>
      </w:r>
      <w:r>
        <w:rPr>
          <w:rFonts w:ascii="Arial" w:cs="Arial" w:eastAsia="Arial" w:hAnsi="Arial"/>
          <w:sz w:val="16"/>
          <w:szCs w:val="16"/>
          <w:i w:val="1"/>
          <w:iCs w:val="1"/>
          <w:color w:val="auto"/>
        </w:rPr>
        <w:t xml:space="preserve">GasLog Shanghai </w:t>
      </w:r>
      <w:r>
        <w:rPr>
          <w:rFonts w:ascii="Arial" w:cs="Arial" w:eastAsia="Arial" w:hAnsi="Arial"/>
          <w:sz w:val="16"/>
          <w:szCs w:val="16"/>
          <w:color w:val="auto"/>
        </w:rPr>
        <w:t>in accordance with the pool distribution formula. GasLog Partners recognized gross revenues and gross voyage expenses and commissions of $5.6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$0.3 million, respectively, from the operation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which entered the Cool Pool in May 2018 (September 30, 2017: $0.0 million and $0.0 million, respectively). GasLog Partners’ total net pool performance is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20" w:type="dxa"/>
            <w:vAlign w:val="bottom"/>
          </w:tcPr>
          <w:p>
            <w:pPr>
              <w:spacing w:after="0"/>
              <w:rPr>
                <w:sz w:val="17"/>
                <w:szCs w:val="17"/>
                <w:color w:val="auto"/>
              </w:rPr>
            </w:pPr>
          </w:p>
        </w:tc>
        <w:tc>
          <w:tcPr>
            <w:tcW w:w="2840" w:type="dxa"/>
            <w:vAlign w:val="bottom"/>
            <w:gridSpan w:val="4"/>
          </w:tcPr>
          <w:p>
            <w:pPr>
              <w:ind w:left="42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782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782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8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440" w:type="dxa"/>
            <w:vAlign w:val="bottom"/>
            <w:gridSpan w:val="2"/>
            <w:shd w:val="clear" w:color="auto" w:fill="E5FFFF"/>
          </w:tcPr>
          <w:p>
            <w:pPr>
              <w:ind w:left="1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44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E5FFFF"/>
          </w:tcPr>
          <w:p>
            <w:pPr>
              <w:spacing w:after="0"/>
              <w:rPr>
                <w:sz w:val="20"/>
                <w:szCs w:val="20"/>
                <w:color w:val="auto"/>
              </w:rPr>
            </w:pPr>
            <w:r>
              <w:rPr>
                <w:rFonts w:ascii="Arial" w:cs="Arial" w:eastAsia="Arial" w:hAnsi="Arial"/>
                <w:sz w:val="16"/>
                <w:szCs w:val="16"/>
                <w:color w:val="auto"/>
              </w:rPr>
              <w:t>GasLog’s adjustment for net pool allocation (included in Net pool allocation)</w:t>
            </w:r>
          </w:p>
        </w:tc>
        <w:tc>
          <w:tcPr>
            <w:tcW w:w="1440" w:type="dxa"/>
            <w:vAlign w:val="bottom"/>
            <w:gridSpan w:val="2"/>
            <w:shd w:val="clear" w:color="auto" w:fill="E5FFFF"/>
          </w:tcPr>
          <w:p>
            <w:pPr>
              <w:ind w:left="1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spacing w:after="0"/>
              <w:rPr>
                <w:sz w:val="20"/>
                <w:szCs w:val="20"/>
                <w:color w:val="auto"/>
              </w:rPr>
            </w:pPr>
            <w:r>
              <w:rPr>
                <w:rFonts w:ascii="Arial" w:cs="Arial" w:eastAsia="Arial" w:hAnsi="Arial"/>
                <w:sz w:val="16"/>
                <w:szCs w:val="16"/>
                <w:b w:val="1"/>
                <w:bCs w:val="1"/>
                <w:color w:val="auto"/>
              </w:rPr>
              <w:t>GasLog Partners’ total net pool performance</w:t>
            </w:r>
          </w:p>
        </w:tc>
        <w:tc>
          <w:tcPr>
            <w:tcW w:w="128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5,761</w:t>
            </w:r>
          </w:p>
        </w:tc>
        <w:tc>
          <w:tcPr>
            <w:tcW w:w="1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60" w:firstLine="428"/>
        <w:spacing w:after="0" w:line="305" w:lineRule="auto"/>
        <w:rPr>
          <w:sz w:val="20"/>
          <w:szCs w:val="20"/>
          <w:color w:val="auto"/>
        </w:rPr>
      </w:pPr>
      <w:r>
        <w:rPr>
          <w:rFonts w:ascii="Arial" w:cs="Arial" w:eastAsia="Arial" w:hAnsi="Arial"/>
          <w:sz w:val="15"/>
          <w:szCs w:val="15"/>
          <w:b w:val="1"/>
          <w:bCs w:val="1"/>
          <w:i w:val="1"/>
          <w:iCs w:val="1"/>
          <w:color w:val="auto"/>
        </w:rPr>
        <w:t xml:space="preserve">Voyage Expenses and Commissions: </w:t>
      </w:r>
      <w:r>
        <w:rPr>
          <w:rFonts w:ascii="Arial" w:cs="Arial" w:eastAsia="Arial" w:hAnsi="Arial"/>
          <w:sz w:val="15"/>
          <w:szCs w:val="15"/>
          <w:color w:val="auto"/>
        </w:rPr>
        <w:t>Voyage expenses and commissions increased by $2.8 million, or 87.5%, from $3.2 million for the nine-month period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September 30, 2017 to $6.0 million for the same period in 2018. The increase is mainly attributable to increased bunker consumption costs for the periods during which the </w:t>
      </w:r>
      <w:r>
        <w:rPr>
          <w:rFonts w:ascii="Arial" w:cs="Arial" w:eastAsia="Arial" w:hAnsi="Arial"/>
          <w:sz w:val="15"/>
          <w:szCs w:val="15"/>
          <w:i w:val="1"/>
          <w:iCs w:val="1"/>
          <w:color w:val="auto"/>
        </w:rPr>
        <w:t xml:space="preserve">GasLog Shanghai, </w:t>
      </w:r>
      <w:r>
        <w:rPr>
          <w:rFonts w:ascii="Arial" w:cs="Arial" w:eastAsia="Arial" w:hAnsi="Arial"/>
          <w:sz w:val="15"/>
          <w:szCs w:val="15"/>
          <w:color w:val="auto"/>
        </w:rPr>
        <w:t>the</w:t>
      </w:r>
      <w:r>
        <w:rPr>
          <w:rFonts w:ascii="Arial" w:cs="Arial" w:eastAsia="Arial" w:hAnsi="Arial"/>
          <w:sz w:val="15"/>
          <w:szCs w:val="15"/>
          <w:i w:val="1"/>
          <w:iCs w:val="1"/>
          <w:color w:val="auto"/>
        </w:rPr>
        <w:t xml:space="preserve"> GasLog Santiago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Sydney </w:t>
      </w:r>
      <w:r>
        <w:rPr>
          <w:rFonts w:ascii="Arial" w:cs="Arial" w:eastAsia="Arial" w:hAnsi="Arial"/>
          <w:sz w:val="15"/>
          <w:szCs w:val="15"/>
          <w:color w:val="auto"/>
        </w:rPr>
        <w:t>were not operating under a time charter in the first nine months of 2018.</w:t>
      </w:r>
    </w:p>
    <w:p>
      <w:pPr>
        <w:spacing w:after="0" w:line="153" w:lineRule="exact"/>
        <w:rPr>
          <w:sz w:val="20"/>
          <w:szCs w:val="20"/>
          <w:color w:val="auto"/>
        </w:rPr>
      </w:pPr>
    </w:p>
    <w:p>
      <w:pPr>
        <w:ind w:right="140" w:firstLine="428"/>
        <w:spacing w:after="0" w:line="271"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increased by $0.6 million, or 1.3%, from $47.6 million for the nine-month period ended September 30, 2017 to $48.2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2018. The increase is mainly attributable to increased scheduled technical maintenance costs of $0.9 million related to performed dry-dockings and intermediate surveys, as well as engine maintenance and various certifications costs incurred during 2018, partially offset by a decrease of $0.3 million in insurance expenses. As a result, daily operating cost per vessel increased from $14,448 per day for the nine-month period ended September 30, 2017, to $14,644 per day for the nine-month period ended September 30, 2018.</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2" w:name="page23"/>
    <w:bookmarkEnd w:id="22"/>
    <w:p>
      <w:pPr>
        <w:ind w:right="60" w:firstLine="428"/>
        <w:spacing w:after="0" w:line="271"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by $3.0 million, or 27.0%, from $11.1 million for the nine-month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September 30, 2017 to $14.1 million for the same period in 2018. The increase is mainly attributable to an increase in administrative expenses of $3.0 million for services provided under the administrative services agreement with GasLog due to the increase of the annual administrative fees in 2018 by $0.2 million per vessel and the incremental fees due to the acquisitions from GasLog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May 3, 2017,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on July 3, 2017,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on October 20, 2017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Gibraltar </w:t>
      </w:r>
      <w:r>
        <w:rPr>
          <w:rFonts w:ascii="Arial" w:cs="Arial" w:eastAsia="Arial" w:hAnsi="Arial"/>
          <w:sz w:val="16"/>
          <w:szCs w:val="16"/>
          <w:color w:val="auto"/>
        </w:rPr>
        <w:t>on April 26, 2018.</w:t>
      </w:r>
    </w:p>
    <w:p>
      <w:pPr>
        <w:spacing w:after="0" w:line="177" w:lineRule="exact"/>
        <w:rPr>
          <w:sz w:val="20"/>
          <w:szCs w:val="20"/>
          <w:color w:val="auto"/>
        </w:rPr>
      </w:pPr>
    </w:p>
    <w:p>
      <w:pPr>
        <w:ind w:right="120" w:firstLine="428"/>
        <w:spacing w:after="0" w:line="271"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$1.7 million, or 3.9%, from $44.1 million for the nine-month period ended September 30, 2017 to $45.8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2018. The increase is mainly attributable to an increase of $1.8 million in interest expense on loans, partially offset by a decrease in commitment fees of $0.1 million. During the nine-month period ended September 30, 2017, we had an average of $1,381.7 million of outstanding indebtedness with a weighted average interest rate of 3.7%, compared to an average of $1,223.1 million of outstanding indebtedness with a weighted average interest rate of 4.3% during the nine-month period ended September 30, 2018.</w:t>
      </w:r>
    </w:p>
    <w:p>
      <w:pPr>
        <w:spacing w:after="0" w:line="177"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5"/>
          <w:szCs w:val="15"/>
          <w:b w:val="1"/>
          <w:bCs w:val="1"/>
          <w:i w:val="1"/>
          <w:iCs w:val="1"/>
          <w:color w:val="auto"/>
        </w:rPr>
        <w:t xml:space="preserve">(Loss)/gain on Derivatives: </w:t>
      </w:r>
      <w:r>
        <w:rPr>
          <w:rFonts w:ascii="Arial" w:cs="Arial" w:eastAsia="Arial" w:hAnsi="Arial"/>
          <w:sz w:val="15"/>
          <w:szCs w:val="15"/>
          <w:color w:val="auto"/>
        </w:rPr>
        <w:t>Loss on derivatives decreased by $13.0 million, from a loss of $3.0 million for the nine-month period ended September 30, 2017 to a gain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$10.0 million for the same period in 2018. The decrease is attributable to a decrease in loss of $10.4 million from the mark-to-market valuation of our derivatives carried at fair value through profit or loss, derived mainly from the higher LIBOR yield curve, which was used to calculate the present value of the estimated future cash flows, as compared to the agreed fixed interest rates, and a decrease in realized loss from interest rate swaps held for trading of $2.6 million.</w:t>
      </w:r>
    </w:p>
    <w:p>
      <w:pPr>
        <w:spacing w:after="0" w:line="159" w:lineRule="exact"/>
        <w:rPr>
          <w:sz w:val="20"/>
          <w:szCs w:val="20"/>
          <w:color w:val="auto"/>
        </w:rPr>
      </w:pPr>
    </w:p>
    <w:p>
      <w:pPr>
        <w:ind w:right="40" w:firstLine="428"/>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decreased by $7.2 million, or 7.7%, from $93.0 million for the nine-month period ended September 30, 2017 to $85.8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2018, as a result of the aforementioned factors.</w:t>
      </w:r>
    </w:p>
    <w:p>
      <w:pPr>
        <w:spacing w:after="0" w:line="159" w:lineRule="exact"/>
        <w:rPr>
          <w:sz w:val="20"/>
          <w:szCs w:val="20"/>
          <w:color w:val="auto"/>
        </w:rPr>
      </w:pPr>
    </w:p>
    <w:p>
      <w:pPr>
        <w:ind w:right="40" w:firstLine="428"/>
        <w:spacing w:after="0" w:line="271"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increased by $16.5 million, or 25.1%, from $65.7 million for the nine-month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September 30, 2017 to $82.2 million for the nine-month period ended September 30, 2018. The increase is mainly attributable to the profits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Geneva</w:t>
      </w:r>
      <w:r>
        <w:rPr>
          <w:rFonts w:ascii="Arial" w:cs="Arial" w:eastAsia="Arial" w:hAnsi="Arial"/>
          <w:sz w:val="16"/>
          <w:szCs w:val="16"/>
          <w:color w:val="auto"/>
        </w:rPr>
        <w:t>, 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w:t>
      </w:r>
      <w:r>
        <w:rPr>
          <w:rFonts w:ascii="Arial" w:cs="Arial" w:eastAsia="Arial" w:hAnsi="Arial"/>
          <w:sz w:val="16"/>
          <w:szCs w:val="16"/>
          <w:color w:val="auto"/>
        </w:rPr>
        <w:t>, acquired by the Partnership on May 3, 2017, July 3, 2017, October 20, 2017 and April 26, 2018, respectively, and the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mark-to-market loss on interest rate swaps attributable to the Partnership, which were partially offset by the decreased revenues, increased voyage expenses and commissions and general and administrative expenses.</w:t>
      </w:r>
    </w:p>
    <w:p>
      <w:pPr>
        <w:spacing w:after="0" w:line="177" w:lineRule="exact"/>
        <w:rPr>
          <w:sz w:val="20"/>
          <w:szCs w:val="20"/>
          <w:color w:val="auto"/>
        </w:rPr>
      </w:pPr>
    </w:p>
    <w:p>
      <w:pPr>
        <w:ind w:right="40" w:firstLine="428"/>
        <w:spacing w:after="0" w:line="269" w:lineRule="auto"/>
        <w:rPr>
          <w:sz w:val="20"/>
          <w:szCs w:val="20"/>
          <w:color w:val="auto"/>
        </w:rPr>
      </w:pPr>
      <w:r>
        <w:rPr>
          <w:rFonts w:ascii="Arial" w:cs="Arial" w:eastAsia="Arial" w:hAnsi="Arial"/>
          <w:sz w:val="16"/>
          <w:szCs w:val="16"/>
          <w:color w:val="auto"/>
        </w:rPr>
        <w:t xml:space="preserve">Specifically, the profit attributable to the Partnership was mainly affected by (a) an increase in revenues of $54.1 million contributed by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Geneva</w:t>
      </w:r>
      <w:r>
        <w:rPr>
          <w:rFonts w:ascii="Arial" w:cs="Arial" w:eastAsia="Arial" w:hAnsi="Arial"/>
          <w:sz w:val="16"/>
          <w:szCs w:val="16"/>
          <w:color w:val="auto"/>
        </w:rPr>
        <w:t>, 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w:t>
      </w:r>
      <w:r>
        <w:rPr>
          <w:rFonts w:ascii="Arial" w:cs="Arial" w:eastAsia="Arial" w:hAnsi="Arial"/>
          <w:sz w:val="16"/>
          <w:szCs w:val="16"/>
          <w:color w:val="auto"/>
        </w:rPr>
        <w:t>, partially offset by a decrease in net revenues of $6.8 million from the expiry of the initial charters of the</w:t>
      </w:r>
      <w:r>
        <w:rPr>
          <w:rFonts w:ascii="Arial" w:cs="Arial" w:eastAsia="Arial" w:hAnsi="Arial"/>
          <w:sz w:val="16"/>
          <w:szCs w:val="16"/>
          <w:i w:val="1"/>
          <w:iCs w:val="1"/>
          <w:color w:val="auto"/>
        </w:rPr>
        <w:t xml:space="preserve"> GasLog Shanghai</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Santiago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Sydney </w:t>
      </w:r>
      <w:r>
        <w:rPr>
          <w:rFonts w:ascii="Arial" w:cs="Arial" w:eastAsia="Arial" w:hAnsi="Arial"/>
          <w:sz w:val="16"/>
          <w:szCs w:val="16"/>
          <w:color w:val="auto"/>
        </w:rPr>
        <w:t>and a further decrease of $6.0 million due to the off-hire days from the scheduled dry-dockings of the</w:t>
      </w:r>
      <w:r>
        <w:rPr>
          <w:rFonts w:ascii="Arial" w:cs="Arial" w:eastAsia="Arial" w:hAnsi="Arial"/>
          <w:sz w:val="16"/>
          <w:szCs w:val="16"/>
          <w:i w:val="1"/>
          <w:iCs w:val="1"/>
          <w:color w:val="auto"/>
        </w:rPr>
        <w:t xml:space="preserve"> GasLog Santiago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(b) an increase in voyage expenses and commissions attributable to the Partnership of $3.5 million mainly attributable to the voyage expenses of the vessels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in the spot market, (c) an increase in operating expenses attributable to the Partnership of $6.9 million mainly attributable to the operating expenses of the aforementioned acquired vessels and (d) an increase in depreciation expense attributable to the Partnership of $12.1 million, also resulting primarily from the aforementioned acquisitions.</w:t>
      </w:r>
    </w:p>
    <w:p>
      <w:pPr>
        <w:spacing w:after="0" w:line="177" w:lineRule="exact"/>
        <w:rPr>
          <w:sz w:val="20"/>
          <w:szCs w:val="20"/>
          <w:color w:val="auto"/>
        </w:rPr>
      </w:pPr>
    </w:p>
    <w:p>
      <w:pPr>
        <w:ind w:right="20" w:firstLine="428"/>
        <w:spacing w:after="0" w:line="273" w:lineRule="auto"/>
        <w:rPr>
          <w:sz w:val="20"/>
          <w:szCs w:val="20"/>
          <w:color w:val="auto"/>
        </w:rPr>
      </w:pPr>
      <w:r>
        <w:rPr>
          <w:rFonts w:ascii="Arial" w:cs="Arial" w:eastAsia="Arial" w:hAnsi="Arial"/>
          <w:sz w:val="16"/>
          <w:szCs w:val="16"/>
          <w:color w:val="auto"/>
        </w:rPr>
        <w:t xml:space="preserve">In addition, the profit attributable to the Partnership was further affected by (a) an increase in general and administrative expenses attributable to the Partnership of $3.8 million, which is primarily attributable to an increase in administrative fees, (b) an increase in financial costs attributable to the Partnership of $12.6 million, mainly due to increased financial costs of $12.9 million with respect to the aggregate outstanding debt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after their respective drop-downs to the Partnership and (c) a decrease of $13.0 million in loss on derivatives.</w:t>
      </w:r>
    </w:p>
    <w:p>
      <w:pPr>
        <w:spacing w:after="0" w:line="176" w:lineRule="exact"/>
        <w:rPr>
          <w:sz w:val="20"/>
          <w:szCs w:val="20"/>
          <w:color w:val="auto"/>
        </w:rPr>
      </w:pPr>
    </w:p>
    <w:p>
      <w:pPr>
        <w:jc w:val="both"/>
        <w:ind w:right="120" w:firstLine="428"/>
        <w:spacing w:after="0" w:line="324" w:lineRule="auto"/>
        <w:rPr>
          <w:sz w:val="20"/>
          <w:szCs w:val="20"/>
          <w:color w:val="auto"/>
        </w:rPr>
      </w:pPr>
      <w:r>
        <w:rPr>
          <w:rFonts w:ascii="Arial" w:cs="Arial" w:eastAsia="Arial" w:hAnsi="Arial"/>
          <w:sz w:val="14"/>
          <w:szCs w:val="14"/>
          <w:color w:val="auto"/>
        </w:rPr>
        <w:t>The above discussion of revenues, net pool allocation, operating expenses, depreciation expense, general and administrative expenses, financial costs and loss/gain on derivatives in relation to the Profit attributable to the Partnership for the nine-month period ended September 30, 2017 and September 30, 2018, are non-GAAP measures that exclude amounts related to vessels currently owned by the Partnership for the periods prior to their respective transfers to GasLog Partners from GasLog. For a reconciliation of the results attributable to the Partnership to the most directly comparable IFRS reported results, refer to Appendix A included elsewhere in this report.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ind w:right="100" w:firstLine="510"/>
        <w:spacing w:after="0" w:line="297" w:lineRule="auto"/>
        <w:rPr>
          <w:sz w:val="20"/>
          <w:szCs w:val="20"/>
          <w:color w:val="auto"/>
        </w:rPr>
      </w:pPr>
      <w:r>
        <w:rPr>
          <w:rFonts w:ascii="Arial" w:cs="Arial" w:eastAsia="Arial" w:hAnsi="Arial"/>
          <w:sz w:val="15"/>
          <w:szCs w:val="15"/>
          <w:color w:val="auto"/>
        </w:rPr>
        <w:t>We operate in a capital-intensive industry, and we expect to finance the purchase of additional vessels and other capital expenditures through a combination of borrowings from commercial banks, cash generated from operations and debt and equity financings. In addition to paying distributions, our other liquidity requirements relate to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59" w:lineRule="exact"/>
        <w:rPr>
          <w:sz w:val="20"/>
          <w:szCs w:val="20"/>
          <w:color w:val="auto"/>
        </w:rPr>
      </w:pPr>
    </w:p>
    <w:p>
      <w:pPr>
        <w:ind w:right="20" w:firstLine="510"/>
        <w:spacing w:after="0" w:line="278" w:lineRule="auto"/>
        <w:rPr>
          <w:sz w:val="20"/>
          <w:szCs w:val="20"/>
          <w:color w:val="auto"/>
        </w:rPr>
      </w:pPr>
      <w:r>
        <w:rPr>
          <w:rFonts w:ascii="Arial" w:cs="Arial" w:eastAsia="Arial" w:hAnsi="Arial"/>
          <w:sz w:val="16"/>
          <w:szCs w:val="16"/>
          <w:color w:val="auto"/>
        </w:rPr>
        <w:t>As of September 30, 2018, we had $168.8 million of cash and cash equivalents, of which $91.1 million was held in current accounts and $77.7 million was held in time deposits with an original duration of less than three months. An amount of $10.0 million of time deposits with an original duration greater than three months was classified as short-term investments.</w:t>
      </w:r>
    </w:p>
    <w:p>
      <w:pPr>
        <w:spacing w:after="0" w:line="171"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As of September 30, 2018, we had an aggregate of $1,156.6 million of indebtedness outstanding under our credit facilities, of which $85.0 million is repayable within one year. In addition, we had unused availability under our revolving credit facilities of $55.9 million.</w:t>
      </w:r>
    </w:p>
    <w:p>
      <w:pPr>
        <w:spacing w:after="0" w:line="159"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In August 2018, the Partnership entered into three new forward foreign exchange contracts with GasLog with a notional value of €6.0 million and staggered maturities during the third quarter of 2019 to mitigate its foreign exchange transaction exposure in its operating expenses.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3" w:name="page24"/>
    <w:bookmarkEnd w:id="23"/>
    <w:p>
      <w:pPr>
        <w:jc w:val="both"/>
        <w:ind w:right="140" w:firstLine="510"/>
        <w:spacing w:after="0" w:line="278" w:lineRule="auto"/>
        <w:rPr>
          <w:sz w:val="20"/>
          <w:szCs w:val="20"/>
          <w:color w:val="auto"/>
        </w:rPr>
      </w:pPr>
      <w:r>
        <w:rPr>
          <w:rFonts w:ascii="Arial" w:cs="Arial" w:eastAsia="Arial" w:hAnsi="Arial"/>
          <w:sz w:val="16"/>
          <w:szCs w:val="16"/>
          <w:color w:val="auto"/>
        </w:rPr>
        <w:t>The Partnership has entered into five interest rate swap agreements with GasLog at a notional value of $550.0 million in aggregate, maturing between 2020 and 2023. As of September 30, 2018, the Partnership had hedged 46.9% of its floating interest rate exposure on its outstanding debt at a weighted average interest rate of approximately 1.9% (excluding margin).</w:t>
      </w:r>
    </w:p>
    <w:p>
      <w:pPr>
        <w:spacing w:after="0" w:line="171" w:lineRule="exact"/>
        <w:rPr>
          <w:sz w:val="20"/>
          <w:szCs w:val="20"/>
          <w:color w:val="auto"/>
        </w:rPr>
      </w:pPr>
    </w:p>
    <w:p>
      <w:pPr>
        <w:ind w:right="680" w:firstLine="510"/>
        <w:spacing w:after="0" w:line="293" w:lineRule="auto"/>
        <w:rPr>
          <w:sz w:val="20"/>
          <w:szCs w:val="20"/>
          <w:color w:val="auto"/>
        </w:rPr>
      </w:pPr>
      <w:r>
        <w:rPr>
          <w:rFonts w:ascii="Arial" w:cs="Arial" w:eastAsia="Arial" w:hAnsi="Arial"/>
          <w:sz w:val="16"/>
          <w:szCs w:val="16"/>
          <w:color w:val="auto"/>
        </w:rPr>
        <w:t xml:space="preserve">Following the completion of the scheduled dry-dockings of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in the second quarter of 2018,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is scheduled to commence her dry-docking in the fourth quarter of 2018.</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25" w:lineRule="exact"/>
        <w:rPr>
          <w:sz w:val="20"/>
          <w:szCs w:val="20"/>
          <w:color w:val="auto"/>
        </w:rPr>
      </w:pPr>
    </w:p>
    <w:p>
      <w:pPr>
        <w:ind w:right="360" w:firstLine="486"/>
        <w:spacing w:after="0" w:line="293" w:lineRule="auto"/>
        <w:rPr>
          <w:sz w:val="20"/>
          <w:szCs w:val="20"/>
          <w:color w:val="auto"/>
        </w:rPr>
      </w:pPr>
      <w:r>
        <w:rPr>
          <w:rFonts w:ascii="Arial" w:cs="Arial" w:eastAsia="Arial" w:hAnsi="Arial"/>
          <w:sz w:val="16"/>
          <w:szCs w:val="16"/>
          <w:color w:val="auto"/>
        </w:rPr>
        <w:t>As of September 30, 2018, our current assets totaled $197.3 million and current liabilities totaled $150.3 million, resulting in a positive working capital position of $47.0 million.</w:t>
      </w:r>
    </w:p>
    <w:p>
      <w:pPr>
        <w:spacing w:after="0" w:line="159" w:lineRule="exact"/>
        <w:rPr>
          <w:sz w:val="20"/>
          <w:szCs w:val="20"/>
          <w:color w:val="auto"/>
        </w:rPr>
      </w:pPr>
    </w:p>
    <w:p>
      <w:pPr>
        <w:ind w:right="240" w:firstLine="486"/>
        <w:spacing w:after="0" w:line="329" w:lineRule="auto"/>
        <w:rPr>
          <w:sz w:val="20"/>
          <w:szCs w:val="20"/>
          <w:color w:val="auto"/>
        </w:rPr>
      </w:pPr>
      <w:r>
        <w:rPr>
          <w:rFonts w:ascii="Arial" w:cs="Arial" w:eastAsia="Arial" w:hAnsi="Arial"/>
          <w:sz w:val="15"/>
          <w:szCs w:val="15"/>
          <w:color w:val="auto"/>
        </w:rPr>
        <w:t>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21"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Nine-month period ended September 30, 2017 compared to the nine-month period ended September 30,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596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3940" w:type="dxa"/>
            <w:vAlign w:val="bottom"/>
            <w:gridSpan w:val="4"/>
          </w:tcPr>
          <w:p>
            <w:pPr>
              <w:jc w:val="right"/>
              <w:ind w:right="136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960" w:type="dxa"/>
            <w:vAlign w:val="bottom"/>
          </w:tcPr>
          <w:p>
            <w:pPr>
              <w:spacing w:after="0"/>
              <w:rPr>
                <w:sz w:val="18"/>
                <w:szCs w:val="18"/>
                <w:color w:val="auto"/>
              </w:rPr>
            </w:pPr>
          </w:p>
        </w:tc>
        <w:tc>
          <w:tcPr>
            <w:tcW w:w="20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 2017</w:t>
            </w:r>
          </w:p>
        </w:tc>
        <w:tc>
          <w:tcPr>
            <w:tcW w:w="18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 30, 2018</w:t>
            </w:r>
          </w:p>
        </w:tc>
      </w:tr>
      <w:tr>
        <w:trPr>
          <w:trHeight w:val="199"/>
        </w:trPr>
        <w:tc>
          <w:tcPr>
            <w:tcW w:w="5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1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138,406</w:t>
            </w:r>
          </w:p>
        </w:tc>
        <w:tc>
          <w:tcPr>
            <w:tcW w:w="260" w:type="dxa"/>
            <w:vAlign w:val="bottom"/>
            <w:tcBorders>
              <w:top w:val="single" w:sz="8" w:color="E5FFFF"/>
            </w:tcBorders>
            <w:shd w:val="clear" w:color="auto" w:fill="E5FFFF"/>
          </w:tcPr>
          <w:p>
            <w:pPr>
              <w:spacing w:after="0"/>
              <w:rPr>
                <w:sz w:val="17"/>
                <w:szCs w:val="17"/>
                <w:color w:val="auto"/>
              </w:rPr>
            </w:pPr>
          </w:p>
        </w:tc>
        <w:tc>
          <w:tcPr>
            <w:tcW w:w="1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136,266</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Net cash provided by/(used in) investing activities</w:t>
            </w:r>
          </w:p>
        </w:tc>
        <w:tc>
          <w:tcPr>
            <w:tcW w:w="1820" w:type="dxa"/>
            <w:vAlign w:val="bottom"/>
          </w:tcPr>
          <w:p>
            <w:pPr>
              <w:jc w:val="right"/>
              <w:spacing w:after="0"/>
              <w:rPr>
                <w:sz w:val="20"/>
                <w:szCs w:val="20"/>
                <w:color w:val="auto"/>
              </w:rPr>
            </w:pPr>
            <w:r>
              <w:rPr>
                <w:rFonts w:ascii="Arial" w:cs="Arial" w:eastAsia="Arial" w:hAnsi="Arial"/>
                <w:sz w:val="16"/>
                <w:szCs w:val="16"/>
                <w:color w:val="auto"/>
              </w:rPr>
              <w:t>5,914</w:t>
            </w:r>
          </w:p>
        </w:tc>
        <w:tc>
          <w:tcPr>
            <w:tcW w:w="260" w:type="dxa"/>
            <w:vAlign w:val="bottom"/>
          </w:tcPr>
          <w:p>
            <w:pPr>
              <w:spacing w:after="0"/>
              <w:rPr>
                <w:sz w:val="17"/>
                <w:szCs w:val="17"/>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6"/>
                <w:szCs w:val="16"/>
                <w:color w:val="auto"/>
              </w:rPr>
              <w:t>(26,214)</w:t>
            </w:r>
          </w:p>
        </w:tc>
      </w:tr>
      <w:tr>
        <w:trPr>
          <w:trHeight w:val="203"/>
        </w:trPr>
        <w:tc>
          <w:tcPr>
            <w:tcW w:w="5960" w:type="dxa"/>
            <w:vAlign w:val="bottom"/>
            <w:shd w:val="clear" w:color="auto" w:fill="E5FFFF"/>
          </w:tcPr>
          <w:p>
            <w:pPr>
              <w:spacing w:after="0"/>
              <w:rPr>
                <w:sz w:val="20"/>
                <w:szCs w:val="20"/>
                <w:color w:val="auto"/>
              </w:rPr>
            </w:pPr>
            <w:r>
              <w:rPr>
                <w:rFonts w:ascii="Arial" w:cs="Arial" w:eastAsia="Arial" w:hAnsi="Arial"/>
                <w:sz w:val="16"/>
                <w:szCs w:val="16"/>
                <w:color w:val="auto"/>
              </w:rPr>
              <w:t>Net cash used in financing activities</w:t>
            </w:r>
          </w:p>
        </w:tc>
        <w:tc>
          <w:tcPr>
            <w:tcW w:w="20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(4,033)</w:t>
            </w:r>
          </w:p>
        </w:tc>
        <w:tc>
          <w:tcPr>
            <w:tcW w:w="18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(88,020)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21" w:lineRule="exact"/>
        <w:rPr>
          <w:sz w:val="20"/>
          <w:szCs w:val="20"/>
          <w:color w:val="auto"/>
        </w:rPr>
      </w:pPr>
    </w:p>
    <w:p>
      <w:pPr>
        <w:ind w:right="80" w:firstLine="428"/>
        <w:spacing w:after="0" w:line="297" w:lineRule="auto"/>
        <w:rPr>
          <w:sz w:val="20"/>
          <w:szCs w:val="20"/>
          <w:color w:val="auto"/>
        </w:rPr>
      </w:pPr>
      <w:r>
        <w:rPr>
          <w:rFonts w:ascii="Arial" w:cs="Arial" w:eastAsia="Arial" w:hAnsi="Arial"/>
          <w:sz w:val="15"/>
          <w:szCs w:val="15"/>
          <w:color w:val="auto"/>
        </w:rPr>
        <w:t>Net cash provided by operating activities decreased by $2.1 million, from $138.4 million in the nine-month period ended September 30, 2017 to $136.3 million in the nine-month period ended September 30, 2018. The decrease of $2.1 million is attributable to a decrease in net revenues of $12.7 million, an increase of $6.2 million in vessel operating costs, voyage expenses and commissions and general and administrative expenses and an increase of $1.0 million in cash paid for interest, partially offset by a $15.2 million movement in working capital accounts, a decrease of $2.6 million in realized loss on interest rate swaps held for trading.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by/(used in) Investing Activities:</w:t>
      </w:r>
    </w:p>
    <w:p>
      <w:pPr>
        <w:spacing w:after="0" w:line="221" w:lineRule="exact"/>
        <w:rPr>
          <w:sz w:val="20"/>
          <w:szCs w:val="20"/>
          <w:color w:val="auto"/>
        </w:rPr>
      </w:pPr>
    </w:p>
    <w:p>
      <w:pPr>
        <w:ind w:right="40" w:firstLine="428"/>
        <w:spacing w:after="0" w:line="273" w:lineRule="auto"/>
        <w:rPr>
          <w:sz w:val="20"/>
          <w:szCs w:val="20"/>
          <w:color w:val="auto"/>
        </w:rPr>
      </w:pPr>
      <w:r>
        <w:rPr>
          <w:rFonts w:ascii="Arial" w:cs="Arial" w:eastAsia="Arial" w:hAnsi="Arial"/>
          <w:sz w:val="16"/>
          <w:szCs w:val="16"/>
          <w:color w:val="auto"/>
        </w:rPr>
        <w:t>Net cash provided by investing activities decreased by $32.1 million, from cash provided by investing activities of $5.9 million in the nine-month period ended September 30, 2017 to cash used in investing activities of $26.2 million in the nine-month period ended September 30, 2018. The decrease of $32.1 million is attributable to an increase in net cash used in short-term investments of $17.5 million, an increase of net cash used in payments for vessels of $15.5 million, partially offset by an increase in financial income received of $0.9 million.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21" w:lineRule="exact"/>
        <w:rPr>
          <w:sz w:val="20"/>
          <w:szCs w:val="20"/>
          <w:color w:val="auto"/>
        </w:rPr>
      </w:pPr>
    </w:p>
    <w:p>
      <w:pPr>
        <w:ind w:firstLine="428"/>
        <w:spacing w:after="0" w:line="271" w:lineRule="auto"/>
        <w:rPr>
          <w:sz w:val="20"/>
          <w:szCs w:val="20"/>
          <w:color w:val="auto"/>
        </w:rPr>
      </w:pPr>
      <w:r>
        <w:rPr>
          <w:rFonts w:ascii="Arial" w:cs="Arial" w:eastAsia="Arial" w:hAnsi="Arial"/>
          <w:sz w:val="16"/>
          <w:szCs w:val="16"/>
          <w:color w:val="auto"/>
        </w:rPr>
        <w:t>Net cash used in financing activities increased by $84.0 million, from cash used in financing activities of $4.0 million in the nine-month period ended September 30, 2017 to $88.0 million in the nine-month period ended September 30, 2018. The increase of $84.0 million is attributable to a decrease in net public offering proceeds of $106.1 million, a decrease in bank loan drawdowns of $60.0 million and an increase of $22.1 million in distributions paid, partially offset by a decrease in cash distributions to GasLog in exchange for contribution of net assets of $102.5 million, a decrease of $1.4 million in payments of loan issuance costs and a decrease of $0.5 million in bank loan repayments.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Contracted Charter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GasLog Partners’ contracted charter revenues and vessel utilization as of October 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740" w:type="dxa"/>
            <w:vAlign w:val="bottom"/>
          </w:tcPr>
          <w:p>
            <w:pPr>
              <w:jc w:val="center"/>
              <w:ind w:left="159"/>
              <w:spacing w:after="0"/>
              <w:rPr>
                <w:sz w:val="20"/>
                <w:szCs w:val="20"/>
                <w:color w:val="auto"/>
              </w:rPr>
            </w:pPr>
            <w:r>
              <w:rPr>
                <w:rFonts w:ascii="Arial" w:cs="Arial" w:eastAsia="Arial" w:hAnsi="Arial"/>
                <w:sz w:val="16"/>
                <w:szCs w:val="16"/>
                <w:b w:val="1"/>
                <w:bCs w:val="1"/>
                <w:color w:val="auto"/>
                <w:w w:val="95"/>
              </w:rPr>
              <w:t>On and after</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74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October 1,</w:t>
            </w:r>
          </w:p>
        </w:tc>
        <w:tc>
          <w:tcPr>
            <w:tcW w:w="9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For the years ending December 31,</w:t>
            </w:r>
          </w:p>
        </w:tc>
        <w:tc>
          <w:tcPr>
            <w:tcW w:w="820" w:type="dxa"/>
            <w:vAlign w:val="bottom"/>
            <w:tcBorders>
              <w:bottom w:val="single" w:sz="8" w:color="auto"/>
            </w:tcBorders>
          </w:tcPr>
          <w:p>
            <w:pPr>
              <w:spacing w:after="0"/>
              <w:rPr>
                <w:sz w:val="18"/>
                <w:szCs w:val="18"/>
                <w:color w:val="auto"/>
              </w:rPr>
            </w:pPr>
          </w:p>
        </w:tc>
      </w:tr>
      <w:tr>
        <w:trPr>
          <w:trHeight w:val="202"/>
        </w:trPr>
        <w:tc>
          <w:tcPr>
            <w:tcW w:w="4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w w:val="89"/>
              </w:rPr>
              <w:t>2018</w:t>
            </w: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2023-2026</w:t>
            </w: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196"/>
        </w:trPr>
        <w:tc>
          <w:tcPr>
            <w:tcW w:w="4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740" w:type="dxa"/>
            <w:vAlign w:val="bottom"/>
            <w:gridSpan w:val="5"/>
          </w:tcPr>
          <w:p>
            <w:pPr>
              <w:jc w:val="right"/>
              <w:ind w:right="719"/>
              <w:spacing w:after="0"/>
              <w:rPr>
                <w:sz w:val="20"/>
                <w:szCs w:val="20"/>
                <w:color w:val="auto"/>
              </w:rPr>
            </w:pPr>
            <w:r>
              <w:rPr>
                <w:rFonts w:ascii="Arial" w:cs="Arial" w:eastAsia="Arial" w:hAnsi="Arial"/>
                <w:sz w:val="16"/>
                <w:szCs w:val="16"/>
                <w:b w:val="1"/>
                <w:bCs w:val="1"/>
                <w:i w:val="1"/>
                <w:iCs w:val="1"/>
                <w:color w:val="auto"/>
                <w:w w:val="90"/>
              </w:rPr>
              <w:t>(in millions of U.S. dollars, except days and percentages)</w:t>
            </w:r>
          </w:p>
        </w:tc>
        <w:tc>
          <w:tcPr>
            <w:tcW w:w="820" w:type="dxa"/>
            <w:vAlign w:val="bottom"/>
          </w:tcPr>
          <w:p>
            <w:pPr>
              <w:spacing w:after="0"/>
              <w:rPr>
                <w:sz w:val="17"/>
                <w:szCs w:val="17"/>
                <w:color w:val="auto"/>
              </w:rPr>
            </w:pPr>
          </w:p>
        </w:tc>
      </w:tr>
      <w:tr>
        <w:trPr>
          <w:trHeight w:val="203"/>
        </w:trPr>
        <w:tc>
          <w:tcPr>
            <w:tcW w:w="412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(1)(2)(3)(4)</w:t>
            </w:r>
          </w:p>
        </w:tc>
        <w:tc>
          <w:tcPr>
            <w:tcW w:w="174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72.0</w:t>
            </w:r>
          </w:p>
        </w:tc>
        <w:tc>
          <w:tcPr>
            <w:tcW w:w="94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298.4</w:t>
            </w:r>
          </w:p>
        </w:tc>
        <w:tc>
          <w:tcPr>
            <w:tcW w:w="86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217.9</w:t>
            </w:r>
          </w:p>
        </w:tc>
        <w:tc>
          <w:tcPr>
            <w:tcW w:w="86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116.0</w:t>
            </w:r>
          </w:p>
        </w:tc>
        <w:tc>
          <w:tcPr>
            <w:tcW w:w="82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90.5</w:t>
            </w:r>
          </w:p>
        </w:tc>
        <w:tc>
          <w:tcPr>
            <w:tcW w:w="1260" w:type="dxa"/>
            <w:vAlign w:val="bottom"/>
            <w:shd w:val="clear" w:color="auto" w:fill="E5FFFF"/>
          </w:tcPr>
          <w:p>
            <w:pPr>
              <w:jc w:val="right"/>
              <w:ind w:right="239"/>
              <w:spacing w:after="0"/>
              <w:rPr>
                <w:sz w:val="20"/>
                <w:szCs w:val="20"/>
                <w:color w:val="auto"/>
              </w:rPr>
            </w:pPr>
            <w:r>
              <w:rPr>
                <w:rFonts w:ascii="Arial" w:cs="Arial" w:eastAsia="Arial" w:hAnsi="Arial"/>
                <w:sz w:val="16"/>
                <w:szCs w:val="16"/>
                <w:color w:val="auto"/>
              </w:rPr>
              <w:t>146.0</w:t>
            </w:r>
          </w:p>
        </w:tc>
        <w:tc>
          <w:tcPr>
            <w:tcW w:w="82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940.8</w:t>
            </w:r>
          </w:p>
        </w:tc>
      </w:tr>
      <w:tr>
        <w:trPr>
          <w:trHeight w:val="203"/>
        </w:trPr>
        <w:tc>
          <w:tcPr>
            <w:tcW w:w="4120" w:type="dxa"/>
            <w:vAlign w:val="bottom"/>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(1)(2)</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1,031</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4,268</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3,159</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1,551</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1,095</w:t>
            </w: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1,732</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12,836</w:t>
            </w:r>
          </w:p>
        </w:tc>
      </w:tr>
      <w:tr>
        <w:trPr>
          <w:trHeight w:val="203"/>
        </w:trPr>
        <w:tc>
          <w:tcPr>
            <w:tcW w:w="412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(5)</w:t>
            </w:r>
          </w:p>
        </w:tc>
        <w:tc>
          <w:tcPr>
            <w:tcW w:w="174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1,166</w:t>
            </w:r>
          </w:p>
        </w:tc>
        <w:tc>
          <w:tcPr>
            <w:tcW w:w="94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4,715</w:t>
            </w:r>
          </w:p>
        </w:tc>
        <w:tc>
          <w:tcPr>
            <w:tcW w:w="86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4,668</w:t>
            </w:r>
          </w:p>
        </w:tc>
        <w:tc>
          <w:tcPr>
            <w:tcW w:w="86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4,595</w:t>
            </w:r>
          </w:p>
        </w:tc>
        <w:tc>
          <w:tcPr>
            <w:tcW w:w="82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4,745</w:t>
            </w:r>
          </w:p>
        </w:tc>
        <w:tc>
          <w:tcPr>
            <w:tcW w:w="1260" w:type="dxa"/>
            <w:vAlign w:val="bottom"/>
            <w:shd w:val="clear" w:color="auto" w:fill="E5FFFF"/>
          </w:tcPr>
          <w:p>
            <w:pPr>
              <w:jc w:val="right"/>
              <w:ind w:right="239"/>
              <w:spacing w:after="0"/>
              <w:rPr>
                <w:sz w:val="20"/>
                <w:szCs w:val="20"/>
                <w:color w:val="auto"/>
              </w:rPr>
            </w:pPr>
            <w:r>
              <w:rPr>
                <w:rFonts w:ascii="Arial" w:cs="Arial" w:eastAsia="Arial" w:hAnsi="Arial"/>
                <w:sz w:val="16"/>
                <w:szCs w:val="16"/>
                <w:color w:val="auto"/>
              </w:rPr>
              <w:t>18,603</w:t>
            </w:r>
          </w:p>
        </w:tc>
        <w:tc>
          <w:tcPr>
            <w:tcW w:w="82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38,492</w:t>
            </w:r>
          </w:p>
        </w:tc>
      </w:tr>
      <w:tr>
        <w:trPr>
          <w:trHeight w:val="203"/>
        </w:trPr>
        <w:tc>
          <w:tcPr>
            <w:tcW w:w="4120" w:type="dxa"/>
            <w:vAlign w:val="bottom"/>
          </w:tcPr>
          <w:p>
            <w:pPr>
              <w:spacing w:after="0" w:line="20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(6)</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135</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447</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1,509</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3,044</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3,650</w:t>
            </w: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16,871</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25,656</w:t>
            </w:r>
          </w:p>
        </w:tc>
      </w:tr>
      <w:tr>
        <w:trPr>
          <w:trHeight w:val="203"/>
        </w:trPr>
        <w:tc>
          <w:tcPr>
            <w:tcW w:w="4120" w:type="dxa"/>
            <w:vAlign w:val="bottom"/>
            <w:shd w:val="clear" w:color="auto" w:fill="E5FFFF"/>
          </w:tcPr>
          <w:p>
            <w:pPr>
              <w:spacing w:after="0"/>
              <w:rPr>
                <w:sz w:val="20"/>
                <w:szCs w:val="20"/>
                <w:color w:val="auto"/>
              </w:rPr>
            </w:pPr>
            <w:r>
              <w:rPr>
                <w:rFonts w:ascii="Arial" w:cs="Arial" w:eastAsia="Arial" w:hAnsi="Arial"/>
                <w:sz w:val="16"/>
                <w:szCs w:val="16"/>
                <w:color w:val="auto"/>
              </w:rPr>
              <w:t>Percentage of total contracted days/total available days</w:t>
            </w:r>
          </w:p>
        </w:tc>
        <w:tc>
          <w:tcPr>
            <w:tcW w:w="17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88.4%</w:t>
            </w:r>
          </w:p>
        </w:tc>
        <w:tc>
          <w:tcPr>
            <w:tcW w:w="94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90.5%</w:t>
            </w:r>
          </w:p>
        </w:tc>
        <w:tc>
          <w:tcPr>
            <w:tcW w:w="86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67.7%</w:t>
            </w:r>
          </w:p>
        </w:tc>
        <w:tc>
          <w:tcPr>
            <w:tcW w:w="86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33.8%</w:t>
            </w: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23.1%</w:t>
            </w:r>
          </w:p>
        </w:tc>
        <w:tc>
          <w:tcPr>
            <w:tcW w:w="126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9.3%</w:t>
            </w: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4" w:name="page25"/>
    <w:bookmarkEnd w:id="24"/>
    <w:p>
      <w:pPr>
        <w:ind w:left="200" w:right="120" w:hanging="192"/>
        <w:spacing w:after="0" w:line="218" w:lineRule="auto"/>
        <w:tabs>
          <w:tab w:leader="none" w:pos="191"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277495</wp:posOffset>
            </wp:positionH>
            <wp:positionV relativeFrom="page">
              <wp:posOffset>294640</wp:posOffset>
            </wp:positionV>
            <wp:extent cx="875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75030" cy="8890"/>
                    </a:xfrm>
                    <a:prstGeom prst="rect">
                      <a:avLst/>
                    </a:prstGeom>
                    <a:noFill/>
                  </pic:spPr>
                </pic:pic>
              </a:graphicData>
            </a:graphic>
          </wp:anchor>
        </w:drawing>
        <w:t xml:space="preserve">Reflects time charter revenues and contracted days for the 13 LNG carriers in our fleet as of October 1, 2018. Does not include charter revenues for the vessel operating in the spot/short-term market under the Cool Pool. Also, does not include charter revenues for the </w:t>
      </w:r>
      <w:r>
        <w:rPr>
          <w:rFonts w:ascii="Arial" w:cs="Arial" w:eastAsia="Arial" w:hAnsi="Arial"/>
          <w:sz w:val="14"/>
          <w:szCs w:val="14"/>
          <w:i w:val="1"/>
          <w:iCs w:val="1"/>
          <w:color w:val="auto"/>
        </w:rPr>
        <w:t>Methane Becki Anne</w:t>
      </w:r>
      <w:r>
        <w:rPr>
          <w:rFonts w:ascii="Arial" w:cs="Arial" w:eastAsia="Arial" w:hAnsi="Arial"/>
          <w:sz w:val="14"/>
          <w:szCs w:val="14"/>
          <w:color w:val="auto"/>
        </w:rPr>
        <w:t>, the acquisition of which was announced on October 25, 2018. Assuming completion of the drop-down on November 1, 2018, this acquisition is expected to increase the percentage of our total contracted days to 35.7% and to increase the percentage of total contracted days to 91.2% in 2019 and 69.8% in 2020.</w:t>
      </w:r>
    </w:p>
    <w:p>
      <w:pPr>
        <w:spacing w:after="0" w:line="116" w:lineRule="exact"/>
        <w:rPr>
          <w:rFonts w:ascii="Arial" w:cs="Arial" w:eastAsia="Arial" w:hAnsi="Arial"/>
          <w:sz w:val="18"/>
          <w:szCs w:val="18"/>
          <w:color w:val="auto"/>
          <w:vertAlign w:val="superscript"/>
        </w:rPr>
      </w:pPr>
    </w:p>
    <w:p>
      <w:pPr>
        <w:ind w:left="200" w:right="420" w:hanging="192"/>
        <w:spacing w:after="0" w:line="215" w:lineRule="auto"/>
        <w:tabs>
          <w:tab w:leader="none" w:pos="191"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spacing w:after="0" w:line="91"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For time charters that include an operating cost component, revenue calculations include an estimate of the amount of that operating cost component.</w:t>
      </w:r>
    </w:p>
    <w:p>
      <w:pPr>
        <w:spacing w:after="0" w:line="90"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Revenue calculations assume no exercise of any option to extend the terms of the charters.</w:t>
      </w:r>
    </w:p>
    <w:p>
      <w:pPr>
        <w:spacing w:after="0" w:line="90"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w:t>
      </w:r>
    </w:p>
    <w:p>
      <w:pPr>
        <w:spacing w:after="0" w:line="90"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the ships after the expiration of the existing charters (assuming charterers do not exercise any option to extend the terms of the charters).</w:t>
      </w:r>
    </w:p>
    <w:p>
      <w:pPr>
        <w:spacing w:after="0" w:line="124" w:lineRule="exact"/>
        <w:rPr>
          <w:sz w:val="20"/>
          <w:szCs w:val="20"/>
          <w:color w:val="auto"/>
        </w:rPr>
      </w:pPr>
    </w:p>
    <w:p>
      <w:pPr>
        <w:ind w:firstLine="324"/>
        <w:spacing w:after="0" w:line="306" w:lineRule="auto"/>
        <w:rPr>
          <w:sz w:val="20"/>
          <w:szCs w:val="20"/>
          <w:color w:val="auto"/>
        </w:rPr>
      </w:pPr>
      <w:r>
        <w:rPr>
          <w:rFonts w:ascii="Arial" w:cs="Arial" w:eastAsia="Arial" w:hAnsi="Arial"/>
          <w:sz w:val="14"/>
          <w:szCs w:val="14"/>
          <w:color w:val="auto"/>
        </w:rPr>
        <w:t>The table above provides information about our contracted charter revenues and ship utilization based on contracts in effect for the 13 LNG carriers in our fleet as of October 1, 2018.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any revenues from the vessel that is operating in the Cool Pool, any time charter revenues from any additional ships we may acquire in the future, nor does it reflect the options under our time charters that permit our charterers to extend the time charter terms for successive multi-year periods at comparable charter hire rates. The entry into a time charter contract for the vessel operating in the Cool Pool, or the exercise of the options to extend the terms of our existing charters would result in an increase in the number of contracted days and the contracted revenues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February 12, 2018. For these reasons, the contracted charter revenues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160" w:type="dxa"/>
            <w:vAlign w:val="bottom"/>
            <w:gridSpan w:val="5"/>
          </w:tcPr>
          <w:p>
            <w:pPr>
              <w:jc w:val="center"/>
              <w:ind w:right="3480"/>
              <w:spacing w:after="0"/>
              <w:rPr>
                <w:sz w:val="20"/>
                <w:szCs w:val="20"/>
                <w:color w:val="auto"/>
              </w:rPr>
            </w:pPr>
            <w:r>
              <w:rPr>
                <w:rFonts w:ascii="Arial" w:cs="Arial" w:eastAsia="Arial" w:hAnsi="Arial"/>
                <w:sz w:val="16"/>
                <w:szCs w:val="16"/>
                <w:b w:val="1"/>
                <w:bCs w:val="1"/>
                <w:color w:val="auto"/>
                <w:w w:val="98"/>
              </w:rPr>
              <w:t>GASLOG PARTNERS LP</w:t>
            </w:r>
          </w:p>
        </w:tc>
        <w:tc>
          <w:tcPr>
            <w:tcW w:w="820" w:type="dxa"/>
            <w:vAlign w:val="bottom"/>
          </w:tcPr>
          <w:p>
            <w:pPr>
              <w:spacing w:after="0"/>
              <w:rPr>
                <w:sz w:val="18"/>
                <w:szCs w:val="18"/>
                <w:color w:val="auto"/>
              </w:rPr>
            </w:pPr>
          </w:p>
        </w:tc>
      </w:tr>
      <w:tr>
        <w:trPr>
          <w:trHeight w:val="419"/>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20" w:type="dxa"/>
            <w:vAlign w:val="bottom"/>
            <w:gridSpan w:val="6"/>
          </w:tcPr>
          <w:p>
            <w:pPr>
              <w:jc w:val="center"/>
              <w:ind w:left="279"/>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820" w:type="dxa"/>
            <w:vAlign w:val="bottom"/>
          </w:tcPr>
          <w:p>
            <w:pPr>
              <w:spacing w:after="0"/>
              <w:rPr>
                <w:sz w:val="24"/>
                <w:szCs w:val="24"/>
                <w:color w:val="auto"/>
              </w:rPr>
            </w:pPr>
          </w:p>
        </w:tc>
      </w:tr>
      <w:tr>
        <w:trPr>
          <w:trHeight w:val="419"/>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Arial" w:cs="Arial" w:eastAsia="Arial" w:hAnsi="Arial"/>
                <w:sz w:val="16"/>
                <w:szCs w:val="16"/>
                <w:b w:val="1"/>
                <w:bCs w:val="1"/>
                <w:color w:val="auto"/>
              </w:rPr>
              <w:t>Page</w:t>
            </w:r>
          </w:p>
        </w:tc>
      </w:tr>
      <w:tr>
        <w:trPr>
          <w:trHeight w:val="222"/>
        </w:trPr>
        <w:tc>
          <w:tcPr>
            <w:tcW w:w="7620" w:type="dxa"/>
            <w:vAlign w:val="bottom"/>
            <w:tcBorders>
              <w:bottom w:val="single" w:sz="8" w:color="0000EE"/>
            </w:tcBorders>
            <w:gridSpan w:val="5"/>
          </w:tcPr>
          <w:p>
            <w:pPr>
              <w:spacing w:after="0"/>
              <w:rPr>
                <w:rFonts w:ascii="Arial" w:cs="Arial" w:eastAsia="Arial" w:hAnsi="Arial"/>
                <w:sz w:val="16"/>
                <w:szCs w:val="16"/>
                <w:color w:val="0000EE"/>
                <w:w w:val="90"/>
              </w:rPr>
            </w:pPr>
            <w:hyperlink w:anchor="page26">
              <w:r>
                <w:rPr>
                  <w:rFonts w:ascii="Arial" w:cs="Arial" w:eastAsia="Arial" w:hAnsi="Arial"/>
                  <w:sz w:val="16"/>
                  <w:szCs w:val="16"/>
                  <w:color w:val="0000EE"/>
                  <w:w w:val="90"/>
                </w:rPr>
                <w:t>Unaudited condensed consolidated statements of financial position as of December 31, 2017 and September 30, 2018</w:t>
              </w:r>
            </w:hyperlink>
          </w:p>
        </w:tc>
        <w:tc>
          <w:tcPr>
            <w:tcW w:w="2920" w:type="dxa"/>
            <w:vAlign w:val="bottom"/>
            <w:gridSpan w:val="3"/>
          </w:tcPr>
          <w:p>
            <w:pPr>
              <w:spacing w:after="0"/>
              <w:rPr>
                <w:sz w:val="19"/>
                <w:szCs w:val="19"/>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w w:val="83"/>
              </w:rPr>
              <w:t>F-2</w:t>
            </w:r>
          </w:p>
        </w:tc>
      </w:tr>
      <w:tr>
        <w:trPr>
          <w:trHeight w:val="237"/>
        </w:trPr>
        <w:tc>
          <w:tcPr>
            <w:tcW w:w="10540" w:type="dxa"/>
            <w:vAlign w:val="bottom"/>
            <w:gridSpan w:val="8"/>
          </w:tcPr>
          <w:p>
            <w:pPr>
              <w:spacing w:after="0"/>
              <w:rPr>
                <w:rFonts w:ascii="Arial" w:cs="Arial" w:eastAsia="Arial" w:hAnsi="Arial"/>
                <w:sz w:val="16"/>
                <w:szCs w:val="16"/>
                <w:color w:val="0000EE"/>
                <w:w w:val="93"/>
              </w:rPr>
            </w:pPr>
            <w:hyperlink w:anchor="page27">
              <w:r>
                <w:rPr>
                  <w:rFonts w:ascii="Arial" w:cs="Arial" w:eastAsia="Arial" w:hAnsi="Arial"/>
                  <w:sz w:val="16"/>
                  <w:szCs w:val="16"/>
                  <w:color w:val="0000EE"/>
                  <w:w w:val="93"/>
                </w:rPr>
                <w:t>Unaudited condensed consolidated statements of profit or loss and total comprehensive income for the three and nine months ended September 30, 2017 and</w:t>
              </w:r>
            </w:hyperlink>
          </w:p>
        </w:tc>
        <w:tc>
          <w:tcPr>
            <w:tcW w:w="820" w:type="dxa"/>
            <w:vAlign w:val="bottom"/>
          </w:tcPr>
          <w:p>
            <w:pPr>
              <w:spacing w:after="0"/>
              <w:rPr>
                <w:sz w:val="20"/>
                <w:szCs w:val="20"/>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40" w:type="dxa"/>
            <w:vAlign w:val="bottom"/>
            <w:tcBorders>
              <w:top w:val="single" w:sz="8" w:color="0000EE"/>
              <w:bottom w:val="single" w:sz="8" w:color="0000EE"/>
            </w:tcBorders>
          </w:tcPr>
          <w:p>
            <w:pPr>
              <w:jc w:val="right"/>
              <w:spacing w:after="0" w:line="183" w:lineRule="exact"/>
              <w:rPr>
                <w:rFonts w:ascii="Arial" w:cs="Arial" w:eastAsia="Arial" w:hAnsi="Arial"/>
                <w:sz w:val="16"/>
                <w:szCs w:val="16"/>
                <w:color w:val="0000EE"/>
                <w:w w:val="89"/>
              </w:rPr>
            </w:pPr>
            <w:hyperlink w:anchor="page27">
              <w:r>
                <w:rPr>
                  <w:rFonts w:ascii="Arial" w:cs="Arial" w:eastAsia="Arial" w:hAnsi="Arial"/>
                  <w:sz w:val="16"/>
                  <w:szCs w:val="16"/>
                  <w:color w:val="0000EE"/>
                  <w:w w:val="89"/>
                </w:rPr>
                <w:t>2018</w:t>
              </w:r>
            </w:hyperlink>
          </w:p>
        </w:tc>
        <w:tc>
          <w:tcPr>
            <w:tcW w:w="3860" w:type="dxa"/>
            <w:vAlign w:val="bottom"/>
            <w:tcBorders>
              <w:top w:val="single" w:sz="8" w:color="0000EE"/>
            </w:tcBorders>
          </w:tcPr>
          <w:p>
            <w:pPr>
              <w:spacing w:after="0"/>
              <w:rPr>
                <w:sz w:val="15"/>
                <w:szCs w:val="15"/>
                <w:color w:val="auto"/>
              </w:rPr>
            </w:pPr>
          </w:p>
        </w:tc>
        <w:tc>
          <w:tcPr>
            <w:tcW w:w="3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ind w:left="600"/>
              <w:spacing w:after="0" w:line="183" w:lineRule="exact"/>
              <w:rPr>
                <w:sz w:val="20"/>
                <w:szCs w:val="20"/>
                <w:color w:val="auto"/>
              </w:rPr>
            </w:pPr>
            <w:r>
              <w:rPr>
                <w:rFonts w:ascii="Arial" w:cs="Arial" w:eastAsia="Arial" w:hAnsi="Arial"/>
                <w:sz w:val="16"/>
                <w:szCs w:val="16"/>
                <w:color w:val="auto"/>
                <w:w w:val="83"/>
              </w:rPr>
              <w:t>F-3</w:t>
            </w:r>
          </w:p>
        </w:tc>
      </w:tr>
      <w:tr>
        <w:trPr>
          <w:trHeight w:val="237"/>
        </w:trPr>
        <w:tc>
          <w:tcPr>
            <w:tcW w:w="924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27">
              <w:r>
                <w:rPr>
                  <w:rFonts w:ascii="Arial" w:cs="Arial" w:eastAsia="Arial" w:hAnsi="Arial"/>
                  <w:sz w:val="16"/>
                  <w:szCs w:val="16"/>
                  <w:color w:val="0000EE"/>
                  <w:w w:val="90"/>
                </w:rPr>
                <w:t>Unaudited condensed consolidated statements of changes in owners’/partners’ equity for the nine months ended September 30, 2017 and 2018</w:t>
              </w:r>
            </w:hyperlink>
          </w:p>
        </w:tc>
        <w:tc>
          <w:tcPr>
            <w:tcW w:w="1300" w:type="dxa"/>
            <w:vAlign w:val="bottom"/>
            <w:gridSpan w:val="2"/>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w w:val="83"/>
              </w:rPr>
              <w:t>F-4</w:t>
            </w:r>
          </w:p>
        </w:tc>
      </w:tr>
      <w:tr>
        <w:trPr>
          <w:trHeight w:val="237"/>
        </w:trPr>
        <w:tc>
          <w:tcPr>
            <w:tcW w:w="10540" w:type="dxa"/>
            <w:vAlign w:val="bottom"/>
            <w:gridSpan w:val="8"/>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Unaudited condensed consolidated statements of cash flows for the nine months ended September 30, 2017 and 2018</w:t>
              </w:r>
            </w:hyperlink>
          </w:p>
        </w:tc>
        <w:tc>
          <w:tcPr>
            <w:tcW w:w="820" w:type="dxa"/>
            <w:vAlign w:val="bottom"/>
          </w:tcPr>
          <w:p>
            <w:pPr>
              <w:ind w:left="600"/>
              <w:spacing w:after="0"/>
              <w:rPr>
                <w:sz w:val="20"/>
                <w:szCs w:val="20"/>
                <w:color w:val="auto"/>
              </w:rPr>
            </w:pPr>
            <w:r>
              <w:rPr>
                <w:rFonts w:ascii="Arial" w:cs="Arial" w:eastAsia="Arial" w:hAnsi="Arial"/>
                <w:sz w:val="16"/>
                <w:szCs w:val="16"/>
                <w:color w:val="auto"/>
                <w:w w:val="83"/>
              </w:rPr>
              <w:t>F-5</w:t>
            </w:r>
          </w:p>
        </w:tc>
      </w:tr>
      <w:tr>
        <w:trPr>
          <w:trHeight w:val="237"/>
        </w:trPr>
        <w:tc>
          <w:tcPr>
            <w:tcW w:w="7600" w:type="dxa"/>
            <w:vAlign w:val="bottom"/>
            <w:tcBorders>
              <w:top w:val="single" w:sz="8" w:color="0000EE"/>
            </w:tcBorders>
            <w:gridSpan w:val="4"/>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Notes to the unaudited condensed consolidated financial statements</w:t>
              </w:r>
            </w:hyperlink>
          </w:p>
        </w:tc>
        <w:tc>
          <w:tcPr>
            <w:tcW w:w="2940" w:type="dxa"/>
            <w:vAlign w:val="bottom"/>
            <w:gridSpan w:val="4"/>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w w:val="83"/>
              </w:rPr>
              <w:t>F-6</w:t>
            </w: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78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b w:val="1"/>
                <w:bCs w:val="1"/>
                <w:color w:val="auto"/>
              </w:rPr>
              <w:t>As of December 31, 2017 and September 30, 2018</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18"/>
                <w:szCs w:val="18"/>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Note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i w:val="1"/>
                <w:iCs w:val="1"/>
                <w:color w:val="auto"/>
                <w:w w:val="89"/>
              </w:rPr>
              <w:t>(restated)</w:t>
            </w:r>
            <w:r>
              <w:rPr>
                <w:rFonts w:ascii="Arial" w:cs="Arial" w:eastAsia="Arial" w:hAnsi="Arial"/>
                <w:sz w:val="17"/>
                <w:szCs w:val="17"/>
                <w:color w:val="auto"/>
                <w:w w:val="89"/>
                <w:vertAlign w:val="superscript"/>
              </w:rPr>
              <w:t>(1)</w:t>
            </w:r>
          </w:p>
        </w:tc>
        <w:tc>
          <w:tcPr>
            <w:tcW w:w="2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8</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6,038</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11,381</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Vessels</w:t>
            </w:r>
          </w:p>
        </w:tc>
        <w:tc>
          <w:tcPr>
            <w:tcW w:w="460" w:type="dxa"/>
            <w:vAlign w:val="bottom"/>
            <w:tcBorders>
              <w:bottom w:val="single" w:sz="8" w:color="E5FFFF"/>
            </w:tcBorders>
          </w:tcPr>
          <w:p>
            <w:pPr>
              <w:jc w:val="center"/>
              <w:spacing w:after="0"/>
              <w:rPr>
                <w:sz w:val="20"/>
                <w:szCs w:val="20"/>
                <w:color w:val="auto"/>
              </w:rPr>
            </w:pPr>
            <w:r>
              <w:rPr>
                <w:rFonts w:ascii="Arial" w:cs="Arial" w:eastAsia="Arial" w:hAnsi="Arial"/>
                <w:sz w:val="16"/>
                <w:szCs w:val="16"/>
                <w:color w:val="auto"/>
                <w:w w:val="89"/>
              </w:rPr>
              <w:t>4</w:t>
            </w:r>
          </w:p>
        </w:tc>
        <w:tc>
          <w:tcPr>
            <w:tcW w:w="240" w:type="dxa"/>
            <w:vAlign w:val="bottom"/>
            <w:tcBorders>
              <w:bottom w:val="single" w:sz="8" w:color="E5FF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2,149,751</w:t>
            </w:r>
          </w:p>
        </w:tc>
        <w:tc>
          <w:tcPr>
            <w:tcW w:w="2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2,124,644</w:t>
            </w:r>
          </w:p>
        </w:tc>
        <w:tc>
          <w:tcPr>
            <w:tcW w:w="0" w:type="dxa"/>
            <w:vAlign w:val="bottom"/>
          </w:tcPr>
          <w:p>
            <w:pPr>
              <w:spacing w:after="0"/>
              <w:rPr>
                <w:sz w:val="1"/>
                <w:szCs w:val="1"/>
                <w:color w:val="auto"/>
              </w:rPr>
            </w:pPr>
          </w:p>
        </w:tc>
      </w:tr>
      <w:tr>
        <w:trPr>
          <w:trHeight w:val="196"/>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2,155,789</w:t>
            </w:r>
          </w:p>
        </w:tc>
        <w:tc>
          <w:tcPr>
            <w:tcW w:w="22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2,136,025</w:t>
            </w:r>
          </w:p>
        </w:tc>
        <w:tc>
          <w:tcPr>
            <w:tcW w:w="0" w:type="dxa"/>
            <w:vAlign w:val="bottom"/>
          </w:tcPr>
          <w:p>
            <w:pPr>
              <w:spacing w:after="0"/>
              <w:rPr>
                <w:sz w:val="1"/>
                <w:szCs w:val="1"/>
                <w:color w:val="auto"/>
              </w:rPr>
            </w:pPr>
          </w:p>
        </w:tc>
      </w:tr>
      <w:tr>
        <w:trPr>
          <w:trHeight w:val="183"/>
        </w:trPr>
        <w:tc>
          <w:tcPr>
            <w:tcW w:w="778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3,755</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7,349</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2,857</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2,826</w:t>
            </w: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Due from related parties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3,712</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1,579</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8</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577</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4,843</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146,721</w:t>
            </w:r>
          </w:p>
        </w:tc>
        <w:tc>
          <w:tcPr>
            <w:tcW w:w="22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168,753</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46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159,201</w:t>
            </w:r>
          </w:p>
        </w:tc>
        <w:tc>
          <w:tcPr>
            <w:tcW w:w="2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197,321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46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2,314,990</w:t>
            </w:r>
          </w:p>
        </w:tc>
        <w:tc>
          <w:tcPr>
            <w:tcW w:w="22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2,333,346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Owners’ capital</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53,354</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w w:val="99"/>
              </w:rPr>
              <w:t>Common unitholders (41,002,121 units issued and outstanding as of December 31, 2017 and 45,189,889 units</w:t>
            </w:r>
          </w:p>
        </w:tc>
        <w:tc>
          <w:tcPr>
            <w:tcW w:w="46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issued and outstanding as of September 30, 2018)</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shd w:val="clear" w:color="auto" w:fill="E5FFFF"/>
          </w:tcPr>
          <w:p>
            <w:pPr>
              <w:spacing w:after="0"/>
              <w:rPr>
                <w:sz w:val="18"/>
                <w:szCs w:val="18"/>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752,456</w:t>
            </w:r>
          </w:p>
        </w:tc>
        <w:tc>
          <w:tcPr>
            <w:tcW w:w="22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840,606</w:t>
            </w:r>
          </w:p>
        </w:tc>
        <w:tc>
          <w:tcPr>
            <w:tcW w:w="0" w:type="dxa"/>
            <w:vAlign w:val="bottom"/>
          </w:tcPr>
          <w:p>
            <w:pPr>
              <w:spacing w:after="0"/>
              <w:rPr>
                <w:sz w:val="1"/>
                <w:szCs w:val="1"/>
                <w:color w:val="auto"/>
              </w:rPr>
            </w:pPr>
          </w:p>
        </w:tc>
      </w:tr>
      <w:tr>
        <w:trPr>
          <w:trHeight w:val="193"/>
        </w:trPr>
        <w:tc>
          <w:tcPr>
            <w:tcW w:w="7780" w:type="dxa"/>
            <w:vAlign w:val="bottom"/>
          </w:tcPr>
          <w:p>
            <w:pPr>
              <w:spacing w:after="0"/>
              <w:rPr>
                <w:sz w:val="20"/>
                <w:szCs w:val="20"/>
                <w:color w:val="auto"/>
              </w:rPr>
            </w:pPr>
            <w:r>
              <w:rPr>
                <w:rFonts w:ascii="Arial" w:cs="Arial" w:eastAsia="Arial" w:hAnsi="Arial"/>
                <w:sz w:val="16"/>
                <w:szCs w:val="16"/>
                <w:color w:val="auto"/>
                <w:w w:val="98"/>
              </w:rPr>
              <w:t>General partner (836,779 units issued and outstanding as of December 31, 2017 and 922,244 units issued and</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160"/>
              <w:spacing w:after="0"/>
              <w:rPr>
                <w:sz w:val="20"/>
                <w:szCs w:val="20"/>
                <w:color w:val="auto"/>
              </w:rPr>
            </w:pPr>
            <w:r>
              <w:rPr>
                <w:rFonts w:ascii="Arial" w:cs="Arial" w:eastAsia="Arial" w:hAnsi="Arial"/>
                <w:sz w:val="16"/>
                <w:szCs w:val="16"/>
                <w:color w:val="auto"/>
              </w:rPr>
              <w:t>outstanding as of September 30, 2018)</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11,781</w:t>
            </w:r>
          </w:p>
        </w:tc>
        <w:tc>
          <w:tcPr>
            <w:tcW w:w="1320" w:type="dxa"/>
            <w:vAlign w:val="bottom"/>
          </w:tcPr>
          <w:p>
            <w:pPr>
              <w:jc w:val="right"/>
              <w:spacing w:after="0"/>
              <w:rPr>
                <w:sz w:val="20"/>
                <w:szCs w:val="20"/>
                <w:color w:val="auto"/>
              </w:rPr>
            </w:pPr>
            <w:r>
              <w:rPr>
                <w:rFonts w:ascii="Arial" w:cs="Arial" w:eastAsia="Arial" w:hAnsi="Arial"/>
                <w:sz w:val="16"/>
                <w:szCs w:val="16"/>
                <w:color w:val="auto"/>
              </w:rPr>
              <w:t>13,246</w:t>
            </w:r>
          </w:p>
        </w:tc>
        <w:tc>
          <w:tcPr>
            <w:tcW w:w="0" w:type="dxa"/>
            <w:vAlign w:val="bottom"/>
          </w:tcPr>
          <w:p>
            <w:pPr>
              <w:spacing w:after="0"/>
              <w:rPr>
                <w:sz w:val="1"/>
                <w:szCs w:val="1"/>
                <w:color w:val="auto"/>
              </w:rPr>
            </w:pPr>
          </w:p>
        </w:tc>
      </w:tr>
      <w:tr>
        <w:trPr>
          <w:trHeight w:val="209"/>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Incentive distribution rights (“IDRs”)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shd w:val="clear" w:color="auto" w:fill="E5FFFF"/>
          </w:tcPr>
          <w:p>
            <w:pPr>
              <w:spacing w:after="0"/>
              <w:rPr>
                <w:sz w:val="18"/>
                <w:szCs w:val="18"/>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6,596</w:t>
            </w:r>
          </w:p>
        </w:tc>
        <w:tc>
          <w:tcPr>
            <w:tcW w:w="22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6,290</w:t>
            </w:r>
          </w:p>
        </w:tc>
        <w:tc>
          <w:tcPr>
            <w:tcW w:w="0" w:type="dxa"/>
            <w:vAlign w:val="bottom"/>
          </w:tcPr>
          <w:p>
            <w:pPr>
              <w:spacing w:after="0"/>
              <w:rPr>
                <w:sz w:val="1"/>
                <w:szCs w:val="1"/>
                <w:color w:val="auto"/>
              </w:rPr>
            </w:pPr>
          </w:p>
        </w:tc>
      </w:tr>
      <w:tr>
        <w:trPr>
          <w:trHeight w:val="193"/>
        </w:trPr>
        <w:tc>
          <w:tcPr>
            <w:tcW w:w="7780" w:type="dxa"/>
            <w:vAlign w:val="bottom"/>
          </w:tcPr>
          <w:p>
            <w:pPr>
              <w:spacing w:after="0"/>
              <w:rPr>
                <w:sz w:val="20"/>
                <w:szCs w:val="20"/>
                <w:color w:val="auto"/>
              </w:rPr>
            </w:pPr>
            <w:r>
              <w:rPr>
                <w:rFonts w:ascii="Arial" w:cs="Arial" w:eastAsia="Arial" w:hAnsi="Arial"/>
                <w:sz w:val="16"/>
                <w:szCs w:val="16"/>
                <w:color w:val="auto"/>
                <w:w w:val="95"/>
              </w:rPr>
              <w:t>Preference unitholders (5,750,000 Series A Preference Units issued and outstanding as of December 31, 2017 and</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160"/>
              <w:spacing w:after="0"/>
              <w:rPr>
                <w:sz w:val="20"/>
                <w:szCs w:val="20"/>
                <w:color w:val="auto"/>
              </w:rPr>
            </w:pPr>
            <w:r>
              <w:rPr>
                <w:rFonts w:ascii="Arial" w:cs="Arial" w:eastAsia="Arial" w:hAnsi="Arial"/>
                <w:sz w:val="16"/>
                <w:szCs w:val="16"/>
                <w:color w:val="auto"/>
                <w:w w:val="99"/>
              </w:rPr>
              <w:t>5,750,000 Series A Preference Units and 4,600,000 Series B Preference Units issued and outstanding as of</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tcBorders>
              <w:bottom w:val="single" w:sz="8" w:color="E5FFFF"/>
            </w:tcBorders>
          </w:tcPr>
          <w:p>
            <w:pPr>
              <w:ind w:left="160"/>
              <w:spacing w:after="0"/>
              <w:rPr>
                <w:sz w:val="20"/>
                <w:szCs w:val="20"/>
                <w:color w:val="auto"/>
              </w:rPr>
            </w:pPr>
            <w:r>
              <w:rPr>
                <w:rFonts w:ascii="Arial" w:cs="Arial" w:eastAsia="Arial" w:hAnsi="Arial"/>
                <w:sz w:val="16"/>
                <w:szCs w:val="16"/>
                <w:color w:val="auto"/>
              </w:rPr>
              <w:t>September 30, 2018)</w:t>
            </w:r>
          </w:p>
        </w:tc>
        <w:tc>
          <w:tcPr>
            <w:tcW w:w="460" w:type="dxa"/>
            <w:vAlign w:val="bottom"/>
            <w:tcBorders>
              <w:bottom w:val="single" w:sz="8" w:color="E5FFFF"/>
            </w:tcBorders>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tcBorders>
              <w:bottom w:val="single" w:sz="8" w:color="E5FF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139,321</w:t>
            </w:r>
          </w:p>
        </w:tc>
        <w:tc>
          <w:tcPr>
            <w:tcW w:w="2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250,934</w:t>
            </w:r>
          </w:p>
        </w:tc>
        <w:tc>
          <w:tcPr>
            <w:tcW w:w="0" w:type="dxa"/>
            <w:vAlign w:val="bottom"/>
          </w:tcPr>
          <w:p>
            <w:pPr>
              <w:spacing w:after="0"/>
              <w:rPr>
                <w:sz w:val="1"/>
                <w:szCs w:val="1"/>
                <w:color w:val="auto"/>
              </w:rPr>
            </w:pPr>
          </w:p>
        </w:tc>
      </w:tr>
      <w:tr>
        <w:trPr>
          <w:trHeight w:val="202"/>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partners’ equity</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963,508</w:t>
            </w:r>
          </w:p>
        </w:tc>
        <w:tc>
          <w:tcPr>
            <w:tcW w:w="22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1,111,076</w:t>
            </w:r>
          </w:p>
        </w:tc>
        <w:tc>
          <w:tcPr>
            <w:tcW w:w="0" w:type="dxa"/>
            <w:vAlign w:val="bottom"/>
          </w:tcPr>
          <w:p>
            <w:pPr>
              <w:spacing w:after="0"/>
              <w:rPr>
                <w:sz w:val="1"/>
                <w:szCs w:val="1"/>
                <w:color w:val="auto"/>
              </w:rPr>
            </w:pPr>
          </w:p>
        </w:tc>
      </w:tr>
      <w:tr>
        <w:trPr>
          <w:trHeight w:val="183"/>
        </w:trPr>
        <w:tc>
          <w:tcPr>
            <w:tcW w:w="7780" w:type="dxa"/>
            <w:vAlign w:val="bottom"/>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4,785</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11,938</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Due to related parties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2,613</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3,678</w:t>
            </w: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8</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269</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43,000</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48,988</w:t>
            </w: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Borrowings—current portion</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4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114,570</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85,033</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46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165,237</w:t>
            </w:r>
          </w:p>
        </w:tc>
        <w:tc>
          <w:tcPr>
            <w:tcW w:w="22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150,344</w:t>
            </w:r>
          </w:p>
        </w:tc>
        <w:tc>
          <w:tcPr>
            <w:tcW w:w="0" w:type="dxa"/>
            <w:vAlign w:val="bottom"/>
          </w:tcPr>
          <w:p>
            <w:pPr>
              <w:spacing w:after="0"/>
              <w:rPr>
                <w:sz w:val="1"/>
                <w:szCs w:val="1"/>
                <w:color w:val="auto"/>
              </w:rPr>
            </w:pPr>
          </w:p>
        </w:tc>
      </w:tr>
      <w:tr>
        <w:trPr>
          <w:trHeight w:val="183"/>
        </w:trPr>
        <w:tc>
          <w:tcPr>
            <w:tcW w:w="778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46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3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2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Borrowings—non-current portion</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1,185,995</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1,071,568</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Other non-current liabilities</w:t>
            </w:r>
          </w:p>
        </w:tc>
        <w:tc>
          <w:tcPr>
            <w:tcW w:w="46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2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196"/>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1,186,245</w:t>
            </w:r>
          </w:p>
        </w:tc>
        <w:tc>
          <w:tcPr>
            <w:tcW w:w="22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1,071,926</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2,314,990</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2,333,346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ind w:left="320" w:hanging="312"/>
        <w:spacing w:after="0" w:line="215" w:lineRule="auto"/>
        <w:tabs>
          <w:tab w:leader="none" w:pos="3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GAS-fourteen Ltd., acquired on April 26, 2018 from GasLog Ltd. (“GasLog”) (Note 1).</w:t>
      </w:r>
    </w:p>
    <w:p>
      <w:pPr>
        <w:spacing w:after="0" w:line="191" w:lineRule="exact"/>
        <w:rPr>
          <w:rFonts w:ascii="Arial" w:cs="Arial" w:eastAsia="Arial" w:hAnsi="Arial"/>
          <w:sz w:val="18"/>
          <w:szCs w:val="18"/>
          <w:color w:val="auto"/>
          <w:vertAlign w:val="superscript"/>
        </w:rPr>
      </w:pPr>
    </w:p>
    <w:p>
      <w:pPr>
        <w:ind w:left="2180"/>
        <w:spacing w:after="0"/>
        <w:rPr>
          <w:rFonts w:ascii="Arial" w:cs="Arial" w:eastAsia="Arial" w:hAnsi="Arial"/>
          <w:sz w:val="18"/>
          <w:szCs w:val="18"/>
          <w:color w:val="auto"/>
          <w:vertAlign w:val="superscript"/>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26" w:name="page27"/>
    <w:bookmarkEnd w:id="26"/>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ind w:right="4820"/>
        <w:spacing w:after="0" w:line="287" w:lineRule="auto"/>
        <w:rPr>
          <w:sz w:val="20"/>
          <w:szCs w:val="20"/>
          <w:color w:val="auto"/>
        </w:rPr>
      </w:pPr>
      <w:r>
        <w:rPr>
          <w:rFonts w:ascii="Arial" w:cs="Arial" w:eastAsia="Arial" w:hAnsi="Arial"/>
          <w:sz w:val="15"/>
          <w:szCs w:val="15"/>
          <w:b w:val="1"/>
          <w:bCs w:val="1"/>
          <w:color w:val="auto"/>
        </w:rPr>
        <w:t>Unaudited condensed consolidated statements of profit or loss and total comprehensive income For the three and nine months ended September 30, 2017 and 2018</w:t>
      </w: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89"/>
              </w:rPr>
              <w:t>September 30,</w:t>
            </w:r>
          </w:p>
        </w:tc>
        <w:tc>
          <w:tcPr>
            <w:tcW w:w="15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89"/>
              </w:rPr>
              <w:t>September 30,</w:t>
            </w:r>
          </w:p>
        </w:tc>
        <w:tc>
          <w:tcPr>
            <w:tcW w:w="13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Note</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40" w:type="dxa"/>
            <w:vAlign w:val="bottom"/>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139"/>
              <w:spacing w:after="0" w:line="172" w:lineRule="exact"/>
              <w:rPr>
                <w:sz w:val="20"/>
                <w:szCs w:val="20"/>
                <w:color w:val="auto"/>
              </w:rPr>
            </w:pPr>
            <w:r>
              <w:rPr>
                <w:rFonts w:ascii="Arial" w:cs="Arial" w:eastAsia="Arial" w:hAnsi="Arial"/>
                <w:sz w:val="14"/>
                <w:szCs w:val="14"/>
                <w:i w:val="1"/>
                <w:iCs w:val="1"/>
                <w:color w:val="auto"/>
                <w:w w:val="90"/>
              </w:rPr>
              <w:t xml:space="preserve">(restated) </w:t>
            </w:r>
            <w:r>
              <w:rPr>
                <w:rFonts w:ascii="Arial" w:cs="Arial" w:eastAsia="Arial" w:hAnsi="Arial"/>
                <w:sz w:val="17"/>
                <w:szCs w:val="17"/>
                <w:color w:val="auto"/>
                <w:w w:val="90"/>
                <w:vertAlign w:val="superscript"/>
              </w:rPr>
              <w:t>(1)</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139"/>
              <w:spacing w:after="0" w:line="172" w:lineRule="exact"/>
              <w:rPr>
                <w:sz w:val="20"/>
                <w:szCs w:val="20"/>
                <w:color w:val="auto"/>
              </w:rPr>
            </w:pPr>
            <w:r>
              <w:rPr>
                <w:rFonts w:ascii="Arial" w:cs="Arial" w:eastAsia="Arial" w:hAnsi="Arial"/>
                <w:sz w:val="14"/>
                <w:szCs w:val="14"/>
                <w:i w:val="1"/>
                <w:iCs w:val="1"/>
                <w:color w:val="auto"/>
                <w:w w:val="90"/>
              </w:rPr>
              <w:t xml:space="preserve">(restated) </w:t>
            </w:r>
            <w:r>
              <w:rPr>
                <w:rFonts w:ascii="Arial" w:cs="Arial" w:eastAsia="Arial" w:hAnsi="Arial"/>
                <w:sz w:val="17"/>
                <w:szCs w:val="17"/>
                <w:color w:val="auto"/>
                <w:w w:val="90"/>
                <w:vertAlign w:val="superscript"/>
              </w:rPr>
              <w:t>(1)</w:t>
            </w: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5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86,353</w:t>
            </w:r>
          </w:p>
        </w:tc>
        <w:tc>
          <w:tcPr>
            <w:tcW w:w="24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81,887</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256,235</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243,172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Net pool allocation</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780</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(1,081)</w:t>
            </w:r>
          </w:p>
        </w:tc>
        <w:tc>
          <w:tcPr>
            <w:tcW w:w="15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(3,359)</w:t>
            </w:r>
          </w:p>
        </w:tc>
        <w:tc>
          <w:tcPr>
            <w:tcW w:w="15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(3,209)</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Vessel operating costs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99"/>
              <w:spacing w:after="0"/>
              <w:rPr>
                <w:sz w:val="20"/>
                <w:szCs w:val="20"/>
                <w:color w:val="auto"/>
              </w:rPr>
            </w:pPr>
            <w:r>
              <w:rPr>
                <w:rFonts w:ascii="Arial" w:cs="Arial" w:eastAsia="Arial" w:hAnsi="Arial"/>
                <w:sz w:val="16"/>
                <w:szCs w:val="16"/>
                <w:color w:val="auto"/>
              </w:rPr>
              <w:t>(16,373)</w:t>
            </w: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(15,765)</w:t>
            </w:r>
          </w:p>
        </w:tc>
        <w:tc>
          <w:tcPr>
            <w:tcW w:w="1520" w:type="dxa"/>
            <w:vAlign w:val="bottom"/>
            <w:gridSpan w:val="2"/>
          </w:tcPr>
          <w:p>
            <w:pPr>
              <w:jc w:val="right"/>
              <w:ind w:right="79"/>
              <w:spacing w:after="0"/>
              <w:rPr>
                <w:sz w:val="20"/>
                <w:szCs w:val="20"/>
                <w:color w:val="auto"/>
              </w:rPr>
            </w:pPr>
            <w:r>
              <w:rPr>
                <w:rFonts w:ascii="Arial" w:cs="Arial" w:eastAsia="Arial" w:hAnsi="Arial"/>
                <w:sz w:val="16"/>
                <w:szCs w:val="16"/>
                <w:color w:val="auto"/>
              </w:rPr>
              <w:t>(47,593)</w:t>
            </w:r>
          </w:p>
        </w:tc>
        <w:tc>
          <w:tcPr>
            <w:tcW w:w="1320" w:type="dxa"/>
            <w:vAlign w:val="bottom"/>
          </w:tcPr>
          <w:p>
            <w:pPr>
              <w:jc w:val="right"/>
              <w:spacing w:after="0"/>
              <w:rPr>
                <w:sz w:val="20"/>
                <w:szCs w:val="20"/>
                <w:color w:val="auto"/>
              </w:rPr>
            </w:pPr>
            <w:r>
              <w:rPr>
                <w:rFonts w:ascii="Arial" w:cs="Arial" w:eastAsia="Arial" w:hAnsi="Arial"/>
                <w:sz w:val="16"/>
                <w:szCs w:val="16"/>
                <w:color w:val="auto"/>
              </w:rPr>
              <w:t>(48,178)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5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2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(18,532)</w:t>
            </w:r>
          </w:p>
        </w:tc>
        <w:tc>
          <w:tcPr>
            <w:tcW w:w="15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(18,710)</w:t>
            </w:r>
          </w:p>
        </w:tc>
        <w:tc>
          <w:tcPr>
            <w:tcW w:w="15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(54,996)</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(55,314)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500" w:type="dxa"/>
            <w:vAlign w:val="bottom"/>
          </w:tcPr>
          <w:p>
            <w:pPr>
              <w:jc w:val="center"/>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1560" w:type="dxa"/>
            <w:vAlign w:val="bottom"/>
            <w:gridSpan w:val="2"/>
          </w:tcPr>
          <w:p>
            <w:pPr>
              <w:jc w:val="right"/>
              <w:ind w:right="99"/>
              <w:spacing w:after="0"/>
              <w:rPr>
                <w:sz w:val="20"/>
                <w:szCs w:val="20"/>
                <w:color w:val="auto"/>
              </w:rPr>
            </w:pPr>
            <w:r>
              <w:rPr>
                <w:rFonts w:ascii="Arial" w:cs="Arial" w:eastAsia="Arial" w:hAnsi="Arial"/>
                <w:sz w:val="16"/>
                <w:szCs w:val="16"/>
                <w:color w:val="auto"/>
              </w:rPr>
              <w:t>(3,989)</w:t>
            </w: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(4,693)</w:t>
            </w:r>
          </w:p>
        </w:tc>
        <w:tc>
          <w:tcPr>
            <w:tcW w:w="1520" w:type="dxa"/>
            <w:vAlign w:val="bottom"/>
            <w:gridSpan w:val="2"/>
          </w:tcPr>
          <w:p>
            <w:pPr>
              <w:jc w:val="right"/>
              <w:ind w:right="79"/>
              <w:spacing w:after="0"/>
              <w:rPr>
                <w:sz w:val="20"/>
                <w:szCs w:val="20"/>
                <w:color w:val="auto"/>
              </w:rPr>
            </w:pPr>
            <w:r>
              <w:rPr>
                <w:rFonts w:ascii="Arial" w:cs="Arial" w:eastAsia="Arial" w:hAnsi="Arial"/>
                <w:sz w:val="16"/>
                <w:szCs w:val="16"/>
                <w:color w:val="auto"/>
              </w:rPr>
              <w:t>(11,067)</w:t>
            </w:r>
          </w:p>
        </w:tc>
        <w:tc>
          <w:tcPr>
            <w:tcW w:w="1320" w:type="dxa"/>
            <w:vAlign w:val="bottom"/>
          </w:tcPr>
          <w:p>
            <w:pPr>
              <w:jc w:val="right"/>
              <w:spacing w:after="0"/>
              <w:rPr>
                <w:sz w:val="20"/>
                <w:szCs w:val="20"/>
                <w:color w:val="auto"/>
              </w:rPr>
            </w:pPr>
            <w:r>
              <w:rPr>
                <w:rFonts w:ascii="Arial" w:cs="Arial" w:eastAsia="Arial" w:hAnsi="Arial"/>
                <w:sz w:val="16"/>
                <w:szCs w:val="16"/>
                <w:color w:val="auto"/>
              </w:rPr>
              <w:t>(14,074)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5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46,378</w:t>
            </w:r>
          </w:p>
        </w:tc>
        <w:tc>
          <w:tcPr>
            <w:tcW w:w="24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40,140</w:t>
            </w:r>
          </w:p>
        </w:tc>
        <w:tc>
          <w:tcPr>
            <w:tcW w:w="2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139,370</w:t>
            </w: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119,987</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Financial costs</w:t>
            </w:r>
          </w:p>
        </w:tc>
        <w:tc>
          <w:tcPr>
            <w:tcW w:w="50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(15,020</w:t>
            </w:r>
          </w:p>
        </w:tc>
        <w:tc>
          <w:tcPr>
            <w:tcW w:w="240" w:type="dxa"/>
            <w:vAlign w:val="bottom"/>
          </w:tcPr>
          <w:p>
            <w:pPr>
              <w:jc w:val="right"/>
              <w:ind w:right="99"/>
              <w:spacing w:after="0"/>
              <w:rPr>
                <w:sz w:val="20"/>
                <w:szCs w:val="20"/>
                <w:color w:val="auto"/>
              </w:rPr>
            </w:pPr>
            <w:r>
              <w:rPr>
                <w:rFonts w:ascii="Arial" w:cs="Arial" w:eastAsia="Arial" w:hAnsi="Arial"/>
                <w:sz w:val="16"/>
                <w:szCs w:val="16"/>
                <w:color w:val="auto"/>
                <w:w w:val="74"/>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(15,533</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(44,086)</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(45,826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321</w:t>
            </w:r>
          </w:p>
        </w:tc>
        <w:tc>
          <w:tcPr>
            <w:tcW w:w="24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581</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694</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(Loss)/gain on derivatives</w:t>
            </w:r>
          </w:p>
        </w:tc>
        <w:tc>
          <w:tcPr>
            <w:tcW w:w="50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220" w:type="dxa"/>
            <w:vAlign w:val="bottom"/>
          </w:tcPr>
          <w:p>
            <w:pPr>
              <w:spacing w:after="0"/>
              <w:rPr>
                <w:sz w:val="17"/>
                <w:szCs w:val="17"/>
                <w:color w:val="auto"/>
              </w:rPr>
            </w:pPr>
          </w:p>
        </w:tc>
        <w:tc>
          <w:tcPr>
            <w:tcW w:w="1560" w:type="dxa"/>
            <w:vAlign w:val="bottom"/>
            <w:gridSpan w:val="2"/>
          </w:tcPr>
          <w:p>
            <w:pPr>
              <w:jc w:val="right"/>
              <w:ind w:right="99"/>
              <w:spacing w:after="0"/>
              <w:rPr>
                <w:sz w:val="20"/>
                <w:szCs w:val="20"/>
                <w:color w:val="auto"/>
              </w:rPr>
            </w:pPr>
            <w:r>
              <w:rPr>
                <w:rFonts w:ascii="Arial" w:cs="Arial" w:eastAsia="Arial" w:hAnsi="Arial"/>
                <w:sz w:val="16"/>
                <w:szCs w:val="16"/>
                <w:color w:val="auto"/>
              </w:rPr>
              <w:t>(672)</w:t>
            </w: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2,082</w:t>
            </w:r>
          </w:p>
        </w:tc>
        <w:tc>
          <w:tcPr>
            <w:tcW w:w="1520" w:type="dxa"/>
            <w:vAlign w:val="bottom"/>
            <w:gridSpan w:val="2"/>
          </w:tcPr>
          <w:p>
            <w:pPr>
              <w:jc w:val="right"/>
              <w:ind w:right="79"/>
              <w:spacing w:after="0"/>
              <w:rPr>
                <w:sz w:val="20"/>
                <w:szCs w:val="20"/>
                <w:color w:val="auto"/>
              </w:rPr>
            </w:pPr>
            <w:r>
              <w:rPr>
                <w:rFonts w:ascii="Arial" w:cs="Arial" w:eastAsia="Arial" w:hAnsi="Arial"/>
                <w:sz w:val="16"/>
                <w:szCs w:val="16"/>
                <w:color w:val="auto"/>
              </w:rPr>
              <w:t>(2,985)</w:t>
            </w:r>
          </w:p>
        </w:tc>
        <w:tc>
          <w:tcPr>
            <w:tcW w:w="1320" w:type="dxa"/>
            <w:vAlign w:val="bottom"/>
          </w:tcPr>
          <w:p>
            <w:pPr>
              <w:jc w:val="right"/>
              <w:spacing w:after="0"/>
              <w:rPr>
                <w:sz w:val="20"/>
                <w:szCs w:val="20"/>
                <w:color w:val="auto"/>
              </w:rPr>
            </w:pPr>
            <w:r>
              <w:rPr>
                <w:rFonts w:ascii="Arial" w:cs="Arial" w:eastAsia="Arial" w:hAnsi="Arial"/>
                <w:sz w:val="16"/>
                <w:szCs w:val="16"/>
                <w:color w:val="auto"/>
              </w:rPr>
              <w:t>9,997</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5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(15,371</w:t>
            </w:r>
          </w:p>
        </w:tc>
        <w:tc>
          <w:tcPr>
            <w:tcW w:w="240" w:type="dxa"/>
            <w:vAlign w:val="bottom"/>
            <w:tcBorders>
              <w:top w:val="single" w:sz="8" w:color="E5FFFF"/>
            </w:tcBorders>
            <w:shd w:val="clear" w:color="auto" w:fill="E5FFFF"/>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(12,870</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(46,377</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(34,141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31,007</w:t>
            </w:r>
          </w:p>
        </w:tc>
        <w:tc>
          <w:tcPr>
            <w:tcW w:w="24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92,993</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85,846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attributable to the Partnership, basic and</w:t>
            </w:r>
          </w:p>
        </w:tc>
        <w:tc>
          <w:tcPr>
            <w:tcW w:w="5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5FFFF"/>
          </w:tcPr>
          <w:p>
            <w:pPr>
              <w:ind w:left="140"/>
              <w:spacing w:after="0"/>
              <w:rPr>
                <w:sz w:val="20"/>
                <w:szCs w:val="20"/>
                <w:color w:val="auto"/>
              </w:rPr>
            </w:pPr>
            <w:r>
              <w:rPr>
                <w:rFonts w:ascii="Arial" w:cs="Arial" w:eastAsia="Arial" w:hAnsi="Arial"/>
                <w:sz w:val="16"/>
                <w:szCs w:val="16"/>
                <w:b w:val="1"/>
                <w:bCs w:val="1"/>
                <w:color w:val="auto"/>
              </w:rPr>
              <w:t>diluted:</w:t>
            </w:r>
          </w:p>
        </w:tc>
        <w:tc>
          <w:tcPr>
            <w:tcW w:w="50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14</w:t>
            </w:r>
          </w:p>
        </w:tc>
        <w:tc>
          <w:tcPr>
            <w:tcW w:w="22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Common unit</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0.53</w:t>
            </w:r>
          </w:p>
        </w:tc>
        <w:tc>
          <w:tcPr>
            <w:tcW w:w="240" w:type="dxa"/>
            <w:vAlign w:val="bottom"/>
          </w:tcPr>
          <w:p>
            <w:pPr>
              <w:spacing w:after="0"/>
              <w:rPr>
                <w:sz w:val="17"/>
                <w:szCs w:val="17"/>
                <w:color w:val="auto"/>
              </w:rPr>
            </w:pP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0.49</w:t>
            </w:r>
          </w:p>
        </w:tc>
        <w:tc>
          <w:tcPr>
            <w:tcW w:w="1300" w:type="dxa"/>
            <w:vAlign w:val="bottom"/>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Subordinated unit</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N/A</w:t>
            </w:r>
          </w:p>
        </w:tc>
        <w:tc>
          <w:tcPr>
            <w:tcW w:w="15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0.52</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General partner unit</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0.56</w:t>
            </w:r>
          </w:p>
        </w:tc>
        <w:tc>
          <w:tcPr>
            <w:tcW w:w="240" w:type="dxa"/>
            <w:vAlign w:val="bottom"/>
          </w:tcPr>
          <w:p>
            <w:pPr>
              <w:spacing w:after="0"/>
              <w:rPr>
                <w:sz w:val="17"/>
                <w:szCs w:val="17"/>
                <w:color w:val="auto"/>
              </w:rPr>
            </w:pP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0.50</w:t>
            </w:r>
          </w:p>
        </w:tc>
        <w:tc>
          <w:tcPr>
            <w:tcW w:w="1300" w:type="dxa"/>
            <w:vAlign w:val="bottom"/>
          </w:tcPr>
          <w:p>
            <w:pPr>
              <w:jc w:val="right"/>
              <w:spacing w:after="0"/>
              <w:rPr>
                <w:sz w:val="20"/>
                <w:szCs w:val="20"/>
                <w:color w:val="auto"/>
              </w:rPr>
            </w:pPr>
            <w:r>
              <w:rPr>
                <w:rFonts w:ascii="Arial" w:cs="Arial" w:eastAsia="Arial" w:hAnsi="Arial"/>
                <w:sz w:val="16"/>
                <w:szCs w:val="16"/>
                <w:color w:val="auto"/>
              </w:rPr>
              <w:t>1.57</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Restated so as to reflect the historical financial statements of GAS-eight Ltd. and GAS-fourteen Ltd., acquired on October 20, 2017 and April 26, 2018, respectively, from GasLog (Note 1).</w:t>
      </w:r>
    </w:p>
    <w:p>
      <w:pPr>
        <w:spacing w:after="0" w:line="191" w:lineRule="exact"/>
        <w:rPr>
          <w:rFonts w:ascii="Arial" w:cs="Arial" w:eastAsia="Arial" w:hAnsi="Arial"/>
          <w:sz w:val="16"/>
          <w:szCs w:val="16"/>
          <w:color w:val="auto"/>
          <w:vertAlign w:val="superscript"/>
        </w:rPr>
      </w:pPr>
    </w:p>
    <w:p>
      <w:pPr>
        <w:ind w:left="2180"/>
        <w:spacing w:after="0"/>
        <w:rPr>
          <w:rFonts w:ascii="Arial" w:cs="Arial" w:eastAsia="Arial" w:hAnsi="Arial"/>
          <w:sz w:val="16"/>
          <w:szCs w:val="16"/>
          <w:color w:val="auto"/>
          <w:vertAlign w:val="superscript"/>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ind w:right="5480"/>
        <w:spacing w:after="0" w:line="287" w:lineRule="auto"/>
        <w:rPr>
          <w:sz w:val="20"/>
          <w:szCs w:val="20"/>
          <w:color w:val="auto"/>
        </w:rPr>
      </w:pPr>
      <w:r>
        <w:rPr>
          <w:rFonts w:ascii="Arial" w:cs="Arial" w:eastAsia="Arial" w:hAnsi="Arial"/>
          <w:sz w:val="15"/>
          <w:szCs w:val="15"/>
          <w:b w:val="1"/>
          <w:bCs w:val="1"/>
          <w:color w:val="auto"/>
        </w:rPr>
        <w:t>Unaudited condensed consolidated statements of changes in owners’/partners’ equity For the nine months ended September 30, 2017 and 2018</w:t>
      </w: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Subordinated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Preference</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Owners’</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General partner</w:t>
            </w:r>
          </w:p>
        </w:tc>
        <w:tc>
          <w:tcPr>
            <w:tcW w:w="170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Common unitholders</w:t>
            </w:r>
          </w:p>
        </w:tc>
        <w:tc>
          <w:tcPr>
            <w:tcW w:w="1660" w:type="dxa"/>
            <w:vAlign w:val="bottom"/>
            <w:gridSpan w:val="4"/>
            <w:vMerge w:val="continue"/>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IDRs</w:t>
            </w:r>
          </w:p>
        </w:tc>
        <w:tc>
          <w:tcPr>
            <w:tcW w:w="1680" w:type="dxa"/>
            <w:vAlign w:val="bottom"/>
            <w:gridSpan w:val="4"/>
            <w:vMerge w:val="continue"/>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Partners’</w:t>
            </w:r>
          </w:p>
        </w:tc>
        <w:tc>
          <w:tcPr>
            <w:tcW w:w="78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16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unitholders</w:t>
            </w:r>
          </w:p>
        </w:tc>
        <w:tc>
          <w:tcPr>
            <w:tcW w:w="680" w:type="dxa"/>
            <w:vAlign w:val="bottom"/>
            <w:gridSpan w:val="2"/>
            <w:vMerge w:val="continue"/>
          </w:tcPr>
          <w:p>
            <w:pPr>
              <w:spacing w:after="0"/>
              <w:rPr>
                <w:sz w:val="14"/>
                <w:szCs w:val="14"/>
                <w:color w:val="auto"/>
              </w:rPr>
            </w:pP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unitholders</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equity</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bottom w:val="single" w:sz="8" w:color="E5FF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bottom w:val="single" w:sz="8" w:color="E5FF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E5FFFF"/>
            </w:tcBorders>
          </w:tcPr>
          <w:p>
            <w:pPr>
              <w:spacing w:after="0"/>
              <w:rPr>
                <w:sz w:val="12"/>
                <w:szCs w:val="12"/>
                <w:color w:val="auto"/>
              </w:rPr>
            </w:pPr>
          </w:p>
        </w:tc>
        <w:tc>
          <w:tcPr>
            <w:tcW w:w="82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bottom w:val="single" w:sz="8" w:color="E5FFFF"/>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E5FF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bottom w:val="single" w:sz="8" w:color="E5FF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E5FF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E5FF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Units</w:t>
            </w:r>
          </w:p>
        </w:tc>
        <w:tc>
          <w:tcPr>
            <w:tcW w:w="100" w:type="dxa"/>
            <w:vAlign w:val="bottom"/>
            <w:tcBorders>
              <w:top w:val="single" w:sz="8" w:color="auto"/>
              <w:bottom w:val="single" w:sz="8" w:color="E5FFFF"/>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E5FFFF"/>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E5FFFF"/>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E5FFFF"/>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740" w:type="dxa"/>
            <w:vAlign w:val="bottom"/>
            <w:shd w:val="clear" w:color="auto" w:fill="E5FFFF"/>
          </w:tcPr>
          <w:p>
            <w:pPr>
              <w:spacing w:after="0" w:line="106" w:lineRule="exact"/>
              <w:rPr>
                <w:sz w:val="20"/>
                <w:szCs w:val="20"/>
                <w:color w:val="auto"/>
              </w:rPr>
            </w:pPr>
            <w:r>
              <w:rPr>
                <w:rFonts w:ascii="Arial" w:cs="Arial" w:eastAsia="Arial" w:hAnsi="Arial"/>
                <w:sz w:val="12"/>
                <w:szCs w:val="12"/>
                <w:b w:val="1"/>
                <w:bCs w:val="1"/>
                <w:color w:val="auto"/>
              </w:rPr>
              <w:t>Balance at January 1,</w:t>
            </w:r>
          </w:p>
        </w:tc>
        <w:tc>
          <w:tcPr>
            <w:tcW w:w="7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701,933</w:t>
            </w:r>
          </w:p>
        </w:tc>
        <w:tc>
          <w:tcPr>
            <w:tcW w:w="7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10,095</w:t>
            </w:r>
          </w:p>
        </w:tc>
        <w:tc>
          <w:tcPr>
            <w:tcW w:w="94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24,572,358</w:t>
            </w:r>
          </w:p>
        </w:tc>
        <w:tc>
          <w:tcPr>
            <w:tcW w:w="7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565,408</w:t>
            </w:r>
          </w:p>
        </w:tc>
        <w:tc>
          <w:tcPr>
            <w:tcW w:w="82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9,822,358</w:t>
            </w:r>
          </w:p>
        </w:tc>
        <w:tc>
          <w:tcPr>
            <w:tcW w:w="120" w:type="dxa"/>
            <w:vAlign w:val="bottom"/>
            <w:shd w:val="clear" w:color="auto" w:fill="E5FFFF"/>
          </w:tcPr>
          <w:p>
            <w:pPr>
              <w:spacing w:after="0"/>
              <w:rPr>
                <w:sz w:val="9"/>
                <w:szCs w:val="9"/>
                <w:color w:val="auto"/>
              </w:rPr>
            </w:pPr>
          </w:p>
        </w:tc>
        <w:tc>
          <w:tcPr>
            <w:tcW w:w="72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60,988</w:t>
            </w:r>
          </w:p>
        </w:tc>
        <w:tc>
          <w:tcPr>
            <w:tcW w:w="6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5,878</w:t>
            </w:r>
          </w:p>
        </w:tc>
        <w:tc>
          <w:tcPr>
            <w:tcW w:w="8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68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92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642,369</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196,937</w:t>
            </w:r>
          </w:p>
        </w:tc>
        <w:tc>
          <w:tcPr>
            <w:tcW w:w="6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839,306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shd w:val="clear" w:color="auto" w:fill="E5FFFF"/>
          </w:tcPr>
          <w:p>
            <w:pPr>
              <w:ind w:left="140"/>
              <w:spacing w:after="0" w:line="172" w:lineRule="exact"/>
              <w:rPr>
                <w:sz w:val="20"/>
                <w:szCs w:val="20"/>
                <w:color w:val="auto"/>
              </w:rPr>
            </w:pPr>
            <w:r>
              <w:rPr>
                <w:rFonts w:ascii="Arial" w:cs="Arial" w:eastAsia="Arial" w:hAnsi="Arial"/>
                <w:sz w:val="14"/>
                <w:szCs w:val="14"/>
                <w:b w:val="1"/>
                <w:bCs w:val="1"/>
                <w:color w:val="auto"/>
              </w:rPr>
              <w:t>2017 (as restated</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w:t>
            </w:r>
          </w:p>
        </w:tc>
        <w:tc>
          <w:tcPr>
            <w:tcW w:w="760" w:type="dxa"/>
            <w:vAlign w:val="bottom"/>
            <w:gridSpan w:val="2"/>
            <w:vMerge w:val="continue"/>
            <w:shd w:val="clear" w:color="auto" w:fill="E5FFFF"/>
          </w:tcPr>
          <w:p>
            <w:pPr>
              <w:spacing w:after="0"/>
              <w:rPr>
                <w:sz w:val="14"/>
                <w:szCs w:val="14"/>
                <w:color w:val="auto"/>
              </w:rPr>
            </w:pPr>
          </w:p>
        </w:tc>
        <w:tc>
          <w:tcPr>
            <w:tcW w:w="700" w:type="dxa"/>
            <w:vAlign w:val="bottom"/>
            <w:gridSpan w:val="2"/>
            <w:vMerge w:val="continue"/>
            <w:shd w:val="clear" w:color="auto" w:fill="E5FFFF"/>
          </w:tcPr>
          <w:p>
            <w:pPr>
              <w:spacing w:after="0"/>
              <w:rPr>
                <w:sz w:val="14"/>
                <w:szCs w:val="14"/>
                <w:color w:val="auto"/>
              </w:rPr>
            </w:pPr>
          </w:p>
        </w:tc>
        <w:tc>
          <w:tcPr>
            <w:tcW w:w="940" w:type="dxa"/>
            <w:vAlign w:val="bottom"/>
            <w:gridSpan w:val="2"/>
            <w:vMerge w:val="continue"/>
            <w:shd w:val="clear" w:color="auto" w:fill="E5FFFF"/>
          </w:tcPr>
          <w:p>
            <w:pPr>
              <w:spacing w:after="0"/>
              <w:rPr>
                <w:sz w:val="14"/>
                <w:szCs w:val="14"/>
                <w:color w:val="auto"/>
              </w:rPr>
            </w:pPr>
          </w:p>
        </w:tc>
        <w:tc>
          <w:tcPr>
            <w:tcW w:w="760" w:type="dxa"/>
            <w:vAlign w:val="bottom"/>
            <w:gridSpan w:val="2"/>
            <w:vMerge w:val="continue"/>
            <w:shd w:val="clear" w:color="auto" w:fill="E5FFFF"/>
          </w:tcPr>
          <w:p>
            <w:pPr>
              <w:spacing w:after="0"/>
              <w:rPr>
                <w:sz w:val="14"/>
                <w:szCs w:val="14"/>
                <w:color w:val="auto"/>
              </w:rPr>
            </w:pPr>
          </w:p>
        </w:tc>
        <w:tc>
          <w:tcPr>
            <w:tcW w:w="820" w:type="dxa"/>
            <w:vAlign w:val="bottom"/>
            <w:vMerge w:val="continue"/>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20" w:type="dxa"/>
            <w:vAlign w:val="bottom"/>
            <w:gridSpan w:val="2"/>
            <w:vMerge w:val="continue"/>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680" w:type="dxa"/>
            <w:vAlign w:val="bottom"/>
            <w:vMerge w:val="continue"/>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line="130" w:lineRule="exact"/>
              <w:rPr>
                <w:sz w:val="20"/>
                <w:szCs w:val="20"/>
                <w:color w:val="auto"/>
              </w:rPr>
            </w:pPr>
            <w:r>
              <w:rPr>
                <w:rFonts w:ascii="Arial" w:cs="Arial" w:eastAsia="Arial" w:hAnsi="Arial"/>
                <w:sz w:val="14"/>
                <w:szCs w:val="14"/>
                <w:color w:val="auto"/>
              </w:rPr>
              <w:t>Profit and total</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line="149" w:lineRule="exact"/>
              <w:rPr>
                <w:sz w:val="20"/>
                <w:szCs w:val="20"/>
                <w:color w:val="auto"/>
              </w:rPr>
            </w:pPr>
            <w:r>
              <w:rPr>
                <w:rFonts w:ascii="Arial" w:cs="Arial" w:eastAsia="Arial" w:hAnsi="Arial"/>
                <w:sz w:val="14"/>
                <w:szCs w:val="14"/>
                <w:color w:val="auto"/>
              </w:rPr>
              <w:t>comprehensive income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line="149" w:lineRule="exact"/>
              <w:rPr>
                <w:sz w:val="20"/>
                <w:szCs w:val="20"/>
                <w:color w:val="auto"/>
              </w:rPr>
            </w:pPr>
            <w:r>
              <w:rPr>
                <w:rFonts w:ascii="Arial" w:cs="Arial" w:eastAsia="Arial" w:hAnsi="Arial"/>
                <w:sz w:val="14"/>
                <w:szCs w:val="14"/>
                <w:color w:val="auto"/>
              </w:rPr>
              <w:t>attributable to GasLog’s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tcPr>
          <w:p>
            <w:pPr>
              <w:ind w:left="140"/>
              <w:spacing w:after="0"/>
              <w:rPr>
                <w:sz w:val="20"/>
                <w:szCs w:val="20"/>
                <w:color w:val="auto"/>
              </w:rPr>
            </w:pPr>
            <w:r>
              <w:rPr>
                <w:rFonts w:ascii="Arial" w:cs="Arial" w:eastAsia="Arial" w:hAnsi="Arial"/>
                <w:sz w:val="14"/>
                <w:szCs w:val="14"/>
                <w:color w:val="auto"/>
              </w:rPr>
              <w:t>operations (Note 14)</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27,314</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27,314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Net proceeds from public</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line="149" w:lineRule="exact"/>
              <w:rPr>
                <w:sz w:val="20"/>
                <w:szCs w:val="20"/>
                <w:color w:val="auto"/>
              </w:rPr>
            </w:pPr>
            <w:r>
              <w:rPr>
                <w:rFonts w:ascii="Arial" w:cs="Arial" w:eastAsia="Arial" w:hAnsi="Arial"/>
                <w:sz w:val="14"/>
                <w:szCs w:val="14"/>
                <w:color w:val="auto"/>
              </w:rPr>
              <w:t>offerings and issuances</w:t>
            </w: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line="149" w:lineRule="exact"/>
              <w:rPr>
                <w:sz w:val="20"/>
                <w:szCs w:val="20"/>
                <w:color w:val="auto"/>
              </w:rPr>
            </w:pPr>
            <w:r>
              <w:rPr>
                <w:rFonts w:ascii="Arial" w:cs="Arial" w:eastAsia="Arial" w:hAnsi="Arial"/>
                <w:sz w:val="14"/>
                <w:szCs w:val="14"/>
                <w:color w:val="auto"/>
              </w:rPr>
              <w:t>of common units and</w:t>
            </w: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4"/>
                <w:szCs w:val="14"/>
                <w:color w:val="auto"/>
              </w:rPr>
              <w:t>general partner units</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126,978</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2,719</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6,221,885</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130,927</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133,646</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133,646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line="130" w:lineRule="exact"/>
              <w:rPr>
                <w:sz w:val="20"/>
                <w:szCs w:val="20"/>
                <w:color w:val="auto"/>
              </w:rPr>
            </w:pPr>
            <w:r>
              <w:rPr>
                <w:rFonts w:ascii="Arial" w:cs="Arial" w:eastAsia="Arial" w:hAnsi="Arial"/>
                <w:sz w:val="14"/>
                <w:szCs w:val="14"/>
                <w:color w:val="auto"/>
              </w:rPr>
              <w:t>Net proceeds from public</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line="149" w:lineRule="exact"/>
              <w:rPr>
                <w:sz w:val="20"/>
                <w:szCs w:val="20"/>
                <w:color w:val="auto"/>
              </w:rPr>
            </w:pPr>
            <w:r>
              <w:rPr>
                <w:rFonts w:ascii="Arial" w:cs="Arial" w:eastAsia="Arial" w:hAnsi="Arial"/>
                <w:sz w:val="14"/>
                <w:szCs w:val="14"/>
                <w:color w:val="auto"/>
              </w:rPr>
              <w:t>offering and issuance of</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tcPr>
          <w:p>
            <w:pPr>
              <w:ind w:left="140"/>
              <w:spacing w:after="0"/>
              <w:rPr>
                <w:sz w:val="20"/>
                <w:szCs w:val="20"/>
                <w:color w:val="auto"/>
              </w:rPr>
            </w:pPr>
            <w:r>
              <w:rPr>
                <w:rFonts w:ascii="Arial" w:cs="Arial" w:eastAsia="Arial" w:hAnsi="Arial"/>
                <w:sz w:val="14"/>
                <w:szCs w:val="14"/>
                <w:color w:val="auto"/>
              </w:rPr>
              <w:t>preference units</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5,750,000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138,782</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138,782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138,782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w w:val="99"/>
              </w:rPr>
              <w:t>Cash distribution to GasLog</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line="149" w:lineRule="exact"/>
              <w:rPr>
                <w:sz w:val="20"/>
                <w:szCs w:val="20"/>
                <w:color w:val="auto"/>
              </w:rPr>
            </w:pPr>
            <w:r>
              <w:rPr>
                <w:rFonts w:ascii="Arial" w:cs="Arial" w:eastAsia="Arial" w:hAnsi="Arial"/>
                <w:sz w:val="14"/>
                <w:szCs w:val="14"/>
                <w:color w:val="auto"/>
                <w:w w:val="96"/>
              </w:rPr>
              <w:t>in exchange for net assets</w:t>
            </w: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line="149" w:lineRule="exact"/>
              <w:rPr>
                <w:sz w:val="20"/>
                <w:szCs w:val="20"/>
                <w:color w:val="auto"/>
              </w:rPr>
            </w:pPr>
            <w:r>
              <w:rPr>
                <w:rFonts w:ascii="Arial" w:cs="Arial" w:eastAsia="Arial" w:hAnsi="Arial"/>
                <w:sz w:val="14"/>
                <w:szCs w:val="14"/>
                <w:color w:val="auto"/>
              </w:rPr>
              <w:t>contribution to the</w:t>
            </w: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4"/>
                <w:szCs w:val="14"/>
                <w:color w:val="auto"/>
              </w:rPr>
              <w:t>Partnership</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(121,554)</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(121,554)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line="130" w:lineRule="exact"/>
              <w:rPr>
                <w:sz w:val="20"/>
                <w:szCs w:val="20"/>
                <w:color w:val="auto"/>
              </w:rPr>
            </w:pPr>
            <w:r>
              <w:rPr>
                <w:rFonts w:ascii="Arial" w:cs="Arial" w:eastAsia="Arial" w:hAnsi="Arial"/>
                <w:sz w:val="14"/>
                <w:szCs w:val="14"/>
                <w:color w:val="auto"/>
              </w:rPr>
              <w:t>Difference between net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line="149" w:lineRule="exact"/>
              <w:rPr>
                <w:sz w:val="20"/>
                <w:szCs w:val="20"/>
                <w:color w:val="auto"/>
              </w:rPr>
            </w:pPr>
            <w:r>
              <w:rPr>
                <w:rFonts w:ascii="Arial" w:cs="Arial" w:eastAsia="Arial" w:hAnsi="Arial"/>
                <w:sz w:val="14"/>
                <w:szCs w:val="14"/>
                <w:color w:val="auto"/>
              </w:rPr>
              <w:t>book values of acquired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line="149" w:lineRule="exact"/>
              <w:rPr>
                <w:sz w:val="20"/>
                <w:szCs w:val="20"/>
                <w:color w:val="auto"/>
              </w:rPr>
            </w:pPr>
            <w:r>
              <w:rPr>
                <w:rFonts w:ascii="Arial" w:cs="Arial" w:eastAsia="Arial" w:hAnsi="Arial"/>
                <w:sz w:val="14"/>
                <w:szCs w:val="14"/>
                <w:color w:val="auto"/>
              </w:rPr>
              <w:t>subsidiary and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tcPr>
          <w:p>
            <w:pPr>
              <w:ind w:left="140"/>
              <w:spacing w:after="0"/>
              <w:rPr>
                <w:sz w:val="20"/>
                <w:szCs w:val="20"/>
                <w:color w:val="auto"/>
              </w:rPr>
            </w:pPr>
            <w:r>
              <w:rPr>
                <w:rFonts w:ascii="Arial" w:cs="Arial" w:eastAsia="Arial" w:hAnsi="Arial"/>
                <w:sz w:val="14"/>
                <w:szCs w:val="14"/>
                <w:color w:val="auto"/>
              </w:rPr>
              <w:t>consideration paid</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(1,277)</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(5,954)</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(10,321)</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(17,552)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17,552</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Distributions declared</w:t>
            </w:r>
          </w:p>
        </w:tc>
        <w:tc>
          <w:tcPr>
            <w:tcW w:w="76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FFFF"/>
          </w:tcPr>
          <w:p>
            <w:pPr>
              <w:jc w:val="right"/>
              <w:ind w:right="80"/>
              <w:spacing w:after="0" w:line="149" w:lineRule="exact"/>
              <w:rPr>
                <w:sz w:val="20"/>
                <w:szCs w:val="20"/>
                <w:color w:val="auto"/>
              </w:rPr>
            </w:pPr>
            <w:r>
              <w:rPr>
                <w:rFonts w:ascii="Arial" w:cs="Arial" w:eastAsia="Arial" w:hAnsi="Arial"/>
                <w:sz w:val="14"/>
                <w:szCs w:val="14"/>
                <w:color w:val="auto"/>
              </w:rPr>
              <w:t>(1,213)</w:t>
            </w:r>
          </w:p>
        </w:tc>
        <w:tc>
          <w:tcPr>
            <w:tcW w:w="94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(47,964)</w:t>
            </w:r>
          </w:p>
        </w:tc>
        <w:tc>
          <w:tcPr>
            <w:tcW w:w="94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(9,724)</w:t>
            </w:r>
          </w:p>
        </w:tc>
        <w:tc>
          <w:tcPr>
            <w:tcW w:w="68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(1,770)</w:t>
            </w:r>
          </w:p>
        </w:tc>
        <w:tc>
          <w:tcPr>
            <w:tcW w:w="90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(4,133)</w:t>
            </w:r>
          </w:p>
        </w:tc>
        <w:tc>
          <w:tcPr>
            <w:tcW w:w="92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(64,804)</w:t>
            </w:r>
          </w:p>
        </w:tc>
        <w:tc>
          <w:tcPr>
            <w:tcW w:w="78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(64,804)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line="130" w:lineRule="exact"/>
              <w:rPr>
                <w:sz w:val="20"/>
                <w:szCs w:val="20"/>
                <w:color w:val="auto"/>
              </w:rPr>
            </w:pPr>
            <w:r>
              <w:rPr>
                <w:rFonts w:ascii="Arial" w:cs="Arial" w:eastAsia="Arial" w:hAnsi="Arial"/>
                <w:sz w:val="14"/>
                <w:szCs w:val="14"/>
                <w:color w:val="auto"/>
                <w:w w:val="98"/>
              </w:rPr>
              <w:t>Share-based compensation,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line="149" w:lineRule="exact"/>
              <w:rPr>
                <w:sz w:val="20"/>
                <w:szCs w:val="20"/>
                <w:color w:val="auto"/>
              </w:rPr>
            </w:pPr>
            <w:r>
              <w:rPr>
                <w:rFonts w:ascii="Arial" w:cs="Arial" w:eastAsia="Arial" w:hAnsi="Arial"/>
                <w:sz w:val="14"/>
                <w:szCs w:val="14"/>
                <w:color w:val="auto"/>
              </w:rPr>
              <w:t>net of accrued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tcPr>
          <w:p>
            <w:pPr>
              <w:ind w:left="140"/>
              <w:spacing w:after="0"/>
              <w:rPr>
                <w:sz w:val="20"/>
                <w:szCs w:val="20"/>
                <w:color w:val="auto"/>
              </w:rPr>
            </w:pPr>
            <w:r>
              <w:rPr>
                <w:rFonts w:ascii="Arial" w:cs="Arial" w:eastAsia="Arial" w:hAnsi="Arial"/>
                <w:sz w:val="14"/>
                <w:szCs w:val="14"/>
                <w:color w:val="auto"/>
              </w:rPr>
              <w:t>distribution</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325</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438</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Conversion of subordinated</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4"/>
                <w:szCs w:val="14"/>
                <w:color w:val="auto"/>
              </w:rPr>
              <w:t>units to common units</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9,822,358</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46,047</w:t>
            </w:r>
          </w:p>
        </w:tc>
        <w:tc>
          <w:tcPr>
            <w:tcW w:w="94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(9,822,358)</w:t>
            </w:r>
          </w:p>
        </w:tc>
        <w:tc>
          <w:tcPr>
            <w:tcW w:w="72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(46,047)</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line="130" w:lineRule="exact"/>
              <w:rPr>
                <w:sz w:val="20"/>
                <w:szCs w:val="20"/>
                <w:color w:val="auto"/>
              </w:rPr>
            </w:pPr>
            <w:r>
              <w:rPr>
                <w:rFonts w:ascii="Arial" w:cs="Arial" w:eastAsia="Arial" w:hAnsi="Arial"/>
                <w:sz w:val="14"/>
                <w:szCs w:val="14"/>
                <w:color w:val="auto"/>
              </w:rPr>
              <w:t>Partnership’s profit and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line="149" w:lineRule="exact"/>
              <w:rPr>
                <w:sz w:val="20"/>
                <w:szCs w:val="20"/>
                <w:color w:val="auto"/>
              </w:rPr>
            </w:pPr>
            <w:r>
              <w:rPr>
                <w:rFonts w:ascii="Arial" w:cs="Arial" w:eastAsia="Arial" w:hAnsi="Arial"/>
                <w:sz w:val="14"/>
                <w:szCs w:val="14"/>
                <w:color w:val="auto"/>
              </w:rPr>
              <w:t>total comprehensive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tcPr>
          <w:p>
            <w:pPr>
              <w:ind w:left="140"/>
              <w:spacing w:after="0"/>
              <w:rPr>
                <w:sz w:val="20"/>
                <w:szCs w:val="20"/>
                <w:color w:val="auto"/>
              </w:rPr>
            </w:pPr>
            <w:r>
              <w:rPr>
                <w:rFonts w:ascii="Arial" w:cs="Arial" w:eastAsia="Arial" w:hAnsi="Arial"/>
                <w:sz w:val="14"/>
                <w:szCs w:val="14"/>
                <w:color w:val="auto"/>
              </w:rPr>
              <w:t>income (Note 14)</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1,220</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53,014</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5,085</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1,711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4,649</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65,679</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65,679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vMerge w:val="restart"/>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Balance at September 30,</w:t>
            </w: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740" w:type="dxa"/>
            <w:vAlign w:val="bottom"/>
            <w:vMerge w:val="continue"/>
            <w:shd w:val="clear" w:color="auto" w:fill="E5FFFF"/>
          </w:tcPr>
          <w:p>
            <w:pPr>
              <w:spacing w:after="0"/>
              <w:rPr>
                <w:sz w:val="9"/>
                <w:szCs w:val="9"/>
                <w:color w:val="auto"/>
              </w:rPr>
            </w:pPr>
          </w:p>
        </w:tc>
        <w:tc>
          <w:tcPr>
            <w:tcW w:w="64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828,911</w:t>
            </w:r>
          </w:p>
        </w:tc>
        <w:tc>
          <w:tcPr>
            <w:tcW w:w="120" w:type="dxa"/>
            <w:vAlign w:val="bottom"/>
            <w:vMerge w:val="restart"/>
            <w:shd w:val="clear" w:color="auto" w:fill="E5FFFF"/>
          </w:tcPr>
          <w:p>
            <w:pPr>
              <w:spacing w:after="0"/>
              <w:rPr>
                <w:sz w:val="9"/>
                <w:szCs w:val="9"/>
                <w:color w:val="auto"/>
              </w:rPr>
            </w:pPr>
          </w:p>
        </w:tc>
        <w:tc>
          <w:tcPr>
            <w:tcW w:w="7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11,553</w:t>
            </w:r>
          </w:p>
        </w:tc>
        <w:tc>
          <w:tcPr>
            <w:tcW w:w="94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40,616,601</w:t>
            </w:r>
          </w:p>
        </w:tc>
        <w:tc>
          <w:tcPr>
            <w:tcW w:w="7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741,803</w:t>
            </w:r>
          </w:p>
        </w:tc>
        <w:tc>
          <w:tcPr>
            <w:tcW w:w="94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5,904</w:t>
            </w:r>
          </w:p>
        </w:tc>
        <w:tc>
          <w:tcPr>
            <w:tcW w:w="90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5,750,000</w:t>
            </w:r>
          </w:p>
        </w:tc>
        <w:tc>
          <w:tcPr>
            <w:tcW w:w="7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139,298</w:t>
            </w:r>
          </w:p>
        </w:tc>
        <w:tc>
          <w:tcPr>
            <w:tcW w:w="92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898,558</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120,249</w:t>
            </w:r>
          </w:p>
        </w:tc>
        <w:tc>
          <w:tcPr>
            <w:tcW w:w="6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1,018,807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40" w:type="dxa"/>
            <w:vAlign w:val="bottom"/>
            <w:shd w:val="clear" w:color="auto" w:fill="E5FFFF"/>
          </w:tcPr>
          <w:p>
            <w:pPr>
              <w:ind w:left="140"/>
              <w:spacing w:after="0" w:line="158" w:lineRule="exact"/>
              <w:rPr>
                <w:sz w:val="20"/>
                <w:szCs w:val="20"/>
                <w:color w:val="auto"/>
              </w:rPr>
            </w:pPr>
            <w:r>
              <w:rPr>
                <w:rFonts w:ascii="Arial" w:cs="Arial" w:eastAsia="Arial" w:hAnsi="Arial"/>
                <w:sz w:val="14"/>
                <w:szCs w:val="14"/>
                <w:b w:val="1"/>
                <w:bCs w:val="1"/>
                <w:color w:val="auto"/>
              </w:rPr>
              <w:t>2017 (as restated</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w:t>
            </w:r>
          </w:p>
        </w:tc>
        <w:tc>
          <w:tcPr>
            <w:tcW w:w="640" w:type="dxa"/>
            <w:vAlign w:val="bottom"/>
            <w:vMerge w:val="continue"/>
            <w:shd w:val="clear" w:color="auto" w:fill="E5FFFF"/>
          </w:tcPr>
          <w:p>
            <w:pPr>
              <w:spacing w:after="0"/>
              <w:rPr>
                <w:sz w:val="13"/>
                <w:szCs w:val="13"/>
                <w:color w:val="auto"/>
              </w:rPr>
            </w:pPr>
          </w:p>
        </w:tc>
        <w:tc>
          <w:tcPr>
            <w:tcW w:w="120" w:type="dxa"/>
            <w:vAlign w:val="bottom"/>
            <w:vMerge w:val="continue"/>
            <w:shd w:val="clear" w:color="auto" w:fill="E5FFFF"/>
          </w:tcPr>
          <w:p>
            <w:pPr>
              <w:spacing w:after="0"/>
              <w:rPr>
                <w:sz w:val="13"/>
                <w:szCs w:val="13"/>
                <w:color w:val="auto"/>
              </w:rPr>
            </w:pPr>
          </w:p>
        </w:tc>
        <w:tc>
          <w:tcPr>
            <w:tcW w:w="700" w:type="dxa"/>
            <w:vAlign w:val="bottom"/>
            <w:gridSpan w:val="2"/>
            <w:vMerge w:val="continue"/>
            <w:shd w:val="clear" w:color="auto" w:fill="E5FFFF"/>
          </w:tcPr>
          <w:p>
            <w:pPr>
              <w:spacing w:after="0"/>
              <w:rPr>
                <w:sz w:val="13"/>
                <w:szCs w:val="13"/>
                <w:color w:val="auto"/>
              </w:rPr>
            </w:pPr>
          </w:p>
        </w:tc>
        <w:tc>
          <w:tcPr>
            <w:tcW w:w="940" w:type="dxa"/>
            <w:vAlign w:val="bottom"/>
            <w:gridSpan w:val="2"/>
            <w:vMerge w:val="continue"/>
            <w:shd w:val="clear" w:color="auto" w:fill="E5FFFF"/>
          </w:tcPr>
          <w:p>
            <w:pPr>
              <w:spacing w:after="0"/>
              <w:rPr>
                <w:sz w:val="13"/>
                <w:szCs w:val="13"/>
                <w:color w:val="auto"/>
              </w:rPr>
            </w:pPr>
          </w:p>
        </w:tc>
        <w:tc>
          <w:tcPr>
            <w:tcW w:w="760" w:type="dxa"/>
            <w:vAlign w:val="bottom"/>
            <w:gridSpan w:val="2"/>
            <w:vMerge w:val="continue"/>
            <w:shd w:val="clear" w:color="auto" w:fill="E5FFFF"/>
          </w:tcPr>
          <w:p>
            <w:pPr>
              <w:spacing w:after="0"/>
              <w:rPr>
                <w:sz w:val="13"/>
                <w:szCs w:val="13"/>
                <w:color w:val="auto"/>
              </w:rPr>
            </w:pPr>
          </w:p>
        </w:tc>
        <w:tc>
          <w:tcPr>
            <w:tcW w:w="940" w:type="dxa"/>
            <w:vAlign w:val="bottom"/>
            <w:gridSpan w:val="2"/>
            <w:vMerge w:val="continue"/>
            <w:shd w:val="clear" w:color="auto" w:fill="E5FFFF"/>
          </w:tcPr>
          <w:p>
            <w:pPr>
              <w:spacing w:after="0"/>
              <w:rPr>
                <w:sz w:val="13"/>
                <w:szCs w:val="13"/>
                <w:color w:val="auto"/>
              </w:rPr>
            </w:pPr>
          </w:p>
        </w:tc>
        <w:tc>
          <w:tcPr>
            <w:tcW w:w="720" w:type="dxa"/>
            <w:vAlign w:val="bottom"/>
            <w:gridSpan w:val="2"/>
            <w:vMerge w:val="continue"/>
            <w:shd w:val="clear" w:color="auto" w:fill="E5FFFF"/>
          </w:tcPr>
          <w:p>
            <w:pPr>
              <w:spacing w:after="0"/>
              <w:rPr>
                <w:sz w:val="13"/>
                <w:szCs w:val="13"/>
                <w:color w:val="auto"/>
              </w:rPr>
            </w:pPr>
          </w:p>
        </w:tc>
        <w:tc>
          <w:tcPr>
            <w:tcW w:w="680" w:type="dxa"/>
            <w:vAlign w:val="bottom"/>
            <w:gridSpan w:val="2"/>
            <w:vMerge w:val="continue"/>
            <w:shd w:val="clear" w:color="auto" w:fill="E5FFFF"/>
          </w:tcPr>
          <w:p>
            <w:pPr>
              <w:spacing w:after="0"/>
              <w:rPr>
                <w:sz w:val="13"/>
                <w:szCs w:val="13"/>
                <w:color w:val="auto"/>
              </w:rPr>
            </w:pPr>
          </w:p>
        </w:tc>
        <w:tc>
          <w:tcPr>
            <w:tcW w:w="900" w:type="dxa"/>
            <w:vAlign w:val="bottom"/>
            <w:gridSpan w:val="2"/>
            <w:vMerge w:val="continue"/>
            <w:shd w:val="clear" w:color="auto" w:fill="E5FFFF"/>
          </w:tcPr>
          <w:p>
            <w:pPr>
              <w:spacing w:after="0"/>
              <w:rPr>
                <w:sz w:val="13"/>
                <w:szCs w:val="13"/>
                <w:color w:val="auto"/>
              </w:rPr>
            </w:pPr>
          </w:p>
        </w:tc>
        <w:tc>
          <w:tcPr>
            <w:tcW w:w="780" w:type="dxa"/>
            <w:vAlign w:val="bottom"/>
            <w:gridSpan w:val="2"/>
            <w:vMerge w:val="continue"/>
            <w:shd w:val="clear" w:color="auto" w:fill="E5FFFF"/>
          </w:tcPr>
          <w:p>
            <w:pPr>
              <w:spacing w:after="0"/>
              <w:rPr>
                <w:sz w:val="13"/>
                <w:szCs w:val="13"/>
                <w:color w:val="auto"/>
              </w:rPr>
            </w:pPr>
          </w:p>
        </w:tc>
        <w:tc>
          <w:tcPr>
            <w:tcW w:w="920" w:type="dxa"/>
            <w:vAlign w:val="bottom"/>
            <w:gridSpan w:val="2"/>
            <w:vMerge w:val="continue"/>
            <w:shd w:val="clear" w:color="auto" w:fill="E5FFFF"/>
          </w:tcPr>
          <w:p>
            <w:pPr>
              <w:spacing w:after="0"/>
              <w:rPr>
                <w:sz w:val="13"/>
                <w:szCs w:val="13"/>
                <w:color w:val="auto"/>
              </w:rPr>
            </w:pPr>
          </w:p>
        </w:tc>
        <w:tc>
          <w:tcPr>
            <w:tcW w:w="780" w:type="dxa"/>
            <w:vAlign w:val="bottom"/>
            <w:gridSpan w:val="2"/>
            <w:vMerge w:val="continue"/>
            <w:shd w:val="clear" w:color="auto" w:fill="E5FFFF"/>
          </w:tcPr>
          <w:p>
            <w:pPr>
              <w:spacing w:after="0"/>
              <w:rPr>
                <w:sz w:val="13"/>
                <w:szCs w:val="13"/>
                <w:color w:val="auto"/>
              </w:rPr>
            </w:pPr>
          </w:p>
        </w:tc>
        <w:tc>
          <w:tcPr>
            <w:tcW w:w="680" w:type="dxa"/>
            <w:vAlign w:val="bottom"/>
            <w:vMerge w:val="continue"/>
            <w:shd w:val="clear" w:color="auto" w:fill="E5F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E5FF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740" w:type="dxa"/>
            <w:vAlign w:val="bottom"/>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Balance at January 1,</w:t>
            </w:r>
          </w:p>
        </w:tc>
        <w:tc>
          <w:tcPr>
            <w:tcW w:w="7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836,779</w:t>
            </w:r>
          </w:p>
        </w:tc>
        <w:tc>
          <w:tcPr>
            <w:tcW w:w="7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11,781</w:t>
            </w:r>
          </w:p>
        </w:tc>
        <w:tc>
          <w:tcPr>
            <w:tcW w:w="94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41,002,121</w:t>
            </w:r>
          </w:p>
        </w:tc>
        <w:tc>
          <w:tcPr>
            <w:tcW w:w="7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752,456</w:t>
            </w:r>
          </w:p>
        </w:tc>
        <w:tc>
          <w:tcPr>
            <w:tcW w:w="94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6,596</w:t>
            </w:r>
          </w:p>
        </w:tc>
        <w:tc>
          <w:tcPr>
            <w:tcW w:w="90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5,750,000</w:t>
            </w:r>
          </w:p>
        </w:tc>
        <w:tc>
          <w:tcPr>
            <w:tcW w:w="7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139,321</w:t>
            </w:r>
          </w:p>
        </w:tc>
        <w:tc>
          <w:tcPr>
            <w:tcW w:w="92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910,154</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53,354</w:t>
            </w:r>
          </w:p>
        </w:tc>
        <w:tc>
          <w:tcPr>
            <w:tcW w:w="6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963,508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shd w:val="clear" w:color="auto" w:fill="E5FFFF"/>
          </w:tcPr>
          <w:p>
            <w:pPr>
              <w:ind w:left="140"/>
              <w:spacing w:after="0" w:line="172" w:lineRule="exact"/>
              <w:rPr>
                <w:sz w:val="20"/>
                <w:szCs w:val="20"/>
                <w:color w:val="auto"/>
              </w:rPr>
            </w:pPr>
            <w:r>
              <w:rPr>
                <w:rFonts w:ascii="Arial" w:cs="Arial" w:eastAsia="Arial" w:hAnsi="Arial"/>
                <w:sz w:val="14"/>
                <w:szCs w:val="14"/>
                <w:b w:val="1"/>
                <w:bCs w:val="1"/>
                <w:color w:val="auto"/>
              </w:rPr>
              <w:t>2018 (as restated</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w:t>
            </w:r>
          </w:p>
        </w:tc>
        <w:tc>
          <w:tcPr>
            <w:tcW w:w="760" w:type="dxa"/>
            <w:vAlign w:val="bottom"/>
            <w:gridSpan w:val="2"/>
            <w:vMerge w:val="continue"/>
            <w:shd w:val="clear" w:color="auto" w:fill="E5FFFF"/>
          </w:tcPr>
          <w:p>
            <w:pPr>
              <w:spacing w:after="0"/>
              <w:rPr>
                <w:sz w:val="14"/>
                <w:szCs w:val="14"/>
                <w:color w:val="auto"/>
              </w:rPr>
            </w:pPr>
          </w:p>
        </w:tc>
        <w:tc>
          <w:tcPr>
            <w:tcW w:w="700" w:type="dxa"/>
            <w:vAlign w:val="bottom"/>
            <w:gridSpan w:val="2"/>
            <w:vMerge w:val="continue"/>
            <w:shd w:val="clear" w:color="auto" w:fill="E5FFFF"/>
          </w:tcPr>
          <w:p>
            <w:pPr>
              <w:spacing w:after="0"/>
              <w:rPr>
                <w:sz w:val="14"/>
                <w:szCs w:val="14"/>
                <w:color w:val="auto"/>
              </w:rPr>
            </w:pPr>
          </w:p>
        </w:tc>
        <w:tc>
          <w:tcPr>
            <w:tcW w:w="940" w:type="dxa"/>
            <w:vAlign w:val="bottom"/>
            <w:gridSpan w:val="2"/>
            <w:vMerge w:val="continue"/>
            <w:shd w:val="clear" w:color="auto" w:fill="E5FFFF"/>
          </w:tcPr>
          <w:p>
            <w:pPr>
              <w:spacing w:after="0"/>
              <w:rPr>
                <w:sz w:val="14"/>
                <w:szCs w:val="14"/>
                <w:color w:val="auto"/>
              </w:rPr>
            </w:pPr>
          </w:p>
        </w:tc>
        <w:tc>
          <w:tcPr>
            <w:tcW w:w="760" w:type="dxa"/>
            <w:vAlign w:val="bottom"/>
            <w:gridSpan w:val="2"/>
            <w:vMerge w:val="continue"/>
            <w:shd w:val="clear" w:color="auto" w:fill="E5FFFF"/>
          </w:tcPr>
          <w:p>
            <w:pPr>
              <w:spacing w:after="0"/>
              <w:rPr>
                <w:sz w:val="14"/>
                <w:szCs w:val="14"/>
                <w:color w:val="auto"/>
              </w:rPr>
            </w:pPr>
          </w:p>
        </w:tc>
        <w:tc>
          <w:tcPr>
            <w:tcW w:w="940" w:type="dxa"/>
            <w:vAlign w:val="bottom"/>
            <w:gridSpan w:val="2"/>
            <w:vMerge w:val="continue"/>
            <w:shd w:val="clear" w:color="auto" w:fill="E5FFFF"/>
          </w:tcPr>
          <w:p>
            <w:pPr>
              <w:spacing w:after="0"/>
              <w:rPr>
                <w:sz w:val="14"/>
                <w:szCs w:val="14"/>
                <w:color w:val="auto"/>
              </w:rPr>
            </w:pPr>
          </w:p>
        </w:tc>
        <w:tc>
          <w:tcPr>
            <w:tcW w:w="720" w:type="dxa"/>
            <w:vAlign w:val="bottom"/>
            <w:gridSpan w:val="2"/>
            <w:vMerge w:val="continue"/>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90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92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680" w:type="dxa"/>
            <w:vAlign w:val="bottom"/>
            <w:vMerge w:val="continue"/>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line="130" w:lineRule="exact"/>
              <w:rPr>
                <w:sz w:val="20"/>
                <w:szCs w:val="20"/>
                <w:color w:val="auto"/>
              </w:rPr>
            </w:pPr>
            <w:r>
              <w:rPr>
                <w:rFonts w:ascii="Arial" w:cs="Arial" w:eastAsia="Arial" w:hAnsi="Arial"/>
                <w:sz w:val="14"/>
                <w:szCs w:val="14"/>
                <w:color w:val="auto"/>
              </w:rPr>
              <w:t>Profit and total</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line="149" w:lineRule="exact"/>
              <w:rPr>
                <w:sz w:val="20"/>
                <w:szCs w:val="20"/>
                <w:color w:val="auto"/>
              </w:rPr>
            </w:pPr>
            <w:r>
              <w:rPr>
                <w:rFonts w:ascii="Arial" w:cs="Arial" w:eastAsia="Arial" w:hAnsi="Arial"/>
                <w:sz w:val="14"/>
                <w:szCs w:val="14"/>
                <w:color w:val="auto"/>
              </w:rPr>
              <w:t>comprehensive income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line="149" w:lineRule="exact"/>
              <w:rPr>
                <w:sz w:val="20"/>
                <w:szCs w:val="20"/>
                <w:color w:val="auto"/>
              </w:rPr>
            </w:pPr>
            <w:r>
              <w:rPr>
                <w:rFonts w:ascii="Arial" w:cs="Arial" w:eastAsia="Arial" w:hAnsi="Arial"/>
                <w:sz w:val="14"/>
                <w:szCs w:val="14"/>
                <w:color w:val="auto"/>
              </w:rPr>
              <w:t>attributable to GasLog’s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tcPr>
          <w:p>
            <w:pPr>
              <w:ind w:left="140"/>
              <w:spacing w:after="0"/>
              <w:rPr>
                <w:sz w:val="20"/>
                <w:szCs w:val="20"/>
                <w:color w:val="auto"/>
              </w:rPr>
            </w:pPr>
            <w:r>
              <w:rPr>
                <w:rFonts w:ascii="Arial" w:cs="Arial" w:eastAsia="Arial" w:hAnsi="Arial"/>
                <w:sz w:val="14"/>
                <w:szCs w:val="14"/>
                <w:color w:val="auto"/>
              </w:rPr>
              <w:t>operations (Note 14)</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3,673</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3,673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4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5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8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8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58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8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68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8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80" w:type="dxa"/>
            <w:vAlign w:val="bottom"/>
            <w:shd w:val="clear" w:color="auto" w:fill="E5FF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240" w:top="342" w:right="29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shd w:val="clear" w:color="auto" w:fill="E5FFFF"/>
          </w:tcPr>
          <w:p>
            <w:pPr>
              <w:spacing w:after="0"/>
              <w:rPr>
                <w:sz w:val="20"/>
                <w:szCs w:val="20"/>
                <w:color w:val="auto"/>
              </w:rPr>
            </w:pPr>
            <w:r>
              <w:rPr>
                <w:rFonts w:ascii="Arial" w:cs="Arial" w:eastAsia="Arial" w:hAnsi="Arial"/>
                <w:sz w:val="14"/>
                <w:szCs w:val="14"/>
                <w:color w:val="auto"/>
              </w:rPr>
              <w:t>Net proceeds from public</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85,465</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2,044</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2,294,795</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53,956</w:t>
            </w:r>
          </w:p>
        </w:tc>
        <w:tc>
          <w:tcPr>
            <w:tcW w:w="940" w:type="dxa"/>
            <w:vAlign w:val="bottom"/>
            <w:gridSpan w:val="2"/>
            <w:shd w:val="clear" w:color="auto" w:fill="E5FFFF"/>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ind w:left="4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56,000</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56,000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offerings and issuances</w:t>
            </w: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of common units and</w:t>
            </w: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general partner units</w:t>
            </w: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E5FFFF"/>
          </w:tcPr>
          <w:p>
            <w:pPr>
              <w:ind w:left="160"/>
              <w:spacing w:after="0"/>
              <w:rPr>
                <w:sz w:val="20"/>
                <w:szCs w:val="20"/>
                <w:color w:val="auto"/>
              </w:rPr>
            </w:pPr>
            <w:r>
              <w:rPr>
                <w:rFonts w:ascii="Arial" w:cs="Arial" w:eastAsia="Arial" w:hAnsi="Arial"/>
                <w:sz w:val="14"/>
                <w:szCs w:val="14"/>
                <w:color w:val="auto"/>
              </w:rPr>
              <w:t>(Note 5)</w:t>
            </w:r>
          </w:p>
        </w:tc>
        <w:tc>
          <w:tcPr>
            <w:tcW w:w="6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8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8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w w:val="98"/>
              </w:rPr>
              <w:t>Settlement of awards vested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during the period</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33,998</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Net proceeds from public</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offering and issuance of</w:t>
            </w: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E5FFFF"/>
          </w:tcPr>
          <w:p>
            <w:pPr>
              <w:ind w:left="160"/>
              <w:spacing w:after="0"/>
              <w:rPr>
                <w:sz w:val="20"/>
                <w:szCs w:val="20"/>
                <w:color w:val="auto"/>
              </w:rPr>
            </w:pPr>
            <w:r>
              <w:rPr>
                <w:rFonts w:ascii="Arial" w:cs="Arial" w:eastAsia="Arial" w:hAnsi="Arial"/>
                <w:sz w:val="14"/>
                <w:szCs w:val="14"/>
                <w:color w:val="auto"/>
              </w:rPr>
              <w:t>preference units (Note 5)</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FFFF"/>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ind w:left="4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4,600,000</w:t>
            </w: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111,194</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111,194</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111,194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Issuance of common units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160"/>
              <w:spacing w:after="0" w:line="149" w:lineRule="exact"/>
              <w:rPr>
                <w:sz w:val="20"/>
                <w:szCs w:val="20"/>
                <w:color w:val="auto"/>
              </w:rPr>
            </w:pPr>
            <w:r>
              <w:rPr>
                <w:rFonts w:ascii="Arial" w:cs="Arial" w:eastAsia="Arial" w:hAnsi="Arial"/>
                <w:sz w:val="14"/>
                <w:szCs w:val="14"/>
                <w:color w:val="auto"/>
              </w:rPr>
              <w:t>to GasLog in exchange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160"/>
              <w:spacing w:after="0" w:line="149" w:lineRule="exact"/>
              <w:rPr>
                <w:sz w:val="20"/>
                <w:szCs w:val="20"/>
                <w:color w:val="auto"/>
              </w:rPr>
            </w:pPr>
            <w:r>
              <w:rPr>
                <w:rFonts w:ascii="Arial" w:cs="Arial" w:eastAsia="Arial" w:hAnsi="Arial"/>
                <w:sz w:val="14"/>
                <w:szCs w:val="14"/>
                <w:color w:val="auto"/>
              </w:rPr>
              <w:t>for net assets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160"/>
              <w:spacing w:after="0" w:line="149" w:lineRule="exact"/>
              <w:rPr>
                <w:sz w:val="20"/>
                <w:szCs w:val="20"/>
                <w:color w:val="auto"/>
              </w:rPr>
            </w:pPr>
            <w:r>
              <w:rPr>
                <w:rFonts w:ascii="Arial" w:cs="Arial" w:eastAsia="Arial" w:hAnsi="Arial"/>
                <w:sz w:val="14"/>
                <w:szCs w:val="14"/>
                <w:color w:val="auto"/>
              </w:rPr>
              <w:t>contribution to the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Partnership</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1,858,975</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45,000</w:t>
            </w: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45,000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(45,000)</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Cash distribution to GasLog</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w w:val="96"/>
              </w:rPr>
              <w:t>in exchange for net assets</w:t>
            </w: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contribution to the</w:t>
            </w: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E5FFFF"/>
          </w:tcPr>
          <w:p>
            <w:pPr>
              <w:ind w:left="160"/>
              <w:spacing w:after="0"/>
              <w:rPr>
                <w:sz w:val="20"/>
                <w:szCs w:val="20"/>
                <w:color w:val="auto"/>
              </w:rPr>
            </w:pPr>
            <w:r>
              <w:rPr>
                <w:rFonts w:ascii="Arial" w:cs="Arial" w:eastAsia="Arial" w:hAnsi="Arial"/>
                <w:sz w:val="14"/>
                <w:szCs w:val="14"/>
                <w:color w:val="auto"/>
              </w:rPr>
              <w:t>Partnership</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FFFF"/>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ind w:left="4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(19,086)</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(19,086)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Difference between net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160"/>
              <w:spacing w:after="0" w:line="149" w:lineRule="exact"/>
              <w:rPr>
                <w:sz w:val="20"/>
                <w:szCs w:val="20"/>
                <w:color w:val="auto"/>
              </w:rPr>
            </w:pPr>
            <w:r>
              <w:rPr>
                <w:rFonts w:ascii="Arial" w:cs="Arial" w:eastAsia="Arial" w:hAnsi="Arial"/>
                <w:sz w:val="14"/>
                <w:szCs w:val="14"/>
                <w:color w:val="auto"/>
              </w:rPr>
              <w:t>book values of acquired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160"/>
              <w:spacing w:after="0" w:line="149" w:lineRule="exact"/>
              <w:rPr>
                <w:sz w:val="20"/>
                <w:szCs w:val="20"/>
                <w:color w:val="auto"/>
              </w:rPr>
            </w:pPr>
            <w:r>
              <w:rPr>
                <w:rFonts w:ascii="Arial" w:cs="Arial" w:eastAsia="Arial" w:hAnsi="Arial"/>
                <w:sz w:val="14"/>
                <w:szCs w:val="14"/>
                <w:color w:val="auto"/>
              </w:rPr>
              <w:t>subsidiary and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consideration paid</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(486)</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(6,573)</w:t>
            </w: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(7,059)</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7,059</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Distributions declared</w:t>
            </w:r>
          </w:p>
        </w:tc>
        <w:tc>
          <w:tcPr>
            <w:tcW w:w="7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90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E5FFFF"/>
          </w:tcPr>
          <w:p>
            <w:pPr>
              <w:ind w:left="160"/>
              <w:spacing w:after="0"/>
              <w:rPr>
                <w:sz w:val="20"/>
                <w:szCs w:val="20"/>
                <w:color w:val="auto"/>
              </w:rPr>
            </w:pPr>
            <w:r>
              <w:rPr>
                <w:rFonts w:ascii="Arial" w:cs="Arial" w:eastAsia="Arial" w:hAnsi="Arial"/>
                <w:sz w:val="14"/>
                <w:szCs w:val="14"/>
                <w:color w:val="auto"/>
              </w:rPr>
              <w:t>(Note 13)</w:t>
            </w:r>
          </w:p>
        </w:tc>
        <w:tc>
          <w:tcPr>
            <w:tcW w:w="760" w:type="dxa"/>
            <w:vAlign w:val="bottom"/>
            <w:gridSpan w:val="2"/>
            <w:vMerge w:val="continue"/>
            <w:shd w:val="clear" w:color="auto" w:fill="E5FFFF"/>
          </w:tcPr>
          <w:p>
            <w:pPr>
              <w:spacing w:after="0"/>
              <w:rPr>
                <w:sz w:val="14"/>
                <w:szCs w:val="14"/>
                <w:color w:val="auto"/>
              </w:rPr>
            </w:pPr>
          </w:p>
        </w:tc>
        <w:tc>
          <w:tcPr>
            <w:tcW w:w="70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(1,428)</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(66,934)</w:t>
            </w:r>
          </w:p>
        </w:tc>
        <w:tc>
          <w:tcPr>
            <w:tcW w:w="940" w:type="dxa"/>
            <w:vAlign w:val="bottom"/>
            <w:gridSpan w:val="2"/>
            <w:shd w:val="clear" w:color="auto" w:fill="E5FFFF"/>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ind w:left="4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(3,027)</w:t>
            </w:r>
          </w:p>
        </w:tc>
        <w:tc>
          <w:tcPr>
            <w:tcW w:w="900" w:type="dxa"/>
            <w:vAlign w:val="bottom"/>
            <w:gridSpan w:val="2"/>
            <w:vMerge w:val="continue"/>
            <w:shd w:val="clear" w:color="auto" w:fill="E5FFFF"/>
          </w:tcPr>
          <w:p>
            <w:pPr>
              <w:spacing w:after="0"/>
              <w:rPr>
                <w:sz w:val="14"/>
                <w:szCs w:val="14"/>
                <w:color w:val="auto"/>
              </w:rPr>
            </w:pPr>
          </w:p>
        </w:tc>
        <w:tc>
          <w:tcPr>
            <w:tcW w:w="78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(15,533)</w:t>
            </w:r>
          </w:p>
        </w:tc>
        <w:tc>
          <w:tcPr>
            <w:tcW w:w="92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(86,922)</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(86,922)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w w:val="99"/>
              </w:rPr>
              <w:t>Share-based compensation,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160"/>
              <w:spacing w:after="0" w:line="149" w:lineRule="exact"/>
              <w:rPr>
                <w:sz w:val="20"/>
                <w:szCs w:val="20"/>
                <w:color w:val="auto"/>
              </w:rPr>
            </w:pPr>
            <w:r>
              <w:rPr>
                <w:rFonts w:ascii="Arial" w:cs="Arial" w:eastAsia="Arial" w:hAnsi="Arial"/>
                <w:sz w:val="14"/>
                <w:szCs w:val="14"/>
                <w:color w:val="auto"/>
              </w:rPr>
              <w:t>net of accrued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distribution</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422</w:t>
            </w: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536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Partnership’s profit and</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total comprehensive</w:t>
            </w: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E5FFFF"/>
          </w:tcPr>
          <w:p>
            <w:pPr>
              <w:ind w:left="160"/>
              <w:spacing w:after="0"/>
              <w:rPr>
                <w:sz w:val="20"/>
                <w:szCs w:val="20"/>
                <w:color w:val="auto"/>
              </w:rPr>
            </w:pPr>
            <w:r>
              <w:rPr>
                <w:rFonts w:ascii="Arial" w:cs="Arial" w:eastAsia="Arial" w:hAnsi="Arial"/>
                <w:sz w:val="14"/>
                <w:szCs w:val="14"/>
                <w:color w:val="auto"/>
              </w:rPr>
              <w:t>income (Note 14)</w:t>
            </w:r>
          </w:p>
        </w:tc>
        <w:tc>
          <w:tcPr>
            <w:tcW w:w="6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1,324</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62,279</w:t>
            </w:r>
          </w:p>
        </w:tc>
        <w:tc>
          <w:tcPr>
            <w:tcW w:w="940" w:type="dxa"/>
            <w:vAlign w:val="bottom"/>
            <w:gridSpan w:val="2"/>
            <w:shd w:val="clear" w:color="auto" w:fill="E5FFFF"/>
          </w:tcPr>
          <w:p>
            <w:pPr>
              <w:ind w:left="6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ind w:left="4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2,618</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15,952</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82,173</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82,173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line="126" w:lineRule="exact"/>
              <w:rPr>
                <w:sz w:val="20"/>
                <w:szCs w:val="20"/>
                <w:color w:val="auto"/>
              </w:rPr>
            </w:pPr>
            <w:r>
              <w:rPr>
                <w:rFonts w:ascii="Arial" w:cs="Arial" w:eastAsia="Arial" w:hAnsi="Arial"/>
                <w:sz w:val="14"/>
                <w:szCs w:val="14"/>
                <w:b w:val="1"/>
                <w:bCs w:val="1"/>
                <w:color w:val="auto"/>
              </w:rPr>
              <w:t>Balance at September 30,</w:t>
            </w: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760" w:type="dxa"/>
            <w:vAlign w:val="bottom"/>
            <w:vMerge w:val="continue"/>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922,244</w:t>
            </w:r>
          </w:p>
        </w:tc>
        <w:tc>
          <w:tcPr>
            <w:tcW w:w="120" w:type="dxa"/>
            <w:vAlign w:val="bottom"/>
            <w:vMerge w:val="restart"/>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13,246</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45,189,889</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840,606</w:t>
            </w:r>
          </w:p>
        </w:tc>
        <w:tc>
          <w:tcPr>
            <w:tcW w:w="94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6,290</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10,350,000</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250,934</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1,111,076</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1,111,076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76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2018</w:t>
            </w:r>
          </w:p>
        </w:tc>
        <w:tc>
          <w:tcPr>
            <w:tcW w:w="6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600" w:right="120" w:hanging="333"/>
        <w:spacing w:after="0" w:line="215" w:lineRule="auto"/>
        <w:tabs>
          <w:tab w:leader="none" w:pos="597"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GAS-eight Ltd. and GAS-fourteen Ltd., acquired on October 20, 2017 and April 26, 2018, respectively, from GasLog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-205105</wp:posOffset>
            </wp:positionV>
            <wp:extent cx="70237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78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b w:val="1"/>
                <w:bCs w:val="1"/>
                <w:color w:val="auto"/>
              </w:rPr>
              <w:t>For the nine months ended September 30, 2017 and 2018</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7840" w:type="dxa"/>
            <w:vAlign w:val="bottom"/>
          </w:tcPr>
          <w:p>
            <w:pPr>
              <w:spacing w:after="0"/>
              <w:rPr>
                <w:sz w:val="24"/>
                <w:szCs w:val="24"/>
                <w:color w:val="auto"/>
              </w:rPr>
            </w:pPr>
          </w:p>
        </w:tc>
        <w:tc>
          <w:tcPr>
            <w:tcW w:w="3520" w:type="dxa"/>
            <w:vAlign w:val="bottom"/>
            <w:gridSpan w:val="4"/>
          </w:tcPr>
          <w:p>
            <w:pPr>
              <w:ind w:left="80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784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164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84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r>
      <w:tr>
        <w:trPr>
          <w:trHeight w:val="148"/>
        </w:trPr>
        <w:tc>
          <w:tcPr>
            <w:tcW w:w="7840" w:type="dxa"/>
            <w:vAlign w:val="bottom"/>
          </w:tcPr>
          <w:p>
            <w:pPr>
              <w:spacing w:after="0"/>
              <w:rPr>
                <w:sz w:val="12"/>
                <w:szCs w:val="12"/>
                <w:color w:val="auto"/>
              </w:rPr>
            </w:pPr>
          </w:p>
        </w:tc>
        <w:tc>
          <w:tcPr>
            <w:tcW w:w="1600" w:type="dxa"/>
            <w:vAlign w:val="bottom"/>
          </w:tcPr>
          <w:p>
            <w:pPr>
              <w:jc w:val="center"/>
              <w:spacing w:after="0" w:line="148" w:lineRule="exact"/>
              <w:rPr>
                <w:sz w:val="20"/>
                <w:szCs w:val="20"/>
                <w:color w:val="auto"/>
              </w:rPr>
            </w:pPr>
            <w:r>
              <w:rPr>
                <w:rFonts w:ascii="Arial" w:cs="Arial" w:eastAsia="Arial" w:hAnsi="Arial"/>
                <w:sz w:val="14"/>
                <w:szCs w:val="14"/>
                <w:i w:val="1"/>
                <w:iCs w:val="1"/>
                <w:color w:val="auto"/>
                <w:w w:val="89"/>
              </w:rPr>
              <w:t>(restated)</w:t>
            </w:r>
            <w:r>
              <w:rPr>
                <w:rFonts w:ascii="Arial" w:cs="Arial" w:eastAsia="Arial" w:hAnsi="Arial"/>
                <w:sz w:val="17"/>
                <w:szCs w:val="17"/>
                <w:color w:val="auto"/>
                <w:w w:val="89"/>
                <w:vertAlign w:val="superscript"/>
              </w:rPr>
              <w:t>(1)</w:t>
            </w: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6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Profit for the period</w:t>
            </w:r>
          </w:p>
        </w:tc>
        <w:tc>
          <w:tcPr>
            <w:tcW w:w="1600" w:type="dxa"/>
            <w:vAlign w:val="bottom"/>
          </w:tcPr>
          <w:p>
            <w:pPr>
              <w:jc w:val="right"/>
              <w:spacing w:after="0"/>
              <w:rPr>
                <w:sz w:val="20"/>
                <w:szCs w:val="20"/>
                <w:color w:val="auto"/>
              </w:rPr>
            </w:pPr>
            <w:r>
              <w:rPr>
                <w:rFonts w:ascii="Arial" w:cs="Arial" w:eastAsia="Arial" w:hAnsi="Arial"/>
                <w:sz w:val="16"/>
                <w:szCs w:val="16"/>
                <w:color w:val="auto"/>
              </w:rPr>
              <w:t>92,993</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85,846</w:t>
            </w:r>
          </w:p>
        </w:tc>
        <w:tc>
          <w:tcPr>
            <w:tcW w:w="40" w:type="dxa"/>
            <w:vAlign w:val="bottom"/>
          </w:tcPr>
          <w:p>
            <w:pPr>
              <w:spacing w:after="0"/>
              <w:rPr>
                <w:sz w:val="17"/>
                <w:szCs w:val="17"/>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6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Depreciation</w:t>
            </w:r>
          </w:p>
        </w:tc>
        <w:tc>
          <w:tcPr>
            <w:tcW w:w="1600" w:type="dxa"/>
            <w:vAlign w:val="bottom"/>
          </w:tcPr>
          <w:p>
            <w:pPr>
              <w:jc w:val="right"/>
              <w:spacing w:after="0"/>
              <w:rPr>
                <w:sz w:val="20"/>
                <w:szCs w:val="20"/>
                <w:color w:val="auto"/>
              </w:rPr>
            </w:pPr>
            <w:r>
              <w:rPr>
                <w:rFonts w:ascii="Arial" w:cs="Arial" w:eastAsia="Arial" w:hAnsi="Arial"/>
                <w:sz w:val="16"/>
                <w:szCs w:val="16"/>
                <w:color w:val="auto"/>
              </w:rPr>
              <w:t>54,996</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55,314</w:t>
            </w:r>
          </w:p>
        </w:tc>
        <w:tc>
          <w:tcPr>
            <w:tcW w:w="40" w:type="dxa"/>
            <w:vAlign w:val="bottom"/>
          </w:tcPr>
          <w:p>
            <w:pPr>
              <w:spacing w:after="0"/>
              <w:rPr>
                <w:sz w:val="17"/>
                <w:szCs w:val="17"/>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44,086</w:t>
            </w:r>
          </w:p>
        </w:tc>
        <w:tc>
          <w:tcPr>
            <w:tcW w:w="28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45,826</w:t>
            </w:r>
          </w:p>
        </w:tc>
        <w:tc>
          <w:tcPr>
            <w:tcW w:w="40" w:type="dxa"/>
            <w:vAlign w:val="bottom"/>
          </w:tcPr>
          <w:p>
            <w:pPr>
              <w:spacing w:after="0"/>
              <w:rPr>
                <w:sz w:val="17"/>
                <w:szCs w:val="17"/>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Financial income</w:t>
            </w: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(694)</w:t>
            </w:r>
          </w:p>
        </w:tc>
        <w:tc>
          <w:tcPr>
            <w:tcW w:w="1600" w:type="dxa"/>
            <w:vAlign w:val="bottom"/>
          </w:tcPr>
          <w:p>
            <w:pPr>
              <w:jc w:val="right"/>
              <w:spacing w:after="0"/>
              <w:rPr>
                <w:sz w:val="20"/>
                <w:szCs w:val="20"/>
                <w:color w:val="auto"/>
              </w:rPr>
            </w:pPr>
            <w:r>
              <w:rPr>
                <w:rFonts w:ascii="Arial" w:cs="Arial" w:eastAsia="Arial" w:hAnsi="Arial"/>
                <w:sz w:val="16"/>
                <w:szCs w:val="16"/>
                <w:color w:val="auto"/>
              </w:rPr>
              <w:t>(1,688)</w:t>
            </w:r>
          </w:p>
        </w:tc>
        <w:tc>
          <w:tcPr>
            <w:tcW w:w="40" w:type="dxa"/>
            <w:vAlign w:val="bottom"/>
          </w:tcPr>
          <w:p>
            <w:pPr>
              <w:spacing w:after="0"/>
              <w:rPr>
                <w:sz w:val="17"/>
                <w:szCs w:val="17"/>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Unrealized loss/(gain) on derivatives held for trading</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1,394</w:t>
            </w:r>
          </w:p>
        </w:tc>
        <w:tc>
          <w:tcPr>
            <w:tcW w:w="28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(9,024)</w:t>
            </w:r>
          </w:p>
        </w:tc>
        <w:tc>
          <w:tcPr>
            <w:tcW w:w="40" w:type="dxa"/>
            <w:vAlign w:val="bottom"/>
          </w:tcPr>
          <w:p>
            <w:pPr>
              <w:spacing w:after="0"/>
              <w:rPr>
                <w:sz w:val="17"/>
                <w:szCs w:val="17"/>
                <w:color w:val="auto"/>
              </w:rPr>
            </w:pPr>
          </w:p>
        </w:tc>
      </w:tr>
      <w:tr>
        <w:trPr>
          <w:trHeight w:val="203"/>
        </w:trPr>
        <w:tc>
          <w:tcPr>
            <w:tcW w:w="78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Share-based compensation</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280" w:type="dxa"/>
            <w:vAlign w:val="bottom"/>
            <w:tcBorders>
              <w:bottom w:val="single" w:sz="8" w:color="E5FF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40" w:type="dxa"/>
            <w:vAlign w:val="bottom"/>
          </w:tcPr>
          <w:p>
            <w:pPr>
              <w:spacing w:after="0"/>
              <w:rPr>
                <w:sz w:val="17"/>
                <w:szCs w:val="17"/>
                <w:color w:val="auto"/>
              </w:rPr>
            </w:pPr>
          </w:p>
        </w:tc>
      </w:tr>
      <w:tr>
        <w:trPr>
          <w:trHeight w:val="196"/>
        </w:trPr>
        <w:tc>
          <w:tcPr>
            <w:tcW w:w="784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193,389</w:t>
            </w:r>
          </w:p>
        </w:tc>
        <w:tc>
          <w:tcPr>
            <w:tcW w:w="28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177,040</w:t>
            </w:r>
          </w:p>
        </w:tc>
        <w:tc>
          <w:tcPr>
            <w:tcW w:w="40" w:type="dxa"/>
            <w:vAlign w:val="bottom"/>
          </w:tcPr>
          <w:p>
            <w:pPr>
              <w:spacing w:after="0"/>
              <w:rPr>
                <w:sz w:val="17"/>
                <w:szCs w:val="17"/>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Movements in working capital</w:t>
            </w: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(12,861)</w:t>
            </w:r>
          </w:p>
        </w:tc>
        <w:tc>
          <w:tcPr>
            <w:tcW w:w="1600" w:type="dxa"/>
            <w:vAlign w:val="bottom"/>
          </w:tcPr>
          <w:p>
            <w:pPr>
              <w:jc w:val="right"/>
              <w:spacing w:after="0"/>
              <w:rPr>
                <w:sz w:val="20"/>
                <w:szCs w:val="20"/>
                <w:color w:val="auto"/>
              </w:rPr>
            </w:pPr>
            <w:r>
              <w:rPr>
                <w:rFonts w:ascii="Arial" w:cs="Arial" w:eastAsia="Arial" w:hAnsi="Arial"/>
                <w:sz w:val="16"/>
                <w:szCs w:val="16"/>
                <w:color w:val="auto"/>
              </w:rPr>
              <w:t>2,421</w:t>
            </w:r>
          </w:p>
        </w:tc>
        <w:tc>
          <w:tcPr>
            <w:tcW w:w="40" w:type="dxa"/>
            <w:vAlign w:val="bottom"/>
          </w:tcPr>
          <w:p>
            <w:pPr>
              <w:spacing w:after="0"/>
              <w:rPr>
                <w:sz w:val="17"/>
                <w:szCs w:val="17"/>
                <w:color w:val="auto"/>
              </w:rPr>
            </w:pPr>
          </w:p>
        </w:tc>
      </w:tr>
      <w:tr>
        <w:trPr>
          <w:trHeight w:val="196"/>
        </w:trPr>
        <w:tc>
          <w:tcPr>
            <w:tcW w:w="7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180,528</w:t>
            </w:r>
          </w:p>
        </w:tc>
        <w:tc>
          <w:tcPr>
            <w:tcW w:w="28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179,461</w:t>
            </w:r>
          </w:p>
        </w:tc>
        <w:tc>
          <w:tcPr>
            <w:tcW w:w="40" w:type="dxa"/>
            <w:vAlign w:val="bottom"/>
          </w:tcPr>
          <w:p>
            <w:pPr>
              <w:spacing w:after="0"/>
              <w:rPr>
                <w:sz w:val="17"/>
                <w:szCs w:val="17"/>
                <w:color w:val="auto"/>
              </w:rPr>
            </w:pPr>
          </w:p>
        </w:tc>
      </w:tr>
      <w:tr>
        <w:trPr>
          <w:trHeight w:val="196"/>
        </w:trPr>
        <w:tc>
          <w:tcPr>
            <w:tcW w:w="78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paid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(42,122)</w:t>
            </w:r>
          </w:p>
        </w:tc>
        <w:tc>
          <w:tcPr>
            <w:tcW w:w="280" w:type="dxa"/>
            <w:vAlign w:val="bottom"/>
            <w:tcBorders>
              <w:bottom w:val="single" w:sz="8" w:color="E5FF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(43,195)</w:t>
            </w:r>
          </w:p>
        </w:tc>
        <w:tc>
          <w:tcPr>
            <w:tcW w:w="40" w:type="dxa"/>
            <w:vAlign w:val="bottom"/>
          </w:tcPr>
          <w:p>
            <w:pPr>
              <w:spacing w:after="0"/>
              <w:rPr>
                <w:sz w:val="17"/>
                <w:szCs w:val="17"/>
                <w:color w:val="auto"/>
              </w:rPr>
            </w:pPr>
          </w:p>
        </w:tc>
      </w:tr>
      <w:tr>
        <w:trPr>
          <w:trHeight w:val="196"/>
        </w:trPr>
        <w:tc>
          <w:tcPr>
            <w:tcW w:w="78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138,406</w:t>
            </w:r>
          </w:p>
        </w:tc>
        <w:tc>
          <w:tcPr>
            <w:tcW w:w="280" w:type="dxa"/>
            <w:vAlign w:val="bottom"/>
            <w:shd w:val="clear" w:color="auto" w:fill="E5FFFF"/>
          </w:tcPr>
          <w:p>
            <w:pPr>
              <w:spacing w:after="0"/>
              <w:rPr>
                <w:sz w:val="17"/>
                <w:szCs w:val="17"/>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136,266</w:t>
            </w:r>
          </w:p>
        </w:tc>
        <w:tc>
          <w:tcPr>
            <w:tcW w:w="40" w:type="dxa"/>
            <w:vAlign w:val="bottom"/>
          </w:tcPr>
          <w:p>
            <w:pPr>
              <w:spacing w:after="0"/>
              <w:rPr>
                <w:sz w:val="17"/>
                <w:szCs w:val="17"/>
                <w:color w:val="auto"/>
              </w:rPr>
            </w:pPr>
          </w:p>
        </w:tc>
      </w:tr>
      <w:tr>
        <w:trPr>
          <w:trHeight w:val="183"/>
        </w:trPr>
        <w:tc>
          <w:tcPr>
            <w:tcW w:w="784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Payments for vessels’ additions</w:t>
            </w:r>
          </w:p>
        </w:tc>
        <w:tc>
          <w:tcPr>
            <w:tcW w:w="18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(2,207)</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(17,702)</w:t>
            </w:r>
          </w:p>
        </w:tc>
        <w:tc>
          <w:tcPr>
            <w:tcW w:w="40" w:type="dxa"/>
            <w:vAlign w:val="bottom"/>
          </w:tcPr>
          <w:p>
            <w:pPr>
              <w:spacing w:after="0"/>
              <w:rPr>
                <w:sz w:val="17"/>
                <w:szCs w:val="17"/>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1600" w:type="dxa"/>
            <w:vAlign w:val="bottom"/>
          </w:tcPr>
          <w:p>
            <w:pPr>
              <w:jc w:val="right"/>
              <w:spacing w:after="0"/>
              <w:rPr>
                <w:sz w:val="20"/>
                <w:szCs w:val="20"/>
                <w:color w:val="auto"/>
              </w:rPr>
            </w:pPr>
            <w:r>
              <w:rPr>
                <w:rFonts w:ascii="Arial" w:cs="Arial" w:eastAsia="Arial" w:hAnsi="Arial"/>
                <w:sz w:val="16"/>
                <w:szCs w:val="16"/>
                <w:color w:val="auto"/>
              </w:rPr>
              <w:t>621</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1,488</w:t>
            </w:r>
          </w:p>
        </w:tc>
        <w:tc>
          <w:tcPr>
            <w:tcW w:w="40" w:type="dxa"/>
            <w:vAlign w:val="bottom"/>
          </w:tcPr>
          <w:p>
            <w:pPr>
              <w:spacing w:after="0"/>
              <w:rPr>
                <w:sz w:val="17"/>
                <w:szCs w:val="17"/>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7,500</w:t>
            </w:r>
          </w:p>
        </w:tc>
        <w:tc>
          <w:tcPr>
            <w:tcW w:w="28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18,000</w:t>
            </w:r>
          </w:p>
        </w:tc>
        <w:tc>
          <w:tcPr>
            <w:tcW w:w="40" w:type="dxa"/>
            <w:vAlign w:val="bottom"/>
          </w:tcPr>
          <w:p>
            <w:pPr>
              <w:spacing w:after="0"/>
              <w:rPr>
                <w:sz w:val="17"/>
                <w:szCs w:val="17"/>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(28,000)</w:t>
            </w:r>
          </w:p>
        </w:tc>
        <w:tc>
          <w:tcPr>
            <w:tcW w:w="40" w:type="dxa"/>
            <w:vAlign w:val="bottom"/>
          </w:tcPr>
          <w:p>
            <w:pPr>
              <w:spacing w:after="0"/>
              <w:rPr>
                <w:sz w:val="17"/>
                <w:szCs w:val="17"/>
                <w:color w:val="auto"/>
              </w:rPr>
            </w:pPr>
          </w:p>
        </w:tc>
      </w:tr>
      <w:tr>
        <w:trPr>
          <w:trHeight w:val="196"/>
        </w:trPr>
        <w:tc>
          <w:tcPr>
            <w:tcW w:w="7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by/(used in) investing activities</w:t>
            </w: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5,914</w:t>
            </w:r>
          </w:p>
        </w:tc>
        <w:tc>
          <w:tcPr>
            <w:tcW w:w="28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(26,214)</w:t>
            </w:r>
          </w:p>
        </w:tc>
        <w:tc>
          <w:tcPr>
            <w:tcW w:w="40" w:type="dxa"/>
            <w:vAlign w:val="bottom"/>
          </w:tcPr>
          <w:p>
            <w:pPr>
              <w:spacing w:after="0"/>
              <w:rPr>
                <w:sz w:val="17"/>
                <w:szCs w:val="17"/>
                <w:color w:val="auto"/>
              </w:rPr>
            </w:pPr>
          </w:p>
        </w:tc>
      </w:tr>
      <w:tr>
        <w:trPr>
          <w:trHeight w:val="183"/>
        </w:trPr>
        <w:tc>
          <w:tcPr>
            <w:tcW w:w="784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Borrowings drawdowns</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60,000</w:t>
            </w:r>
          </w:p>
        </w:tc>
        <w:tc>
          <w:tcPr>
            <w:tcW w:w="28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Borrowings repayments</w:t>
            </w: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(149,304)</w:t>
            </w:r>
          </w:p>
        </w:tc>
        <w:tc>
          <w:tcPr>
            <w:tcW w:w="1600" w:type="dxa"/>
            <w:vAlign w:val="bottom"/>
          </w:tcPr>
          <w:p>
            <w:pPr>
              <w:jc w:val="right"/>
              <w:spacing w:after="0"/>
              <w:rPr>
                <w:sz w:val="20"/>
                <w:szCs w:val="20"/>
                <w:color w:val="auto"/>
              </w:rPr>
            </w:pPr>
            <w:r>
              <w:rPr>
                <w:rFonts w:ascii="Arial" w:cs="Arial" w:eastAsia="Arial" w:hAnsi="Arial"/>
                <w:sz w:val="16"/>
                <w:szCs w:val="16"/>
                <w:color w:val="auto"/>
              </w:rPr>
              <w:t>(148,929)</w:t>
            </w:r>
          </w:p>
        </w:tc>
        <w:tc>
          <w:tcPr>
            <w:tcW w:w="40" w:type="dxa"/>
            <w:vAlign w:val="bottom"/>
          </w:tcPr>
          <w:p>
            <w:pPr>
              <w:spacing w:after="0"/>
              <w:rPr>
                <w:sz w:val="17"/>
                <w:szCs w:val="17"/>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issuance costs</w:t>
            </w:r>
          </w:p>
        </w:tc>
        <w:tc>
          <w:tcPr>
            <w:tcW w:w="18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(1,507)</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(79)</w:t>
            </w:r>
          </w:p>
        </w:tc>
        <w:tc>
          <w:tcPr>
            <w:tcW w:w="40" w:type="dxa"/>
            <w:vAlign w:val="bottom"/>
          </w:tcPr>
          <w:p>
            <w:pPr>
              <w:spacing w:after="0"/>
              <w:rPr>
                <w:sz w:val="17"/>
                <w:szCs w:val="17"/>
                <w:color w:val="auto"/>
              </w:rPr>
            </w:pPr>
          </w:p>
        </w:tc>
      </w:tr>
      <w:tr>
        <w:trPr>
          <w:trHeight w:val="193"/>
        </w:trPr>
        <w:tc>
          <w:tcPr>
            <w:tcW w:w="7840" w:type="dxa"/>
            <w:vAlign w:val="bottom"/>
          </w:tcPr>
          <w:p>
            <w:pPr>
              <w:spacing w:after="0"/>
              <w:rPr>
                <w:sz w:val="20"/>
                <w:szCs w:val="20"/>
                <w:color w:val="auto"/>
              </w:rPr>
            </w:pPr>
            <w:r>
              <w:rPr>
                <w:rFonts w:ascii="Arial" w:cs="Arial" w:eastAsia="Arial" w:hAnsi="Arial"/>
                <w:sz w:val="16"/>
                <w:szCs w:val="16"/>
                <w:color w:val="auto"/>
              </w:rPr>
              <w:t>Proceeds from public offerings and issuances of common units and general partner units (net of underwriting</w:t>
            </w: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7840" w:type="dxa"/>
            <w:vAlign w:val="bottom"/>
          </w:tcPr>
          <w:p>
            <w:pPr>
              <w:ind w:left="180"/>
              <w:spacing w:after="0"/>
              <w:rPr>
                <w:sz w:val="20"/>
                <w:szCs w:val="20"/>
                <w:color w:val="auto"/>
              </w:rPr>
            </w:pPr>
            <w:r>
              <w:rPr>
                <w:rFonts w:ascii="Arial" w:cs="Arial" w:eastAsia="Arial" w:hAnsi="Arial"/>
                <w:sz w:val="16"/>
                <w:szCs w:val="16"/>
                <w:color w:val="auto"/>
              </w:rPr>
              <w:t>discounts and commissions)</w:t>
            </w:r>
          </w:p>
        </w:tc>
        <w:tc>
          <w:tcPr>
            <w:tcW w:w="1600" w:type="dxa"/>
            <w:vAlign w:val="bottom"/>
          </w:tcPr>
          <w:p>
            <w:pPr>
              <w:jc w:val="right"/>
              <w:spacing w:after="0"/>
              <w:rPr>
                <w:sz w:val="20"/>
                <w:szCs w:val="20"/>
                <w:color w:val="auto"/>
              </w:rPr>
            </w:pPr>
            <w:r>
              <w:rPr>
                <w:rFonts w:ascii="Arial" w:cs="Arial" w:eastAsia="Arial" w:hAnsi="Arial"/>
                <w:sz w:val="16"/>
                <w:szCs w:val="16"/>
                <w:color w:val="auto"/>
              </w:rPr>
              <w:t>135,128</w:t>
            </w:r>
          </w:p>
        </w:tc>
        <w:tc>
          <w:tcPr>
            <w:tcW w:w="280" w:type="dxa"/>
            <w:vAlign w:val="bottom"/>
          </w:tcPr>
          <w:p>
            <w:pPr>
              <w:spacing w:after="0"/>
              <w:rPr>
                <w:sz w:val="17"/>
                <w:szCs w:val="17"/>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6"/>
                <w:szCs w:val="16"/>
                <w:color w:val="auto"/>
              </w:rPr>
              <w:t>56,381</w:t>
            </w:r>
          </w:p>
        </w:tc>
      </w:tr>
      <w:tr>
        <w:trPr>
          <w:trHeight w:val="209"/>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Proceeds from issuance of preference units (net of underwriting discounts and commissions)</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139,222</w:t>
            </w:r>
          </w:p>
        </w:tc>
        <w:tc>
          <w:tcPr>
            <w:tcW w:w="280" w:type="dxa"/>
            <w:vAlign w:val="bottom"/>
            <w:shd w:val="clear" w:color="auto" w:fill="E5FFFF"/>
          </w:tcPr>
          <w:p>
            <w:pPr>
              <w:spacing w:after="0"/>
              <w:rPr>
                <w:sz w:val="18"/>
                <w:szCs w:val="18"/>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111,544</w:t>
            </w:r>
          </w:p>
        </w:tc>
        <w:tc>
          <w:tcPr>
            <w:tcW w:w="40" w:type="dxa"/>
            <w:vAlign w:val="bottom"/>
          </w:tcPr>
          <w:p>
            <w:pPr>
              <w:spacing w:after="0"/>
              <w:rPr>
                <w:sz w:val="18"/>
                <w:szCs w:val="18"/>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Payment of offering costs</w:t>
            </w: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(1,214)</w:t>
            </w:r>
          </w:p>
        </w:tc>
        <w:tc>
          <w:tcPr>
            <w:tcW w:w="1600" w:type="dxa"/>
            <w:vAlign w:val="bottom"/>
          </w:tcPr>
          <w:p>
            <w:pPr>
              <w:jc w:val="right"/>
              <w:spacing w:after="0"/>
              <w:rPr>
                <w:sz w:val="20"/>
                <w:szCs w:val="20"/>
                <w:color w:val="auto"/>
              </w:rPr>
            </w:pPr>
            <w:r>
              <w:rPr>
                <w:rFonts w:ascii="Arial" w:cs="Arial" w:eastAsia="Arial" w:hAnsi="Arial"/>
                <w:sz w:val="16"/>
                <w:szCs w:val="16"/>
                <w:color w:val="auto"/>
              </w:rPr>
              <w:t>(929)</w:t>
            </w:r>
          </w:p>
        </w:tc>
        <w:tc>
          <w:tcPr>
            <w:tcW w:w="40" w:type="dxa"/>
            <w:vAlign w:val="bottom"/>
          </w:tcPr>
          <w:p>
            <w:pPr>
              <w:spacing w:after="0"/>
              <w:rPr>
                <w:sz w:val="17"/>
                <w:szCs w:val="17"/>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Cash payment to GasLog in exchange for contribution of net assets</w:t>
            </w:r>
          </w:p>
        </w:tc>
        <w:tc>
          <w:tcPr>
            <w:tcW w:w="18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(121,554)</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(19,086)</w:t>
            </w:r>
          </w:p>
        </w:tc>
        <w:tc>
          <w:tcPr>
            <w:tcW w:w="40" w:type="dxa"/>
            <w:vAlign w:val="bottom"/>
          </w:tcPr>
          <w:p>
            <w:pPr>
              <w:spacing w:after="0"/>
              <w:rPr>
                <w:sz w:val="17"/>
                <w:szCs w:val="17"/>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Distributions paid</w:t>
            </w: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(64,804)</w:t>
            </w:r>
          </w:p>
        </w:tc>
        <w:tc>
          <w:tcPr>
            <w:tcW w:w="1600" w:type="dxa"/>
            <w:vAlign w:val="bottom"/>
          </w:tcPr>
          <w:p>
            <w:pPr>
              <w:jc w:val="right"/>
              <w:spacing w:after="0"/>
              <w:rPr>
                <w:sz w:val="20"/>
                <w:szCs w:val="20"/>
                <w:color w:val="auto"/>
              </w:rPr>
            </w:pPr>
            <w:r>
              <w:rPr>
                <w:rFonts w:ascii="Arial" w:cs="Arial" w:eastAsia="Arial" w:hAnsi="Arial"/>
                <w:sz w:val="16"/>
                <w:szCs w:val="16"/>
                <w:color w:val="auto"/>
              </w:rPr>
              <w:t>(86,922)</w:t>
            </w:r>
          </w:p>
        </w:tc>
        <w:tc>
          <w:tcPr>
            <w:tcW w:w="40" w:type="dxa"/>
            <w:vAlign w:val="bottom"/>
          </w:tcPr>
          <w:p>
            <w:pPr>
              <w:spacing w:after="0"/>
              <w:rPr>
                <w:sz w:val="17"/>
                <w:szCs w:val="17"/>
                <w:color w:val="auto"/>
              </w:rPr>
            </w:pPr>
          </w:p>
        </w:tc>
      </w:tr>
      <w:tr>
        <w:trPr>
          <w:trHeight w:val="196"/>
        </w:trPr>
        <w:tc>
          <w:tcPr>
            <w:tcW w:w="7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(4,033)</w:t>
            </w:r>
          </w:p>
        </w:tc>
        <w:tc>
          <w:tcPr>
            <w:tcW w:w="28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(88,020)</w:t>
            </w:r>
          </w:p>
        </w:tc>
        <w:tc>
          <w:tcPr>
            <w:tcW w:w="40" w:type="dxa"/>
            <w:vAlign w:val="bottom"/>
          </w:tcPr>
          <w:p>
            <w:pPr>
              <w:spacing w:after="0"/>
              <w:rPr>
                <w:sz w:val="17"/>
                <w:szCs w:val="17"/>
                <w:color w:val="auto"/>
              </w:rPr>
            </w:pPr>
          </w:p>
        </w:tc>
      </w:tr>
      <w:tr>
        <w:trPr>
          <w:trHeight w:val="196"/>
        </w:trPr>
        <w:tc>
          <w:tcPr>
            <w:tcW w:w="78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Increase in cash and cash equivalents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140,287</w:t>
            </w:r>
          </w:p>
        </w:tc>
        <w:tc>
          <w:tcPr>
            <w:tcW w:w="280" w:type="dxa"/>
            <w:vAlign w:val="bottom"/>
            <w:tcBorders>
              <w:bottom w:val="single" w:sz="8" w:color="E5FF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22,032</w:t>
            </w:r>
          </w:p>
        </w:tc>
        <w:tc>
          <w:tcPr>
            <w:tcW w:w="40" w:type="dxa"/>
            <w:vAlign w:val="bottom"/>
          </w:tcPr>
          <w:p>
            <w:pPr>
              <w:spacing w:after="0"/>
              <w:rPr>
                <w:sz w:val="17"/>
                <w:szCs w:val="17"/>
                <w:color w:val="auto"/>
              </w:rPr>
            </w:pPr>
          </w:p>
        </w:tc>
      </w:tr>
      <w:tr>
        <w:trPr>
          <w:trHeight w:val="196"/>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59,875</w:t>
            </w:r>
          </w:p>
        </w:tc>
        <w:tc>
          <w:tcPr>
            <w:tcW w:w="280" w:type="dxa"/>
            <w:vAlign w:val="bottom"/>
            <w:shd w:val="clear" w:color="auto" w:fill="E5FFFF"/>
          </w:tcPr>
          <w:p>
            <w:pPr>
              <w:spacing w:after="0"/>
              <w:rPr>
                <w:sz w:val="17"/>
                <w:szCs w:val="17"/>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146,721</w:t>
            </w:r>
          </w:p>
        </w:tc>
        <w:tc>
          <w:tcPr>
            <w:tcW w:w="40" w:type="dxa"/>
            <w:vAlign w:val="bottom"/>
          </w:tcPr>
          <w:p>
            <w:pPr>
              <w:spacing w:after="0"/>
              <w:rPr>
                <w:sz w:val="17"/>
                <w:szCs w:val="17"/>
                <w:color w:val="auto"/>
              </w:rPr>
            </w:pPr>
          </w:p>
        </w:tc>
      </w:tr>
      <w:tr>
        <w:trPr>
          <w:trHeight w:val="236"/>
        </w:trPr>
        <w:tc>
          <w:tcPr>
            <w:tcW w:w="78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200,162</w:t>
            </w:r>
          </w:p>
        </w:tc>
        <w:tc>
          <w:tcPr>
            <w:tcW w:w="280" w:type="dxa"/>
            <w:vAlign w:val="bottom"/>
            <w:tcBorders>
              <w:bottom w:val="single" w:sz="8" w:color="E5FF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168,753</w:t>
            </w:r>
          </w:p>
        </w:tc>
        <w:tc>
          <w:tcPr>
            <w:tcW w:w="40" w:type="dxa"/>
            <w:vAlign w:val="bottom"/>
          </w:tcPr>
          <w:p>
            <w:pPr>
              <w:spacing w:after="0"/>
              <w:rPr>
                <w:sz w:val="20"/>
                <w:szCs w:val="20"/>
                <w:color w:val="auto"/>
              </w:rPr>
            </w:pPr>
          </w:p>
        </w:tc>
      </w:tr>
      <w:tr>
        <w:trPr>
          <w:trHeight w:val="197"/>
        </w:trPr>
        <w:tc>
          <w:tcPr>
            <w:tcW w:w="784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6"/>
          <w:szCs w:val="16"/>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78040" cy="70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70485"/>
                    </a:xfrm>
                    <a:prstGeom prst="rect">
                      <a:avLst/>
                    </a:prstGeom>
                    <a:noFill/>
                  </pic:spPr>
                </pic:pic>
              </a:graphicData>
            </a:graphic>
          </wp:anchor>
        </w:drawing>
      </w:r>
    </w:p>
    <w:p>
      <w:pPr>
        <w:sectPr>
          <w:pgSz w:w="11900" w:h="16838" w:orient="portrait"/>
          <w:cols w:equalWidth="0" w:num="1">
            <w:col w:w="11360"/>
          </w:cols>
          <w:pgMar w:left="240" w:top="108" w:right="29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3"/>
        </w:trPr>
        <w:tc>
          <w:tcPr>
            <w:tcW w:w="7160" w:type="dxa"/>
            <w:vAlign w:val="bottom"/>
            <w:shd w:val="clear" w:color="auto" w:fill="E5FFFF"/>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3000" w:type="dxa"/>
            <w:vAlign w:val="bottom"/>
            <w:shd w:val="clear" w:color="auto" w:fill="E5FFFF"/>
          </w:tcPr>
          <w:p>
            <w:pPr>
              <w:jc w:val="right"/>
              <w:ind w:right="639"/>
              <w:spacing w:after="0"/>
              <w:rPr>
                <w:sz w:val="20"/>
                <w:szCs w:val="20"/>
                <w:color w:val="auto"/>
              </w:rPr>
            </w:pPr>
            <w:r>
              <w:rPr>
                <w:rFonts w:ascii="Arial" w:cs="Arial" w:eastAsia="Arial" w:hAnsi="Arial"/>
                <w:sz w:val="16"/>
                <w:szCs w:val="16"/>
                <w:color w:val="auto"/>
              </w:rPr>
              <w:t>998</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14,379</w:t>
            </w:r>
          </w:p>
        </w:tc>
      </w:tr>
      <w:tr>
        <w:trPr>
          <w:trHeight w:val="203"/>
        </w:trPr>
        <w:tc>
          <w:tcPr>
            <w:tcW w:w="7160" w:type="dxa"/>
            <w:vAlign w:val="bottom"/>
          </w:tcPr>
          <w:p>
            <w:pPr>
              <w:spacing w:after="0"/>
              <w:rPr>
                <w:sz w:val="20"/>
                <w:szCs w:val="20"/>
                <w:color w:val="auto"/>
              </w:rPr>
            </w:pPr>
            <w:r>
              <w:rPr>
                <w:rFonts w:ascii="Arial" w:cs="Arial" w:eastAsia="Arial" w:hAnsi="Arial"/>
                <w:sz w:val="16"/>
                <w:szCs w:val="16"/>
                <w:color w:val="auto"/>
              </w:rPr>
              <w:t>Financing costs included in liabilities at the end of the period</w:t>
            </w:r>
          </w:p>
        </w:tc>
        <w:tc>
          <w:tcPr>
            <w:tcW w:w="3000" w:type="dxa"/>
            <w:vAlign w:val="bottom"/>
          </w:tcPr>
          <w:p>
            <w:pPr>
              <w:jc w:val="right"/>
              <w:ind w:right="639"/>
              <w:spacing w:after="0"/>
              <w:rPr>
                <w:sz w:val="20"/>
                <w:szCs w:val="20"/>
                <w:color w:val="auto"/>
              </w:rPr>
            </w:pPr>
            <w:r>
              <w:rPr>
                <w:rFonts w:ascii="Arial" w:cs="Arial" w:eastAsia="Arial" w:hAnsi="Arial"/>
                <w:sz w:val="16"/>
                <w:szCs w:val="16"/>
                <w:color w:val="auto"/>
              </w:rPr>
              <w:t>10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160" w:type="dxa"/>
            <w:vAlign w:val="bottom"/>
            <w:shd w:val="clear" w:color="auto" w:fill="E5FFFF"/>
          </w:tcPr>
          <w:p>
            <w:pPr>
              <w:spacing w:after="0"/>
              <w:rPr>
                <w:sz w:val="20"/>
                <w:szCs w:val="20"/>
                <w:color w:val="auto"/>
              </w:rPr>
            </w:pPr>
            <w:r>
              <w:rPr>
                <w:rFonts w:ascii="Arial" w:cs="Arial" w:eastAsia="Arial" w:hAnsi="Arial"/>
                <w:sz w:val="16"/>
                <w:szCs w:val="16"/>
                <w:color w:val="auto"/>
              </w:rPr>
              <w:t>Offering costs included in liabilities at the end of the period</w:t>
            </w:r>
          </w:p>
        </w:tc>
        <w:tc>
          <w:tcPr>
            <w:tcW w:w="3000" w:type="dxa"/>
            <w:vAlign w:val="bottom"/>
            <w:shd w:val="clear" w:color="auto" w:fill="E5FFFF"/>
          </w:tcPr>
          <w:p>
            <w:pPr>
              <w:jc w:val="right"/>
              <w:ind w:right="639"/>
              <w:spacing w:after="0"/>
              <w:rPr>
                <w:sz w:val="20"/>
                <w:szCs w:val="20"/>
                <w:color w:val="auto"/>
              </w:rPr>
            </w:pPr>
            <w:r>
              <w:rPr>
                <w:rFonts w:ascii="Arial" w:cs="Arial" w:eastAsia="Arial" w:hAnsi="Arial"/>
                <w:sz w:val="16"/>
                <w:szCs w:val="16"/>
                <w:color w:val="auto"/>
              </w:rPr>
              <w:t>713</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166</w:t>
            </w:r>
          </w:p>
        </w:tc>
      </w:tr>
      <w:tr>
        <w:trPr>
          <w:trHeight w:val="206"/>
        </w:trPr>
        <w:tc>
          <w:tcPr>
            <w:tcW w:w="7160" w:type="dxa"/>
            <w:vAlign w:val="bottom"/>
          </w:tcPr>
          <w:p>
            <w:pPr>
              <w:spacing w:after="0"/>
              <w:rPr>
                <w:sz w:val="20"/>
                <w:szCs w:val="20"/>
                <w:color w:val="auto"/>
              </w:rPr>
            </w:pPr>
            <w:r>
              <w:rPr>
                <w:rFonts w:ascii="Arial" w:cs="Arial" w:eastAsia="Arial" w:hAnsi="Arial"/>
                <w:sz w:val="16"/>
                <w:szCs w:val="16"/>
                <w:color w:val="auto"/>
              </w:rPr>
              <w:t>Issuance of common units to GasLog in exchange for contribution of net assets</w:t>
            </w:r>
          </w:p>
        </w:tc>
        <w:tc>
          <w:tcPr>
            <w:tcW w:w="300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45,000</w:t>
            </w:r>
          </w:p>
        </w:tc>
      </w:tr>
    </w:tbl>
    <w:p>
      <w:pPr>
        <w:spacing w:after="0" w:line="84"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Restated so as to reflect the historical financial statements of GAS-eight Ltd. and GAS-fourteen Ltd. acquired on October 20, 2017 and April 26, 2018, respectively, from GasLog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2017 and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39" w:lineRule="exact"/>
        <w:rPr>
          <w:sz w:val="20"/>
          <w:szCs w:val="20"/>
          <w:color w:val="auto"/>
        </w:rPr>
      </w:pPr>
    </w:p>
    <w:p>
      <w:pPr>
        <w:ind w:right="420" w:firstLine="396"/>
        <w:spacing w:after="0" w:line="278"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as a wholly owned subsidiary of GasLog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63" w:lineRule="exact"/>
        <w:rPr>
          <w:sz w:val="20"/>
          <w:szCs w:val="20"/>
          <w:color w:val="auto"/>
        </w:rPr>
      </w:pPr>
    </w:p>
    <w:p>
      <w:pPr>
        <w:ind w:right="60" w:firstLine="396"/>
        <w:spacing w:after="0" w:line="293" w:lineRule="auto"/>
        <w:rPr>
          <w:sz w:val="20"/>
          <w:szCs w:val="20"/>
          <w:color w:val="auto"/>
        </w:rPr>
      </w:pPr>
      <w:r>
        <w:rPr>
          <w:rFonts w:ascii="Arial" w:cs="Arial" w:eastAsia="Arial" w:hAnsi="Arial"/>
          <w:sz w:val="16"/>
          <w:szCs w:val="16"/>
          <w:color w:val="auto"/>
        </w:rPr>
        <w:t xml:space="preserve">On May 3, 2017, GasLog Partners acquired from GasLog 100% of the ownership interests in GAS-eleven Ltd., the entity that owns a 174,000 cubic meter (“cbm”) LNG carrier, the </w:t>
      </w:r>
      <w:r>
        <w:rPr>
          <w:rFonts w:ascii="Arial" w:cs="Arial" w:eastAsia="Arial" w:hAnsi="Arial"/>
          <w:sz w:val="16"/>
          <w:szCs w:val="16"/>
          <w:i w:val="1"/>
          <w:iCs w:val="1"/>
          <w:color w:val="auto"/>
        </w:rPr>
        <w:t>GasLog Greece</w:t>
      </w:r>
      <w:r>
        <w:rPr>
          <w:rFonts w:ascii="Arial" w:cs="Arial" w:eastAsia="Arial" w:hAnsi="Arial"/>
          <w:sz w:val="16"/>
          <w:szCs w:val="16"/>
          <w:color w:val="auto"/>
        </w:rPr>
        <w:t>, for an aggregate purchase price of $219,000.</w:t>
      </w:r>
    </w:p>
    <w:p>
      <w:pPr>
        <w:spacing w:after="0" w:line="50" w:lineRule="exact"/>
        <w:rPr>
          <w:sz w:val="20"/>
          <w:szCs w:val="20"/>
          <w:color w:val="auto"/>
        </w:rPr>
      </w:pPr>
    </w:p>
    <w:p>
      <w:pPr>
        <w:ind w:right="320" w:firstLine="396"/>
        <w:spacing w:after="0" w:line="293" w:lineRule="auto"/>
        <w:rPr>
          <w:sz w:val="20"/>
          <w:szCs w:val="20"/>
          <w:color w:val="auto"/>
        </w:rPr>
      </w:pPr>
      <w:r>
        <w:rPr>
          <w:rFonts w:ascii="Arial" w:cs="Arial" w:eastAsia="Arial" w:hAnsi="Arial"/>
          <w:sz w:val="16"/>
          <w:szCs w:val="16"/>
          <w:color w:val="auto"/>
        </w:rPr>
        <w:t xml:space="preserve">On July 3, 2017, GasLog Partners acquired from GasLog 100% of the ownership interests in GAS-thirteen Ltd., the entity that owns a 174,000 cbm LNG carrier, the </w:t>
      </w:r>
      <w:r>
        <w:rPr>
          <w:rFonts w:ascii="Arial" w:cs="Arial" w:eastAsia="Arial" w:hAnsi="Arial"/>
          <w:sz w:val="16"/>
          <w:szCs w:val="16"/>
          <w:i w:val="1"/>
          <w:iCs w:val="1"/>
          <w:color w:val="auto"/>
        </w:rPr>
        <w:t>GasLog Geneva</w:t>
      </w:r>
      <w:r>
        <w:rPr>
          <w:rFonts w:ascii="Arial" w:cs="Arial" w:eastAsia="Arial" w:hAnsi="Arial"/>
          <w:sz w:val="16"/>
          <w:szCs w:val="16"/>
          <w:color w:val="auto"/>
        </w:rPr>
        <w:t>, for an aggregate purchase price of $211,000.</w:t>
      </w:r>
    </w:p>
    <w:p>
      <w:pPr>
        <w:spacing w:after="0" w:line="50" w:lineRule="exact"/>
        <w:rPr>
          <w:sz w:val="20"/>
          <w:szCs w:val="20"/>
          <w:color w:val="auto"/>
        </w:rPr>
      </w:pPr>
    </w:p>
    <w:p>
      <w:pPr>
        <w:ind w:right="120" w:firstLine="396"/>
        <w:spacing w:after="0" w:line="293" w:lineRule="auto"/>
        <w:rPr>
          <w:sz w:val="20"/>
          <w:szCs w:val="20"/>
          <w:color w:val="auto"/>
        </w:rPr>
      </w:pPr>
      <w:r>
        <w:rPr>
          <w:rFonts w:ascii="Arial" w:cs="Arial" w:eastAsia="Arial" w:hAnsi="Arial"/>
          <w:sz w:val="16"/>
          <w:szCs w:val="16"/>
          <w:color w:val="auto"/>
        </w:rPr>
        <w:t xml:space="preserve">On October 20, 2017, GasLog Partners acquired 100% of the ownership interests in GAS-eight Ltd., the entity that owns a 155,000 cbm LNG carrier, the </w:t>
      </w:r>
      <w:r>
        <w:rPr>
          <w:rFonts w:ascii="Arial" w:cs="Arial" w:eastAsia="Arial" w:hAnsi="Arial"/>
          <w:sz w:val="16"/>
          <w:szCs w:val="16"/>
          <w:i w:val="1"/>
          <w:iCs w:val="1"/>
          <w:color w:val="auto"/>
        </w:rPr>
        <w:t>Solaris</w:t>
      </w:r>
      <w:r>
        <w:rPr>
          <w:rFonts w:ascii="Arial" w:cs="Arial" w:eastAsia="Arial" w:hAnsi="Arial"/>
          <w:sz w:val="16"/>
          <w:szCs w:val="16"/>
          <w:color w:val="auto"/>
        </w:rPr>
        <w:t>, for an aggregate purchase price of $185,900.</w:t>
      </w:r>
    </w:p>
    <w:p>
      <w:pPr>
        <w:spacing w:after="0" w:line="50" w:lineRule="exact"/>
        <w:rPr>
          <w:sz w:val="20"/>
          <w:szCs w:val="20"/>
          <w:color w:val="auto"/>
        </w:rPr>
      </w:pPr>
    </w:p>
    <w:p>
      <w:pPr>
        <w:ind w:right="480" w:firstLine="396"/>
        <w:spacing w:after="0" w:line="293" w:lineRule="auto"/>
        <w:rPr>
          <w:sz w:val="20"/>
          <w:szCs w:val="20"/>
          <w:color w:val="auto"/>
        </w:rPr>
      </w:pPr>
      <w:r>
        <w:rPr>
          <w:rFonts w:ascii="Arial" w:cs="Arial" w:eastAsia="Arial" w:hAnsi="Arial"/>
          <w:sz w:val="16"/>
          <w:szCs w:val="16"/>
          <w:color w:val="auto"/>
        </w:rPr>
        <w:t xml:space="preserve">On April 26, 2018, GasLog Partners acquired 100% of the ownership interests in GAS-fourteen Ltd., the entity that owns a 174,000 cbm LNG carrier,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Gibraltar</w:t>
      </w:r>
      <w:r>
        <w:rPr>
          <w:rFonts w:ascii="Arial" w:cs="Arial" w:eastAsia="Arial" w:hAnsi="Arial"/>
          <w:sz w:val="16"/>
          <w:szCs w:val="16"/>
          <w:color w:val="auto"/>
        </w:rPr>
        <w:t>, for an aggregate purchase price of $207,000.</w:t>
      </w:r>
    </w:p>
    <w:p>
      <w:pPr>
        <w:spacing w:after="0" w:line="50" w:lineRule="exact"/>
        <w:rPr>
          <w:sz w:val="20"/>
          <w:szCs w:val="20"/>
          <w:color w:val="auto"/>
        </w:rPr>
      </w:pPr>
    </w:p>
    <w:p>
      <w:pPr>
        <w:ind w:right="100" w:firstLine="383"/>
        <w:spacing w:after="0" w:line="271" w:lineRule="auto"/>
        <w:rPr>
          <w:sz w:val="20"/>
          <w:szCs w:val="20"/>
          <w:color w:val="auto"/>
        </w:rPr>
      </w:pPr>
      <w:r>
        <w:rPr>
          <w:rFonts w:ascii="Arial" w:cs="Arial" w:eastAsia="Arial" w:hAnsi="Arial"/>
          <w:sz w:val="16"/>
          <w:szCs w:val="16"/>
          <w:color w:val="auto"/>
        </w:rPr>
        <w:t xml:space="preserve">The acquisitions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from GasLog were accounted for as reorganizations of companies under common control. The Partnership’s historical results were retroactively restated to reflect the historical results of GAS-eleven Ltd., the entity that owns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Greece</w:t>
      </w:r>
      <w:r>
        <w:rPr>
          <w:rFonts w:ascii="Arial" w:cs="Arial" w:eastAsia="Arial" w:hAnsi="Arial"/>
          <w:sz w:val="16"/>
          <w:szCs w:val="16"/>
          <w:color w:val="auto"/>
        </w:rPr>
        <w:t>, GAS-thirteen Ltd., the entity that owns the</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GAS-eight Ltd., the entity that owns 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and GAS-fourteen Ltd., the entity that owns the</w:t>
      </w:r>
      <w:r>
        <w:rPr>
          <w:rFonts w:ascii="Arial" w:cs="Arial" w:eastAsia="Arial" w:hAnsi="Arial"/>
          <w:sz w:val="16"/>
          <w:szCs w:val="16"/>
          <w:i w:val="1"/>
          <w:iCs w:val="1"/>
          <w:color w:val="auto"/>
        </w:rPr>
        <w:t xml:space="preserve"> GasLog Gibraltar</w:t>
      </w:r>
      <w:r>
        <w:rPr>
          <w:rFonts w:ascii="Arial" w:cs="Arial" w:eastAsia="Arial" w:hAnsi="Arial"/>
          <w:sz w:val="16"/>
          <w:szCs w:val="16"/>
          <w:color w:val="auto"/>
        </w:rPr>
        <w:t>, from their respective dates of incorporation by GasLog. The carrying amounts of assets and liabilities included are based on the historical carrying amounts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recognized by the subsidiaries.</w:t>
      </w:r>
    </w:p>
    <w:p>
      <w:pPr>
        <w:spacing w:after="0" w:line="69"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As of September 30, 2018, GasLog holds a 27.7% interest in the Partnership. As a result of its 100% ownership of the general partner, and the fact that the general</w:t>
      </w:r>
    </w:p>
    <w:p>
      <w:pPr>
        <w:spacing w:after="0" w:line="34"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partner elects the majority of the Partnership’s directors in accordance with the Partnership Agreement, GasLog has the ability to control the Partnership’s affairs and policies.</w:t>
      </w:r>
    </w:p>
    <w:p>
      <w:pPr>
        <w:spacing w:after="0" w:line="132" w:lineRule="exact"/>
        <w:rPr>
          <w:sz w:val="20"/>
          <w:szCs w:val="20"/>
          <w:color w:val="auto"/>
        </w:rPr>
      </w:pPr>
    </w:p>
    <w:p>
      <w:pPr>
        <w:jc w:val="both"/>
        <w:ind w:right="40" w:firstLine="405"/>
        <w:spacing w:after="0" w:line="278" w:lineRule="auto"/>
        <w:rPr>
          <w:sz w:val="20"/>
          <w:szCs w:val="20"/>
          <w:color w:val="auto"/>
        </w:rPr>
      </w:pPr>
      <w:r>
        <w:rPr>
          <w:rFonts w:ascii="Arial" w:cs="Arial" w:eastAsia="Arial" w:hAnsi="Arial"/>
          <w:sz w:val="16"/>
          <w:szCs w:val="16"/>
          <w:color w:val="auto"/>
        </w:rPr>
        <w:t>The Partnership’s principal business is the acquisition and operation of vessels in the LNG market, providing transportation services of LNG on a worldwide basis under multi-year charters. GasLog LNG Services Ltd. (“GasLog LNG Services” or the “Manager”), a related party and a wholly owned subsidiary of GasLog, incorporated under the laws of the Bermuda, provides technical services to the Partnership.</w:t>
      </w:r>
    </w:p>
    <w:p>
      <w:pPr>
        <w:spacing w:after="0" w:line="63" w:lineRule="exact"/>
        <w:rPr>
          <w:sz w:val="20"/>
          <w:szCs w:val="20"/>
          <w:color w:val="auto"/>
        </w:rPr>
      </w:pPr>
    </w:p>
    <w:p>
      <w:pPr>
        <w:ind w:right="100" w:firstLine="383"/>
        <w:spacing w:after="0" w:line="291" w:lineRule="auto"/>
        <w:rPr>
          <w:sz w:val="20"/>
          <w:szCs w:val="20"/>
          <w:color w:val="auto"/>
        </w:rPr>
      </w:pPr>
      <w:r>
        <w:rPr>
          <w:rFonts w:ascii="Arial" w:cs="Arial" w:eastAsia="Arial" w:hAnsi="Arial"/>
          <w:sz w:val="15"/>
          <w:szCs w:val="15"/>
          <w:color w:val="auto"/>
        </w:rPr>
        <w:t xml:space="preserve">On May 18, 2018, the Partnership through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entered the Cool Pool, an LNG carrier pooling arrangement operated by GasLog and Golar LNG Ltd. (the “Cool Pool”) to market their vessels operating in the LNG shipping spot market. The Cool Pool allows the participating owners to optimize the operation of the pool vessels through improved scheduling ability, cost efficiencies and common marketing. The objective of the Cool Pool is to serve the growing LNG market by providing customers with reliable, flexible, and innovative solutions to meet their increasingly complex shipping requirements. As of September 30, 2018, the Cool Pool consists of 16 modern efficient tri-fuel diesel electric (“TFDE”) LNG carriers in the 155,000-170,000 cbm range. The Cool Pool charters the vessels for periods up to one year in duration as agents for the owners, who each remain responsible for the technical and commercial operation of their vessels and performance of the contracts.</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September 30, 2018, the companies listed below were 100% held by the Partnership:</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Place of</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 of</w:t>
            </w:r>
          </w:p>
        </w:tc>
        <w:tc>
          <w:tcPr>
            <w:tcW w:w="1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Principal activities</w:t>
            </w: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Vessel</w:t>
            </w: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Cargo Capacity</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0" w:type="dxa"/>
            <w:vAlign w:val="bottom"/>
          </w:tcPr>
          <w:p>
            <w:pPr>
              <w:spacing w:after="0"/>
              <w:rPr>
                <w:sz w:val="1"/>
                <w:szCs w:val="1"/>
                <w:color w:val="auto"/>
              </w:rPr>
            </w:pPr>
          </w:p>
        </w:tc>
      </w:tr>
      <w:tr>
        <w:trPr>
          <w:trHeight w:val="171"/>
        </w:trPr>
        <w:tc>
          <w:tcPr>
            <w:tcW w:w="2140" w:type="dxa"/>
            <w:vAlign w:val="bottom"/>
            <w:gridSpan w:val="2"/>
            <w:vMerge w:val="continue"/>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incorporation</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incorporation</w:t>
            </w:r>
          </w:p>
        </w:tc>
        <w:tc>
          <w:tcPr>
            <w:tcW w:w="19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(cbm)</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GAS-three Ltd.</w:t>
            </w:r>
          </w:p>
        </w:tc>
        <w:tc>
          <w:tcPr>
            <w:tcW w:w="30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1"/>
              </w:rPr>
              <w:t>Bermuda</w:t>
            </w:r>
          </w:p>
        </w:tc>
        <w:tc>
          <w:tcPr>
            <w:tcW w:w="30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rPr>
              <w:t>April 2010</w:t>
            </w:r>
          </w:p>
        </w:tc>
        <w:tc>
          <w:tcPr>
            <w:tcW w:w="280" w:type="dxa"/>
            <w:vAlign w:val="bottom"/>
            <w:tcBorders>
              <w:top w:val="single" w:sz="8" w:color="E5FFFF"/>
            </w:tcBorders>
            <w:shd w:val="clear" w:color="auto" w:fill="E5FFFF"/>
          </w:tcPr>
          <w:p>
            <w:pPr>
              <w:spacing w:after="0"/>
              <w:rPr>
                <w:sz w:val="12"/>
                <w:szCs w:val="12"/>
                <w:color w:val="auto"/>
              </w:rPr>
            </w:pPr>
          </w:p>
        </w:tc>
        <w:tc>
          <w:tcPr>
            <w:tcW w:w="170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3"/>
              </w:rPr>
              <w:t>Vessel-owning company</w:t>
            </w:r>
          </w:p>
        </w:tc>
        <w:tc>
          <w:tcPr>
            <w:tcW w:w="280" w:type="dxa"/>
            <w:vAlign w:val="bottom"/>
            <w:tcBorders>
              <w:top w:val="single" w:sz="8" w:color="E5FFFF"/>
            </w:tcBorders>
            <w:shd w:val="clear" w:color="auto" w:fill="E5FFFF"/>
          </w:tcPr>
          <w:p>
            <w:pPr>
              <w:spacing w:after="0"/>
              <w:rPr>
                <w:sz w:val="12"/>
                <w:szCs w:val="12"/>
                <w:color w:val="auto"/>
              </w:rPr>
            </w:pPr>
          </w:p>
        </w:tc>
        <w:tc>
          <w:tcPr>
            <w:tcW w:w="136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i w:val="1"/>
                <w:iCs w:val="1"/>
                <w:color w:val="auto"/>
                <w:w w:val="92"/>
              </w:rPr>
              <w:t>GasLog Shanghai</w:t>
            </w:r>
          </w:p>
        </w:tc>
        <w:tc>
          <w:tcPr>
            <w:tcW w:w="300" w:type="dxa"/>
            <w:vAlign w:val="bottom"/>
            <w:tcBorders>
              <w:top w:val="single" w:sz="8" w:color="E5FFFF"/>
            </w:tcBorders>
            <w:shd w:val="clear" w:color="auto" w:fill="E5FFFF"/>
          </w:tcPr>
          <w:p>
            <w:pPr>
              <w:spacing w:after="0"/>
              <w:rPr>
                <w:sz w:val="12"/>
                <w:szCs w:val="12"/>
                <w:color w:val="auto"/>
              </w:rPr>
            </w:pPr>
          </w:p>
        </w:tc>
        <w:tc>
          <w:tcPr>
            <w:tcW w:w="12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0"/>
              </w:rPr>
              <w:t>155,000</w:t>
            </w:r>
          </w:p>
        </w:tc>
        <w:tc>
          <w:tcPr>
            <w:tcW w:w="280" w:type="dxa"/>
            <w:vAlign w:val="bottom"/>
            <w:tcBorders>
              <w:top w:val="single" w:sz="8" w:color="E5FFFF"/>
            </w:tcBorders>
            <w:shd w:val="clear" w:color="auto" w:fill="E5FFFF"/>
          </w:tcPr>
          <w:p>
            <w:pPr>
              <w:spacing w:after="0"/>
              <w:rPr>
                <w:sz w:val="12"/>
                <w:szCs w:val="12"/>
                <w:color w:val="auto"/>
              </w:rPr>
            </w:pPr>
          </w:p>
        </w:tc>
        <w:tc>
          <w:tcPr>
            <w:tcW w:w="12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89"/>
              </w:rPr>
              <w:t>January 2013</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GAS-four Ltd.</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Bermuda</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April 2010</w:t>
            </w: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Vessel-owning company</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i w:val="1"/>
                <w:iCs w:val="1"/>
                <w:color w:val="auto"/>
                <w:w w:val="92"/>
              </w:rPr>
              <w:t>GasLog Santiago</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2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2013</w:t>
            </w:r>
          </w:p>
        </w:tc>
        <w:tc>
          <w:tcPr>
            <w:tcW w:w="0" w:type="dxa"/>
            <w:vAlign w:val="bottom"/>
          </w:tcPr>
          <w:p>
            <w:pPr>
              <w:spacing w:after="0"/>
              <w:rPr>
                <w:sz w:val="1"/>
                <w:szCs w:val="1"/>
                <w:color w:val="auto"/>
              </w:rPr>
            </w:pPr>
          </w:p>
        </w:tc>
      </w:tr>
      <w:tr>
        <w:trPr>
          <w:trHeight w:val="149"/>
        </w:trPr>
        <w:tc>
          <w:tcPr>
            <w:tcW w:w="214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GAS-five Ltd.</w:t>
            </w:r>
          </w:p>
        </w:tc>
        <w:tc>
          <w:tcPr>
            <w:tcW w:w="144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1"/>
              </w:rPr>
              <w:t>Bermuda</w:t>
            </w:r>
          </w:p>
        </w:tc>
        <w:tc>
          <w:tcPr>
            <w:tcW w:w="144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2"/>
              </w:rPr>
              <w:t>February 2011</w:t>
            </w:r>
          </w:p>
        </w:tc>
        <w:tc>
          <w:tcPr>
            <w:tcW w:w="198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3"/>
              </w:rPr>
              <w:t>Vessel-owning company</w:t>
            </w:r>
          </w:p>
        </w:tc>
        <w:tc>
          <w:tcPr>
            <w:tcW w:w="166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i w:val="1"/>
                <w:iCs w:val="1"/>
                <w:color w:val="auto"/>
                <w:w w:val="90"/>
              </w:rPr>
              <w:t>GasLog Sydney</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280" w:type="dxa"/>
            <w:vAlign w:val="bottom"/>
            <w:shd w:val="clear" w:color="auto" w:fill="E5FFFF"/>
          </w:tcPr>
          <w:p>
            <w:pPr>
              <w:spacing w:after="0"/>
              <w:rPr>
                <w:sz w:val="12"/>
                <w:szCs w:val="12"/>
                <w:color w:val="auto"/>
              </w:rPr>
            </w:pP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7"/>
              </w:rPr>
              <w:t>May 2013</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GAS-seven Ltd.</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Bermuda</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March 2011</w:t>
            </w: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Vessel-owning company</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i w:val="1"/>
                <w:iCs w:val="1"/>
                <w:color w:val="auto"/>
                <w:w w:val="91"/>
              </w:rPr>
              <w:t>GasLog Seattle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2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2013</w:t>
            </w:r>
          </w:p>
        </w:tc>
        <w:tc>
          <w:tcPr>
            <w:tcW w:w="0" w:type="dxa"/>
            <w:vAlign w:val="bottom"/>
          </w:tcPr>
          <w:p>
            <w:pPr>
              <w:spacing w:after="0"/>
              <w:rPr>
                <w:sz w:val="1"/>
                <w:szCs w:val="1"/>
                <w:color w:val="auto"/>
              </w:rPr>
            </w:pPr>
          </w:p>
        </w:tc>
      </w:tr>
      <w:tr>
        <w:trPr>
          <w:trHeight w:val="149"/>
        </w:trPr>
        <w:tc>
          <w:tcPr>
            <w:tcW w:w="214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GAS-eight Ltd.</w:t>
            </w:r>
          </w:p>
        </w:tc>
        <w:tc>
          <w:tcPr>
            <w:tcW w:w="144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1"/>
              </w:rPr>
              <w:t>Bermuda</w:t>
            </w:r>
          </w:p>
        </w:tc>
        <w:tc>
          <w:tcPr>
            <w:tcW w:w="144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1"/>
              </w:rPr>
              <w:t>March 2011</w:t>
            </w:r>
          </w:p>
        </w:tc>
        <w:tc>
          <w:tcPr>
            <w:tcW w:w="198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3"/>
              </w:rPr>
              <w:t>Vessel-owning company</w:t>
            </w:r>
          </w:p>
        </w:tc>
        <w:tc>
          <w:tcPr>
            <w:tcW w:w="1660" w:type="dxa"/>
            <w:vAlign w:val="bottom"/>
            <w:gridSpan w:val="2"/>
            <w:shd w:val="clear" w:color="auto" w:fill="E5FFFF"/>
          </w:tcPr>
          <w:p>
            <w:pPr>
              <w:jc w:val="center"/>
              <w:ind w:right="300"/>
              <w:spacing w:after="0" w:line="149" w:lineRule="exact"/>
              <w:rPr>
                <w:sz w:val="20"/>
                <w:szCs w:val="20"/>
                <w:color w:val="auto"/>
              </w:rPr>
            </w:pPr>
            <w:r>
              <w:rPr>
                <w:rFonts w:ascii="Arial" w:cs="Arial" w:eastAsia="Arial" w:hAnsi="Arial"/>
                <w:sz w:val="14"/>
                <w:szCs w:val="14"/>
                <w:i w:val="1"/>
                <w:iCs w:val="1"/>
                <w:color w:val="auto"/>
                <w:w w:val="93"/>
              </w:rPr>
              <w:t>Solaris</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280" w:type="dxa"/>
            <w:vAlign w:val="bottom"/>
            <w:shd w:val="clear" w:color="auto" w:fill="E5FFFF"/>
          </w:tcPr>
          <w:p>
            <w:pPr>
              <w:spacing w:after="0"/>
              <w:rPr>
                <w:sz w:val="12"/>
                <w:szCs w:val="12"/>
                <w:color w:val="auto"/>
              </w:rPr>
            </w:pP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GAS-eleven Ltd.</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Bermuda</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December 2012</w:t>
            </w: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Vessel-owning company</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i w:val="1"/>
                <w:iCs w:val="1"/>
                <w:color w:val="auto"/>
                <w:w w:val="91"/>
              </w:rPr>
              <w:t>GasLog Greece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2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2016</w:t>
            </w:r>
          </w:p>
        </w:tc>
        <w:tc>
          <w:tcPr>
            <w:tcW w:w="0" w:type="dxa"/>
            <w:vAlign w:val="bottom"/>
          </w:tcPr>
          <w:p>
            <w:pPr>
              <w:spacing w:after="0"/>
              <w:rPr>
                <w:sz w:val="1"/>
                <w:szCs w:val="1"/>
                <w:color w:val="auto"/>
              </w:rPr>
            </w:pPr>
          </w:p>
        </w:tc>
      </w:tr>
      <w:tr>
        <w:trPr>
          <w:trHeight w:val="149"/>
        </w:trPr>
        <w:tc>
          <w:tcPr>
            <w:tcW w:w="214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GAS-thirteen Ltd.</w:t>
            </w:r>
          </w:p>
        </w:tc>
        <w:tc>
          <w:tcPr>
            <w:tcW w:w="144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1"/>
              </w:rPr>
              <w:t>Bermuda</w:t>
            </w:r>
          </w:p>
        </w:tc>
        <w:tc>
          <w:tcPr>
            <w:tcW w:w="144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3"/>
              </w:rPr>
              <w:t>July 2013</w:t>
            </w:r>
          </w:p>
        </w:tc>
        <w:tc>
          <w:tcPr>
            <w:tcW w:w="198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3"/>
              </w:rPr>
              <w:t>Vessel-owning company</w:t>
            </w:r>
          </w:p>
        </w:tc>
        <w:tc>
          <w:tcPr>
            <w:tcW w:w="166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i w:val="1"/>
                <w:iCs w:val="1"/>
                <w:color w:val="auto"/>
                <w:w w:val="92"/>
              </w:rPr>
              <w:t>GasLog Geneva</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280" w:type="dxa"/>
            <w:vAlign w:val="bottom"/>
            <w:shd w:val="clear" w:color="auto" w:fill="E5FFFF"/>
          </w:tcPr>
          <w:p>
            <w:pPr>
              <w:spacing w:after="0"/>
              <w:rPr>
                <w:sz w:val="12"/>
                <w:szCs w:val="12"/>
                <w:color w:val="auto"/>
              </w:rPr>
            </w:pP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September 2016</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GAS-fourteen Ltd.</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Bermuda</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July 2013</w:t>
            </w: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Vessel-owning company</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i w:val="1"/>
                <w:iCs w:val="1"/>
                <w:color w:val="auto"/>
                <w:w w:val="97"/>
              </w:rPr>
              <w:t>GasLog Gibraltar</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2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October 2016</w:t>
            </w:r>
          </w:p>
        </w:tc>
        <w:tc>
          <w:tcPr>
            <w:tcW w:w="0" w:type="dxa"/>
            <w:vAlign w:val="bottom"/>
          </w:tcPr>
          <w:p>
            <w:pPr>
              <w:spacing w:after="0"/>
              <w:rPr>
                <w:sz w:val="1"/>
                <w:szCs w:val="1"/>
                <w:color w:val="auto"/>
              </w:rPr>
            </w:pPr>
          </w:p>
        </w:tc>
      </w:tr>
      <w:tr>
        <w:trPr>
          <w:trHeight w:val="149"/>
        </w:trPr>
        <w:tc>
          <w:tcPr>
            <w:tcW w:w="214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GAS-sixteen Ltd.</w:t>
            </w:r>
          </w:p>
        </w:tc>
        <w:tc>
          <w:tcPr>
            <w:tcW w:w="144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1"/>
              </w:rPr>
              <w:t>Bermuda</w:t>
            </w:r>
          </w:p>
        </w:tc>
        <w:tc>
          <w:tcPr>
            <w:tcW w:w="144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89"/>
              </w:rPr>
              <w:t>January 2014</w:t>
            </w:r>
          </w:p>
        </w:tc>
        <w:tc>
          <w:tcPr>
            <w:tcW w:w="198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3"/>
              </w:rPr>
              <w:t>Vessel-owning company</w:t>
            </w:r>
          </w:p>
        </w:tc>
        <w:tc>
          <w:tcPr>
            <w:tcW w:w="1660" w:type="dxa"/>
            <w:vAlign w:val="bottom"/>
            <w:gridSpan w:val="2"/>
            <w:shd w:val="clear" w:color="auto" w:fill="E5FFFF"/>
          </w:tcPr>
          <w:p>
            <w:pPr>
              <w:jc w:val="center"/>
              <w:ind w:right="300"/>
              <w:spacing w:after="0" w:line="149" w:lineRule="exact"/>
              <w:rPr>
                <w:sz w:val="20"/>
                <w:szCs w:val="20"/>
                <w:color w:val="auto"/>
              </w:rPr>
            </w:pPr>
            <w:r>
              <w:rPr>
                <w:rFonts w:ascii="Arial" w:cs="Arial" w:eastAsia="Arial" w:hAnsi="Arial"/>
                <w:sz w:val="14"/>
                <w:szCs w:val="14"/>
                <w:i w:val="1"/>
                <w:iCs w:val="1"/>
                <w:color w:val="auto"/>
                <w:w w:val="93"/>
              </w:rPr>
              <w:t>Methane Rita Andrea</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280" w:type="dxa"/>
            <w:vAlign w:val="bottom"/>
            <w:shd w:val="clear" w:color="auto" w:fill="E5FFFF"/>
          </w:tcPr>
          <w:p>
            <w:pPr>
              <w:spacing w:after="0"/>
              <w:rPr>
                <w:sz w:val="12"/>
                <w:szCs w:val="12"/>
                <w:color w:val="auto"/>
              </w:rPr>
            </w:pP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30"/>
        </w:trPr>
        <w:tc>
          <w:tcPr>
            <w:tcW w:w="2140" w:type="dxa"/>
            <w:vAlign w:val="bottom"/>
            <w:gridSpan w:val="2"/>
          </w:tcPr>
          <w:p>
            <w:pPr>
              <w:spacing w:after="0" w:line="130" w:lineRule="exact"/>
              <w:rPr>
                <w:sz w:val="20"/>
                <w:szCs w:val="20"/>
                <w:color w:val="auto"/>
              </w:rPr>
            </w:pPr>
            <w:r>
              <w:rPr>
                <w:rFonts w:ascii="Arial" w:cs="Arial" w:eastAsia="Arial" w:hAnsi="Arial"/>
                <w:sz w:val="14"/>
                <w:szCs w:val="14"/>
                <w:color w:val="auto"/>
              </w:rPr>
              <w:t>GAS-seventeen Ltd.</w:t>
            </w:r>
          </w:p>
        </w:tc>
        <w:tc>
          <w:tcPr>
            <w:tcW w:w="144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1"/>
              </w:rPr>
              <w:t>Bermuda</w:t>
            </w:r>
          </w:p>
        </w:tc>
        <w:tc>
          <w:tcPr>
            <w:tcW w:w="144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89"/>
              </w:rPr>
              <w:t>January 2014</w:t>
            </w:r>
          </w:p>
        </w:tc>
        <w:tc>
          <w:tcPr>
            <w:tcW w:w="198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3"/>
              </w:rPr>
              <w:t>Vessel-owning company</w:t>
            </w:r>
          </w:p>
        </w:tc>
        <w:tc>
          <w:tcPr>
            <w:tcW w:w="1660" w:type="dxa"/>
            <w:vAlign w:val="bottom"/>
            <w:gridSpan w:val="2"/>
          </w:tcPr>
          <w:p>
            <w:pPr>
              <w:jc w:val="center"/>
              <w:ind w:right="280"/>
              <w:spacing w:after="0" w:line="130" w:lineRule="exact"/>
              <w:rPr>
                <w:sz w:val="20"/>
                <w:szCs w:val="20"/>
                <w:color w:val="auto"/>
              </w:rPr>
            </w:pPr>
            <w:r>
              <w:rPr>
                <w:rFonts w:ascii="Arial" w:cs="Arial" w:eastAsia="Arial" w:hAnsi="Arial"/>
                <w:sz w:val="14"/>
                <w:szCs w:val="14"/>
                <w:i w:val="1"/>
                <w:iCs w:val="1"/>
                <w:color w:val="auto"/>
                <w:w w:val="92"/>
              </w:rPr>
              <w:t>Methane Jane</w:t>
            </w:r>
          </w:p>
        </w:tc>
        <w:tc>
          <w:tcPr>
            <w:tcW w:w="1240" w:type="dxa"/>
            <w:vAlign w:val="bottom"/>
          </w:tcPr>
          <w:p>
            <w:pPr>
              <w:jc w:val="center"/>
              <w:spacing w:after="0" w:line="130" w:lineRule="exact"/>
              <w:rPr>
                <w:sz w:val="20"/>
                <w:szCs w:val="20"/>
                <w:color w:val="auto"/>
              </w:rPr>
            </w:pPr>
            <w:r>
              <w:rPr>
                <w:rFonts w:ascii="Arial" w:cs="Arial" w:eastAsia="Arial" w:hAnsi="Arial"/>
                <w:sz w:val="14"/>
                <w:szCs w:val="14"/>
                <w:color w:val="auto"/>
                <w:w w:val="90"/>
              </w:rPr>
              <w:t>145,000</w:t>
            </w:r>
          </w:p>
        </w:tc>
        <w:tc>
          <w:tcPr>
            <w:tcW w:w="280" w:type="dxa"/>
            <w:vAlign w:val="bottom"/>
          </w:tcPr>
          <w:p>
            <w:pPr>
              <w:spacing w:after="0"/>
              <w:rPr>
                <w:sz w:val="11"/>
                <w:szCs w:val="11"/>
                <w:color w:val="auto"/>
              </w:rPr>
            </w:pPr>
          </w:p>
        </w:tc>
        <w:tc>
          <w:tcPr>
            <w:tcW w:w="1240" w:type="dxa"/>
            <w:vAlign w:val="bottom"/>
          </w:tcPr>
          <w:p>
            <w:pPr>
              <w:jc w:val="center"/>
              <w:spacing w:after="0" w:line="130"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3"/>
              </w:rPr>
              <w:t>Elizabeth</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4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GAS-nineteen Ltd.</w:t>
            </w:r>
          </w:p>
        </w:tc>
        <w:tc>
          <w:tcPr>
            <w:tcW w:w="1440" w:type="dxa"/>
            <w:vAlign w:val="bottom"/>
            <w:gridSpan w:val="2"/>
            <w:shd w:val="clear" w:color="auto" w:fill="E5FFFF"/>
          </w:tcPr>
          <w:p>
            <w:pPr>
              <w:jc w:val="center"/>
              <w:ind w:right="280"/>
              <w:spacing w:after="0" w:line="130" w:lineRule="exact"/>
              <w:rPr>
                <w:sz w:val="20"/>
                <w:szCs w:val="20"/>
                <w:color w:val="auto"/>
              </w:rPr>
            </w:pPr>
            <w:r>
              <w:rPr>
                <w:rFonts w:ascii="Arial" w:cs="Arial" w:eastAsia="Arial" w:hAnsi="Arial"/>
                <w:sz w:val="14"/>
                <w:szCs w:val="14"/>
                <w:color w:val="auto"/>
                <w:w w:val="91"/>
              </w:rPr>
              <w:t>Bermuda</w:t>
            </w:r>
          </w:p>
        </w:tc>
        <w:tc>
          <w:tcPr>
            <w:tcW w:w="1440" w:type="dxa"/>
            <w:vAlign w:val="bottom"/>
            <w:gridSpan w:val="2"/>
            <w:shd w:val="clear" w:color="auto" w:fill="E5FFFF"/>
          </w:tcPr>
          <w:p>
            <w:pPr>
              <w:jc w:val="center"/>
              <w:ind w:right="280"/>
              <w:spacing w:after="0" w:line="130" w:lineRule="exact"/>
              <w:rPr>
                <w:sz w:val="20"/>
                <w:szCs w:val="20"/>
                <w:color w:val="auto"/>
              </w:rPr>
            </w:pPr>
            <w:r>
              <w:rPr>
                <w:rFonts w:ascii="Arial" w:cs="Arial" w:eastAsia="Arial" w:hAnsi="Arial"/>
                <w:sz w:val="14"/>
                <w:szCs w:val="14"/>
                <w:color w:val="auto"/>
              </w:rPr>
              <w:t>April 2014</w:t>
            </w:r>
          </w:p>
        </w:tc>
        <w:tc>
          <w:tcPr>
            <w:tcW w:w="1980" w:type="dxa"/>
            <w:vAlign w:val="bottom"/>
            <w:gridSpan w:val="2"/>
            <w:shd w:val="clear" w:color="auto" w:fill="E5FFFF"/>
          </w:tcPr>
          <w:p>
            <w:pPr>
              <w:jc w:val="center"/>
              <w:ind w:right="280"/>
              <w:spacing w:after="0" w:line="130" w:lineRule="exact"/>
              <w:rPr>
                <w:sz w:val="20"/>
                <w:szCs w:val="20"/>
                <w:color w:val="auto"/>
              </w:rPr>
            </w:pPr>
            <w:r>
              <w:rPr>
                <w:rFonts w:ascii="Arial" w:cs="Arial" w:eastAsia="Arial" w:hAnsi="Arial"/>
                <w:sz w:val="14"/>
                <w:szCs w:val="14"/>
                <w:color w:val="auto"/>
                <w:w w:val="93"/>
              </w:rPr>
              <w:t>Vessel-owning company</w:t>
            </w:r>
          </w:p>
        </w:tc>
        <w:tc>
          <w:tcPr>
            <w:tcW w:w="1660" w:type="dxa"/>
            <w:vAlign w:val="bottom"/>
            <w:gridSpan w:val="2"/>
            <w:shd w:val="clear" w:color="auto" w:fill="E5FFFF"/>
          </w:tcPr>
          <w:p>
            <w:pPr>
              <w:jc w:val="center"/>
              <w:ind w:right="280"/>
              <w:spacing w:after="0" w:line="130" w:lineRule="exact"/>
              <w:rPr>
                <w:sz w:val="20"/>
                <w:szCs w:val="20"/>
                <w:color w:val="auto"/>
              </w:rPr>
            </w:pPr>
            <w:r>
              <w:rPr>
                <w:rFonts w:ascii="Arial" w:cs="Arial" w:eastAsia="Arial" w:hAnsi="Arial"/>
                <w:sz w:val="14"/>
                <w:szCs w:val="14"/>
                <w:i w:val="1"/>
                <w:iCs w:val="1"/>
                <w:color w:val="auto"/>
                <w:w w:val="93"/>
              </w:rPr>
              <w:t>Methane Alison</w:t>
            </w:r>
          </w:p>
        </w:tc>
        <w:tc>
          <w:tcPr>
            <w:tcW w:w="1240" w:type="dxa"/>
            <w:vAlign w:val="bottom"/>
            <w:shd w:val="clear" w:color="auto" w:fill="E5FFFF"/>
          </w:tcPr>
          <w:p>
            <w:pPr>
              <w:jc w:val="center"/>
              <w:spacing w:after="0" w:line="130" w:lineRule="exact"/>
              <w:rPr>
                <w:sz w:val="20"/>
                <w:szCs w:val="20"/>
                <w:color w:val="auto"/>
              </w:rPr>
            </w:pPr>
            <w:r>
              <w:rPr>
                <w:rFonts w:ascii="Arial" w:cs="Arial" w:eastAsia="Arial" w:hAnsi="Arial"/>
                <w:sz w:val="14"/>
                <w:szCs w:val="14"/>
                <w:color w:val="auto"/>
                <w:w w:val="90"/>
              </w:rPr>
              <w:t>145,000</w:t>
            </w:r>
          </w:p>
        </w:tc>
        <w:tc>
          <w:tcPr>
            <w:tcW w:w="280" w:type="dxa"/>
            <w:vAlign w:val="bottom"/>
            <w:shd w:val="clear" w:color="auto" w:fill="E5FFFF"/>
          </w:tcPr>
          <w:p>
            <w:pPr>
              <w:spacing w:after="0"/>
              <w:rPr>
                <w:sz w:val="11"/>
                <w:szCs w:val="11"/>
                <w:color w:val="auto"/>
              </w:rPr>
            </w:pPr>
          </w:p>
        </w:tc>
        <w:tc>
          <w:tcPr>
            <w:tcW w:w="1240" w:type="dxa"/>
            <w:vAlign w:val="bottom"/>
            <w:shd w:val="clear" w:color="auto" w:fill="E5FFFF"/>
          </w:tcPr>
          <w:p>
            <w:pPr>
              <w:jc w:val="center"/>
              <w:spacing w:after="0" w:line="130"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67"/>
        </w:trPr>
        <w:tc>
          <w:tcPr>
            <w:tcW w:w="184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14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16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70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660" w:type="dxa"/>
            <w:vAlign w:val="bottom"/>
            <w:gridSpan w:val="2"/>
            <w:shd w:val="clear" w:color="auto" w:fill="E5FFFF"/>
          </w:tcPr>
          <w:p>
            <w:pPr>
              <w:jc w:val="center"/>
              <w:ind w:right="280"/>
              <w:spacing w:after="0"/>
              <w:rPr>
                <w:sz w:val="20"/>
                <w:szCs w:val="20"/>
                <w:color w:val="auto"/>
              </w:rPr>
            </w:pPr>
            <w:r>
              <w:rPr>
                <w:rFonts w:ascii="Arial" w:cs="Arial" w:eastAsia="Arial" w:hAnsi="Arial"/>
                <w:sz w:val="14"/>
                <w:szCs w:val="14"/>
                <w:i w:val="1"/>
                <w:iCs w:val="1"/>
                <w:color w:val="auto"/>
                <w:w w:val="98"/>
              </w:rPr>
              <w:t>Victoria</w:t>
            </w:r>
          </w:p>
        </w:tc>
        <w:tc>
          <w:tcPr>
            <w:tcW w:w="124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24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40" w:type="dxa"/>
            <w:vAlign w:val="bottom"/>
            <w:gridSpan w:val="2"/>
          </w:tcPr>
          <w:p>
            <w:pPr>
              <w:spacing w:after="0" w:line="130" w:lineRule="exact"/>
              <w:rPr>
                <w:sz w:val="20"/>
                <w:szCs w:val="20"/>
                <w:color w:val="auto"/>
              </w:rPr>
            </w:pPr>
            <w:r>
              <w:rPr>
                <w:rFonts w:ascii="Arial" w:cs="Arial" w:eastAsia="Arial" w:hAnsi="Arial"/>
                <w:sz w:val="14"/>
                <w:szCs w:val="14"/>
                <w:color w:val="auto"/>
              </w:rPr>
              <w:t>GAS-twenty Ltd.</w:t>
            </w:r>
          </w:p>
        </w:tc>
        <w:tc>
          <w:tcPr>
            <w:tcW w:w="144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1"/>
              </w:rPr>
              <w:t>Bermuda</w:t>
            </w:r>
          </w:p>
        </w:tc>
        <w:tc>
          <w:tcPr>
            <w:tcW w:w="144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rPr>
              <w:t>April 2014</w:t>
            </w:r>
          </w:p>
        </w:tc>
        <w:tc>
          <w:tcPr>
            <w:tcW w:w="198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3"/>
              </w:rPr>
              <w:t>Vessel-owning company</w:t>
            </w:r>
          </w:p>
        </w:tc>
        <w:tc>
          <w:tcPr>
            <w:tcW w:w="1660" w:type="dxa"/>
            <w:vAlign w:val="bottom"/>
            <w:gridSpan w:val="2"/>
          </w:tcPr>
          <w:p>
            <w:pPr>
              <w:jc w:val="center"/>
              <w:ind w:right="280"/>
              <w:spacing w:after="0" w:line="130" w:lineRule="exact"/>
              <w:rPr>
                <w:sz w:val="20"/>
                <w:szCs w:val="20"/>
                <w:color w:val="auto"/>
              </w:rPr>
            </w:pPr>
            <w:r>
              <w:rPr>
                <w:rFonts w:ascii="Arial" w:cs="Arial" w:eastAsia="Arial" w:hAnsi="Arial"/>
                <w:sz w:val="14"/>
                <w:szCs w:val="14"/>
                <w:i w:val="1"/>
                <w:iCs w:val="1"/>
                <w:color w:val="auto"/>
                <w:w w:val="92"/>
              </w:rPr>
              <w:t>Methane Shirley</w:t>
            </w:r>
          </w:p>
        </w:tc>
        <w:tc>
          <w:tcPr>
            <w:tcW w:w="1240" w:type="dxa"/>
            <w:vAlign w:val="bottom"/>
          </w:tcPr>
          <w:p>
            <w:pPr>
              <w:jc w:val="center"/>
              <w:spacing w:after="0" w:line="130" w:lineRule="exact"/>
              <w:rPr>
                <w:sz w:val="20"/>
                <w:szCs w:val="20"/>
                <w:color w:val="auto"/>
              </w:rPr>
            </w:pPr>
            <w:r>
              <w:rPr>
                <w:rFonts w:ascii="Arial" w:cs="Arial" w:eastAsia="Arial" w:hAnsi="Arial"/>
                <w:sz w:val="14"/>
                <w:szCs w:val="14"/>
                <w:color w:val="auto"/>
                <w:w w:val="90"/>
              </w:rPr>
              <w:t>145,000</w:t>
            </w:r>
          </w:p>
        </w:tc>
        <w:tc>
          <w:tcPr>
            <w:tcW w:w="280" w:type="dxa"/>
            <w:vAlign w:val="bottom"/>
          </w:tcPr>
          <w:p>
            <w:pPr>
              <w:spacing w:after="0"/>
              <w:rPr>
                <w:sz w:val="11"/>
                <w:szCs w:val="11"/>
                <w:color w:val="auto"/>
              </w:rPr>
            </w:pPr>
          </w:p>
        </w:tc>
        <w:tc>
          <w:tcPr>
            <w:tcW w:w="1240" w:type="dxa"/>
            <w:vAlign w:val="bottom"/>
          </w:tcPr>
          <w:p>
            <w:pPr>
              <w:jc w:val="center"/>
              <w:spacing w:after="0" w:line="130"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3"/>
              </w:rPr>
              <w:t>Elisabeth</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one Ltd.</w:t>
            </w:r>
          </w:p>
        </w:tc>
        <w:tc>
          <w:tcPr>
            <w:tcW w:w="144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1"/>
              </w:rPr>
              <w:t>Bermuda</w:t>
            </w:r>
          </w:p>
        </w:tc>
        <w:tc>
          <w:tcPr>
            <w:tcW w:w="144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rPr>
              <w:t>April 2014</w:t>
            </w:r>
          </w:p>
        </w:tc>
        <w:tc>
          <w:tcPr>
            <w:tcW w:w="198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color w:val="auto"/>
                <w:w w:val="93"/>
              </w:rPr>
              <w:t>Vessel-owning company</w:t>
            </w:r>
          </w:p>
        </w:tc>
        <w:tc>
          <w:tcPr>
            <w:tcW w:w="1660" w:type="dxa"/>
            <w:vAlign w:val="bottom"/>
            <w:gridSpan w:val="2"/>
            <w:shd w:val="clear" w:color="auto" w:fill="E5FFFF"/>
          </w:tcPr>
          <w:p>
            <w:pPr>
              <w:jc w:val="center"/>
              <w:ind w:right="280"/>
              <w:spacing w:after="0" w:line="149" w:lineRule="exact"/>
              <w:rPr>
                <w:sz w:val="20"/>
                <w:szCs w:val="20"/>
                <w:color w:val="auto"/>
              </w:rPr>
            </w:pPr>
            <w:r>
              <w:rPr>
                <w:rFonts w:ascii="Arial" w:cs="Arial" w:eastAsia="Arial" w:hAnsi="Arial"/>
                <w:sz w:val="14"/>
                <w:szCs w:val="14"/>
                <w:i w:val="1"/>
                <w:iCs w:val="1"/>
                <w:color w:val="auto"/>
                <w:w w:val="94"/>
              </w:rPr>
              <w:t>Methane Heather Sally</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280" w:type="dxa"/>
            <w:vAlign w:val="bottom"/>
            <w:shd w:val="clear" w:color="auto" w:fill="E5FFFF"/>
          </w:tcPr>
          <w:p>
            <w:pPr>
              <w:spacing w:after="0"/>
              <w:rPr>
                <w:sz w:val="12"/>
                <w:szCs w:val="12"/>
                <w:color w:val="auto"/>
              </w:rPr>
            </w:pP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82"/>
        </w:trPr>
        <w:tc>
          <w:tcPr>
            <w:tcW w:w="2140" w:type="dxa"/>
            <w:vAlign w:val="bottom"/>
            <w:gridSpan w:val="2"/>
          </w:tcPr>
          <w:p>
            <w:pPr>
              <w:spacing w:after="0"/>
              <w:rPr>
                <w:sz w:val="20"/>
                <w:szCs w:val="20"/>
                <w:color w:val="auto"/>
              </w:rPr>
            </w:pPr>
            <w:r>
              <w:rPr>
                <w:rFonts w:ascii="Arial" w:cs="Arial" w:eastAsia="Arial" w:hAnsi="Arial"/>
                <w:sz w:val="14"/>
                <w:szCs w:val="14"/>
                <w:color w:val="auto"/>
              </w:rPr>
              <w:t>GasLog Partners Holdings LLC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Marshall Islands</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rPr>
              <w:t>April 2014</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Holding company</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2. Basis of Presentation</w:t>
      </w:r>
    </w:p>
    <w:p>
      <w:pPr>
        <w:spacing w:after="0" w:line="239" w:lineRule="exact"/>
        <w:rPr>
          <w:sz w:val="20"/>
          <w:szCs w:val="20"/>
          <w:color w:val="auto"/>
        </w:rPr>
      </w:pPr>
    </w:p>
    <w:p>
      <w:pPr>
        <w:ind w:right="60" w:firstLine="396"/>
        <w:spacing w:after="0" w:line="271"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 issued by the International Accounting Standards Board (“IASB”). Certain information and footnote disclosures required by the International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(“IFRS”) for a complete set of annual financial statements have been omitted, and, therefore, these unaudited condensed consolidated financial statements should be read in conjunction with the Partnership’s annual consolidated financial statements for the year ended December 31, 2017, filed on an Annual Report on Form 20-F with the Securities Exchange Commission on February 12, 2018.</w:t>
      </w:r>
    </w:p>
    <w:p>
      <w:pPr>
        <w:spacing w:after="0" w:line="69" w:lineRule="exact"/>
        <w:rPr>
          <w:sz w:val="20"/>
          <w:szCs w:val="20"/>
          <w:color w:val="auto"/>
        </w:rPr>
      </w:pPr>
    </w:p>
    <w:p>
      <w:pPr>
        <w:ind w:right="860" w:firstLine="396"/>
        <w:spacing w:after="0" w:line="293" w:lineRule="auto"/>
        <w:rPr>
          <w:sz w:val="20"/>
          <w:szCs w:val="20"/>
          <w:color w:val="auto"/>
        </w:rPr>
      </w:pPr>
      <w:r>
        <w:rPr>
          <w:rFonts w:ascii="Arial" w:cs="Arial" w:eastAsia="Arial" w:hAnsi="Arial"/>
          <w:sz w:val="16"/>
          <w:szCs w:val="16"/>
          <w:color w:val="auto"/>
        </w:rPr>
        <w:t>The accompanying unaudited condensed consolidated financial statements include the accounts of the Partnership and its subsidiaries assuming that they are consolidated for all periods presented, as they were under the common control of GasLog.</w:t>
      </w:r>
    </w:p>
    <w:p>
      <w:pPr>
        <w:spacing w:after="0" w:line="50" w:lineRule="exact"/>
        <w:rPr>
          <w:sz w:val="20"/>
          <w:szCs w:val="20"/>
          <w:color w:val="auto"/>
        </w:rPr>
      </w:pPr>
    </w:p>
    <w:p>
      <w:pPr>
        <w:jc w:val="both"/>
        <w:ind w:right="160" w:firstLine="396"/>
        <w:spacing w:after="0" w:line="335" w:lineRule="auto"/>
        <w:rPr>
          <w:sz w:val="20"/>
          <w:szCs w:val="20"/>
          <w:color w:val="auto"/>
        </w:rPr>
      </w:pPr>
      <w:r>
        <w:rPr>
          <w:rFonts w:ascii="Arial" w:cs="Arial" w:eastAsia="Arial" w:hAnsi="Arial"/>
          <w:sz w:val="14"/>
          <w:szCs w:val="14"/>
          <w:color w:val="auto"/>
        </w:rPr>
        <w:t>The unaudited condensed consolidated financial statements have been prepared on the historical cost basis. The same accounting policies and methods of computation have been followed in these unaudited condensed consolidated financial statements as applied in the preparation of the Partnership’s consolidated financial statements for the year ended December 31, 2017. On October 24, 2018, the Partnership’s board of directors authorized the unaudited condensed consolidated financial statements for issuance.</w:t>
      </w:r>
    </w:p>
    <w:p>
      <w:pPr>
        <w:spacing w:after="0" w:line="28" w:lineRule="exact"/>
        <w:rPr>
          <w:sz w:val="20"/>
          <w:szCs w:val="20"/>
          <w:color w:val="auto"/>
        </w:rPr>
      </w:pPr>
    </w:p>
    <w:p>
      <w:pPr>
        <w:ind w:right="320" w:firstLine="396"/>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Partnership’s annual consolidated financial statements for the year ended December 31, 2017 and remain unchanged.</w:t>
      </w:r>
    </w:p>
    <w:p>
      <w:pPr>
        <w:spacing w:after="0" w:line="50" w:lineRule="exact"/>
        <w:rPr>
          <w:sz w:val="20"/>
          <w:szCs w:val="20"/>
          <w:color w:val="auto"/>
        </w:rPr>
      </w:pPr>
    </w:p>
    <w:p>
      <w:pPr>
        <w:jc w:val="both"/>
        <w:ind w:right="60" w:firstLine="396"/>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63" w:lineRule="exact"/>
        <w:rPr>
          <w:sz w:val="20"/>
          <w:szCs w:val="20"/>
          <w:color w:val="auto"/>
        </w:rPr>
      </w:pPr>
    </w:p>
    <w:p>
      <w:pPr>
        <w:ind w:right="140" w:firstLine="396"/>
        <w:spacing w:after="0" w:line="273" w:lineRule="auto"/>
        <w:rPr>
          <w:sz w:val="20"/>
          <w:szCs w:val="20"/>
          <w:color w:val="auto"/>
        </w:rPr>
      </w:pPr>
      <w:r>
        <w:rPr>
          <w:rFonts w:ascii="Arial" w:cs="Arial" w:eastAsia="Arial" w:hAnsi="Arial"/>
          <w:sz w:val="16"/>
          <w:szCs w:val="16"/>
          <w:color w:val="auto"/>
        </w:rPr>
        <w:t>Management anticipates that the Partnership’s primary sources of funds will be available cash, cash from operations, borrowings under existing debt and equity financing. Management believes that these sources of funds will be sufficient for the Partnership to meet its liquidity needs and comply with its banking covenants for at least twelve months from the end of the reporting period and therefore it is appropriate to prepare the financial statements on a going concern basis, although there can be no assurance that the Partnership will be able to obtain future debt and equity financing on acceptable terms.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standards and amendments relevant to the Partnership were effective in the current period:</w:t>
      </w:r>
    </w:p>
    <w:p>
      <w:pPr>
        <w:spacing w:after="0" w:line="23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5"/>
          <w:szCs w:val="15"/>
          <w:color w:val="auto"/>
        </w:rPr>
        <w:t xml:space="preserve">In May 2014, the IASB issued IFRS 15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IAS 11 </w:t>
      </w:r>
      <w:r>
        <w:rPr>
          <w:rFonts w:ascii="Arial" w:cs="Arial" w:eastAsia="Arial" w:hAnsi="Arial"/>
          <w:sz w:val="15"/>
          <w:szCs w:val="15"/>
          <w:i w:val="1"/>
          <w:iCs w:val="1"/>
          <w:color w:val="auto"/>
        </w:rPr>
        <w:t>Construction Contracts</w:t>
      </w:r>
      <w:r>
        <w:rPr>
          <w:rFonts w:ascii="Arial" w:cs="Arial" w:eastAsia="Arial" w:hAnsi="Arial"/>
          <w:sz w:val="15"/>
          <w:szCs w:val="15"/>
          <w:color w:val="auto"/>
        </w:rPr>
        <w:t xml:space="preserve"> and a number of revenue-related interpretations. The standard was effective for annual periods beginning on or after January 1, 2018 and was applied by the Partnership using the modified retrospective approach. The adoption of the standard did not have an impact on the Partnership’s historical financial statements.</w:t>
      </w:r>
    </w:p>
    <w:p>
      <w:pPr>
        <w:spacing w:after="0" w:line="55" w:lineRule="exact"/>
        <w:rPr>
          <w:sz w:val="20"/>
          <w:szCs w:val="20"/>
          <w:color w:val="auto"/>
        </w:rPr>
      </w:pPr>
    </w:p>
    <w:p>
      <w:pPr>
        <w:ind w:right="140" w:firstLine="324"/>
        <w:spacing w:after="0" w:line="318" w:lineRule="auto"/>
        <w:rPr>
          <w:sz w:val="20"/>
          <w:szCs w:val="20"/>
          <w:color w:val="auto"/>
        </w:rPr>
      </w:pPr>
      <w:r>
        <w:rPr>
          <w:rFonts w:ascii="Arial" w:cs="Arial" w:eastAsia="Arial" w:hAnsi="Arial"/>
          <w:sz w:val="14"/>
          <w:szCs w:val="14"/>
          <w:color w:val="auto"/>
        </w:rPr>
        <w:t xml:space="preserve">The Partnership assessed that under the time charter agreements, the hire rate per the charter agreement has two components: the lease component and the service component relating to the vessel operating costs. The revenue in relation to the lease component of the agreements is accounted for under the leases standard. The revenue in relation to the service component relates to vessel operating expenses which include expenses such as management fees, crew wages, provisions and stores, technical maintenance and insurance expenses that are paid by the vessel owner. These costs are essential to operating a charter and therefore, the charterers receive the benefit of these when the vessel is used during the contracted time and will be accounted for in accordance with the requirements of IFRS 15 </w:t>
      </w:r>
      <w:r>
        <w:rPr>
          <w:rFonts w:ascii="Arial" w:cs="Arial" w:eastAsia="Arial" w:hAnsi="Arial"/>
          <w:sz w:val="14"/>
          <w:szCs w:val="14"/>
          <w:i w:val="1"/>
          <w:iCs w:val="1"/>
          <w:color w:val="auto"/>
        </w:rPr>
        <w:t>Revenue from Contracts with Customers.</w:t>
      </w:r>
    </w:p>
    <w:p>
      <w:pPr>
        <w:spacing w:after="0" w:line="41" w:lineRule="exact"/>
        <w:rPr>
          <w:sz w:val="20"/>
          <w:szCs w:val="20"/>
          <w:color w:val="auto"/>
        </w:rPr>
      </w:pPr>
    </w:p>
    <w:p>
      <w:pPr>
        <w:jc w:val="both"/>
        <w:ind w:firstLine="396"/>
        <w:spacing w:after="0" w:line="273" w:lineRule="auto"/>
        <w:rPr>
          <w:sz w:val="20"/>
          <w:szCs w:val="20"/>
          <w:color w:val="auto"/>
        </w:rPr>
      </w:pPr>
      <w:r>
        <w:rPr>
          <w:rFonts w:ascii="Arial" w:cs="Arial" w:eastAsia="Arial" w:hAnsi="Arial"/>
          <w:sz w:val="16"/>
          <w:szCs w:val="16"/>
          <w:color w:val="auto"/>
        </w:rPr>
        <w:t>In relation to short-term charters under the Cool Pool (Note 9), 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 the contract. On that basis, it was concluded that positioning and repositioning fees and associated expenses should be recognized over the period of the contract, and not at a certain point in time.</w:t>
      </w:r>
    </w:p>
    <w:p>
      <w:pPr>
        <w:spacing w:after="0" w:line="68" w:lineRule="exact"/>
        <w:rPr>
          <w:sz w:val="20"/>
          <w:szCs w:val="20"/>
          <w:color w:val="auto"/>
        </w:rPr>
      </w:pPr>
    </w:p>
    <w:p>
      <w:pPr>
        <w:ind w:right="40" w:firstLine="324"/>
        <w:spacing w:after="0" w:line="291" w:lineRule="auto"/>
        <w:rPr>
          <w:sz w:val="20"/>
          <w:szCs w:val="20"/>
          <w:color w:val="auto"/>
        </w:rPr>
      </w:pPr>
      <w:r>
        <w:rPr>
          <w:rFonts w:ascii="Arial" w:cs="Arial" w:eastAsia="Arial" w:hAnsi="Arial"/>
          <w:sz w:val="15"/>
          <w:szCs w:val="15"/>
          <w:color w:val="auto"/>
        </w:rPr>
        <w:t xml:space="preserve">In July 2014, the IASB issued the complete version of IFRS 9 </w:t>
      </w:r>
      <w:r>
        <w:rPr>
          <w:rFonts w:ascii="Arial" w:cs="Arial" w:eastAsia="Arial" w:hAnsi="Arial"/>
          <w:sz w:val="15"/>
          <w:szCs w:val="15"/>
          <w:i w:val="1"/>
          <w:iCs w:val="1"/>
          <w:color w:val="auto"/>
        </w:rPr>
        <w:t>Financial Instruments</w:t>
      </w:r>
      <w:r>
        <w:rPr>
          <w:rFonts w:ascii="Arial" w:cs="Arial" w:eastAsia="Arial" w:hAnsi="Arial"/>
          <w:sz w:val="15"/>
          <w:szCs w:val="15"/>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which was effective for annual periods beginning on or after January 1, 2018, did not have an impact on the Partnership’s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 following standard relevant to the Partnership was in issue but not yet effective: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1" w:name="page32"/>
    <w:bookmarkEnd w:id="31"/>
    <w:p>
      <w:pPr>
        <w:ind w:firstLine="324"/>
        <w:spacing w:after="0" w:line="288" w:lineRule="auto"/>
        <w:rPr>
          <w:sz w:val="20"/>
          <w:szCs w:val="20"/>
          <w:color w:val="auto"/>
        </w:rPr>
      </w:pPr>
      <w:r>
        <w:rPr>
          <w:rFonts w:ascii="Arial" w:cs="Arial" w:eastAsia="Arial" w:hAnsi="Arial"/>
          <w:sz w:val="15"/>
          <w:szCs w:val="15"/>
          <w:color w:val="auto"/>
        </w:rPr>
        <w:t xml:space="preserve">In January 2016, the IASB issued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twelve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and related Interpretations. The standard is effective from January 1, 2019, with early adoption permitted only with concurrent adoption of IFRS 15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Management has elected not to early adopt, and it anticipates that the implementation of this standard will not have a material impact</w:t>
      </w:r>
      <w:r>
        <w:rPr>
          <w:rFonts w:ascii="Arial" w:cs="Arial" w:eastAsia="Arial" w:hAnsi="Arial"/>
          <w:sz w:val="15"/>
          <w:szCs w:val="15"/>
          <w:i w:val="1"/>
          <w:iCs w:val="1"/>
          <w:color w:val="auto"/>
        </w:rPr>
        <w:t xml:space="preserve"> </w:t>
      </w:r>
      <w:r>
        <w:rPr>
          <w:rFonts w:ascii="Arial" w:cs="Arial" w:eastAsia="Arial" w:hAnsi="Arial"/>
          <w:sz w:val="15"/>
          <w:szCs w:val="15"/>
          <w:color w:val="auto"/>
        </w:rPr>
        <w:t>on the Partnership’s financial statements, since the changes for lessors are fairly minor.</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impact of all other IFRS standards and amendments issued but not yet adopted is not expected to be material on the Partnership’s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Related party transactions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Partnership has the following balances with related parties, which have been included in the unaudited condensed consolidated statements of financial position:</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20" w:type="dxa"/>
            <w:vAlign w:val="bottom"/>
          </w:tcPr>
          <w:p>
            <w:pPr>
              <w:spacing w:after="0"/>
              <w:rPr>
                <w:sz w:val="20"/>
                <w:szCs w:val="20"/>
                <w:color w:val="auto"/>
              </w:rPr>
            </w:pPr>
            <w:r>
              <w:rPr>
                <w:rFonts w:ascii="Arial" w:cs="Arial" w:eastAsia="Arial" w:hAnsi="Arial"/>
                <w:sz w:val="16"/>
                <w:szCs w:val="16"/>
                <w:b w:val="1"/>
                <w:bCs w:val="1"/>
                <w:i w:val="1"/>
                <w:iCs w:val="1"/>
                <w:color w:val="auto"/>
              </w:rPr>
              <w:t>Amounts due from related parties</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7620" w:type="dxa"/>
            <w:vAlign w:val="bottom"/>
          </w:tcPr>
          <w:p>
            <w:pPr>
              <w:spacing w:after="0"/>
              <w:rPr>
                <w:sz w:val="24"/>
                <w:szCs w:val="24"/>
                <w:color w:val="auto"/>
              </w:rPr>
            </w:pPr>
          </w:p>
        </w:tc>
        <w:tc>
          <w:tcPr>
            <w:tcW w:w="20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December 31, 2017</w:t>
            </w:r>
          </w:p>
        </w:tc>
        <w:tc>
          <w:tcPr>
            <w:tcW w:w="170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202"/>
        </w:trPr>
        <w:tc>
          <w:tcPr>
            <w:tcW w:w="7620" w:type="dxa"/>
            <w:vAlign w:val="bottom"/>
            <w:tcBorders>
              <w:top w:val="single" w:sz="8" w:color="E5FFFF"/>
            </w:tcBorders>
            <w:shd w:val="clear" w:color="auto" w:fill="E5FFFF"/>
          </w:tcPr>
          <w:p>
            <w:pPr>
              <w:spacing w:after="0" w:line="202" w:lineRule="exact"/>
              <w:rPr>
                <w:sz w:val="20"/>
                <w:szCs w:val="20"/>
                <w:color w:val="auto"/>
              </w:rPr>
            </w:pPr>
            <w:r>
              <w:rPr>
                <w:rFonts w:ascii="Arial" w:cs="Arial" w:eastAsia="Arial" w:hAnsi="Arial"/>
                <w:sz w:val="16"/>
                <w:szCs w:val="16"/>
                <w:color w:val="auto"/>
              </w:rPr>
              <w:t xml:space="preserve">Due from GasLog Carriers Ltd. (“GasLog Carriers”) </w:t>
            </w:r>
            <w:r>
              <w:rPr>
                <w:rFonts w:ascii="Arial" w:cs="Arial" w:eastAsia="Arial" w:hAnsi="Arial"/>
                <w:sz w:val="21"/>
                <w:szCs w:val="21"/>
                <w:color w:val="auto"/>
                <w:vertAlign w:val="superscript"/>
              </w:rPr>
              <w:t>(a)</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3,712</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620" w:type="dxa"/>
            <w:vAlign w:val="bottom"/>
          </w:tcPr>
          <w:p>
            <w:pPr>
              <w:spacing w:after="0" w:line="203" w:lineRule="exact"/>
              <w:rPr>
                <w:sz w:val="20"/>
                <w:szCs w:val="20"/>
                <w:color w:val="auto"/>
              </w:rPr>
            </w:pPr>
            <w:r>
              <w:rPr>
                <w:rFonts w:ascii="Arial" w:cs="Arial" w:eastAsia="Arial" w:hAnsi="Arial"/>
                <w:sz w:val="16"/>
                <w:szCs w:val="16"/>
                <w:color w:val="auto"/>
              </w:rPr>
              <w:t xml:space="preserve">Due from the Cool Pool </w:t>
            </w:r>
            <w:r>
              <w:rPr>
                <w:rFonts w:ascii="Arial" w:cs="Arial" w:eastAsia="Arial" w:hAnsi="Arial"/>
                <w:sz w:val="21"/>
                <w:szCs w:val="21"/>
                <w:color w:val="auto"/>
                <w:vertAlign w:val="superscript"/>
              </w:rPr>
              <w:t>(b)</w:t>
            </w:r>
          </w:p>
        </w:tc>
        <w:tc>
          <w:tcPr>
            <w:tcW w:w="2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196"/>
        </w:trPr>
        <w:tc>
          <w:tcPr>
            <w:tcW w:w="76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3,712</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2,168</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620" w:type="dxa"/>
            <w:vAlign w:val="bottom"/>
          </w:tcPr>
          <w:p>
            <w:pPr>
              <w:spacing w:after="0"/>
              <w:rPr>
                <w:sz w:val="24"/>
                <w:szCs w:val="24"/>
                <w:color w:val="auto"/>
              </w:rPr>
            </w:pPr>
          </w:p>
        </w:tc>
        <w:tc>
          <w:tcPr>
            <w:tcW w:w="20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December 31, 2017</w:t>
            </w:r>
          </w:p>
        </w:tc>
        <w:tc>
          <w:tcPr>
            <w:tcW w:w="170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202"/>
        </w:trPr>
        <w:tc>
          <w:tcPr>
            <w:tcW w:w="7620" w:type="dxa"/>
            <w:vAlign w:val="bottom"/>
            <w:tcBorders>
              <w:top w:val="single" w:sz="8" w:color="E5FFFF"/>
            </w:tcBorders>
            <w:shd w:val="clear" w:color="auto" w:fill="E5FFFF"/>
          </w:tcPr>
          <w:p>
            <w:pPr>
              <w:spacing w:after="0" w:line="202" w:lineRule="exact"/>
              <w:rPr>
                <w:sz w:val="20"/>
                <w:szCs w:val="20"/>
                <w:color w:val="auto"/>
              </w:rPr>
            </w:pPr>
            <w:r>
              <w:rPr>
                <w:rFonts w:ascii="Arial" w:cs="Arial" w:eastAsia="Arial" w:hAnsi="Arial"/>
                <w:sz w:val="16"/>
                <w:szCs w:val="16"/>
                <w:color w:val="auto"/>
              </w:rPr>
              <w:t xml:space="preserve">Due to GasLog LNG Services </w:t>
            </w:r>
            <w:r>
              <w:rPr>
                <w:rFonts w:ascii="Arial" w:cs="Arial" w:eastAsia="Arial" w:hAnsi="Arial"/>
                <w:sz w:val="21"/>
                <w:szCs w:val="21"/>
                <w:color w:val="auto"/>
                <w:vertAlign w:val="superscript"/>
              </w:rPr>
              <w:t>(c)</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2,383</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3,439</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E5FFFF"/>
            </w:tcBorders>
          </w:tcPr>
          <w:p>
            <w:pPr>
              <w:spacing w:after="0" w:line="203" w:lineRule="exact"/>
              <w:rPr>
                <w:sz w:val="20"/>
                <w:szCs w:val="20"/>
                <w:color w:val="auto"/>
              </w:rPr>
            </w:pPr>
            <w:r>
              <w:rPr>
                <w:rFonts w:ascii="Arial" w:cs="Arial" w:eastAsia="Arial" w:hAnsi="Arial"/>
                <w:sz w:val="16"/>
                <w:szCs w:val="16"/>
                <w:color w:val="auto"/>
              </w:rPr>
              <w:t xml:space="preserve">Due to GasLog </w:t>
            </w:r>
            <w:r>
              <w:rPr>
                <w:rFonts w:ascii="Arial" w:cs="Arial" w:eastAsia="Arial" w:hAnsi="Arial"/>
                <w:sz w:val="21"/>
                <w:szCs w:val="21"/>
                <w:color w:val="auto"/>
                <w:vertAlign w:val="superscript"/>
              </w:rPr>
              <w:t>(d)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300" w:type="dxa"/>
            <w:vAlign w:val="bottom"/>
            <w:tcBorders>
              <w:bottom w:val="single" w:sz="8" w:color="E5FFFF"/>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2,613</w:t>
            </w:r>
          </w:p>
        </w:tc>
        <w:tc>
          <w:tcPr>
            <w:tcW w:w="30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3,678</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right="140" w:hanging="328"/>
        <w:spacing w:after="0" w:line="237" w:lineRule="auto"/>
        <w:tabs>
          <w:tab w:leader="none" w:pos="655"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As of December 31, 2017, the balance due from GasLog Carriers, the parent company of GAS-fourteen Ltd. prior to its acquisition by the Partnership, represented mainly amounts advanced to GasLog Carriers to cover future operating expenses. As of September 30, 2018, the balance had been fully settled.</w:t>
      </w:r>
    </w:p>
    <w:p>
      <w:pPr>
        <w:ind w:left="640" w:hanging="308"/>
        <w:spacing w:after="0" w:line="183" w:lineRule="auto"/>
        <w:tabs>
          <w:tab w:leader="none" w:pos="64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As of September 30, 2018, the balance due from the Cool Pool comprises outstanding pool distributions (Note 9).</w:t>
      </w:r>
    </w:p>
    <w:p>
      <w:pPr>
        <w:spacing w:after="0" w:line="11" w:lineRule="exact"/>
        <w:rPr>
          <w:rFonts w:ascii="Arial" w:cs="Arial" w:eastAsia="Arial" w:hAnsi="Arial"/>
          <w:sz w:val="23"/>
          <w:szCs w:val="23"/>
          <w:color w:val="auto"/>
          <w:vertAlign w:val="superscript"/>
        </w:rPr>
      </w:pPr>
    </w:p>
    <w:p>
      <w:pPr>
        <w:ind w:left="660" w:hanging="328"/>
        <w:spacing w:after="0" w:line="182" w:lineRule="auto"/>
        <w:tabs>
          <w:tab w:leader="none" w:pos="66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The balances represent mainly amounts paid directly by the Manager on behalf of the Partnership.</w:t>
      </w:r>
    </w:p>
    <w:p>
      <w:pPr>
        <w:spacing w:after="0" w:line="10" w:lineRule="exact"/>
        <w:rPr>
          <w:rFonts w:ascii="Arial" w:cs="Arial" w:eastAsia="Arial" w:hAnsi="Arial"/>
          <w:sz w:val="22"/>
          <w:szCs w:val="22"/>
          <w:color w:val="auto"/>
          <w:vertAlign w:val="superscript"/>
        </w:rPr>
      </w:pPr>
    </w:p>
    <w:p>
      <w:pPr>
        <w:ind w:left="640" w:hanging="308"/>
        <w:spacing w:after="0" w:line="182" w:lineRule="auto"/>
        <w:tabs>
          <w:tab w:leader="none" w:pos="6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The balances represent mainly payments made by GasLog on behalf of the Partnership.</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20" w:type="dxa"/>
            <w:vAlign w:val="bottom"/>
          </w:tcPr>
          <w:p>
            <w:pPr>
              <w:spacing w:after="0"/>
              <w:rPr>
                <w:sz w:val="20"/>
                <w:szCs w:val="20"/>
                <w:color w:val="auto"/>
              </w:rPr>
            </w:pPr>
            <w:r>
              <w:rPr>
                <w:rFonts w:ascii="Arial" w:cs="Arial" w:eastAsia="Arial" w:hAnsi="Arial"/>
                <w:sz w:val="16"/>
                <w:szCs w:val="16"/>
                <w:b w:val="1"/>
                <w:bCs w:val="1"/>
                <w:i w:val="1"/>
                <w:iCs w:val="1"/>
                <w:color w:val="auto"/>
              </w:rPr>
              <w:t>Loans due to related parties</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9"/>
        </w:trPr>
        <w:tc>
          <w:tcPr>
            <w:tcW w:w="762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2017</w:t>
            </w:r>
          </w:p>
        </w:tc>
        <w:tc>
          <w:tcPr>
            <w:tcW w:w="1700" w:type="dxa"/>
            <w:vAlign w:val="bottom"/>
          </w:tcPr>
          <w:p>
            <w:pPr>
              <w:ind w:left="160"/>
              <w:spacing w:after="0"/>
              <w:rPr>
                <w:sz w:val="20"/>
                <w:szCs w:val="20"/>
                <w:color w:val="auto"/>
              </w:rPr>
            </w:pPr>
            <w:r>
              <w:rPr>
                <w:rFonts w:ascii="Arial" w:cs="Arial" w:eastAsia="Arial" w:hAnsi="Arial"/>
                <w:sz w:val="16"/>
                <w:szCs w:val="16"/>
                <w:b w:val="1"/>
                <w:bCs w:val="1"/>
                <w:color w:val="auto"/>
              </w:rPr>
              <w:t>September 30, 2018</w:t>
            </w:r>
          </w:p>
        </w:tc>
      </w:tr>
      <w:tr>
        <w:trPr>
          <w:trHeight w:val="202"/>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Loan facility with GasLog</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45,000</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ind w:left="1520"/>
              <w:spacing w:after="0"/>
              <w:rPr>
                <w:sz w:val="20"/>
                <w:szCs w:val="20"/>
                <w:color w:val="auto"/>
              </w:rPr>
            </w:pPr>
            <w:r>
              <w:rPr>
                <w:rFonts w:ascii="Arial" w:cs="Arial" w:eastAsia="Arial" w:hAnsi="Arial"/>
                <w:sz w:val="16"/>
                <w:szCs w:val="16"/>
                <w:color w:val="auto"/>
                <w:w w:val="99"/>
              </w:rPr>
              <w:t>—</w:t>
            </w:r>
          </w:p>
        </w:tc>
      </w:tr>
      <w:tr>
        <w:trPr>
          <w:trHeight w:val="196"/>
        </w:trPr>
        <w:tc>
          <w:tcPr>
            <w:tcW w:w="76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45,000</w:t>
            </w:r>
          </w:p>
        </w:tc>
        <w:tc>
          <w:tcPr>
            <w:tcW w:w="300" w:type="dxa"/>
            <w:vAlign w:val="bottom"/>
          </w:tcPr>
          <w:p>
            <w:pPr>
              <w:spacing w:after="0"/>
              <w:rPr>
                <w:sz w:val="17"/>
                <w:szCs w:val="17"/>
                <w:color w:val="auto"/>
              </w:rPr>
            </w:pPr>
          </w:p>
        </w:tc>
        <w:tc>
          <w:tcPr>
            <w:tcW w:w="1700" w:type="dxa"/>
            <w:vAlign w:val="bottom"/>
            <w:tcBorders>
              <w:bottom w:val="single" w:sz="8" w:color="auto"/>
            </w:tcBorders>
          </w:tcPr>
          <w:p>
            <w:pPr>
              <w:ind w:left="1520"/>
              <w:spacing w:after="0"/>
              <w:rPr>
                <w:sz w:val="20"/>
                <w:szCs w:val="20"/>
                <w:color w:val="auto"/>
              </w:rPr>
            </w:pPr>
            <w:r>
              <w:rPr>
                <w:rFonts w:ascii="Arial" w:cs="Arial" w:eastAsia="Arial" w:hAnsi="Arial"/>
                <w:sz w:val="16"/>
                <w:szCs w:val="16"/>
                <w:b w:val="1"/>
                <w:bCs w:val="1"/>
                <w:color w:val="auto"/>
                <w:w w:val="99"/>
              </w:rPr>
              <w:t>—</w:t>
            </w:r>
          </w:p>
        </w:tc>
      </w:tr>
      <w:tr>
        <w:trPr>
          <w:trHeight w:val="20"/>
        </w:trPr>
        <w:tc>
          <w:tcPr>
            <w:tcW w:w="7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On April 3, 2017, GasLog Partners entered into a new unsecured five-year term loan of $45,000 and a new five-year revolving credit facility of $30,000 with GasLog (together, the “Sponsor Credit Facility”), to be used for general partnership purposes.</w:t>
      </w:r>
    </w:p>
    <w:p>
      <w:pPr>
        <w:spacing w:after="0" w:line="172"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On April 5, 2017, an amount of $45,000 under the term loan facility and an amount of $15,000 under the revolving credit facility were drawn by the Partnership, with the latter fully repaid on May 22, 2017. On March 23, 2018, the remaining $45,000, which was due in March 2022, was prepaid and the respective term loan facility was terminated.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2018, the amount outstanding under the revolving credit facility described above was $0 (December 31, 2017: $0).</w:t>
      </w:r>
    </w:p>
    <w:p>
      <w:pPr>
        <w:spacing w:after="0" w:line="23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Partnership had the following transactions with related parties, which have been included in the unaudited condensed consolidated statements of profit or loss for the three and nine months ended September 30, 2017 and 2018: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three months ended</w:t>
            </w:r>
          </w:p>
        </w:tc>
        <w:tc>
          <w:tcPr>
            <w:tcW w:w="250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Company</w:t>
            </w:r>
          </w:p>
        </w:tc>
        <w:tc>
          <w:tcPr>
            <w:tcW w:w="18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Details</w:t>
            </w:r>
          </w:p>
        </w:tc>
        <w:tc>
          <w:tcPr>
            <w:tcW w:w="240" w:type="dxa"/>
            <w:vAlign w:val="bottom"/>
          </w:tcPr>
          <w:p>
            <w:pPr>
              <w:spacing w:after="0"/>
              <w:rPr>
                <w:sz w:val="12"/>
                <w:szCs w:val="12"/>
                <w:color w:val="auto"/>
              </w:rPr>
            </w:pPr>
          </w:p>
        </w:tc>
        <w:tc>
          <w:tcPr>
            <w:tcW w:w="21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Account</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1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184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23"/>
        </w:trPr>
        <w:tc>
          <w:tcPr>
            <w:tcW w:w="1620" w:type="dxa"/>
            <w:vAlign w:val="bottom"/>
            <w:tcBorders>
              <w:top w:val="single" w:sz="8" w:color="auto"/>
            </w:tcBorders>
            <w:shd w:val="clear" w:color="auto" w:fill="E5FFFF"/>
          </w:tcPr>
          <w:p>
            <w:pPr>
              <w:spacing w:after="0" w:line="123" w:lineRule="exact"/>
              <w:rPr>
                <w:sz w:val="20"/>
                <w:szCs w:val="20"/>
                <w:color w:val="auto"/>
              </w:rPr>
            </w:pPr>
            <w:r>
              <w:rPr>
                <w:rFonts w:ascii="Arial" w:cs="Arial" w:eastAsia="Arial" w:hAnsi="Arial"/>
                <w:sz w:val="14"/>
                <w:szCs w:val="14"/>
                <w:color w:val="auto"/>
              </w:rPr>
              <w:t>GasLog</w:t>
            </w:r>
          </w:p>
        </w:tc>
        <w:tc>
          <w:tcPr>
            <w:tcW w:w="220" w:type="dxa"/>
            <w:vAlign w:val="bottom"/>
            <w:tcBorders>
              <w:top w:val="single" w:sz="8" w:color="E5FFFF"/>
            </w:tcBorders>
            <w:shd w:val="clear" w:color="auto" w:fill="E5FFFF"/>
          </w:tcPr>
          <w:p>
            <w:pPr>
              <w:spacing w:after="0"/>
              <w:rPr>
                <w:sz w:val="10"/>
                <w:szCs w:val="10"/>
                <w:color w:val="auto"/>
              </w:rPr>
            </w:pPr>
          </w:p>
        </w:tc>
        <w:tc>
          <w:tcPr>
            <w:tcW w:w="1840" w:type="dxa"/>
            <w:vAlign w:val="bottom"/>
            <w:tcBorders>
              <w:top w:val="single" w:sz="8" w:color="auto"/>
            </w:tcBorders>
            <w:vMerge w:val="restart"/>
            <w:shd w:val="clear" w:color="auto" w:fill="E5FFFF"/>
          </w:tcPr>
          <w:p>
            <w:pPr>
              <w:spacing w:after="0"/>
              <w:rPr>
                <w:sz w:val="20"/>
                <w:szCs w:val="20"/>
                <w:color w:val="auto"/>
              </w:rPr>
            </w:pPr>
            <w:r>
              <w:rPr>
                <w:rFonts w:ascii="Arial" w:cs="Arial" w:eastAsia="Arial" w:hAnsi="Arial"/>
                <w:sz w:val="14"/>
                <w:szCs w:val="14"/>
                <w:color w:val="auto"/>
                <w:w w:val="93"/>
              </w:rPr>
              <w:t>Commercial management fee</w:t>
            </w:r>
            <w:r>
              <w:rPr>
                <w:rFonts w:ascii="Arial" w:cs="Arial" w:eastAsia="Arial" w:hAnsi="Arial"/>
                <w:sz w:val="17"/>
                <w:szCs w:val="17"/>
                <w:color w:val="auto"/>
                <w:w w:val="93"/>
                <w:vertAlign w:val="superscript"/>
              </w:rPr>
              <w:t>(i)</w:t>
            </w:r>
          </w:p>
        </w:tc>
        <w:tc>
          <w:tcPr>
            <w:tcW w:w="240" w:type="dxa"/>
            <w:vAlign w:val="bottom"/>
            <w:tcBorders>
              <w:top w:val="single" w:sz="8" w:color="E5FFFF"/>
            </w:tcBorders>
            <w:shd w:val="clear" w:color="auto" w:fill="E5FFFF"/>
          </w:tcPr>
          <w:p>
            <w:pPr>
              <w:spacing w:after="0"/>
              <w:rPr>
                <w:sz w:val="10"/>
                <w:szCs w:val="10"/>
                <w:color w:val="auto"/>
              </w:rPr>
            </w:pPr>
          </w:p>
        </w:tc>
        <w:tc>
          <w:tcPr>
            <w:tcW w:w="1940" w:type="dxa"/>
            <w:vAlign w:val="bottom"/>
            <w:tcBorders>
              <w:top w:val="single" w:sz="8" w:color="auto"/>
            </w:tcBorders>
            <w:shd w:val="clear" w:color="auto" w:fill="E5FFFF"/>
          </w:tcPr>
          <w:p>
            <w:pPr>
              <w:spacing w:after="0" w:line="123" w:lineRule="exact"/>
              <w:rPr>
                <w:sz w:val="20"/>
                <w:szCs w:val="20"/>
                <w:color w:val="auto"/>
              </w:rPr>
            </w:pPr>
            <w:r>
              <w:rPr>
                <w:rFonts w:ascii="Arial" w:cs="Arial" w:eastAsia="Arial" w:hAnsi="Arial"/>
                <w:sz w:val="14"/>
                <w:szCs w:val="14"/>
                <w:color w:val="auto"/>
              </w:rPr>
              <w:t>General and administrative</w:t>
            </w:r>
          </w:p>
        </w:tc>
        <w:tc>
          <w:tcPr>
            <w:tcW w:w="220" w:type="dxa"/>
            <w:vAlign w:val="bottom"/>
            <w:tcBorders>
              <w:top w:val="single" w:sz="8" w:color="E5FFFF"/>
            </w:tcBorders>
            <w:shd w:val="clear" w:color="auto" w:fill="E5FFFF"/>
          </w:tcPr>
          <w:p>
            <w:pPr>
              <w:spacing w:after="0"/>
              <w:rPr>
                <w:sz w:val="10"/>
                <w:szCs w:val="10"/>
                <w:color w:val="auto"/>
              </w:rPr>
            </w:pPr>
          </w:p>
        </w:tc>
        <w:tc>
          <w:tcPr>
            <w:tcW w:w="1160" w:type="dxa"/>
            <w:vAlign w:val="bottom"/>
            <w:tcBorders>
              <w:top w:val="single" w:sz="8" w:color="auto"/>
            </w:tcBorders>
            <w:shd w:val="clear" w:color="auto" w:fill="E5FFFF"/>
          </w:tcPr>
          <w:p>
            <w:pPr>
              <w:spacing w:after="0"/>
              <w:rPr>
                <w:sz w:val="10"/>
                <w:szCs w:val="10"/>
                <w:color w:val="auto"/>
              </w:rPr>
            </w:pPr>
          </w:p>
        </w:tc>
        <w:tc>
          <w:tcPr>
            <w:tcW w:w="220" w:type="dxa"/>
            <w:vAlign w:val="bottom"/>
            <w:tcBorders>
              <w:top w:val="single" w:sz="8" w:color="E5FFFF"/>
            </w:tcBorders>
            <w:shd w:val="clear" w:color="auto" w:fill="E5FFFF"/>
          </w:tcPr>
          <w:p>
            <w:pPr>
              <w:spacing w:after="0"/>
              <w:rPr>
                <w:sz w:val="10"/>
                <w:szCs w:val="10"/>
                <w:color w:val="auto"/>
              </w:rPr>
            </w:pPr>
          </w:p>
        </w:tc>
        <w:tc>
          <w:tcPr>
            <w:tcW w:w="1160" w:type="dxa"/>
            <w:vAlign w:val="bottom"/>
            <w:tcBorders>
              <w:top w:val="single" w:sz="8" w:color="auto"/>
            </w:tcBorders>
            <w:shd w:val="clear" w:color="auto" w:fill="E5FFFF"/>
          </w:tcPr>
          <w:p>
            <w:pPr>
              <w:spacing w:after="0"/>
              <w:rPr>
                <w:sz w:val="10"/>
                <w:szCs w:val="10"/>
                <w:color w:val="auto"/>
              </w:rPr>
            </w:pPr>
          </w:p>
        </w:tc>
        <w:tc>
          <w:tcPr>
            <w:tcW w:w="200" w:type="dxa"/>
            <w:vAlign w:val="bottom"/>
            <w:tcBorders>
              <w:top w:val="single" w:sz="8" w:color="E5FFFF"/>
            </w:tcBorders>
            <w:shd w:val="clear" w:color="auto" w:fill="E5FFFF"/>
          </w:tcPr>
          <w:p>
            <w:pPr>
              <w:spacing w:after="0"/>
              <w:rPr>
                <w:sz w:val="10"/>
                <w:szCs w:val="10"/>
                <w:color w:val="auto"/>
              </w:rPr>
            </w:pPr>
          </w:p>
        </w:tc>
        <w:tc>
          <w:tcPr>
            <w:tcW w:w="1140" w:type="dxa"/>
            <w:vAlign w:val="bottom"/>
            <w:tcBorders>
              <w:top w:val="single" w:sz="8" w:color="auto"/>
            </w:tcBorders>
            <w:shd w:val="clear" w:color="auto" w:fill="E5FFFF"/>
          </w:tcPr>
          <w:p>
            <w:pPr>
              <w:spacing w:after="0"/>
              <w:rPr>
                <w:sz w:val="10"/>
                <w:szCs w:val="10"/>
                <w:color w:val="auto"/>
              </w:rPr>
            </w:pPr>
          </w:p>
        </w:tc>
        <w:tc>
          <w:tcPr>
            <w:tcW w:w="220" w:type="dxa"/>
            <w:vAlign w:val="bottom"/>
            <w:tcBorders>
              <w:top w:val="single" w:sz="8" w:color="E5FFFF"/>
            </w:tcBorders>
            <w:shd w:val="clear" w:color="auto" w:fill="E5FFFF"/>
          </w:tcPr>
          <w:p>
            <w:pPr>
              <w:spacing w:after="0"/>
              <w:rPr>
                <w:sz w:val="10"/>
                <w:szCs w:val="10"/>
                <w:color w:val="auto"/>
              </w:rPr>
            </w:pPr>
          </w:p>
        </w:tc>
        <w:tc>
          <w:tcPr>
            <w:tcW w:w="1140" w:type="dxa"/>
            <w:vAlign w:val="bottom"/>
            <w:tcBorders>
              <w:top w:val="single" w:sz="8" w:color="auto"/>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840" w:type="dxa"/>
            <w:vAlign w:val="bottom"/>
            <w:vMerge w:val="continue"/>
            <w:shd w:val="clear" w:color="auto" w:fill="E5FFFF"/>
          </w:tcPr>
          <w:p>
            <w:pPr>
              <w:spacing w:after="0"/>
              <w:rPr>
                <w:sz w:val="14"/>
                <w:szCs w:val="14"/>
                <w:color w:val="auto"/>
              </w:rPr>
            </w:pPr>
          </w:p>
        </w:tc>
        <w:tc>
          <w:tcPr>
            <w:tcW w:w="2400" w:type="dxa"/>
            <w:vAlign w:val="bottom"/>
            <w:gridSpan w:val="3"/>
            <w:shd w:val="clear" w:color="auto" w:fill="E5FFFF"/>
          </w:tcPr>
          <w:p>
            <w:pPr>
              <w:ind w:left="240"/>
              <w:spacing w:after="0"/>
              <w:rPr>
                <w:sz w:val="20"/>
                <w:szCs w:val="20"/>
                <w:color w:val="auto"/>
              </w:rPr>
            </w:pPr>
            <w:r>
              <w:rPr>
                <w:rFonts w:ascii="Arial" w:cs="Arial" w:eastAsia="Arial" w:hAnsi="Arial"/>
                <w:sz w:val="14"/>
                <w:szCs w:val="14"/>
                <w:color w:val="auto"/>
              </w:rPr>
              <w:t>expenses</w:t>
            </w:r>
          </w:p>
        </w:tc>
        <w:tc>
          <w:tcPr>
            <w:tcW w:w="1380" w:type="dxa"/>
            <w:vAlign w:val="bottom"/>
            <w:gridSpan w:val="2"/>
            <w:shd w:val="clear" w:color="auto" w:fill="E5FFFF"/>
          </w:tcPr>
          <w:p>
            <w:pPr>
              <w:jc w:val="right"/>
              <w:ind w:right="220"/>
              <w:spacing w:after="0"/>
              <w:rPr>
                <w:sz w:val="20"/>
                <w:szCs w:val="20"/>
                <w:color w:val="auto"/>
              </w:rPr>
            </w:pPr>
            <w:r>
              <w:rPr>
                <w:rFonts w:ascii="Arial" w:cs="Arial" w:eastAsia="Arial" w:hAnsi="Arial"/>
                <w:sz w:val="14"/>
                <w:szCs w:val="14"/>
                <w:color w:val="auto"/>
              </w:rPr>
              <w:t>1,170</w:t>
            </w:r>
          </w:p>
        </w:tc>
        <w:tc>
          <w:tcPr>
            <w:tcW w:w="1360" w:type="dxa"/>
            <w:vAlign w:val="bottom"/>
            <w:gridSpan w:val="2"/>
            <w:shd w:val="clear" w:color="auto" w:fill="E5FFFF"/>
          </w:tcPr>
          <w:p>
            <w:pPr>
              <w:jc w:val="right"/>
              <w:ind w:right="200"/>
              <w:spacing w:after="0"/>
              <w:rPr>
                <w:sz w:val="20"/>
                <w:szCs w:val="20"/>
                <w:color w:val="auto"/>
              </w:rPr>
            </w:pPr>
            <w:r>
              <w:rPr>
                <w:rFonts w:ascii="Arial" w:cs="Arial" w:eastAsia="Arial" w:hAnsi="Arial"/>
                <w:sz w:val="14"/>
                <w:szCs w:val="14"/>
                <w:color w:val="auto"/>
              </w:rPr>
              <w:t>1,170</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4"/>
                <w:szCs w:val="14"/>
                <w:color w:val="auto"/>
              </w:rPr>
              <w:t>3,510</w:t>
            </w:r>
          </w:p>
        </w:tc>
        <w:tc>
          <w:tcPr>
            <w:tcW w:w="11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3,510</w:t>
            </w:r>
          </w:p>
        </w:tc>
        <w:tc>
          <w:tcPr>
            <w:tcW w:w="0" w:type="dxa"/>
            <w:vAlign w:val="bottom"/>
          </w:tcPr>
          <w:p>
            <w:pPr>
              <w:spacing w:after="0"/>
              <w:rPr>
                <w:sz w:val="1"/>
                <w:szCs w:val="1"/>
                <w:color w:val="auto"/>
              </w:rPr>
            </w:pPr>
          </w:p>
        </w:tc>
      </w:tr>
      <w:tr>
        <w:trPr>
          <w:trHeight w:val="130"/>
        </w:trPr>
        <w:tc>
          <w:tcPr>
            <w:tcW w:w="1840" w:type="dxa"/>
            <w:vAlign w:val="bottom"/>
            <w:gridSpan w:val="2"/>
          </w:tcPr>
          <w:p>
            <w:pPr>
              <w:spacing w:after="0" w:line="130" w:lineRule="exact"/>
              <w:rPr>
                <w:sz w:val="20"/>
                <w:szCs w:val="20"/>
                <w:color w:val="auto"/>
              </w:rPr>
            </w:pPr>
            <w:r>
              <w:rPr>
                <w:rFonts w:ascii="Arial" w:cs="Arial" w:eastAsia="Arial" w:hAnsi="Arial"/>
                <w:sz w:val="14"/>
                <w:szCs w:val="14"/>
                <w:color w:val="auto"/>
              </w:rPr>
              <w:t>GasLog</w:t>
            </w:r>
          </w:p>
        </w:tc>
        <w:tc>
          <w:tcPr>
            <w:tcW w:w="1840" w:type="dxa"/>
            <w:vAlign w:val="bottom"/>
            <w:vMerge w:val="restart"/>
          </w:tcPr>
          <w:p>
            <w:pPr>
              <w:spacing w:after="0"/>
              <w:rPr>
                <w:sz w:val="20"/>
                <w:szCs w:val="20"/>
                <w:color w:val="auto"/>
              </w:rPr>
            </w:pPr>
            <w:r>
              <w:rPr>
                <w:rFonts w:ascii="Arial" w:cs="Arial" w:eastAsia="Arial" w:hAnsi="Arial"/>
                <w:sz w:val="14"/>
                <w:szCs w:val="14"/>
                <w:color w:val="auto"/>
              </w:rPr>
              <w:t>Administrative services fee</w:t>
            </w:r>
            <w:r>
              <w:rPr>
                <w:rFonts w:ascii="Arial" w:cs="Arial" w:eastAsia="Arial" w:hAnsi="Arial"/>
                <w:sz w:val="17"/>
                <w:szCs w:val="17"/>
                <w:color w:val="auto"/>
                <w:vertAlign w:val="superscript"/>
              </w:rPr>
              <w:t>(ii)</w:t>
            </w:r>
          </w:p>
        </w:tc>
        <w:tc>
          <w:tcPr>
            <w:tcW w:w="2400" w:type="dxa"/>
            <w:vAlign w:val="bottom"/>
            <w:gridSpan w:val="3"/>
          </w:tcPr>
          <w:p>
            <w:pPr>
              <w:ind w:left="240"/>
              <w:spacing w:after="0" w:line="130" w:lineRule="exact"/>
              <w:rPr>
                <w:sz w:val="20"/>
                <w:szCs w:val="20"/>
                <w:color w:val="auto"/>
              </w:rPr>
            </w:pPr>
            <w:r>
              <w:rPr>
                <w:rFonts w:ascii="Arial" w:cs="Arial" w:eastAsia="Arial" w:hAnsi="Arial"/>
                <w:sz w:val="14"/>
                <w:szCs w:val="14"/>
                <w:color w:val="auto"/>
              </w:rPr>
              <w:t>General and administrative</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2400" w:type="dxa"/>
            <w:vAlign w:val="bottom"/>
            <w:gridSpan w:val="3"/>
          </w:tcPr>
          <w:p>
            <w:pPr>
              <w:ind w:left="240"/>
              <w:spacing w:after="0"/>
              <w:rPr>
                <w:sz w:val="20"/>
                <w:szCs w:val="20"/>
                <w:color w:val="auto"/>
              </w:rPr>
            </w:pPr>
            <w:r>
              <w:rPr>
                <w:rFonts w:ascii="Arial" w:cs="Arial" w:eastAsia="Arial" w:hAnsi="Arial"/>
                <w:sz w:val="14"/>
                <w:szCs w:val="14"/>
                <w:color w:val="auto"/>
              </w:rPr>
              <w:t>expenses</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1,735</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2,638</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4,683</w:t>
            </w:r>
          </w:p>
        </w:tc>
        <w:tc>
          <w:tcPr>
            <w:tcW w:w="1140" w:type="dxa"/>
            <w:vAlign w:val="bottom"/>
          </w:tcPr>
          <w:p>
            <w:pPr>
              <w:jc w:val="right"/>
              <w:spacing w:after="0"/>
              <w:rPr>
                <w:sz w:val="20"/>
                <w:szCs w:val="20"/>
                <w:color w:val="auto"/>
              </w:rPr>
            </w:pPr>
            <w:r>
              <w:rPr>
                <w:rFonts w:ascii="Arial" w:cs="Arial" w:eastAsia="Arial" w:hAnsi="Arial"/>
                <w:sz w:val="14"/>
                <w:szCs w:val="14"/>
                <w:color w:val="auto"/>
              </w:rPr>
              <w:t>7,654</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LNG Services</w:t>
            </w:r>
          </w:p>
        </w:tc>
        <w:tc>
          <w:tcPr>
            <w:tcW w:w="18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7"/>
                <w:szCs w:val="17"/>
                <w:color w:val="auto"/>
                <w:vertAlign w:val="superscript"/>
              </w:rPr>
              <w:t>(iii)</w:t>
            </w:r>
          </w:p>
        </w:tc>
        <w:tc>
          <w:tcPr>
            <w:tcW w:w="2400" w:type="dxa"/>
            <w:vAlign w:val="bottom"/>
            <w:gridSpan w:val="3"/>
            <w:shd w:val="clear" w:color="auto" w:fill="E5FFFF"/>
          </w:tcPr>
          <w:p>
            <w:pPr>
              <w:ind w:left="240"/>
              <w:spacing w:after="0" w:line="149" w:lineRule="exact"/>
              <w:rPr>
                <w:sz w:val="20"/>
                <w:szCs w:val="20"/>
                <w:color w:val="auto"/>
              </w:rPr>
            </w:pPr>
            <w:r>
              <w:rPr>
                <w:rFonts w:ascii="Arial" w:cs="Arial" w:eastAsia="Arial" w:hAnsi="Arial"/>
                <w:sz w:val="14"/>
                <w:szCs w:val="14"/>
                <w:color w:val="auto"/>
              </w:rPr>
              <w:t>Vessel operating costs</w:t>
            </w:r>
          </w:p>
        </w:tc>
        <w:tc>
          <w:tcPr>
            <w:tcW w:w="138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1,656</w:t>
            </w:r>
          </w:p>
        </w:tc>
        <w:tc>
          <w:tcPr>
            <w:tcW w:w="136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1,656</w:t>
            </w:r>
          </w:p>
        </w:tc>
        <w:tc>
          <w:tcPr>
            <w:tcW w:w="136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4,968</w:t>
            </w:r>
          </w:p>
        </w:tc>
        <w:tc>
          <w:tcPr>
            <w:tcW w:w="1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4,968</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GasLog LNG Services</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Other vessel operating costs</w:t>
            </w:r>
          </w:p>
        </w:tc>
        <w:tc>
          <w:tcPr>
            <w:tcW w:w="240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Vessel operating costs</w:t>
            </w: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w:t>
            </w:r>
          </w:p>
        </w:tc>
        <w:tc>
          <w:tcPr>
            <w:tcW w:w="18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w w:val="91"/>
              </w:rPr>
              <w:t>Interest expense under Sponsor</w:t>
            </w:r>
          </w:p>
        </w:tc>
        <w:tc>
          <w:tcPr>
            <w:tcW w:w="2400" w:type="dxa"/>
            <w:vAlign w:val="bottom"/>
            <w:gridSpan w:val="3"/>
            <w:shd w:val="clear" w:color="auto" w:fill="E5FFFF"/>
          </w:tcPr>
          <w:p>
            <w:pPr>
              <w:ind w:left="240"/>
              <w:spacing w:after="0" w:line="149" w:lineRule="exact"/>
              <w:rPr>
                <w:sz w:val="20"/>
                <w:szCs w:val="20"/>
                <w:color w:val="auto"/>
              </w:rPr>
            </w:pPr>
            <w:r>
              <w:rPr>
                <w:rFonts w:ascii="Arial" w:cs="Arial" w:eastAsia="Arial" w:hAnsi="Arial"/>
                <w:sz w:val="14"/>
                <w:szCs w:val="14"/>
                <w:color w:val="auto"/>
              </w:rPr>
              <w:t>Financial costs</w:t>
            </w:r>
          </w:p>
        </w:tc>
        <w:tc>
          <w:tcPr>
            <w:tcW w:w="138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1,026</w:t>
            </w:r>
          </w:p>
        </w:tc>
        <w:tc>
          <w:tcPr>
            <w:tcW w:w="136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2,186</w:t>
            </w:r>
          </w:p>
        </w:tc>
        <w:tc>
          <w:tcPr>
            <w:tcW w:w="1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6"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1220" w:type="dxa"/>
            <w:vAlign w:val="bottom"/>
            <w:shd w:val="clear" w:color="auto" w:fill="E5FFFF"/>
          </w:tcPr>
          <w:p>
            <w:pPr>
              <w:spacing w:after="0"/>
              <w:rPr>
                <w:sz w:val="14"/>
                <w:szCs w:val="14"/>
                <w:color w:val="auto"/>
              </w:rPr>
            </w:pPr>
          </w:p>
        </w:tc>
        <w:tc>
          <w:tcPr>
            <w:tcW w:w="2580" w:type="dxa"/>
            <w:vAlign w:val="bottom"/>
            <w:shd w:val="clear" w:color="auto" w:fill="E5FFFF"/>
          </w:tcPr>
          <w:p>
            <w:pPr>
              <w:ind w:left="620"/>
              <w:spacing w:after="0"/>
              <w:rPr>
                <w:sz w:val="20"/>
                <w:szCs w:val="20"/>
                <w:color w:val="auto"/>
              </w:rPr>
            </w:pPr>
            <w:r>
              <w:rPr>
                <w:rFonts w:ascii="Arial" w:cs="Arial" w:eastAsia="Arial" w:hAnsi="Arial"/>
                <w:sz w:val="14"/>
                <w:szCs w:val="14"/>
                <w:color w:val="auto"/>
              </w:rPr>
              <w:t>Credit Facility</w:t>
            </w:r>
          </w:p>
        </w:tc>
        <w:tc>
          <w:tcPr>
            <w:tcW w:w="2420" w:type="dxa"/>
            <w:vAlign w:val="bottom"/>
            <w:shd w:val="clear" w:color="auto" w:fill="E5FFFF"/>
          </w:tcPr>
          <w:p>
            <w:pPr>
              <w:spacing w:after="0"/>
              <w:rPr>
                <w:sz w:val="14"/>
                <w:szCs w:val="14"/>
                <w:color w:val="auto"/>
              </w:rPr>
            </w:pPr>
          </w:p>
        </w:tc>
        <w:tc>
          <w:tcPr>
            <w:tcW w:w="1580" w:type="dxa"/>
            <w:vAlign w:val="bottom"/>
            <w:shd w:val="clear" w:color="auto" w:fill="E5FFFF"/>
          </w:tcPr>
          <w:p>
            <w:pPr>
              <w:spacing w:after="0"/>
              <w:rPr>
                <w:sz w:val="14"/>
                <w:szCs w:val="14"/>
                <w:color w:val="auto"/>
              </w:rPr>
            </w:pPr>
          </w:p>
        </w:tc>
        <w:tc>
          <w:tcPr>
            <w:tcW w:w="1340" w:type="dxa"/>
            <w:vAlign w:val="bottom"/>
            <w:shd w:val="clear" w:color="auto" w:fill="E5FFFF"/>
          </w:tcPr>
          <w:p>
            <w:pPr>
              <w:spacing w:after="0"/>
              <w:rPr>
                <w:sz w:val="14"/>
                <w:szCs w:val="14"/>
                <w:color w:val="auto"/>
              </w:rPr>
            </w:pPr>
          </w:p>
        </w:tc>
        <w:tc>
          <w:tcPr>
            <w:tcW w:w="1320" w:type="dxa"/>
            <w:vAlign w:val="bottom"/>
            <w:shd w:val="clear" w:color="auto" w:fill="E5FFFF"/>
          </w:tcPr>
          <w:p>
            <w:pPr>
              <w:spacing w:after="0"/>
              <w:rPr>
                <w:sz w:val="14"/>
                <w:szCs w:val="14"/>
                <w:color w:val="auto"/>
              </w:rPr>
            </w:pPr>
          </w:p>
        </w:tc>
        <w:tc>
          <w:tcPr>
            <w:tcW w:w="860" w:type="dxa"/>
            <w:vAlign w:val="bottom"/>
            <w:shd w:val="clear" w:color="auto" w:fill="E5FFFF"/>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1220" w:type="dxa"/>
            <w:vAlign w:val="bottom"/>
          </w:tcPr>
          <w:p>
            <w:pPr>
              <w:spacing w:after="0" w:line="130" w:lineRule="exact"/>
              <w:rPr>
                <w:sz w:val="20"/>
                <w:szCs w:val="20"/>
                <w:color w:val="auto"/>
              </w:rPr>
            </w:pPr>
            <w:r>
              <w:rPr>
                <w:rFonts w:ascii="Arial" w:cs="Arial" w:eastAsia="Arial" w:hAnsi="Arial"/>
                <w:sz w:val="14"/>
                <w:szCs w:val="14"/>
                <w:color w:val="auto"/>
              </w:rPr>
              <w:t>GasLog</w:t>
            </w:r>
          </w:p>
        </w:tc>
        <w:tc>
          <w:tcPr>
            <w:tcW w:w="2580" w:type="dxa"/>
            <w:vAlign w:val="bottom"/>
          </w:tcPr>
          <w:p>
            <w:pPr>
              <w:ind w:left="620"/>
              <w:spacing w:after="0" w:line="130" w:lineRule="exact"/>
              <w:rPr>
                <w:sz w:val="20"/>
                <w:szCs w:val="20"/>
                <w:color w:val="auto"/>
              </w:rPr>
            </w:pPr>
            <w:r>
              <w:rPr>
                <w:rFonts w:ascii="Arial" w:cs="Arial" w:eastAsia="Arial" w:hAnsi="Arial"/>
                <w:sz w:val="14"/>
                <w:szCs w:val="14"/>
                <w:color w:val="auto"/>
              </w:rPr>
              <w:t>Commitment fee under</w:t>
            </w:r>
          </w:p>
        </w:tc>
        <w:tc>
          <w:tcPr>
            <w:tcW w:w="24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220" w:type="dxa"/>
            <w:vAlign w:val="bottom"/>
          </w:tcPr>
          <w:p>
            <w:pPr>
              <w:spacing w:after="0"/>
              <w:rPr>
                <w:sz w:val="14"/>
                <w:szCs w:val="14"/>
                <w:color w:val="auto"/>
              </w:rPr>
            </w:pPr>
          </w:p>
        </w:tc>
        <w:tc>
          <w:tcPr>
            <w:tcW w:w="2580" w:type="dxa"/>
            <w:vAlign w:val="bottom"/>
          </w:tcPr>
          <w:p>
            <w:pPr>
              <w:ind w:left="620"/>
              <w:spacing w:after="0"/>
              <w:rPr>
                <w:sz w:val="20"/>
                <w:szCs w:val="20"/>
                <w:color w:val="auto"/>
              </w:rPr>
            </w:pPr>
            <w:r>
              <w:rPr>
                <w:rFonts w:ascii="Arial" w:cs="Arial" w:eastAsia="Arial" w:hAnsi="Arial"/>
                <w:sz w:val="14"/>
                <w:szCs w:val="14"/>
                <w:color w:val="auto"/>
              </w:rPr>
              <w:t>Sponsor Credit Facility</w:t>
            </w:r>
          </w:p>
        </w:tc>
        <w:tc>
          <w:tcPr>
            <w:tcW w:w="2420" w:type="dxa"/>
            <w:vAlign w:val="bottom"/>
          </w:tcPr>
          <w:p>
            <w:pPr>
              <w:ind w:left="120"/>
              <w:spacing w:after="0"/>
              <w:rPr>
                <w:sz w:val="20"/>
                <w:szCs w:val="20"/>
                <w:color w:val="auto"/>
              </w:rPr>
            </w:pPr>
            <w:r>
              <w:rPr>
                <w:rFonts w:ascii="Arial" w:cs="Arial" w:eastAsia="Arial" w:hAnsi="Arial"/>
                <w:sz w:val="14"/>
                <w:szCs w:val="14"/>
                <w:color w:val="auto"/>
              </w:rPr>
              <w:t>Financial costs</w:t>
            </w:r>
          </w:p>
        </w:tc>
        <w:tc>
          <w:tcPr>
            <w:tcW w:w="1580" w:type="dxa"/>
            <w:vAlign w:val="bottom"/>
          </w:tcPr>
          <w:p>
            <w:pPr>
              <w:jc w:val="right"/>
              <w:ind w:right="488"/>
              <w:spacing w:after="0"/>
              <w:rPr>
                <w:sz w:val="20"/>
                <w:szCs w:val="20"/>
                <w:color w:val="auto"/>
              </w:rPr>
            </w:pPr>
            <w:r>
              <w:rPr>
                <w:rFonts w:ascii="Arial" w:cs="Arial" w:eastAsia="Arial" w:hAnsi="Arial"/>
                <w:sz w:val="14"/>
                <w:szCs w:val="14"/>
                <w:color w:val="auto"/>
              </w:rPr>
              <w:t>77</w:t>
            </w:r>
          </w:p>
        </w:tc>
        <w:tc>
          <w:tcPr>
            <w:tcW w:w="1340" w:type="dxa"/>
            <w:vAlign w:val="bottom"/>
          </w:tcPr>
          <w:p>
            <w:pPr>
              <w:jc w:val="right"/>
              <w:ind w:right="448"/>
              <w:spacing w:after="0"/>
              <w:rPr>
                <w:sz w:val="20"/>
                <w:szCs w:val="20"/>
                <w:color w:val="auto"/>
              </w:rPr>
            </w:pPr>
            <w:r>
              <w:rPr>
                <w:rFonts w:ascii="Arial" w:cs="Arial" w:eastAsia="Arial" w:hAnsi="Arial"/>
                <w:sz w:val="14"/>
                <w:szCs w:val="14"/>
                <w:color w:val="auto"/>
              </w:rPr>
              <w:t>76</w:t>
            </w:r>
          </w:p>
        </w:tc>
        <w:tc>
          <w:tcPr>
            <w:tcW w:w="1320" w:type="dxa"/>
            <w:vAlign w:val="bottom"/>
          </w:tcPr>
          <w:p>
            <w:pPr>
              <w:jc w:val="right"/>
              <w:ind w:right="428"/>
              <w:spacing w:after="0"/>
              <w:rPr>
                <w:sz w:val="20"/>
                <w:szCs w:val="20"/>
                <w:color w:val="auto"/>
              </w:rPr>
            </w:pPr>
            <w:r>
              <w:rPr>
                <w:rFonts w:ascii="Arial" w:cs="Arial" w:eastAsia="Arial" w:hAnsi="Arial"/>
                <w:sz w:val="14"/>
                <w:szCs w:val="14"/>
                <w:color w:val="auto"/>
              </w:rPr>
              <w:t>319</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227</w:t>
            </w:r>
          </w:p>
        </w:tc>
      </w:tr>
      <w:tr>
        <w:trPr>
          <w:trHeight w:val="130"/>
        </w:trPr>
        <w:tc>
          <w:tcPr>
            <w:tcW w:w="12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GasLog</w:t>
            </w:r>
          </w:p>
        </w:tc>
        <w:tc>
          <w:tcPr>
            <w:tcW w:w="2580" w:type="dxa"/>
            <w:vAlign w:val="bottom"/>
            <w:shd w:val="clear" w:color="auto" w:fill="E5FFFF"/>
          </w:tcPr>
          <w:p>
            <w:pPr>
              <w:ind w:left="620"/>
              <w:spacing w:after="0" w:line="130" w:lineRule="exact"/>
              <w:rPr>
                <w:sz w:val="20"/>
                <w:szCs w:val="20"/>
                <w:color w:val="auto"/>
              </w:rPr>
            </w:pPr>
            <w:r>
              <w:rPr>
                <w:rFonts w:ascii="Arial" w:cs="Arial" w:eastAsia="Arial" w:hAnsi="Arial"/>
                <w:sz w:val="14"/>
                <w:szCs w:val="14"/>
                <w:color w:val="auto"/>
              </w:rPr>
              <w:t>Interest on swaps held for</w:t>
            </w:r>
          </w:p>
        </w:tc>
        <w:tc>
          <w:tcPr>
            <w:tcW w:w="2420" w:type="dxa"/>
            <w:vAlign w:val="bottom"/>
            <w:shd w:val="clear" w:color="auto" w:fill="E5FFFF"/>
          </w:tcPr>
          <w:p>
            <w:pPr>
              <w:spacing w:after="0"/>
              <w:rPr>
                <w:sz w:val="11"/>
                <w:szCs w:val="11"/>
                <w:color w:val="auto"/>
              </w:rPr>
            </w:pPr>
          </w:p>
        </w:tc>
        <w:tc>
          <w:tcPr>
            <w:tcW w:w="1580" w:type="dxa"/>
            <w:vAlign w:val="bottom"/>
            <w:shd w:val="clear" w:color="auto" w:fill="E5FFFF"/>
          </w:tcPr>
          <w:p>
            <w:pPr>
              <w:spacing w:after="0"/>
              <w:rPr>
                <w:sz w:val="11"/>
                <w:szCs w:val="11"/>
                <w:color w:val="auto"/>
              </w:rPr>
            </w:pPr>
          </w:p>
        </w:tc>
        <w:tc>
          <w:tcPr>
            <w:tcW w:w="1340" w:type="dxa"/>
            <w:vAlign w:val="bottom"/>
            <w:shd w:val="clear" w:color="auto" w:fill="E5FFFF"/>
          </w:tcPr>
          <w:p>
            <w:pPr>
              <w:spacing w:after="0"/>
              <w:rPr>
                <w:sz w:val="11"/>
                <w:szCs w:val="11"/>
                <w:color w:val="auto"/>
              </w:rPr>
            </w:pPr>
          </w:p>
        </w:tc>
        <w:tc>
          <w:tcPr>
            <w:tcW w:w="1320" w:type="dxa"/>
            <w:vAlign w:val="bottom"/>
            <w:shd w:val="clear" w:color="auto" w:fill="E5FFFF"/>
          </w:tcPr>
          <w:p>
            <w:pPr>
              <w:spacing w:after="0"/>
              <w:rPr>
                <w:sz w:val="11"/>
                <w:szCs w:val="11"/>
                <w:color w:val="auto"/>
              </w:rPr>
            </w:pPr>
          </w:p>
        </w:tc>
        <w:tc>
          <w:tcPr>
            <w:tcW w:w="86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220" w:type="dxa"/>
            <w:vAlign w:val="bottom"/>
            <w:shd w:val="clear" w:color="auto" w:fill="E5FFFF"/>
          </w:tcPr>
          <w:p>
            <w:pPr>
              <w:spacing w:after="0"/>
              <w:rPr>
                <w:sz w:val="14"/>
                <w:szCs w:val="14"/>
                <w:color w:val="auto"/>
              </w:rPr>
            </w:pPr>
          </w:p>
        </w:tc>
        <w:tc>
          <w:tcPr>
            <w:tcW w:w="2580" w:type="dxa"/>
            <w:vAlign w:val="bottom"/>
            <w:shd w:val="clear" w:color="auto" w:fill="E5FFFF"/>
          </w:tcPr>
          <w:p>
            <w:pPr>
              <w:ind w:left="620"/>
              <w:spacing w:after="0"/>
              <w:rPr>
                <w:sz w:val="20"/>
                <w:szCs w:val="20"/>
                <w:color w:val="auto"/>
              </w:rPr>
            </w:pPr>
            <w:r>
              <w:rPr>
                <w:rFonts w:ascii="Arial" w:cs="Arial" w:eastAsia="Arial" w:hAnsi="Arial"/>
                <w:sz w:val="14"/>
                <w:szCs w:val="14"/>
                <w:color w:val="auto"/>
              </w:rPr>
              <w:t>trading (Note 11)</w:t>
            </w:r>
          </w:p>
        </w:tc>
        <w:tc>
          <w:tcPr>
            <w:tcW w:w="2420" w:type="dxa"/>
            <w:vAlign w:val="bottom"/>
            <w:shd w:val="clear" w:color="auto" w:fill="E5FFFF"/>
          </w:tcPr>
          <w:p>
            <w:pPr>
              <w:ind w:left="120"/>
              <w:spacing w:after="0"/>
              <w:rPr>
                <w:sz w:val="20"/>
                <w:szCs w:val="20"/>
                <w:color w:val="auto"/>
              </w:rPr>
            </w:pPr>
            <w:r>
              <w:rPr>
                <w:rFonts w:ascii="Arial" w:cs="Arial" w:eastAsia="Arial" w:hAnsi="Arial"/>
                <w:sz w:val="14"/>
                <w:szCs w:val="14"/>
                <w:color w:val="auto"/>
              </w:rPr>
              <w:t>(Loss)/gain on derivatives</w:t>
            </w:r>
          </w:p>
        </w:tc>
        <w:tc>
          <w:tcPr>
            <w:tcW w:w="1580" w:type="dxa"/>
            <w:vAlign w:val="bottom"/>
            <w:shd w:val="clear" w:color="auto" w:fill="E5FFFF"/>
          </w:tcPr>
          <w:p>
            <w:pPr>
              <w:jc w:val="right"/>
              <w:ind w:right="488"/>
              <w:spacing w:after="0"/>
              <w:rPr>
                <w:sz w:val="20"/>
                <w:szCs w:val="20"/>
                <w:color w:val="auto"/>
              </w:rPr>
            </w:pPr>
            <w:r>
              <w:rPr>
                <w:rFonts w:ascii="Arial" w:cs="Arial" w:eastAsia="Arial" w:hAnsi="Arial"/>
                <w:sz w:val="14"/>
                <w:szCs w:val="14"/>
                <w:color w:val="auto"/>
              </w:rPr>
              <w:t>487</w:t>
            </w:r>
          </w:p>
        </w:tc>
        <w:tc>
          <w:tcPr>
            <w:tcW w:w="1340" w:type="dxa"/>
            <w:vAlign w:val="bottom"/>
            <w:shd w:val="clear" w:color="auto" w:fill="E5FFFF"/>
          </w:tcPr>
          <w:p>
            <w:pPr>
              <w:jc w:val="right"/>
              <w:ind w:right="408"/>
              <w:spacing w:after="0"/>
              <w:rPr>
                <w:sz w:val="20"/>
                <w:szCs w:val="20"/>
                <w:color w:val="auto"/>
              </w:rPr>
            </w:pPr>
            <w:r>
              <w:rPr>
                <w:rFonts w:ascii="Arial" w:cs="Arial" w:eastAsia="Arial" w:hAnsi="Arial"/>
                <w:sz w:val="14"/>
                <w:szCs w:val="14"/>
                <w:color w:val="auto"/>
              </w:rPr>
              <w:t>(566)</w:t>
            </w:r>
          </w:p>
        </w:tc>
        <w:tc>
          <w:tcPr>
            <w:tcW w:w="1320" w:type="dxa"/>
            <w:vAlign w:val="bottom"/>
            <w:shd w:val="clear" w:color="auto" w:fill="E5FFFF"/>
          </w:tcPr>
          <w:p>
            <w:pPr>
              <w:jc w:val="right"/>
              <w:ind w:right="428"/>
              <w:spacing w:after="0"/>
              <w:rPr>
                <w:sz w:val="20"/>
                <w:szCs w:val="20"/>
                <w:color w:val="auto"/>
              </w:rPr>
            </w:pPr>
            <w:r>
              <w:rPr>
                <w:rFonts w:ascii="Arial" w:cs="Arial" w:eastAsia="Arial" w:hAnsi="Arial"/>
                <w:sz w:val="14"/>
                <w:szCs w:val="14"/>
                <w:color w:val="auto"/>
              </w:rPr>
              <w:t>1,591</w:t>
            </w:r>
          </w:p>
        </w:tc>
        <w:tc>
          <w:tcPr>
            <w:tcW w:w="8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(1,110)</w:t>
            </w:r>
          </w:p>
        </w:tc>
        <w:tc>
          <w:tcPr>
            <w:tcW w:w="40" w:type="dxa"/>
            <w:vAlign w:val="bottom"/>
          </w:tcPr>
          <w:p>
            <w:pPr>
              <w:spacing w:after="0"/>
              <w:rPr>
                <w:sz w:val="14"/>
                <w:szCs w:val="14"/>
                <w:color w:val="auto"/>
              </w:rPr>
            </w:pPr>
          </w:p>
        </w:tc>
      </w:tr>
      <w:tr>
        <w:trPr>
          <w:trHeight w:val="130"/>
        </w:trPr>
        <w:tc>
          <w:tcPr>
            <w:tcW w:w="1220" w:type="dxa"/>
            <w:vAlign w:val="bottom"/>
          </w:tcPr>
          <w:p>
            <w:pPr>
              <w:spacing w:after="0" w:line="130" w:lineRule="exact"/>
              <w:rPr>
                <w:sz w:val="20"/>
                <w:szCs w:val="20"/>
                <w:color w:val="auto"/>
              </w:rPr>
            </w:pPr>
            <w:r>
              <w:rPr>
                <w:rFonts w:ascii="Arial" w:cs="Arial" w:eastAsia="Arial" w:hAnsi="Arial"/>
                <w:sz w:val="14"/>
                <w:szCs w:val="14"/>
                <w:color w:val="auto"/>
              </w:rPr>
              <w:t>GasLog</w:t>
            </w:r>
          </w:p>
        </w:tc>
        <w:tc>
          <w:tcPr>
            <w:tcW w:w="2580" w:type="dxa"/>
            <w:vAlign w:val="bottom"/>
          </w:tcPr>
          <w:p>
            <w:pPr>
              <w:ind w:left="620"/>
              <w:spacing w:after="0" w:line="130" w:lineRule="exact"/>
              <w:rPr>
                <w:sz w:val="20"/>
                <w:szCs w:val="20"/>
                <w:color w:val="auto"/>
              </w:rPr>
            </w:pPr>
            <w:r>
              <w:rPr>
                <w:rFonts w:ascii="Arial" w:cs="Arial" w:eastAsia="Arial" w:hAnsi="Arial"/>
                <w:sz w:val="14"/>
                <w:szCs w:val="14"/>
                <w:color w:val="auto"/>
              </w:rPr>
              <w:t>Realized loss on forward</w:t>
            </w:r>
          </w:p>
        </w:tc>
        <w:tc>
          <w:tcPr>
            <w:tcW w:w="24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1220" w:type="dxa"/>
            <w:vAlign w:val="bottom"/>
          </w:tcPr>
          <w:p>
            <w:pPr>
              <w:spacing w:after="0"/>
              <w:rPr>
                <w:sz w:val="12"/>
                <w:szCs w:val="12"/>
                <w:color w:val="auto"/>
              </w:rPr>
            </w:pPr>
          </w:p>
        </w:tc>
        <w:tc>
          <w:tcPr>
            <w:tcW w:w="2580" w:type="dxa"/>
            <w:vAlign w:val="bottom"/>
          </w:tcPr>
          <w:p>
            <w:pPr>
              <w:ind w:left="620"/>
              <w:spacing w:after="0" w:line="149" w:lineRule="exact"/>
              <w:rPr>
                <w:sz w:val="20"/>
                <w:szCs w:val="20"/>
                <w:color w:val="auto"/>
              </w:rPr>
            </w:pPr>
            <w:r>
              <w:rPr>
                <w:rFonts w:ascii="Arial" w:cs="Arial" w:eastAsia="Arial" w:hAnsi="Arial"/>
                <w:sz w:val="14"/>
                <w:szCs w:val="14"/>
                <w:color w:val="auto"/>
                <w:w w:val="97"/>
              </w:rPr>
              <w:t>foreign exchange contracts held</w:t>
            </w:r>
          </w:p>
        </w:tc>
        <w:tc>
          <w:tcPr>
            <w:tcW w:w="2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1220" w:type="dxa"/>
            <w:vAlign w:val="bottom"/>
          </w:tcPr>
          <w:p>
            <w:pPr>
              <w:spacing w:after="0"/>
              <w:rPr>
                <w:sz w:val="14"/>
                <w:szCs w:val="14"/>
                <w:color w:val="auto"/>
              </w:rPr>
            </w:pPr>
          </w:p>
        </w:tc>
        <w:tc>
          <w:tcPr>
            <w:tcW w:w="2580" w:type="dxa"/>
            <w:vAlign w:val="bottom"/>
          </w:tcPr>
          <w:p>
            <w:pPr>
              <w:ind w:left="620"/>
              <w:spacing w:after="0"/>
              <w:rPr>
                <w:sz w:val="20"/>
                <w:szCs w:val="20"/>
                <w:color w:val="auto"/>
              </w:rPr>
            </w:pPr>
            <w:r>
              <w:rPr>
                <w:rFonts w:ascii="Arial" w:cs="Arial" w:eastAsia="Arial" w:hAnsi="Arial"/>
                <w:sz w:val="14"/>
                <w:szCs w:val="14"/>
                <w:color w:val="auto"/>
              </w:rPr>
              <w:t>for trading (Note 11)</w:t>
            </w:r>
          </w:p>
        </w:tc>
        <w:tc>
          <w:tcPr>
            <w:tcW w:w="2420" w:type="dxa"/>
            <w:vAlign w:val="bottom"/>
          </w:tcPr>
          <w:p>
            <w:pPr>
              <w:ind w:left="120"/>
              <w:spacing w:after="0"/>
              <w:rPr>
                <w:sz w:val="20"/>
                <w:szCs w:val="20"/>
                <w:color w:val="auto"/>
              </w:rPr>
            </w:pPr>
            <w:r>
              <w:rPr>
                <w:rFonts w:ascii="Arial" w:cs="Arial" w:eastAsia="Arial" w:hAnsi="Arial"/>
                <w:sz w:val="14"/>
                <w:szCs w:val="14"/>
                <w:color w:val="auto"/>
              </w:rPr>
              <w:t>(Loss)/gain on derivatives</w:t>
            </w:r>
          </w:p>
        </w:tc>
        <w:tc>
          <w:tcPr>
            <w:tcW w:w="158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48"/>
              <w:spacing w:after="0"/>
              <w:rPr>
                <w:sz w:val="20"/>
                <w:szCs w:val="20"/>
                <w:color w:val="auto"/>
              </w:rPr>
            </w:pPr>
            <w:r>
              <w:rPr>
                <w:rFonts w:ascii="Arial" w:cs="Arial" w:eastAsia="Arial" w:hAnsi="Arial"/>
                <w:sz w:val="14"/>
                <w:szCs w:val="14"/>
                <w:color w:val="auto"/>
              </w:rPr>
              <w:t>137</w:t>
            </w:r>
          </w:p>
        </w:tc>
        <w:tc>
          <w:tcPr>
            <w:tcW w:w="13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137</w:t>
            </w:r>
          </w:p>
        </w:tc>
      </w:tr>
      <w:tr>
        <w:trPr>
          <w:trHeight w:val="130"/>
        </w:trPr>
        <w:tc>
          <w:tcPr>
            <w:tcW w:w="12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Cool Pool</w:t>
            </w:r>
          </w:p>
        </w:tc>
        <w:tc>
          <w:tcPr>
            <w:tcW w:w="2580" w:type="dxa"/>
            <w:vAlign w:val="bottom"/>
            <w:shd w:val="clear" w:color="auto" w:fill="E5FFFF"/>
          </w:tcPr>
          <w:p>
            <w:pPr>
              <w:ind w:left="620"/>
              <w:spacing w:after="0" w:line="130" w:lineRule="exact"/>
              <w:rPr>
                <w:sz w:val="20"/>
                <w:szCs w:val="20"/>
                <w:color w:val="auto"/>
              </w:rPr>
            </w:pPr>
            <w:r>
              <w:rPr>
                <w:rFonts w:ascii="Arial" w:cs="Arial" w:eastAsia="Arial" w:hAnsi="Arial"/>
                <w:sz w:val="14"/>
                <w:szCs w:val="14"/>
                <w:color w:val="auto"/>
              </w:rPr>
              <w:t>Adjustment for net pool</w:t>
            </w:r>
          </w:p>
        </w:tc>
        <w:tc>
          <w:tcPr>
            <w:tcW w:w="2420" w:type="dxa"/>
            <w:vAlign w:val="bottom"/>
            <w:shd w:val="clear" w:color="auto" w:fill="E5FFFF"/>
          </w:tcPr>
          <w:p>
            <w:pPr>
              <w:spacing w:after="0"/>
              <w:rPr>
                <w:sz w:val="11"/>
                <w:szCs w:val="11"/>
                <w:color w:val="auto"/>
              </w:rPr>
            </w:pPr>
          </w:p>
        </w:tc>
        <w:tc>
          <w:tcPr>
            <w:tcW w:w="1580" w:type="dxa"/>
            <w:vAlign w:val="bottom"/>
            <w:shd w:val="clear" w:color="auto" w:fill="E5FFFF"/>
          </w:tcPr>
          <w:p>
            <w:pPr>
              <w:spacing w:after="0"/>
              <w:rPr>
                <w:sz w:val="11"/>
                <w:szCs w:val="11"/>
                <w:color w:val="auto"/>
              </w:rPr>
            </w:pPr>
          </w:p>
        </w:tc>
        <w:tc>
          <w:tcPr>
            <w:tcW w:w="1340" w:type="dxa"/>
            <w:vAlign w:val="bottom"/>
            <w:shd w:val="clear" w:color="auto" w:fill="E5FFFF"/>
          </w:tcPr>
          <w:p>
            <w:pPr>
              <w:spacing w:after="0"/>
              <w:rPr>
                <w:sz w:val="11"/>
                <w:szCs w:val="11"/>
                <w:color w:val="auto"/>
              </w:rPr>
            </w:pPr>
          </w:p>
        </w:tc>
        <w:tc>
          <w:tcPr>
            <w:tcW w:w="1320" w:type="dxa"/>
            <w:vAlign w:val="bottom"/>
            <w:shd w:val="clear" w:color="auto" w:fill="E5FFFF"/>
          </w:tcPr>
          <w:p>
            <w:pPr>
              <w:spacing w:after="0"/>
              <w:rPr>
                <w:sz w:val="11"/>
                <w:szCs w:val="11"/>
                <w:color w:val="auto"/>
              </w:rPr>
            </w:pPr>
          </w:p>
        </w:tc>
        <w:tc>
          <w:tcPr>
            <w:tcW w:w="86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220" w:type="dxa"/>
            <w:vAlign w:val="bottom"/>
            <w:shd w:val="clear" w:color="auto" w:fill="E5FFFF"/>
          </w:tcPr>
          <w:p>
            <w:pPr>
              <w:spacing w:after="0"/>
              <w:rPr>
                <w:sz w:val="14"/>
                <w:szCs w:val="14"/>
                <w:color w:val="auto"/>
              </w:rPr>
            </w:pPr>
          </w:p>
        </w:tc>
        <w:tc>
          <w:tcPr>
            <w:tcW w:w="2580" w:type="dxa"/>
            <w:vAlign w:val="bottom"/>
            <w:shd w:val="clear" w:color="auto" w:fill="E5FFFF"/>
          </w:tcPr>
          <w:p>
            <w:pPr>
              <w:ind w:left="620"/>
              <w:spacing w:after="0"/>
              <w:rPr>
                <w:sz w:val="20"/>
                <w:szCs w:val="20"/>
                <w:color w:val="auto"/>
              </w:rPr>
            </w:pPr>
            <w:r>
              <w:rPr>
                <w:rFonts w:ascii="Arial" w:cs="Arial" w:eastAsia="Arial" w:hAnsi="Arial"/>
                <w:sz w:val="14"/>
                <w:szCs w:val="14"/>
                <w:color w:val="auto"/>
              </w:rPr>
              <w:t>allocation</w:t>
            </w:r>
          </w:p>
        </w:tc>
        <w:tc>
          <w:tcPr>
            <w:tcW w:w="2420" w:type="dxa"/>
            <w:vAlign w:val="bottom"/>
            <w:shd w:val="clear" w:color="auto" w:fill="E5FFFF"/>
          </w:tcPr>
          <w:p>
            <w:pPr>
              <w:ind w:left="120"/>
              <w:spacing w:after="0"/>
              <w:rPr>
                <w:sz w:val="20"/>
                <w:szCs w:val="20"/>
                <w:color w:val="auto"/>
              </w:rPr>
            </w:pPr>
            <w:r>
              <w:rPr>
                <w:rFonts w:ascii="Arial" w:cs="Arial" w:eastAsia="Arial" w:hAnsi="Arial"/>
                <w:sz w:val="14"/>
                <w:szCs w:val="14"/>
                <w:color w:val="auto"/>
              </w:rPr>
              <w:t>Net pool allocation</w:t>
            </w:r>
          </w:p>
        </w:tc>
        <w:tc>
          <w:tcPr>
            <w:tcW w:w="1580" w:type="dxa"/>
            <w:vAlign w:val="bottom"/>
            <w:shd w:val="clear" w:color="auto" w:fill="E5FFFF"/>
          </w:tcPr>
          <w:p>
            <w:pPr>
              <w:jc w:val="right"/>
              <w:ind w:right="4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FFFF"/>
          </w:tcPr>
          <w:p>
            <w:pPr>
              <w:jc w:val="right"/>
              <w:ind w:right="408"/>
              <w:spacing w:after="0"/>
              <w:rPr>
                <w:sz w:val="20"/>
                <w:szCs w:val="20"/>
                <w:color w:val="auto"/>
              </w:rPr>
            </w:pPr>
            <w:r>
              <w:rPr>
                <w:rFonts w:ascii="Arial" w:cs="Arial" w:eastAsia="Arial" w:hAnsi="Arial"/>
                <w:sz w:val="14"/>
                <w:szCs w:val="14"/>
                <w:color w:val="auto"/>
              </w:rPr>
              <w:t>(780)</w:t>
            </w:r>
          </w:p>
        </w:tc>
        <w:tc>
          <w:tcPr>
            <w:tcW w:w="1320" w:type="dxa"/>
            <w:vAlign w:val="bottom"/>
            <w:shd w:val="clear" w:color="auto" w:fill="E5FFFF"/>
          </w:tcPr>
          <w:p>
            <w:pPr>
              <w:jc w:val="right"/>
              <w:ind w:right="42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(423)</w:t>
            </w:r>
          </w:p>
        </w:tc>
        <w:tc>
          <w:tcPr>
            <w:tcW w:w="40" w:type="dxa"/>
            <w:vAlign w:val="bottom"/>
          </w:tcPr>
          <w:p>
            <w:pPr>
              <w:spacing w:after="0"/>
              <w:rPr>
                <w:sz w:val="14"/>
                <w:szCs w:val="14"/>
                <w:color w:val="auto"/>
              </w:rPr>
            </w:pPr>
          </w:p>
        </w:tc>
      </w:tr>
    </w:tbl>
    <w:p>
      <w:pPr>
        <w:spacing w:after="0" w:line="173" w:lineRule="exact"/>
        <w:rPr>
          <w:sz w:val="20"/>
          <w:szCs w:val="20"/>
          <w:color w:val="auto"/>
        </w:rPr>
      </w:pPr>
    </w:p>
    <w:p>
      <w:pPr>
        <w:ind w:left="340" w:hanging="202"/>
        <w:spacing w:after="0"/>
        <w:tabs>
          <w:tab w:leader="none" w:pos="34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Commercial Management Agreements</w:t>
      </w:r>
    </w:p>
    <w:p>
      <w:pPr>
        <w:spacing w:after="0" w:line="182" w:lineRule="exact"/>
        <w:rPr>
          <w:rFonts w:ascii="Arial" w:cs="Arial" w:eastAsia="Arial" w:hAnsi="Arial"/>
          <w:sz w:val="18"/>
          <w:szCs w:val="18"/>
          <w:color w:val="auto"/>
          <w:vertAlign w:val="superscript"/>
        </w:rPr>
      </w:pPr>
    </w:p>
    <w:p>
      <w:pPr>
        <w:ind w:left="340" w:right="140"/>
        <w:spacing w:after="0" w:line="229" w:lineRule="auto"/>
        <w:rPr>
          <w:rFonts w:ascii="Arial" w:cs="Arial" w:eastAsia="Arial" w:hAnsi="Arial"/>
          <w:sz w:val="18"/>
          <w:szCs w:val="18"/>
          <w:color w:val="auto"/>
          <w:vertAlign w:val="superscript"/>
        </w:rPr>
      </w:pPr>
      <w:r>
        <w:rPr>
          <w:rFonts w:ascii="Arial" w:cs="Arial" w:eastAsia="Arial" w:hAnsi="Arial"/>
          <w:sz w:val="14"/>
          <w:szCs w:val="14"/>
          <w:color w:val="auto"/>
        </w:rPr>
        <w:t>Upon completion of the IPO on May 12, 2014, the vessel-owning subsidiaries of the Initial Fleet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 Additionally, in June 2015, GAS-eight Ltd. entered into a commercial management agreement with GasLog for an annual commercial management fee of $360.</w:t>
      </w:r>
    </w:p>
    <w:p>
      <w:pPr>
        <w:spacing w:after="0" w:line="64" w:lineRule="exact"/>
        <w:rPr>
          <w:rFonts w:ascii="Arial" w:cs="Arial" w:eastAsia="Arial" w:hAnsi="Arial"/>
          <w:sz w:val="18"/>
          <w:szCs w:val="18"/>
          <w:color w:val="auto"/>
          <w:vertAlign w:val="superscript"/>
        </w:rPr>
      </w:pPr>
    </w:p>
    <w:p>
      <w:pPr>
        <w:ind w:left="340" w:right="200"/>
        <w:spacing w:after="0" w:line="231" w:lineRule="auto"/>
        <w:rPr>
          <w:rFonts w:ascii="Arial" w:cs="Arial" w:eastAsia="Arial" w:hAnsi="Arial"/>
          <w:sz w:val="18"/>
          <w:szCs w:val="18"/>
          <w:color w:val="auto"/>
          <w:vertAlign w:val="superscript"/>
        </w:rPr>
      </w:pPr>
      <w:r>
        <w:rPr>
          <w:rFonts w:ascii="Arial" w:cs="Arial" w:eastAsia="Arial" w:hAnsi="Arial"/>
          <w:sz w:val="14"/>
          <w:szCs w:val="14"/>
          <w:color w:val="auto"/>
        </w:rPr>
        <w:t xml:space="preserve">The same provisions are included in the commercial management agreements that GAS-eleven Ltd., GAS-thirteen Ltd., GAS-fourteen Ltd., GAS-sixteen Ltd., GAS-seventeen Ltd., GAS-nineteen Ltd., GAS-twenty Ltd. and GAS-twenty one Ltd. entered into with GasLog upon the deliveries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Rita</w:t>
      </w:r>
      <w:r>
        <w:rPr>
          <w:rFonts w:ascii="Arial" w:cs="Arial" w:eastAsia="Arial" w:hAnsi="Arial"/>
          <w:sz w:val="14"/>
          <w:szCs w:val="14"/>
          <w:color w:val="auto"/>
        </w:rPr>
        <w:t xml:space="preserve"> </w:t>
      </w:r>
      <w:r>
        <w:rPr>
          <w:rFonts w:ascii="Arial" w:cs="Arial" w:eastAsia="Arial" w:hAnsi="Arial"/>
          <w:sz w:val="14"/>
          <w:szCs w:val="14"/>
          <w:i w:val="1"/>
          <w:iCs w:val="1"/>
          <w:color w:val="auto"/>
        </w:rPr>
        <w:t>Andrea</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Jane Elizabeth</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Alison Victoria</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Shirley Elisabeth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Heather Sally</w:t>
      </w:r>
      <w:r>
        <w:rPr>
          <w:rFonts w:ascii="Arial" w:cs="Arial" w:eastAsia="Arial" w:hAnsi="Arial"/>
          <w:sz w:val="14"/>
          <w:szCs w:val="14"/>
          <w:color w:val="auto"/>
        </w:rPr>
        <w:t>, respectively, into GasLog’s fleet in March 2016,</w:t>
      </w:r>
      <w:r>
        <w:rPr>
          <w:rFonts w:ascii="Arial" w:cs="Arial" w:eastAsia="Arial" w:hAnsi="Arial"/>
          <w:sz w:val="14"/>
          <w:szCs w:val="14"/>
          <w:i w:val="1"/>
          <w:iCs w:val="1"/>
          <w:color w:val="auto"/>
        </w:rPr>
        <w:t xml:space="preserve"> </w:t>
      </w:r>
      <w:r>
        <w:rPr>
          <w:rFonts w:ascii="Arial" w:cs="Arial" w:eastAsia="Arial" w:hAnsi="Arial"/>
          <w:sz w:val="14"/>
          <w:szCs w:val="14"/>
          <w:color w:val="auto"/>
        </w:rPr>
        <w:t>September 2016, October 2016, April 2014 and June 2014 (together with the Amended Commercial Management Agreements and the commercial management agreements entered into by GAS-seven Ltd. and GAS-eight Ltd. with GasLog, the “Commercial Management Agreements”).</w:t>
      </w:r>
    </w:p>
    <w:p>
      <w:pPr>
        <w:spacing w:after="0" w:line="159" w:lineRule="exact"/>
        <w:rPr>
          <w:rFonts w:ascii="Arial" w:cs="Arial" w:eastAsia="Arial" w:hAnsi="Arial"/>
          <w:sz w:val="18"/>
          <w:szCs w:val="18"/>
          <w:color w:val="auto"/>
          <w:vertAlign w:val="superscript"/>
        </w:rPr>
      </w:pPr>
    </w:p>
    <w:p>
      <w:pPr>
        <w:ind w:left="300" w:hanging="162"/>
        <w:spacing w:after="0"/>
        <w:tabs>
          <w:tab w:leader="none" w:pos="30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Administrative Services Agreement</w:t>
      </w:r>
    </w:p>
    <w:p>
      <w:pPr>
        <w:spacing w:after="0" w:line="182" w:lineRule="exact"/>
        <w:rPr>
          <w:sz w:val="20"/>
          <w:szCs w:val="20"/>
          <w:color w:val="auto"/>
        </w:rPr>
      </w:pPr>
    </w:p>
    <w:p>
      <w:pPr>
        <w:ind w:left="340" w:right="140"/>
        <w:spacing w:after="0" w:line="228" w:lineRule="auto"/>
        <w:rPr>
          <w:sz w:val="20"/>
          <w:szCs w:val="20"/>
          <w:color w:val="auto"/>
        </w:rPr>
      </w:pPr>
      <w:r>
        <w:rPr>
          <w:rFonts w:ascii="Arial" w:cs="Arial" w:eastAsia="Arial" w:hAnsi="Arial"/>
          <w:sz w:val="14"/>
          <w:szCs w:val="14"/>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Until December 31, 2016, GasLog received a service fee of $588 per vessel per year in connection with providing services under this agreement. On November 16, 2016, the board of directors approved an increase in the service fee payable to GasLog under the terms of the Administrative Services Agreement to $632 per vessel per year with effect from January 1, 2017. With effect from January 1, 2018, the service fee increased to $812 per vessel per year.</w:t>
      </w:r>
    </w:p>
    <w:p>
      <w:pPr>
        <w:spacing w:after="0" w:line="161" w:lineRule="exact"/>
        <w:rPr>
          <w:sz w:val="20"/>
          <w:szCs w:val="20"/>
          <w:color w:val="auto"/>
        </w:rPr>
      </w:pPr>
    </w:p>
    <w:p>
      <w:pPr>
        <w:ind w:left="320" w:hanging="182"/>
        <w:spacing w:after="0"/>
        <w:tabs>
          <w:tab w:leader="none" w:pos="320" w:val="left"/>
        </w:tabs>
        <w:numPr>
          <w:ilvl w:val="1"/>
          <w:numId w:val="22"/>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Ship Management Agreements</w:t>
      </w:r>
    </w:p>
    <w:p>
      <w:pPr>
        <w:spacing w:after="0" w:line="182" w:lineRule="exact"/>
        <w:rPr>
          <w:rFonts w:ascii="Arial" w:cs="Arial" w:eastAsia="Arial" w:hAnsi="Arial"/>
          <w:sz w:val="18"/>
          <w:szCs w:val="18"/>
          <w:color w:val="auto"/>
          <w:vertAlign w:val="superscript"/>
        </w:rPr>
      </w:pPr>
    </w:p>
    <w:p>
      <w:pPr>
        <w:ind w:left="340"/>
        <w:spacing w:after="0"/>
        <w:rPr>
          <w:rFonts w:ascii="Arial" w:cs="Arial" w:eastAsia="Arial" w:hAnsi="Arial"/>
          <w:sz w:val="18"/>
          <w:szCs w:val="18"/>
          <w:color w:val="auto"/>
          <w:vertAlign w:val="superscript"/>
        </w:rPr>
      </w:pPr>
      <w:r>
        <w:rPr>
          <w:rFonts w:ascii="Arial" w:cs="Arial" w:eastAsia="Arial" w:hAnsi="Arial"/>
          <w:sz w:val="13"/>
          <w:szCs w:val="13"/>
          <w:color w:val="auto"/>
        </w:rPr>
        <w:t xml:space="preserve">Upon completion of the IPO on May 12, 2014, each of the vessel owning subsidiaries of the Initial Fleet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and GAS-twenty one Ltd. entered into with the Manager upon the deliveries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respectively, into GasLog’s fleet in</w:t>
      </w:r>
    </w:p>
    <w:p>
      <w:pPr>
        <w:spacing w:after="0" w:line="4" w:lineRule="exact"/>
        <w:rPr>
          <w:rFonts w:ascii="Arial" w:cs="Arial" w:eastAsia="Arial" w:hAnsi="Arial"/>
          <w:sz w:val="18"/>
          <w:szCs w:val="18"/>
          <w:color w:val="auto"/>
          <w:vertAlign w:val="superscript"/>
        </w:rPr>
      </w:pPr>
    </w:p>
    <w:p>
      <w:pPr>
        <w:ind w:left="340"/>
        <w:spacing w:after="0" w:line="238" w:lineRule="auto"/>
        <w:rPr>
          <w:rFonts w:ascii="Arial" w:cs="Arial" w:eastAsia="Arial" w:hAnsi="Arial"/>
          <w:sz w:val="18"/>
          <w:szCs w:val="18"/>
          <w:color w:val="auto"/>
          <w:vertAlign w:val="superscript"/>
        </w:rPr>
      </w:pPr>
      <w:r>
        <w:rPr>
          <w:rFonts w:ascii="Arial" w:cs="Arial" w:eastAsia="Arial" w:hAnsi="Arial"/>
          <w:sz w:val="13"/>
          <w:szCs w:val="13"/>
          <w:color w:val="auto"/>
        </w:rPr>
        <w:t xml:space="preserve">April 2014 and June 2014 (together with the Amended Ship Management Agreements and the ship management agreement that GAS-seven Ltd. entered into with the Manager upon its vessel’s delivery from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GAS-thirteen Ltd. and GAS-fourteen Ltd. had entered into with GasLog upon the deliveries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in March 2016,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in</w:t>
      </w:r>
    </w:p>
    <w:p>
      <w:pPr>
        <w:spacing w:after="0" w:line="1" w:lineRule="exact"/>
        <w:rPr>
          <w:rFonts w:ascii="Arial" w:cs="Arial" w:eastAsia="Arial" w:hAnsi="Arial"/>
          <w:sz w:val="18"/>
          <w:szCs w:val="18"/>
          <w:color w:val="auto"/>
          <w:vertAlign w:val="superscript"/>
        </w:rPr>
      </w:pPr>
    </w:p>
    <w:p>
      <w:pPr>
        <w:ind w:left="340"/>
        <w:spacing w:after="0"/>
        <w:rPr>
          <w:rFonts w:ascii="Arial" w:cs="Arial" w:eastAsia="Arial" w:hAnsi="Arial"/>
          <w:sz w:val="18"/>
          <w:szCs w:val="18"/>
          <w:color w:val="auto"/>
          <w:vertAlign w:val="superscript"/>
        </w:rPr>
      </w:pPr>
      <w:r>
        <w:rPr>
          <w:rFonts w:ascii="Arial" w:cs="Arial" w:eastAsia="Arial" w:hAnsi="Arial"/>
          <w:sz w:val="14"/>
          <w:szCs w:val="14"/>
          <w:color w:val="auto"/>
        </w:rPr>
        <w:t xml:space="preserve">September 2016 and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in October 2016, respectively (with a fixed monthly charge of $46).</w:t>
      </w:r>
    </w:p>
    <w:p>
      <w:pPr>
        <w:spacing w:after="0" w:line="196"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Vessels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00" w:type="dxa"/>
            <w:vAlign w:val="bottom"/>
          </w:tcPr>
          <w:p>
            <w:pPr>
              <w:ind w:left="80"/>
              <w:spacing w:after="0"/>
              <w:rPr>
                <w:sz w:val="20"/>
                <w:szCs w:val="20"/>
                <w:color w:val="auto"/>
              </w:rPr>
            </w:pPr>
            <w:r>
              <w:rPr>
                <w:rFonts w:ascii="Arial" w:cs="Arial" w:eastAsia="Arial" w:hAnsi="Arial"/>
                <w:sz w:val="16"/>
                <w:szCs w:val="16"/>
                <w:color w:val="auto"/>
              </w:rPr>
              <w:t>The movement in vessels is reported in the following table:</w:t>
            </w: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1740" w:type="dxa"/>
            <w:vAlign w:val="bottom"/>
            <w:gridSpan w:val="2"/>
          </w:tcPr>
          <w:p>
            <w:pPr>
              <w:ind w:left="600"/>
              <w:spacing w:after="0"/>
              <w:rPr>
                <w:sz w:val="20"/>
                <w:szCs w:val="20"/>
                <w:color w:val="auto"/>
              </w:rPr>
            </w:pPr>
            <w:r>
              <w:rPr>
                <w:rFonts w:ascii="Arial" w:cs="Arial" w:eastAsia="Arial" w:hAnsi="Arial"/>
                <w:sz w:val="16"/>
                <w:szCs w:val="16"/>
                <w:b w:val="1"/>
                <w:bCs w:val="1"/>
                <w:color w:val="auto"/>
              </w:rPr>
              <w:t>Vessels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0" w:type="dxa"/>
            <w:vAlign w:val="bottom"/>
            <w:tcBorders>
              <w:top w:val="single" w:sz="8" w:color="E5FFFF"/>
            </w:tcBorders>
            <w:gridSpan w:val="2"/>
            <w:shd w:val="clear" w:color="auto" w:fill="E5FFFF"/>
          </w:tcPr>
          <w:p>
            <w:pPr>
              <w:spacing w:after="0" w:line="148" w:lineRule="exact"/>
              <w:rPr>
                <w:sz w:val="20"/>
                <w:szCs w:val="20"/>
                <w:color w:val="auto"/>
              </w:rPr>
            </w:pPr>
            <w:r>
              <w:rPr>
                <w:rFonts w:ascii="Arial" w:cs="Arial" w:eastAsia="Arial" w:hAnsi="Arial"/>
                <w:sz w:val="16"/>
                <w:szCs w:val="16"/>
                <w:b w:val="1"/>
                <w:bCs w:val="1"/>
                <w:color w:val="auto"/>
              </w:rPr>
              <w:t>Cost</w:t>
            </w:r>
          </w:p>
        </w:tc>
        <w:tc>
          <w:tcPr>
            <w:tcW w:w="1700" w:type="dxa"/>
            <w:vAlign w:val="bottom"/>
            <w:tcBorders>
              <w:top w:val="single" w:sz="8" w:color="auto"/>
            </w:tcBorders>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E5FFFF"/>
          </w:tcPr>
          <w:p>
            <w:pPr>
              <w:spacing w:after="0" w:line="20" w:lineRule="exact"/>
              <w:rPr>
                <w:sz w:val="1"/>
                <w:szCs w:val="1"/>
                <w:color w:val="auto"/>
              </w:rPr>
            </w:pPr>
          </w:p>
        </w:tc>
        <w:tc>
          <w:tcPr>
            <w:tcW w:w="9300" w:type="dxa"/>
            <w:vAlign w:val="bottom"/>
            <w:tcBorders>
              <w:top w:val="single" w:sz="8" w:color="E5FFFF"/>
            </w:tcBorders>
            <w:shd w:val="clear" w:color="auto" w:fill="E5FFFF"/>
          </w:tcPr>
          <w:p>
            <w:pPr>
              <w:spacing w:after="0" w:line="20" w:lineRule="exact"/>
              <w:rPr>
                <w:sz w:val="1"/>
                <w:szCs w:val="1"/>
                <w:color w:val="auto"/>
              </w:rPr>
            </w:pPr>
          </w:p>
        </w:tc>
        <w:tc>
          <w:tcPr>
            <w:tcW w:w="1700" w:type="dxa"/>
            <w:vAlign w:val="bottom"/>
            <w:tcBorders>
              <w:top w:val="single" w:sz="8" w:color="E5FFFF"/>
            </w:tcBorders>
            <w:shd w:val="clear" w:color="auto" w:fill="E5FF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600" w:type="dxa"/>
            <w:vAlign w:val="bottom"/>
            <w:gridSpan w:val="2"/>
          </w:tcPr>
          <w:p>
            <w:pPr>
              <w:spacing w:after="0"/>
              <w:rPr>
                <w:sz w:val="20"/>
                <w:szCs w:val="20"/>
                <w:color w:val="auto"/>
              </w:rPr>
            </w:pPr>
            <w:r>
              <w:rPr>
                <w:rFonts w:ascii="Arial" w:cs="Arial" w:eastAsia="Arial" w:hAnsi="Arial"/>
                <w:sz w:val="16"/>
                <w:szCs w:val="16"/>
                <w:color w:val="auto"/>
              </w:rPr>
              <w:t>As of January 1, 2018</w:t>
            </w:r>
          </w:p>
        </w:tc>
        <w:tc>
          <w:tcPr>
            <w:tcW w:w="1700" w:type="dxa"/>
            <w:vAlign w:val="bottom"/>
          </w:tcPr>
          <w:p>
            <w:pPr>
              <w:jc w:val="right"/>
              <w:spacing w:after="0"/>
              <w:rPr>
                <w:sz w:val="20"/>
                <w:szCs w:val="20"/>
                <w:color w:val="auto"/>
              </w:rPr>
            </w:pPr>
            <w:r>
              <w:rPr>
                <w:rFonts w:ascii="Arial" w:cs="Arial" w:eastAsia="Arial" w:hAnsi="Arial"/>
                <w:sz w:val="16"/>
                <w:szCs w:val="16"/>
                <w:color w:val="auto"/>
              </w:rPr>
              <w:t>2,390,128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Additions</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30,207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Fully amortized dry-docking component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As of September 30, 2018</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2,415,335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Accumulated depreciation</w:t>
            </w:r>
          </w:p>
        </w:tc>
        <w:tc>
          <w:tcPr>
            <w:tcW w:w="17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0" w:type="dxa"/>
            <w:vAlign w:val="bottom"/>
            <w:gridSpan w:val="2"/>
          </w:tcPr>
          <w:p>
            <w:pPr>
              <w:spacing w:after="0"/>
              <w:rPr>
                <w:sz w:val="20"/>
                <w:szCs w:val="20"/>
                <w:color w:val="auto"/>
              </w:rPr>
            </w:pPr>
            <w:r>
              <w:rPr>
                <w:rFonts w:ascii="Arial" w:cs="Arial" w:eastAsia="Arial" w:hAnsi="Arial"/>
                <w:sz w:val="16"/>
                <w:szCs w:val="16"/>
                <w:color w:val="auto"/>
              </w:rPr>
              <w:t>As of January 1, 2018</w:t>
            </w:r>
          </w:p>
        </w:tc>
        <w:tc>
          <w:tcPr>
            <w:tcW w:w="1700" w:type="dxa"/>
            <w:vAlign w:val="bottom"/>
          </w:tcPr>
          <w:p>
            <w:pPr>
              <w:jc w:val="right"/>
              <w:spacing w:after="0"/>
              <w:rPr>
                <w:sz w:val="20"/>
                <w:szCs w:val="20"/>
                <w:color w:val="auto"/>
              </w:rPr>
            </w:pPr>
            <w:r>
              <w:rPr>
                <w:rFonts w:ascii="Arial" w:cs="Arial" w:eastAsia="Arial" w:hAnsi="Arial"/>
                <w:sz w:val="16"/>
                <w:szCs w:val="16"/>
                <w:color w:val="auto"/>
              </w:rPr>
              <w:t>240,377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55,314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Fully amortized dry-docking component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As of September 30, 2018</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290,691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Net book value</w:t>
            </w:r>
          </w:p>
        </w:tc>
        <w:tc>
          <w:tcPr>
            <w:tcW w:w="1700" w:type="dxa"/>
            <w:vAlign w:val="bottom"/>
            <w:tcBorders>
              <w:bottom w:val="single" w:sz="8" w:color="auto"/>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As of December 31, 2017</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2,149,751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0" w:type="dxa"/>
            <w:vAlign w:val="bottom"/>
            <w:tcBorders>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As of September 30, 2018</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2,124,644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vessels have been pledged as collateral under the terms of the Partnership’s bank loan agreements.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5. Partners’ Equity</w:t>
      </w:r>
    </w:p>
    <w:p>
      <w:pPr>
        <w:spacing w:after="0" w:line="239" w:lineRule="exact"/>
        <w:rPr>
          <w:sz w:val="20"/>
          <w:szCs w:val="20"/>
          <w:color w:val="auto"/>
        </w:rPr>
      </w:pPr>
    </w:p>
    <w:p>
      <w:pPr>
        <w:ind w:right="80" w:firstLine="405"/>
        <w:spacing w:after="0" w:line="313" w:lineRule="auto"/>
        <w:rPr>
          <w:sz w:val="20"/>
          <w:szCs w:val="20"/>
          <w:color w:val="auto"/>
        </w:rPr>
      </w:pPr>
      <w:r>
        <w:rPr>
          <w:rFonts w:ascii="Arial" w:cs="Arial" w:eastAsia="Arial" w:hAnsi="Arial"/>
          <w:sz w:val="14"/>
          <w:szCs w:val="14"/>
          <w:color w:val="auto"/>
        </w:rPr>
        <w:t>On January 17, 2018, GasLog Partners completed a public offering of 4,600,000 8.200% Series B Cumulative Redeemable Perpetual Fixed to Floating Rate Preference Units (the “Series B Preference Units”), including 600,000 units issued upon the exercise in full by the underwriters of their option to purchase additional Series B Preference Units, at a price to the public of $25.00 per preference unit. The net proceeds from the offering, after deducting underwriting discounts, commissions and other offering expenses, were $111,194. The Series B Preference Units are listed on the New York Stock Exchange under the symbol “GLOP PR B”. The initial distribution on the Series B Preference Units was paid on March 15, 2018 (Note 13). The Series B Preference Units issued have been accounted for as equity instruments based on certain characteristics such as the discretion held by our board of directors over distributions, which can be deferred and accumulated, as well as the redemption rights held only by the Partnership. The Series B Preference Units have preference upon liquidation and the holders would receive $25.00 per unit plus any accumulated and unpaid distributions.</w:t>
      </w:r>
    </w:p>
    <w:p>
      <w:pPr>
        <w:spacing w:after="0" w:line="43" w:lineRule="exact"/>
        <w:rPr>
          <w:sz w:val="20"/>
          <w:szCs w:val="20"/>
          <w:color w:val="auto"/>
        </w:rPr>
      </w:pPr>
    </w:p>
    <w:p>
      <w:pPr>
        <w:ind w:right="20" w:firstLine="405"/>
        <w:spacing w:after="0" w:line="271" w:lineRule="auto"/>
        <w:rPr>
          <w:sz w:val="20"/>
          <w:szCs w:val="20"/>
          <w:color w:val="auto"/>
        </w:rPr>
      </w:pPr>
      <w:r>
        <w:rPr>
          <w:rFonts w:ascii="Arial" w:cs="Arial" w:eastAsia="Arial" w:hAnsi="Arial"/>
          <w:sz w:val="16"/>
          <w:szCs w:val="16"/>
          <w:color w:val="auto"/>
        </w:rPr>
        <w:t xml:space="preserve">On April 3, 2018, GasLog Partners issued 33,998 common units in connection with the vesting of 16,999 Restricted Common Units (“RCUs”) and 16,999 Performance Common Units (“PCUs”) under its 2015 Long-Term Incentive Plan (the “2015 Plan”) at a price of $23.55 per unit. Subsequently, on April 26, 2018, in connection with the acquisition of GAS-fourteen Ltd., the entity that owns and charters the </w:t>
      </w:r>
      <w:r>
        <w:rPr>
          <w:rFonts w:ascii="Arial" w:cs="Arial" w:eastAsia="Arial" w:hAnsi="Arial"/>
          <w:sz w:val="16"/>
          <w:szCs w:val="16"/>
          <w:i w:val="1"/>
          <w:iCs w:val="1"/>
          <w:color w:val="auto"/>
        </w:rPr>
        <w:t>GasLog Gibraltar</w:t>
      </w:r>
      <w:r>
        <w:rPr>
          <w:rFonts w:ascii="Arial" w:cs="Arial" w:eastAsia="Arial" w:hAnsi="Arial"/>
          <w:sz w:val="16"/>
          <w:szCs w:val="16"/>
          <w:color w:val="auto"/>
        </w:rPr>
        <w:t>, GasLog Partners issued 1,858,975 common units to GasLog at a price of $24.21 per unit. In connection with these common equity issuances and in order for GasLog to retain its 2.0% general partner interest, GasLog Partners also issued 38,632 general partner units to GasLog, for net proceeds of $935.</w:t>
      </w:r>
    </w:p>
    <w:p>
      <w:pPr>
        <w:spacing w:after="0" w:line="69" w:lineRule="exact"/>
        <w:rPr>
          <w:sz w:val="20"/>
          <w:szCs w:val="20"/>
          <w:color w:val="auto"/>
        </w:rPr>
      </w:pPr>
    </w:p>
    <w:p>
      <w:pPr>
        <w:ind w:firstLine="396"/>
        <w:spacing w:after="0" w:line="335" w:lineRule="auto"/>
        <w:rPr>
          <w:sz w:val="20"/>
          <w:szCs w:val="20"/>
          <w:color w:val="auto"/>
        </w:rPr>
      </w:pPr>
      <w:r>
        <w:rPr>
          <w:rFonts w:ascii="Arial" w:cs="Arial" w:eastAsia="Arial" w:hAnsi="Arial"/>
          <w:sz w:val="14"/>
          <w:szCs w:val="14"/>
          <w:color w:val="auto"/>
        </w:rPr>
        <w:t>In addition, under the Partnership’s ATM Common Equity Offering Programme (“ATM Programme”), there was an issuance of 2,294,795 additional common units during the second and third quarters of 2018 for total net proceeds of $53,956. In connection with the issuance of common units under the ATM Programme during this period, the Partnership also issued 46,833 general partner units to its general partner in order for GasLog to retain its 2.0% general partner interest for net proceeds of $1,109.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gridSpan w:val="2"/>
          </w:tcPr>
          <w:p>
            <w:pPr>
              <w:spacing w:after="0"/>
              <w:rPr>
                <w:sz w:val="20"/>
                <w:szCs w:val="20"/>
                <w:color w:val="auto"/>
              </w:rPr>
            </w:pPr>
            <w:r>
              <w:rPr>
                <w:rFonts w:ascii="Arial" w:cs="Arial" w:eastAsia="Arial" w:hAnsi="Arial"/>
                <w:sz w:val="16"/>
                <w:szCs w:val="16"/>
                <w:b w:val="1"/>
                <w:bCs w:val="1"/>
                <w:color w:val="auto"/>
              </w:rPr>
              <w:t>6. Borrowings</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1"/>
        </w:trPr>
        <w:tc>
          <w:tcPr>
            <w:tcW w:w="2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December 31,</w:t>
            </w:r>
          </w:p>
        </w:tc>
        <w:tc>
          <w:tcPr>
            <w:tcW w:w="1780" w:type="dxa"/>
            <w:vAlign w:val="bottom"/>
            <w:gridSpan w:val="2"/>
          </w:tcPr>
          <w:p>
            <w:pPr>
              <w:ind w:left="38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260" w:type="dxa"/>
            <w:vAlign w:val="bottom"/>
          </w:tcPr>
          <w:p>
            <w:pPr>
              <w:spacing w:after="0"/>
              <w:rPr>
                <w:sz w:val="18"/>
                <w:szCs w:val="18"/>
                <w:color w:val="auto"/>
              </w:rPr>
            </w:pPr>
          </w:p>
        </w:tc>
        <w:tc>
          <w:tcPr>
            <w:tcW w:w="7260" w:type="dxa"/>
            <w:vAlign w:val="bottom"/>
            <w:tcBorders>
              <w:bottom w:val="single" w:sz="8" w:color="E5FFFF"/>
            </w:tcBorders>
          </w:tcPr>
          <w:p>
            <w:pPr>
              <w:spacing w:after="0"/>
              <w:rPr>
                <w:sz w:val="18"/>
                <w:szCs w:val="18"/>
                <w:color w:val="auto"/>
              </w:rPr>
            </w:pPr>
          </w:p>
        </w:tc>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E5FFFF"/>
            </w:tcBorders>
          </w:tcPr>
          <w:p>
            <w:pPr>
              <w:spacing w:after="0"/>
              <w:rPr>
                <w:sz w:val="18"/>
                <w:szCs w:val="18"/>
                <w:color w:val="auto"/>
              </w:rPr>
            </w:pPr>
          </w:p>
        </w:tc>
        <w:tc>
          <w:tcPr>
            <w:tcW w:w="17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8"/>
                <w:szCs w:val="18"/>
                <w:color w:val="auto"/>
              </w:rPr>
            </w:pPr>
          </w:p>
        </w:tc>
      </w:tr>
      <w:tr>
        <w:trPr>
          <w:trHeight w:val="199"/>
        </w:trPr>
        <w:tc>
          <w:tcPr>
            <w:tcW w:w="26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119,764</w:t>
            </w:r>
          </w:p>
        </w:tc>
        <w:tc>
          <w:tcPr>
            <w:tcW w:w="260" w:type="dxa"/>
            <w:vAlign w:val="bottom"/>
            <w:shd w:val="clear" w:color="auto" w:fill="E5FFFF"/>
          </w:tcPr>
          <w:p>
            <w:pPr>
              <w:spacing w:after="0"/>
              <w:rPr>
                <w:sz w:val="17"/>
                <w:szCs w:val="17"/>
                <w:color w:val="auto"/>
              </w:rPr>
            </w:pPr>
          </w:p>
        </w:tc>
        <w:tc>
          <w:tcPr>
            <w:tcW w:w="1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90,014</w:t>
            </w:r>
          </w:p>
        </w:tc>
        <w:tc>
          <w:tcPr>
            <w:tcW w:w="6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Less: unamortized deferred loan issuance costs</w:t>
            </w:r>
          </w:p>
        </w:tc>
        <w:tc>
          <w:tcPr>
            <w:tcW w:w="1960" w:type="dxa"/>
            <w:vAlign w:val="bottom"/>
            <w:gridSpan w:val="2"/>
          </w:tcPr>
          <w:p>
            <w:pPr>
              <w:jc w:val="right"/>
              <w:ind w:right="200"/>
              <w:spacing w:after="0"/>
              <w:rPr>
                <w:sz w:val="20"/>
                <w:szCs w:val="20"/>
                <w:color w:val="auto"/>
              </w:rPr>
            </w:pPr>
            <w:r>
              <w:rPr>
                <w:rFonts w:ascii="Arial" w:cs="Arial" w:eastAsia="Arial" w:hAnsi="Arial"/>
                <w:sz w:val="16"/>
                <w:szCs w:val="16"/>
                <w:color w:val="auto"/>
              </w:rPr>
              <w:t>(5,194)</w:t>
            </w:r>
          </w:p>
        </w:tc>
        <w:tc>
          <w:tcPr>
            <w:tcW w:w="1720" w:type="dxa"/>
            <w:vAlign w:val="bottom"/>
          </w:tcPr>
          <w:p>
            <w:pPr>
              <w:jc w:val="right"/>
              <w:spacing w:after="0"/>
              <w:rPr>
                <w:sz w:val="20"/>
                <w:szCs w:val="20"/>
                <w:color w:val="auto"/>
              </w:rPr>
            </w:pPr>
            <w:r>
              <w:rPr>
                <w:rFonts w:ascii="Arial" w:cs="Arial" w:eastAsia="Arial" w:hAnsi="Arial"/>
                <w:sz w:val="16"/>
                <w:szCs w:val="16"/>
                <w:color w:val="auto"/>
              </w:rPr>
              <w:t>(4,981)</w:t>
            </w:r>
          </w:p>
        </w:tc>
        <w:tc>
          <w:tcPr>
            <w:tcW w:w="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2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 current portion</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114,570</w:t>
            </w:r>
          </w:p>
        </w:tc>
        <w:tc>
          <w:tcPr>
            <w:tcW w:w="26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85,033</w:t>
            </w:r>
          </w:p>
        </w:tc>
        <w:tc>
          <w:tcPr>
            <w:tcW w:w="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1700" w:type="dxa"/>
            <w:vAlign w:val="bottom"/>
          </w:tcPr>
          <w:p>
            <w:pPr>
              <w:jc w:val="right"/>
              <w:spacing w:after="0"/>
              <w:rPr>
                <w:sz w:val="20"/>
                <w:szCs w:val="20"/>
                <w:color w:val="auto"/>
              </w:rPr>
            </w:pPr>
            <w:r>
              <w:rPr>
                <w:rFonts w:ascii="Arial" w:cs="Arial" w:eastAsia="Arial" w:hAnsi="Arial"/>
                <w:sz w:val="16"/>
                <w:szCs w:val="16"/>
                <w:color w:val="auto"/>
              </w:rPr>
              <w:t>1,202,823</w:t>
            </w: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1,083,644</w:t>
            </w:r>
          </w:p>
        </w:tc>
        <w:tc>
          <w:tcPr>
            <w:tcW w:w="6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 issuance costs</w:t>
            </w:r>
          </w:p>
        </w:tc>
        <w:tc>
          <w:tcPr>
            <w:tcW w:w="196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(16,828)</w:t>
            </w:r>
          </w:p>
        </w:tc>
        <w:tc>
          <w:tcPr>
            <w:tcW w:w="1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(12,076)</w:t>
            </w:r>
          </w:p>
        </w:tc>
        <w:tc>
          <w:tcPr>
            <w:tcW w:w="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Borrowings – non-current portion</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1,185,995</w:t>
            </w:r>
          </w:p>
        </w:tc>
        <w:tc>
          <w:tcPr>
            <w:tcW w:w="260" w:type="dxa"/>
            <w:vAlign w:val="bottom"/>
            <w:tcBorders>
              <w:bottom w:val="single" w:sz="8" w:color="E5FFFF"/>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1,071,568</w:t>
            </w:r>
          </w:p>
        </w:tc>
        <w:tc>
          <w:tcPr>
            <w:tcW w:w="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2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1,300,565</w:t>
            </w:r>
          </w:p>
        </w:tc>
        <w:tc>
          <w:tcPr>
            <w:tcW w:w="260" w:type="dxa"/>
            <w:vAlign w:val="bottom"/>
            <w:tcBorders>
              <w:bottom w:val="single" w:sz="8" w:color="E5FFFF"/>
            </w:tcBorders>
            <w:shd w:val="clear" w:color="auto" w:fill="E5FFFF"/>
          </w:tcPr>
          <w:p>
            <w:pPr>
              <w:spacing w:after="0"/>
              <w:rPr>
                <w:sz w:val="17"/>
                <w:szCs w:val="17"/>
                <w:color w:val="auto"/>
              </w:rPr>
            </w:pPr>
          </w:p>
        </w:tc>
        <w:tc>
          <w:tcPr>
            <w:tcW w:w="1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1,156,601</w:t>
            </w:r>
          </w:p>
        </w:tc>
        <w:tc>
          <w:tcPr>
            <w:tcW w:w="6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right="560" w:firstLine="405"/>
        <w:spacing w:after="0" w:line="293" w:lineRule="auto"/>
        <w:rPr>
          <w:sz w:val="20"/>
          <w:szCs w:val="20"/>
          <w:color w:val="auto"/>
        </w:rPr>
      </w:pPr>
      <w:r>
        <w:rPr>
          <w:rFonts w:ascii="Arial" w:cs="Arial" w:eastAsia="Arial" w:hAnsi="Arial"/>
          <w:sz w:val="16"/>
          <w:szCs w:val="16"/>
          <w:color w:val="auto"/>
        </w:rPr>
        <w:t>The main terms of the bank loan facilities and the Sponsor Credit Facility have been disclosed in the annual consolidated financial statements for the year ended December 31, 2017. Refer to Note 6 “Borrowings”.</w:t>
      </w:r>
    </w:p>
    <w:p>
      <w:pPr>
        <w:spacing w:after="0" w:line="17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On January 5, 2018, the Partnership prepaid $29,750 of the outstanding debt of GAS-nineteen Ltd., GAS-twenty Ltd. and GAS-twenty one Ltd., which would have been originally due in April 2018.</w:t>
      </w:r>
    </w:p>
    <w:p>
      <w:pPr>
        <w:spacing w:after="0" w:line="172" w:lineRule="exact"/>
        <w:rPr>
          <w:sz w:val="20"/>
          <w:szCs w:val="20"/>
          <w:color w:val="auto"/>
        </w:rPr>
      </w:pPr>
    </w:p>
    <w:p>
      <w:pPr>
        <w:ind w:right="140" w:firstLine="405"/>
        <w:spacing w:after="0" w:line="278" w:lineRule="auto"/>
        <w:rPr>
          <w:sz w:val="20"/>
          <w:szCs w:val="20"/>
          <w:color w:val="auto"/>
        </w:rPr>
      </w:pPr>
      <w:r>
        <w:rPr>
          <w:rFonts w:ascii="Arial" w:cs="Arial" w:eastAsia="Arial" w:hAnsi="Arial"/>
          <w:sz w:val="16"/>
          <w:szCs w:val="16"/>
          <w:color w:val="auto"/>
        </w:rPr>
        <w:t>On March 23, 2018, the outstanding amount of $45,000 under the Sponsor Credit Facility was prepaid. On the same date, the term loan facility was terminated and the respective unamortized loan fees of $900 were written-off to profit or loss. As of September 30, 2018 and December 31, 2017, no amounts were outstanding under the revolving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GAS-fourteen Ltd. facility</w:t>
      </w:r>
    </w:p>
    <w:p>
      <w:pPr>
        <w:spacing w:after="0" w:line="239" w:lineRule="exact"/>
        <w:rPr>
          <w:sz w:val="20"/>
          <w:szCs w:val="20"/>
          <w:color w:val="auto"/>
        </w:rPr>
      </w:pPr>
    </w:p>
    <w:p>
      <w:pPr>
        <w:ind w:right="20" w:firstLine="405"/>
        <w:spacing w:after="0" w:line="273" w:lineRule="auto"/>
        <w:rPr>
          <w:sz w:val="20"/>
          <w:szCs w:val="20"/>
          <w:color w:val="auto"/>
        </w:rPr>
      </w:pPr>
      <w:r>
        <w:rPr>
          <w:rFonts w:ascii="Arial" w:cs="Arial" w:eastAsia="Arial" w:hAnsi="Arial"/>
          <w:sz w:val="16"/>
          <w:szCs w:val="16"/>
          <w:color w:val="auto"/>
        </w:rPr>
        <w:t>Following the acquisition of GAS-fourteen Ltd. on April 26, 2018, the Partnership assumed $143,622 of outstanding indebtedness of the acquired entity under a debt financing agreement dated October 16, 2015 with 14 international banks, with Citibank N.A. London Branch and Nordea Bank AB, London Branch acting as agents on behalf of the other finance parties. The financing was backed by the Export Import Bank of Korea (“KEXIM”) and the Korea Trade Insurance Corporation (“K-Sure”), who were either directly lending or providing cover for over 60% of the facility.</w:t>
      </w:r>
    </w:p>
    <w:p>
      <w:pPr>
        <w:spacing w:after="0" w:line="189"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 xml:space="preserve">The loan agreement with respect to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provided for four tranches of $50,544, $25,258, $24,643 and $60,252. Under the terms of the agreement, each drawing under the first three tranches would be repaid in 24 consecutive semi-annual equal installments commencing</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six months after the actual delivery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according to a 12-year profile. Each drawing under the fourth tranche would be repaid in 20 consecutive semi-annual equal installments commencing six months after the actual delivery of the relevant vessel according to a 20-year profile, with a balloon payment together with the final installment. On October 25, 2016, $160,697 was drawn down to partially finance the delivery of the </w:t>
      </w:r>
      <w:r>
        <w:rPr>
          <w:rFonts w:ascii="Arial" w:cs="Arial" w:eastAsia="Arial" w:hAnsi="Arial"/>
          <w:sz w:val="16"/>
          <w:szCs w:val="16"/>
          <w:i w:val="1"/>
          <w:iCs w:val="1"/>
          <w:color w:val="auto"/>
        </w:rPr>
        <w:t>GasLog Gibraltar</w:t>
      </w:r>
      <w:r>
        <w:rPr>
          <w:rFonts w:ascii="Arial" w:cs="Arial" w:eastAsia="Arial" w:hAnsi="Arial"/>
          <w:sz w:val="16"/>
          <w:szCs w:val="16"/>
          <w:color w:val="auto"/>
        </w:rPr>
        <w:t>. Amounts drawn per tranche bear interest at LIBOR plus a margin.</w:t>
      </w:r>
    </w:p>
    <w:p>
      <w:pPr>
        <w:spacing w:after="0" w:line="189" w:lineRule="exact"/>
        <w:rPr>
          <w:sz w:val="20"/>
          <w:szCs w:val="20"/>
          <w:color w:val="auto"/>
        </w:rPr>
      </w:pPr>
    </w:p>
    <w:p>
      <w:pPr>
        <w:ind w:right="40" w:firstLine="405"/>
        <w:spacing w:after="0" w:line="315" w:lineRule="auto"/>
        <w:rPr>
          <w:sz w:val="20"/>
          <w:szCs w:val="20"/>
          <w:color w:val="auto"/>
        </w:rPr>
      </w:pPr>
      <w:r>
        <w:rPr>
          <w:rFonts w:ascii="Arial" w:cs="Arial" w:eastAsia="Arial" w:hAnsi="Arial"/>
          <w:sz w:val="14"/>
          <w:szCs w:val="14"/>
          <w:color w:val="auto"/>
        </w:rPr>
        <w:t xml:space="preserve">The obligations under the aforementioned facility are secured by a first priority mortgage over each vessel, a pledge of the share capital of the respective vessel owning companies and a first priority assignment of earnings related to each vessel, including charter revenue, management revenue and any insurance and requisition compensation. Obligations under the facility are guaranteed by GasLog, with the Partnership and its subsidiary GasLog Partners Holdings LLC guaranteeing up to the value of the commitments relating to the </w:t>
      </w:r>
      <w:r>
        <w:rPr>
          <w:rFonts w:ascii="Arial" w:cs="Arial" w:eastAsia="Arial" w:hAnsi="Arial"/>
          <w:sz w:val="14"/>
          <w:szCs w:val="14"/>
          <w:i w:val="1"/>
          <w:iCs w:val="1"/>
          <w:color w:val="auto"/>
        </w:rPr>
        <w:t>GasLog Gibraltar</w:t>
      </w:r>
      <w:r>
        <w:rPr>
          <w:rFonts w:ascii="Arial" w:cs="Arial" w:eastAsia="Arial" w:hAnsi="Arial"/>
          <w:sz w:val="14"/>
          <w:szCs w:val="14"/>
          <w:color w:val="auto"/>
        </w:rPr>
        <w:t>. The facility includes customary respective covenants and, among other restrictions, the facilities include a fair market value covenant pursuant to which an event of default could occur under the facility if the aggregate fair market value of the collateral vessel (without taking into account any charter arrangements) were to fall below 115% of the aggregate outstanding principal balance for the first two years after each drawdown and below 120% at any time thereafter.</w:t>
      </w:r>
    </w:p>
    <w:p>
      <w:pPr>
        <w:spacing w:after="0" w:line="164"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GasLog, as corporate guarantor for the aforementioned facility, is also subject to specified financial covenants on a consolidated basis. The financial covenants include the following:</w:t>
      </w:r>
    </w:p>
    <w:p>
      <w:pPr>
        <w:spacing w:after="0" w:line="185" w:lineRule="exact"/>
        <w:rPr>
          <w:sz w:val="20"/>
          <w:szCs w:val="20"/>
          <w:color w:val="auto"/>
        </w:rPr>
      </w:pPr>
    </w:p>
    <w:p>
      <w:pPr>
        <w:ind w:left="380" w:hanging="329"/>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6"/>
          <w:szCs w:val="16"/>
          <w:color w:val="auto"/>
        </w:rPr>
        <w:t>net working capital (excluding the current portion of long-term debt) must be not less than $0;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6"/>
          <w:szCs w:val="16"/>
          <w:color w:val="auto"/>
        </w:rPr>
        <w:t>total indebtedness divided by total assets must not exceed 75.0%;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6"/>
          <w:szCs w:val="16"/>
          <w:color w:val="auto"/>
        </w:rPr>
        <w:t>the ratio of EBITDA over debt service obligations (including interest and debt repayments) on a trailing 12 months basis must be not less than 110.0%;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4"/>
          <w:szCs w:val="14"/>
          <w:color w:val="auto"/>
        </w:rPr>
        <w:t>the aggregate amount of all unencumbered cash and cash equivalents must be not less than the higher of 3% of total indebtedness or $50,000 after the first drawdown;</w:t>
      </w:r>
    </w:p>
    <w:p>
      <w:pPr>
        <w:spacing w:after="0" w:line="32" w:lineRule="exact"/>
        <w:rPr>
          <w:rFonts w:ascii="Arial" w:cs="Arial" w:eastAsia="Arial" w:hAnsi="Arial"/>
          <w:sz w:val="16"/>
          <w:szCs w:val="16"/>
          <w:color w:val="auto"/>
        </w:rPr>
      </w:pPr>
    </w:p>
    <w:p>
      <w:pPr>
        <w:ind w:left="380" w:right="100" w:hanging="329"/>
        <w:spacing w:after="0" w:line="251" w:lineRule="auto"/>
        <w:tabs>
          <w:tab w:leader="none" w:pos="386" w:val="left"/>
        </w:tabs>
        <w:numPr>
          <w:ilvl w:val="0"/>
          <w:numId w:val="24"/>
        </w:numPr>
        <w:rPr>
          <w:rFonts w:ascii="Arial" w:cs="Arial" w:eastAsia="Arial" w:hAnsi="Arial"/>
          <w:sz w:val="18"/>
          <w:szCs w:val="18"/>
          <w:color w:val="auto"/>
        </w:rPr>
      </w:pPr>
      <w:r>
        <w:rPr>
          <w:rFonts w:ascii="Arial" w:cs="Arial" w:eastAsia="Arial" w:hAnsi="Arial"/>
          <w:sz w:val="16"/>
          <w:szCs w:val="16"/>
          <w:color w:val="auto"/>
        </w:rPr>
        <w:t>GasLog is permitted to pay dividends, provided that it holds unencumbered cash and cash equivalents equal to at least 4.0% of its total indebtedness subject to no event of default having occurred or occurring as a consequence of the payment of such dividends; and</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6"/>
          <w:szCs w:val="16"/>
          <w:color w:val="auto"/>
        </w:rPr>
        <w:t>the market value adjusted net worth of GasLog must at all times be not less than $350,000.</w:t>
      </w:r>
    </w:p>
    <w:p>
      <w:pPr>
        <w:sectPr>
          <w:pgSz w:w="11900" w:h="16838" w:orient="portrait"/>
          <w:cols w:equalWidth="0" w:num="1">
            <w:col w:w="11360"/>
          </w:cols>
          <w:pgMar w:left="240" w:top="342" w:right="299" w:bottom="0" w:gutter="0" w:footer="0" w:header="0"/>
        </w:sectPr>
      </w:pPr>
    </w:p>
    <w:bookmarkStart w:id="34" w:name="page35"/>
    <w:bookmarkEnd w:id="34"/>
    <w:p>
      <w:pPr>
        <w:ind w:firstLine="405"/>
        <w:spacing w:after="0" w:line="369" w:lineRule="auto"/>
        <w:rPr>
          <w:sz w:val="20"/>
          <w:szCs w:val="20"/>
          <w:color w:val="auto"/>
        </w:rPr>
      </w:pPr>
      <w:r>
        <w:rPr>
          <w:rFonts w:ascii="Arial" w:cs="Arial" w:eastAsia="Arial" w:hAnsi="Arial"/>
          <w:sz w:val="14"/>
          <w:szCs w:val="14"/>
          <w:color w:val="auto"/>
        </w:rPr>
        <w:t xml:space="preserve">GasLog was in compliance with the above financial covenants as of September 30, 2018. Any failure by GasLog to comply with these financial covenants would permit the lenders under this credit facility to exercise remedies as secured creditors which, if such a default was to occur, could include foreclosing on the </w:t>
      </w:r>
      <w:r>
        <w:rPr>
          <w:rFonts w:ascii="Arial" w:cs="Arial" w:eastAsia="Arial" w:hAnsi="Arial"/>
          <w:sz w:val="14"/>
          <w:szCs w:val="14"/>
          <w:i w:val="1"/>
          <w:iCs w:val="1"/>
          <w:color w:val="auto"/>
        </w:rPr>
        <w:t>GasLog Gibraltar</w:t>
      </w:r>
      <w:r>
        <w:rPr>
          <w:rFonts w:ascii="Arial" w:cs="Arial" w:eastAsia="Arial" w:hAnsi="Arial"/>
          <w:sz w:val="14"/>
          <w:szCs w:val="14"/>
          <w:color w:val="auto"/>
        </w:rPr>
        <w:t>.</w:t>
      </w:r>
    </w:p>
    <w:p>
      <w:pPr>
        <w:spacing w:after="0" w:line="126" w:lineRule="exact"/>
        <w:rPr>
          <w:sz w:val="20"/>
          <w:szCs w:val="20"/>
          <w:color w:val="auto"/>
        </w:rPr>
      </w:pPr>
    </w:p>
    <w:p>
      <w:pPr>
        <w:ind w:right="220" w:firstLine="405"/>
        <w:spacing w:after="0" w:line="278" w:lineRule="auto"/>
        <w:rPr>
          <w:sz w:val="20"/>
          <w:szCs w:val="20"/>
          <w:color w:val="auto"/>
        </w:rPr>
      </w:pPr>
      <w:r>
        <w:rPr>
          <w:rFonts w:ascii="Arial" w:cs="Arial" w:eastAsia="Arial" w:hAnsi="Arial"/>
          <w:sz w:val="16"/>
          <w:szCs w:val="16"/>
          <w:color w:val="auto"/>
        </w:rPr>
        <w:t>The credit facility also imposes certain restrictions relating to GasLog, including restrictions that limit its ability to make any substantial change in the nature of its business or to engage in transactions that would constitute a change of control, as defined in the relevant credit facility, without repaying all of its indebtedness in full, or to allow its largest shareholders to reduce their shareholding in GasLog below specified thresholds.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7900" w:type="dxa"/>
            <w:vAlign w:val="bottom"/>
          </w:tcPr>
          <w:p>
            <w:pPr>
              <w:ind w:left="180"/>
              <w:spacing w:after="0"/>
              <w:rPr>
                <w:sz w:val="20"/>
                <w:szCs w:val="20"/>
                <w:color w:val="auto"/>
              </w:rPr>
            </w:pPr>
            <w:r>
              <w:rPr>
                <w:rFonts w:ascii="Arial" w:cs="Arial" w:eastAsia="Arial" w:hAnsi="Arial"/>
                <w:sz w:val="16"/>
                <w:szCs w:val="16"/>
                <w:color w:val="auto"/>
              </w:rPr>
              <w:t>GasLog Partners was in compliance with its financial covenants as of September 30, 2018.</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8140" w:type="dxa"/>
            <w:vAlign w:val="bottom"/>
            <w:gridSpan w:val="2"/>
          </w:tcPr>
          <w:p>
            <w:pPr>
              <w:spacing w:after="0"/>
              <w:rPr>
                <w:sz w:val="20"/>
                <w:szCs w:val="20"/>
                <w:color w:val="auto"/>
              </w:rPr>
            </w:pPr>
            <w:r>
              <w:rPr>
                <w:rFonts w:ascii="Arial" w:cs="Arial" w:eastAsia="Arial" w:hAnsi="Arial"/>
                <w:sz w:val="16"/>
                <w:szCs w:val="16"/>
                <w:b w:val="1"/>
                <w:bCs w:val="1"/>
                <w:color w:val="auto"/>
              </w:rPr>
              <w:t>7. Other Payables and Accruals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40" w:type="dxa"/>
            <w:vAlign w:val="bottom"/>
          </w:tcPr>
          <w:p>
            <w:pPr>
              <w:spacing w:after="0"/>
              <w:rPr>
                <w:sz w:val="24"/>
                <w:szCs w:val="24"/>
                <w:color w:val="auto"/>
              </w:rPr>
            </w:pPr>
          </w:p>
        </w:tc>
        <w:tc>
          <w:tcPr>
            <w:tcW w:w="7900" w:type="dxa"/>
            <w:vAlign w:val="bottom"/>
          </w:tcPr>
          <w:p>
            <w:pPr>
              <w:ind w:left="160"/>
              <w:spacing w:after="0"/>
              <w:rPr>
                <w:sz w:val="20"/>
                <w:szCs w:val="20"/>
                <w:color w:val="auto"/>
              </w:rPr>
            </w:pPr>
            <w:r>
              <w:rPr>
                <w:rFonts w:ascii="Arial" w:cs="Arial" w:eastAsia="Arial" w:hAnsi="Arial"/>
                <w:sz w:val="16"/>
                <w:szCs w:val="16"/>
                <w:color w:val="auto"/>
              </w:rPr>
              <w:t>An analysis of other payables and accruals is as follows: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79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22,678</w:t>
            </w: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21,948</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Accrued legal and professional fees</w:t>
            </w:r>
          </w:p>
        </w:tc>
        <w:tc>
          <w:tcPr>
            <w:tcW w:w="1360" w:type="dxa"/>
            <w:vAlign w:val="bottom"/>
          </w:tcPr>
          <w:p>
            <w:pPr>
              <w:jc w:val="right"/>
              <w:spacing w:after="0"/>
              <w:rPr>
                <w:sz w:val="20"/>
                <w:szCs w:val="20"/>
                <w:color w:val="auto"/>
              </w:rPr>
            </w:pPr>
            <w:r>
              <w:rPr>
                <w:rFonts w:ascii="Arial" w:cs="Arial" w:eastAsia="Arial" w:hAnsi="Arial"/>
                <w:sz w:val="16"/>
                <w:szCs w:val="16"/>
                <w:color w:val="auto"/>
              </w:rPr>
              <w:t>597</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6"/>
                <w:szCs w:val="16"/>
                <w:color w:val="auto"/>
              </w:rPr>
              <w:t>Accrued crew costs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2,256</w:t>
            </w: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2,157</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Accrued off-hire</w:t>
            </w:r>
          </w:p>
        </w:tc>
        <w:tc>
          <w:tcPr>
            <w:tcW w:w="1360" w:type="dxa"/>
            <w:vAlign w:val="bottom"/>
          </w:tcPr>
          <w:p>
            <w:pPr>
              <w:jc w:val="right"/>
              <w:spacing w:after="0"/>
              <w:rPr>
                <w:sz w:val="20"/>
                <w:szCs w:val="20"/>
                <w:color w:val="auto"/>
              </w:rPr>
            </w:pPr>
            <w:r>
              <w:rPr>
                <w:rFonts w:ascii="Arial" w:cs="Arial" w:eastAsia="Arial" w:hAnsi="Arial"/>
                <w:sz w:val="16"/>
                <w:szCs w:val="16"/>
                <w:color w:val="auto"/>
              </w:rPr>
              <w:t>1,659</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6"/>
                <w:szCs w:val="16"/>
                <w:color w:val="auto"/>
              </w:rPr>
              <w:t>Accrued payable to charterers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539</w:t>
            </w: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2,444</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Accrued purchases</w:t>
            </w:r>
          </w:p>
        </w:tc>
        <w:tc>
          <w:tcPr>
            <w:tcW w:w="1360" w:type="dxa"/>
            <w:vAlign w:val="bottom"/>
          </w:tcPr>
          <w:p>
            <w:pPr>
              <w:jc w:val="right"/>
              <w:spacing w:after="0"/>
              <w:rPr>
                <w:sz w:val="20"/>
                <w:szCs w:val="20"/>
                <w:color w:val="auto"/>
              </w:rPr>
            </w:pPr>
            <w:r>
              <w:rPr>
                <w:rFonts w:ascii="Arial" w:cs="Arial" w:eastAsia="Arial" w:hAnsi="Arial"/>
                <w:sz w:val="16"/>
                <w:szCs w:val="16"/>
                <w:color w:val="auto"/>
              </w:rPr>
              <w:t>1,647</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10,136</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6"/>
                <w:szCs w:val="16"/>
                <w:color w:val="auto"/>
              </w:rPr>
              <w:t>Accrued interest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12,396</w:t>
            </w: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9,169</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Accrued board of directors’ fees</w:t>
            </w:r>
          </w:p>
        </w:tc>
        <w:tc>
          <w:tcPr>
            <w:tcW w:w="1360" w:type="dxa"/>
            <w:vAlign w:val="bottom"/>
          </w:tcPr>
          <w:p>
            <w:pPr>
              <w:jc w:val="right"/>
              <w:spacing w:after="0"/>
              <w:rPr>
                <w:sz w:val="20"/>
                <w:szCs w:val="20"/>
                <w:color w:val="auto"/>
              </w:rPr>
            </w:pPr>
            <w:r>
              <w:rPr>
                <w:rFonts w:ascii="Arial" w:cs="Arial" w:eastAsia="Arial" w:hAnsi="Arial"/>
                <w:sz w:val="16"/>
                <w:szCs w:val="16"/>
                <w:color w:val="auto"/>
              </w:rPr>
              <w:t>188</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6"/>
                <w:szCs w:val="16"/>
                <w:color w:val="auto"/>
              </w:rPr>
              <w:t>Accrued cash distributions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179</w:t>
            </w: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9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Other payables and accruals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22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9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43,000</w:t>
            </w:r>
          </w:p>
        </w:tc>
        <w:tc>
          <w:tcPr>
            <w:tcW w:w="22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48,988</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8. Derivative Financial Instruments</w:t>
            </w: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4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40" w:type="dxa"/>
            <w:vAlign w:val="bottom"/>
          </w:tcPr>
          <w:p>
            <w:pPr>
              <w:spacing w:after="0"/>
              <w:rPr>
                <w:sz w:val="24"/>
                <w:szCs w:val="24"/>
                <w:color w:val="auto"/>
              </w:rPr>
            </w:pPr>
          </w:p>
        </w:tc>
        <w:tc>
          <w:tcPr>
            <w:tcW w:w="7900" w:type="dxa"/>
            <w:vAlign w:val="bottom"/>
          </w:tcPr>
          <w:p>
            <w:pPr>
              <w:ind w:left="100"/>
              <w:spacing w:after="0"/>
              <w:rPr>
                <w:sz w:val="20"/>
                <w:szCs w:val="20"/>
                <w:color w:val="auto"/>
              </w:rPr>
            </w:pPr>
            <w:r>
              <w:rPr>
                <w:rFonts w:ascii="Arial" w:cs="Arial" w:eastAsia="Arial" w:hAnsi="Arial"/>
                <w:sz w:val="16"/>
                <w:szCs w:val="16"/>
                <w:color w:val="auto"/>
              </w:rPr>
              <w:t>The fair value of the derivative assets is as follows: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79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136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Interest rate swaps</w:t>
            </w:r>
          </w:p>
        </w:tc>
        <w:tc>
          <w:tcPr>
            <w:tcW w:w="1360" w:type="dxa"/>
            <w:vAlign w:val="bottom"/>
          </w:tcPr>
          <w:p>
            <w:pPr>
              <w:jc w:val="right"/>
              <w:spacing w:after="0"/>
              <w:rPr>
                <w:sz w:val="20"/>
                <w:szCs w:val="20"/>
                <w:color w:val="auto"/>
              </w:rPr>
            </w:pPr>
            <w:r>
              <w:rPr>
                <w:rFonts w:ascii="Arial" w:cs="Arial" w:eastAsia="Arial" w:hAnsi="Arial"/>
                <w:sz w:val="16"/>
                <w:szCs w:val="16"/>
                <w:color w:val="auto"/>
              </w:rPr>
              <w:t>6,615</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16,132</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90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79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6,615</w:t>
            </w:r>
          </w:p>
        </w:tc>
        <w:tc>
          <w:tcPr>
            <w:tcW w:w="220" w:type="dxa"/>
            <w:vAlign w:val="bottom"/>
            <w:tcBorders>
              <w:bottom w:val="single" w:sz="8" w:color="E5FF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16,224</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7900" w:type="dxa"/>
            <w:vAlign w:val="bottom"/>
            <w:shd w:val="clear" w:color="auto" w:fill="E5FFFF"/>
          </w:tcPr>
          <w:p>
            <w:pPr>
              <w:spacing w:after="0" w:line="167" w:lineRule="exact"/>
              <w:rPr>
                <w:sz w:val="20"/>
                <w:szCs w:val="20"/>
                <w:color w:val="auto"/>
              </w:rPr>
            </w:pPr>
            <w:r>
              <w:rPr>
                <w:rFonts w:ascii="Arial" w:cs="Arial" w:eastAsia="Arial" w:hAnsi="Arial"/>
                <w:sz w:val="16"/>
                <w:szCs w:val="16"/>
                <w:color w:val="auto"/>
              </w:rPr>
              <w:t>Derivative financial instruments, current asset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577</w:t>
            </w:r>
          </w:p>
        </w:tc>
        <w:tc>
          <w:tcPr>
            <w:tcW w:w="220" w:type="dxa"/>
            <w:vAlign w:val="bottom"/>
            <w:shd w:val="clear" w:color="auto" w:fill="E5FFFF"/>
          </w:tcPr>
          <w:p>
            <w:pPr>
              <w:spacing w:after="0"/>
              <w:rPr>
                <w:sz w:val="15"/>
                <w:szCs w:val="15"/>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4,843</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9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Derivative financial instruments, non-current asset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6,038</w:t>
            </w:r>
          </w:p>
        </w:tc>
        <w:tc>
          <w:tcPr>
            <w:tcW w:w="22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9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6,615</w:t>
            </w:r>
          </w:p>
        </w:tc>
        <w:tc>
          <w:tcPr>
            <w:tcW w:w="22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16,224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30" w:right="319" w:bottom="1440" w:gutter="0" w:footer="0" w:header="0"/>
        </w:sectPr>
      </w:pPr>
    </w:p>
    <w:bookmarkStart w:id="35" w:name="page36"/>
    <w:bookmarkEnd w:id="35"/>
    <w:tbl>
      <w:tblPr>
        <w:tblLayout w:type="fixed"/>
        <w:tblInd w:w="240" w:type="dxa"/>
        <w:tblCellMar>
          <w:top w:w="0" w:type="dxa"/>
          <w:left w:w="0" w:type="dxa"/>
          <w:bottom w:w="0" w:type="dxa"/>
          <w:right w:w="0" w:type="dxa"/>
        </w:tblCellMar>
      </w:tblPr>
      <w:tr>
        <w:trPr>
          <w:trHeight w:val="206"/>
        </w:trPr>
        <w:tc>
          <w:tcPr>
            <w:tcW w:w="7900" w:type="dxa"/>
            <w:vAlign w:val="bottom"/>
          </w:tcPr>
          <w:p>
            <w:pPr>
              <w:ind w:left="100"/>
              <w:spacing w:after="0"/>
              <w:rPr>
                <w:sz w:val="20"/>
                <w:szCs w:val="20"/>
                <w:color w:val="auto"/>
              </w:rPr>
            </w:pPr>
            <w:r>
              <w:rPr>
                <w:rFonts w:ascii="Arial" w:cs="Arial" w:eastAsia="Arial" w:hAnsi="Arial"/>
                <w:sz w:val="16"/>
                <w:szCs w:val="16"/>
                <w:color w:val="auto"/>
              </w:rPr>
              <w:t>The fair value of the derivative liabilities is as follows: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1"/>
        </w:trPr>
        <w:tc>
          <w:tcPr>
            <w:tcW w:w="7900" w:type="dxa"/>
            <w:vAlign w:val="bottom"/>
          </w:tcPr>
          <w:p>
            <w:pPr>
              <w:spacing w:after="0"/>
              <w:rPr>
                <w:sz w:val="24"/>
                <w:szCs w:val="2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9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189"/>
        </w:trPr>
        <w:tc>
          <w:tcPr>
            <w:tcW w:w="79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136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r>
      <w:tr>
        <w:trPr>
          <w:trHeight w:val="203"/>
        </w:trPr>
        <w:tc>
          <w:tcPr>
            <w:tcW w:w="7900" w:type="dxa"/>
            <w:vAlign w:val="bottom"/>
          </w:tcPr>
          <w:p>
            <w:pPr>
              <w:spacing w:after="0"/>
              <w:rPr>
                <w:sz w:val="20"/>
                <w:szCs w:val="20"/>
                <w:color w:val="auto"/>
              </w:rPr>
            </w:pPr>
            <w:r>
              <w:rPr>
                <w:rFonts w:ascii="Arial" w:cs="Arial" w:eastAsia="Arial" w:hAnsi="Arial"/>
                <w:sz w:val="16"/>
                <w:szCs w:val="16"/>
                <w:color w:val="auto"/>
              </w:rPr>
              <w:t>Interest rate swaps</w:t>
            </w:r>
          </w:p>
        </w:tc>
        <w:tc>
          <w:tcPr>
            <w:tcW w:w="1360" w:type="dxa"/>
            <w:vAlign w:val="bottom"/>
          </w:tcPr>
          <w:p>
            <w:pPr>
              <w:jc w:val="right"/>
              <w:spacing w:after="0"/>
              <w:rPr>
                <w:sz w:val="20"/>
                <w:szCs w:val="20"/>
                <w:color w:val="auto"/>
              </w:rPr>
            </w:pPr>
            <w:r>
              <w:rPr>
                <w:rFonts w:ascii="Arial" w:cs="Arial" w:eastAsia="Arial" w:hAnsi="Arial"/>
                <w:sz w:val="16"/>
                <w:szCs w:val="16"/>
                <w:color w:val="auto"/>
              </w:rPr>
              <w:t>269</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203"/>
        </w:trPr>
        <w:tc>
          <w:tcPr>
            <w:tcW w:w="790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384</w:t>
            </w:r>
          </w:p>
        </w:tc>
      </w:tr>
      <w:tr>
        <w:trPr>
          <w:trHeight w:val="236"/>
        </w:trPr>
        <w:tc>
          <w:tcPr>
            <w:tcW w:w="79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w:t>
            </w:r>
          </w:p>
        </w:tc>
        <w:tc>
          <w:tcPr>
            <w:tcW w:w="220" w:type="dxa"/>
            <w:vAlign w:val="bottom"/>
            <w:tcBorders>
              <w:bottom w:val="single" w:sz="8" w:color="E5FF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854</w:t>
            </w:r>
          </w:p>
        </w:tc>
      </w:tr>
      <w:tr>
        <w:trPr>
          <w:trHeight w:val="183"/>
        </w:trPr>
        <w:tc>
          <w:tcPr>
            <w:tcW w:w="7900" w:type="dxa"/>
            <w:vAlign w:val="bottom"/>
            <w:shd w:val="clear" w:color="auto" w:fill="E5FFFF"/>
          </w:tcPr>
          <w:p>
            <w:pPr>
              <w:spacing w:after="0" w:line="167" w:lineRule="exact"/>
              <w:rPr>
                <w:sz w:val="20"/>
                <w:szCs w:val="20"/>
                <w:color w:val="auto"/>
              </w:rPr>
            </w:pPr>
            <w:r>
              <w:rPr>
                <w:rFonts w:ascii="Arial" w:cs="Arial" w:eastAsia="Arial" w:hAnsi="Arial"/>
                <w:sz w:val="16"/>
                <w:szCs w:val="16"/>
                <w:color w:val="auto"/>
              </w:rPr>
              <w:t>Derivative financial instruments, current liability</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269</w:t>
            </w:r>
          </w:p>
        </w:tc>
        <w:tc>
          <w:tcPr>
            <w:tcW w:w="220" w:type="dxa"/>
            <w:vAlign w:val="bottom"/>
            <w:shd w:val="clear" w:color="auto" w:fill="E5FFFF"/>
          </w:tcPr>
          <w:p>
            <w:pPr>
              <w:spacing w:after="0"/>
              <w:rPr>
                <w:sz w:val="15"/>
                <w:szCs w:val="15"/>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707</w:t>
            </w:r>
          </w:p>
        </w:tc>
      </w:tr>
      <w:tr>
        <w:trPr>
          <w:trHeight w:val="203"/>
        </w:trPr>
        <w:tc>
          <w:tcPr>
            <w:tcW w:w="7900" w:type="dxa"/>
            <w:vAlign w:val="bottom"/>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196"/>
        </w:trPr>
        <w:tc>
          <w:tcPr>
            <w:tcW w:w="79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854</w:t>
            </w:r>
          </w:p>
        </w:tc>
      </w:tr>
      <w:tr>
        <w:trPr>
          <w:trHeight w:val="20"/>
        </w:trPr>
        <w:tc>
          <w:tcPr>
            <w:tcW w:w="7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ind w:right="240" w:firstLine="405"/>
        <w:spacing w:after="0" w:line="273" w:lineRule="auto"/>
        <w:rPr>
          <w:sz w:val="20"/>
          <w:szCs w:val="20"/>
          <w:color w:val="auto"/>
        </w:rPr>
      </w:pPr>
      <w:r>
        <w:rPr>
          <w:rFonts w:ascii="Arial" w:cs="Arial" w:eastAsia="Arial" w:hAnsi="Arial"/>
          <w:sz w:val="16"/>
          <w:szCs w:val="16"/>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amounts based on the three-month U.S. dollar London Interbank Offered Rate (“LIBOR”), and the Partnership effects quarterly payments to the counterparty on the notional amounts at the respective fixed rates.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principal terms of the interest rate swaps held for trading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Fixed</w:t>
            </w:r>
          </w:p>
        </w:tc>
        <w:tc>
          <w:tcPr>
            <w:tcW w:w="284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Notional Amount</w:t>
            </w:r>
          </w:p>
        </w:tc>
        <w:tc>
          <w:tcPr>
            <w:tcW w:w="0" w:type="dxa"/>
            <w:vAlign w:val="bottom"/>
          </w:tcPr>
          <w:p>
            <w:pPr>
              <w:spacing w:after="0"/>
              <w:rPr>
                <w:sz w:val="1"/>
                <w:szCs w:val="1"/>
                <w:color w:val="auto"/>
              </w:rPr>
            </w:pPr>
          </w:p>
        </w:tc>
      </w:tr>
      <w:tr>
        <w:trPr>
          <w:trHeight w:val="17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Termination</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Interest</w:t>
            </w: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w:t>
            </w: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174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Counterparty</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Trade Date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Effective Date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Rate</w:t>
            </w: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99"/>
        </w:trPr>
        <w:tc>
          <w:tcPr>
            <w:tcW w:w="1620" w:type="dxa"/>
            <w:vAlign w:val="bottom"/>
            <w:tcBorders>
              <w:top w:val="single" w:sz="8" w:color="auto"/>
            </w:tcBorders>
            <w:shd w:val="clear" w:color="auto" w:fill="E5FFFF"/>
          </w:tcPr>
          <w:p>
            <w:pPr>
              <w:ind w:left="260"/>
              <w:spacing w:after="0"/>
              <w:rPr>
                <w:sz w:val="20"/>
                <w:szCs w:val="20"/>
                <w:color w:val="auto"/>
              </w:rPr>
            </w:pPr>
            <w:r>
              <w:rPr>
                <w:rFonts w:ascii="Arial" w:cs="Arial" w:eastAsia="Arial" w:hAnsi="Arial"/>
                <w:sz w:val="16"/>
                <w:szCs w:val="16"/>
                <w:color w:val="auto"/>
              </w:rPr>
              <w:t>GasLog Partners</w:t>
            </w:r>
          </w:p>
        </w:tc>
        <w:tc>
          <w:tcPr>
            <w:tcW w:w="1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GasLog</w:t>
            </w:r>
          </w:p>
        </w:tc>
        <w:tc>
          <w:tcPr>
            <w:tcW w:w="1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2016</w:t>
            </w:r>
          </w:p>
        </w:tc>
        <w:tc>
          <w:tcPr>
            <w:tcW w:w="1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2016</w:t>
            </w:r>
          </w:p>
        </w:tc>
        <w:tc>
          <w:tcPr>
            <w:tcW w:w="1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2020</w:t>
            </w:r>
          </w:p>
        </w:tc>
        <w:tc>
          <w:tcPr>
            <w:tcW w:w="12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1.54%</w:t>
            </w:r>
          </w:p>
        </w:tc>
        <w:tc>
          <w:tcPr>
            <w:tcW w:w="1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r>
        <w:trPr>
          <w:trHeight w:val="203"/>
        </w:trPr>
        <w:tc>
          <w:tcPr>
            <w:tcW w:w="1740" w:type="dxa"/>
            <w:vAlign w:val="bottom"/>
            <w:gridSpan w:val="2"/>
          </w:tcPr>
          <w:p>
            <w:pPr>
              <w:ind w:left="260"/>
              <w:spacing w:after="0"/>
              <w:rPr>
                <w:sz w:val="20"/>
                <w:szCs w:val="20"/>
                <w:color w:val="auto"/>
              </w:rPr>
            </w:pPr>
            <w:r>
              <w:rPr>
                <w:rFonts w:ascii="Arial" w:cs="Arial" w:eastAsia="Arial" w:hAnsi="Arial"/>
                <w:sz w:val="16"/>
                <w:szCs w:val="16"/>
                <w:color w:val="auto"/>
              </w:rPr>
              <w:t>GasLog Partners</w:t>
            </w: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GasLog</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Nov 2016</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Nov 2016</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July 2021</w:t>
            </w: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1.63%</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E5FFFF"/>
          </w:tcPr>
          <w:p>
            <w:pPr>
              <w:ind w:left="260"/>
              <w:spacing w:after="0"/>
              <w:rPr>
                <w:sz w:val="20"/>
                <w:szCs w:val="20"/>
                <w:color w:val="auto"/>
              </w:rPr>
            </w:pPr>
            <w:r>
              <w:rPr>
                <w:rFonts w:ascii="Arial" w:cs="Arial" w:eastAsia="Arial" w:hAnsi="Arial"/>
                <w:sz w:val="16"/>
                <w:szCs w:val="16"/>
                <w:color w:val="auto"/>
              </w:rPr>
              <w:t>GasLog Partners</w:t>
            </w:r>
          </w:p>
        </w:tc>
        <w:tc>
          <w:tcPr>
            <w:tcW w:w="15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2"/>
              </w:rPr>
              <w:t>GasLog</w:t>
            </w:r>
          </w:p>
        </w:tc>
        <w:tc>
          <w:tcPr>
            <w:tcW w:w="138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3"/>
              </w:rPr>
              <w:t>Nov 2016</w:t>
            </w:r>
          </w:p>
        </w:tc>
        <w:tc>
          <w:tcPr>
            <w:tcW w:w="14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Nov 2016</w:t>
            </w:r>
          </w:p>
        </w:tc>
        <w:tc>
          <w:tcPr>
            <w:tcW w:w="14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July 2022</w:t>
            </w:r>
          </w:p>
        </w:tc>
        <w:tc>
          <w:tcPr>
            <w:tcW w:w="7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1.72%</w:t>
            </w:r>
          </w:p>
        </w:tc>
        <w:tc>
          <w:tcPr>
            <w:tcW w:w="12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r>
        <w:trPr>
          <w:trHeight w:val="203"/>
        </w:trPr>
        <w:tc>
          <w:tcPr>
            <w:tcW w:w="1740" w:type="dxa"/>
            <w:vAlign w:val="bottom"/>
            <w:gridSpan w:val="2"/>
          </w:tcPr>
          <w:p>
            <w:pPr>
              <w:ind w:left="260"/>
              <w:spacing w:after="0"/>
              <w:rPr>
                <w:sz w:val="20"/>
                <w:szCs w:val="20"/>
                <w:color w:val="auto"/>
              </w:rPr>
            </w:pPr>
            <w:r>
              <w:rPr>
                <w:rFonts w:ascii="Arial" w:cs="Arial" w:eastAsia="Arial" w:hAnsi="Arial"/>
                <w:sz w:val="16"/>
                <w:szCs w:val="16"/>
                <w:color w:val="auto"/>
              </w:rPr>
              <w:t>GasLog Partners</w:t>
            </w: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GasLog</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July 2017</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July 2017</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2022</w:t>
            </w: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2.19%</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E5FFFF"/>
          </w:tcPr>
          <w:p>
            <w:pPr>
              <w:ind w:left="260"/>
              <w:spacing w:after="0"/>
              <w:rPr>
                <w:sz w:val="20"/>
                <w:szCs w:val="20"/>
                <w:color w:val="auto"/>
              </w:rPr>
            </w:pPr>
            <w:r>
              <w:rPr>
                <w:rFonts w:ascii="Arial" w:cs="Arial" w:eastAsia="Arial" w:hAnsi="Arial"/>
                <w:sz w:val="16"/>
                <w:szCs w:val="16"/>
                <w:color w:val="auto"/>
              </w:rPr>
              <w:t>GasLog Partners</w:t>
            </w:r>
          </w:p>
        </w:tc>
        <w:tc>
          <w:tcPr>
            <w:tcW w:w="15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2"/>
              </w:rPr>
              <w:t>GasLog</w:t>
            </w:r>
          </w:p>
        </w:tc>
        <w:tc>
          <w:tcPr>
            <w:tcW w:w="13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2018</w:t>
            </w:r>
          </w:p>
        </w:tc>
        <w:tc>
          <w:tcPr>
            <w:tcW w:w="14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May 2018</w:t>
            </w:r>
          </w:p>
        </w:tc>
        <w:tc>
          <w:tcPr>
            <w:tcW w:w="14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9"/>
              </w:rPr>
              <w:t>April 2023</w:t>
            </w:r>
          </w:p>
        </w:tc>
        <w:tc>
          <w:tcPr>
            <w:tcW w:w="7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3.15%</w:t>
            </w:r>
          </w:p>
        </w:tc>
        <w:tc>
          <w:tcPr>
            <w:tcW w:w="12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470,000</w:t>
            </w:r>
          </w:p>
        </w:tc>
        <w:tc>
          <w:tcPr>
            <w:tcW w:w="1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550,000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firstLine="436"/>
        <w:spacing w:after="0" w:line="270"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September 30, 2018. The change in the fair value of the interest rate swaps for the three and nine months ended September 30, 2018 amounted to a gain of $1,759 and $9,316, respectively (for the three and nine months ended September 30, 2017 a loss of $185 and $1,394, respectively), which was recognized in profit or loss in the period incurred and is included in (Loss)/gain on derivatives. During the three and nine months ended September 30, 2018, the gain of $1,759 and $9,316, respectively (Note 11), derived mainly from the fact that the LIBOR yield curve, which was used to calculate the present value of the estimated future cash flows, was higher than the agreed fixed interest rates resulting in an increase in net derivative assets from derivatives held for trading.</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firstLine="383"/>
        <w:spacing w:after="0" w:line="273" w:lineRule="auto"/>
        <w:rPr>
          <w:sz w:val="20"/>
          <w:szCs w:val="20"/>
          <w:color w:val="auto"/>
        </w:rPr>
      </w:pPr>
      <w:r>
        <w:rPr>
          <w:rFonts w:ascii="Arial" w:cs="Arial" w:eastAsia="Arial" w:hAnsi="Arial"/>
          <w:sz w:val="16"/>
          <w:szCs w:val="16"/>
          <w:color w:val="auto"/>
        </w:rPr>
        <w:t>The Partnership uses non-deliverable forward foreign exchange contracts to mitigate foreign exchange transaction exposures in Euros (“EUR”). Under these non-deliverable forward foreign exchange contracts, the counterparties (GasLog and the Partnership)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Forward foreign exchange contracts held for trading</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p>
      <w:pPr>
        <w:spacing w:after="0" w:line="231"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Fixed</w:t>
            </w:r>
          </w:p>
        </w:tc>
        <w:tc>
          <w:tcPr>
            <w:tcW w:w="190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Exchange Rate</w:t>
            </w:r>
          </w:p>
        </w:tc>
        <w:tc>
          <w:tcPr>
            <w:tcW w:w="1900" w:type="dxa"/>
            <w:vAlign w:val="bottom"/>
          </w:tcPr>
          <w:p>
            <w:pPr>
              <w:spacing w:after="0"/>
              <w:rPr>
                <w:sz w:val="17"/>
                <w:szCs w:val="17"/>
                <w:color w:val="auto"/>
              </w:rPr>
            </w:pPr>
          </w:p>
        </w:tc>
      </w:tr>
      <w:tr>
        <w:trPr>
          <w:trHeight w:val="210"/>
        </w:trPr>
        <w:tc>
          <w:tcPr>
            <w:tcW w:w="152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Counterparty</w:t>
            </w: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Trade Date</w:t>
            </w: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Settlement Date</w:t>
            </w:r>
          </w:p>
        </w:tc>
        <w:tc>
          <w:tcPr>
            <w:tcW w:w="15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(USD/EUR)</w:t>
            </w: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auto"/>
              </w:rPr>
              <w:t>Notional Amount</w:t>
            </w:r>
          </w:p>
        </w:tc>
      </w:tr>
      <w:tr>
        <w:trPr>
          <w:trHeight w:val="202"/>
        </w:trPr>
        <w:tc>
          <w:tcPr>
            <w:tcW w:w="1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GasLog</w:t>
            </w:r>
          </w:p>
        </w:tc>
        <w:tc>
          <w:tcPr>
            <w:tcW w:w="16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May 2018</w:t>
            </w:r>
          </w:p>
        </w:tc>
        <w:tc>
          <w:tcPr>
            <w:tcW w:w="140" w:type="dxa"/>
            <w:vAlign w:val="bottom"/>
            <w:tcBorders>
              <w:top w:val="single" w:sz="8" w:color="E5FFFF"/>
            </w:tcBorders>
            <w:shd w:val="clear" w:color="auto" w:fill="E5FFFF"/>
          </w:tcPr>
          <w:p>
            <w:pPr>
              <w:spacing w:after="0"/>
              <w:rPr>
                <w:sz w:val="17"/>
                <w:szCs w:val="17"/>
                <w:color w:val="auto"/>
              </w:rPr>
            </w:pPr>
          </w:p>
        </w:tc>
        <w:tc>
          <w:tcPr>
            <w:tcW w:w="15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Oct 2018</w:t>
            </w:r>
          </w:p>
        </w:tc>
        <w:tc>
          <w:tcPr>
            <w:tcW w:w="12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1.18645</w:t>
            </w:r>
          </w:p>
        </w:tc>
        <w:tc>
          <w:tcPr>
            <w:tcW w:w="140" w:type="dxa"/>
            <w:vAlign w:val="bottom"/>
            <w:tcBorders>
              <w:top w:val="single" w:sz="8" w:color="E5FFFF"/>
            </w:tcBorders>
            <w:shd w:val="clear" w:color="auto" w:fill="E5FFFF"/>
          </w:tcPr>
          <w:p>
            <w:pPr>
              <w:spacing w:after="0"/>
              <w:rPr>
                <w:sz w:val="17"/>
                <w:szCs w:val="17"/>
                <w:color w:val="auto"/>
              </w:rPr>
            </w:pPr>
          </w:p>
        </w:tc>
        <w:tc>
          <w:tcPr>
            <w:tcW w:w="1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1520" w:type="dxa"/>
            <w:vAlign w:val="bottom"/>
          </w:tcPr>
          <w:p>
            <w:pPr>
              <w:spacing w:after="0"/>
              <w:rPr>
                <w:sz w:val="20"/>
                <w:szCs w:val="20"/>
                <w:color w:val="auto"/>
              </w:rPr>
            </w:pPr>
            <w:r>
              <w:rPr>
                <w:rFonts w:ascii="Arial" w:cs="Arial" w:eastAsia="Arial" w:hAnsi="Arial"/>
                <w:sz w:val="16"/>
                <w:szCs w:val="16"/>
                <w:color w:val="auto"/>
              </w:rPr>
              <w:t>GasLog Partners</w:t>
            </w: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GasLog</w:t>
            </w: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2018</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Nov 2018</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1.18769</w:t>
            </w:r>
          </w:p>
        </w:tc>
        <w:tc>
          <w:tcPr>
            <w:tcW w:w="1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152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4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9"/>
              </w:rPr>
              <w:t>GasLog</w:t>
            </w:r>
          </w:p>
        </w:tc>
        <w:tc>
          <w:tcPr>
            <w:tcW w:w="136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3"/>
              </w:rPr>
              <w:t>May 2018</w:t>
            </w:r>
          </w:p>
        </w:tc>
        <w:tc>
          <w:tcPr>
            <w:tcW w:w="16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Dec 2018</w:t>
            </w:r>
          </w:p>
        </w:tc>
        <w:tc>
          <w:tcPr>
            <w:tcW w:w="14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1.18889</w:t>
            </w:r>
          </w:p>
        </w:tc>
        <w:tc>
          <w:tcPr>
            <w:tcW w:w="140" w:type="dxa"/>
            <w:vAlign w:val="bottom"/>
            <w:shd w:val="clear" w:color="auto" w:fill="E5FFFF"/>
          </w:tcPr>
          <w:p>
            <w:pPr>
              <w:spacing w:after="0"/>
              <w:rPr>
                <w:sz w:val="17"/>
                <w:szCs w:val="17"/>
                <w:color w:val="auto"/>
              </w:rPr>
            </w:pPr>
          </w:p>
        </w:tc>
        <w:tc>
          <w:tcPr>
            <w:tcW w:w="1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1520" w:type="dxa"/>
            <w:vAlign w:val="bottom"/>
          </w:tcPr>
          <w:p>
            <w:pPr>
              <w:spacing w:after="0"/>
              <w:rPr>
                <w:sz w:val="20"/>
                <w:szCs w:val="20"/>
                <w:color w:val="auto"/>
              </w:rPr>
            </w:pPr>
            <w:r>
              <w:rPr>
                <w:rFonts w:ascii="Arial" w:cs="Arial" w:eastAsia="Arial" w:hAnsi="Arial"/>
                <w:sz w:val="16"/>
                <w:szCs w:val="16"/>
                <w:color w:val="auto"/>
              </w:rPr>
              <w:t>GasLog Partners</w:t>
            </w: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GasLog</w:t>
            </w: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2018</w:t>
            </w: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Jan 2019</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1.199415</w:t>
            </w:r>
          </w:p>
        </w:tc>
        <w:tc>
          <w:tcPr>
            <w:tcW w:w="1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152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4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9"/>
              </w:rPr>
              <w:t>GasLog</w:t>
            </w:r>
          </w:p>
        </w:tc>
        <w:tc>
          <w:tcPr>
            <w:tcW w:w="136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3"/>
              </w:rPr>
              <w:t>May 2018</w:t>
            </w:r>
          </w:p>
        </w:tc>
        <w:tc>
          <w:tcPr>
            <w:tcW w:w="16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Feb 2019</w:t>
            </w:r>
          </w:p>
        </w:tc>
        <w:tc>
          <w:tcPr>
            <w:tcW w:w="14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1.200865</w:t>
            </w:r>
          </w:p>
        </w:tc>
        <w:tc>
          <w:tcPr>
            <w:tcW w:w="140" w:type="dxa"/>
            <w:vAlign w:val="bottom"/>
            <w:shd w:val="clear" w:color="auto" w:fill="E5FFFF"/>
          </w:tcPr>
          <w:p>
            <w:pPr>
              <w:spacing w:after="0"/>
              <w:rPr>
                <w:sz w:val="17"/>
                <w:szCs w:val="17"/>
                <w:color w:val="auto"/>
              </w:rPr>
            </w:pPr>
          </w:p>
        </w:tc>
        <w:tc>
          <w:tcPr>
            <w:tcW w:w="1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1520" w:type="dxa"/>
            <w:vAlign w:val="bottom"/>
          </w:tcPr>
          <w:p>
            <w:pPr>
              <w:spacing w:after="0"/>
              <w:rPr>
                <w:sz w:val="20"/>
                <w:szCs w:val="20"/>
                <w:color w:val="auto"/>
              </w:rPr>
            </w:pPr>
            <w:r>
              <w:rPr>
                <w:rFonts w:ascii="Arial" w:cs="Arial" w:eastAsia="Arial" w:hAnsi="Arial"/>
                <w:sz w:val="16"/>
                <w:szCs w:val="16"/>
                <w:color w:val="auto"/>
              </w:rPr>
              <w:t>GasLog Partners</w:t>
            </w: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GasLog</w:t>
            </w: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2018</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Mar 2019</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1.202315</w:t>
            </w:r>
          </w:p>
        </w:tc>
        <w:tc>
          <w:tcPr>
            <w:tcW w:w="1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152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4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9"/>
              </w:rPr>
              <w:t>GasLog</w:t>
            </w:r>
          </w:p>
        </w:tc>
        <w:tc>
          <w:tcPr>
            <w:tcW w:w="136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8"/>
              </w:rPr>
              <w:t>June 2018</w:t>
            </w:r>
          </w:p>
        </w:tc>
        <w:tc>
          <w:tcPr>
            <w:tcW w:w="164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5"/>
              </w:rPr>
              <w:t>Apr 2019</w:t>
            </w:r>
          </w:p>
        </w:tc>
        <w:tc>
          <w:tcPr>
            <w:tcW w:w="14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1.19315</w:t>
            </w:r>
          </w:p>
        </w:tc>
        <w:tc>
          <w:tcPr>
            <w:tcW w:w="140" w:type="dxa"/>
            <w:vAlign w:val="bottom"/>
            <w:shd w:val="clear" w:color="auto" w:fill="E5FFFF"/>
          </w:tcPr>
          <w:p>
            <w:pPr>
              <w:spacing w:after="0"/>
              <w:rPr>
                <w:sz w:val="17"/>
                <w:szCs w:val="17"/>
                <w:color w:val="auto"/>
              </w:rPr>
            </w:pPr>
          </w:p>
        </w:tc>
        <w:tc>
          <w:tcPr>
            <w:tcW w:w="1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1520" w:type="dxa"/>
            <w:vAlign w:val="bottom"/>
          </w:tcPr>
          <w:p>
            <w:pPr>
              <w:spacing w:after="0"/>
              <w:rPr>
                <w:sz w:val="20"/>
                <w:szCs w:val="20"/>
                <w:color w:val="auto"/>
              </w:rPr>
            </w:pPr>
            <w:r>
              <w:rPr>
                <w:rFonts w:ascii="Arial" w:cs="Arial" w:eastAsia="Arial" w:hAnsi="Arial"/>
                <w:sz w:val="16"/>
                <w:szCs w:val="16"/>
                <w:color w:val="auto"/>
              </w:rPr>
              <w:t>GasLog Partners</w:t>
            </w: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GasLog</w:t>
            </w: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June 2018</w:t>
            </w: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2019</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1.19645</w:t>
            </w:r>
          </w:p>
        </w:tc>
        <w:tc>
          <w:tcPr>
            <w:tcW w:w="1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152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4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9"/>
              </w:rPr>
              <w:t>GasLog</w:t>
            </w:r>
          </w:p>
        </w:tc>
        <w:tc>
          <w:tcPr>
            <w:tcW w:w="136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8"/>
              </w:rPr>
              <w:t>June 2018</w:t>
            </w:r>
          </w:p>
        </w:tc>
        <w:tc>
          <w:tcPr>
            <w:tcW w:w="164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8"/>
              </w:rPr>
              <w:t>June 2019</w:t>
            </w:r>
          </w:p>
        </w:tc>
        <w:tc>
          <w:tcPr>
            <w:tcW w:w="14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1.19965</w:t>
            </w:r>
          </w:p>
        </w:tc>
        <w:tc>
          <w:tcPr>
            <w:tcW w:w="140" w:type="dxa"/>
            <w:vAlign w:val="bottom"/>
            <w:shd w:val="clear" w:color="auto" w:fill="E5FFFF"/>
          </w:tcPr>
          <w:p>
            <w:pPr>
              <w:spacing w:after="0"/>
              <w:rPr>
                <w:sz w:val="17"/>
                <w:szCs w:val="17"/>
                <w:color w:val="auto"/>
              </w:rPr>
            </w:pPr>
          </w:p>
        </w:tc>
        <w:tc>
          <w:tcPr>
            <w:tcW w:w="1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1520" w:type="dxa"/>
            <w:vAlign w:val="bottom"/>
          </w:tcPr>
          <w:p>
            <w:pPr>
              <w:spacing w:after="0"/>
              <w:rPr>
                <w:sz w:val="20"/>
                <w:szCs w:val="20"/>
                <w:color w:val="auto"/>
              </w:rPr>
            </w:pPr>
            <w:r>
              <w:rPr>
                <w:rFonts w:ascii="Arial" w:cs="Arial" w:eastAsia="Arial" w:hAnsi="Arial"/>
                <w:sz w:val="16"/>
                <w:szCs w:val="16"/>
                <w:color w:val="auto"/>
              </w:rPr>
              <w:t>GasLog Partners</w:t>
            </w: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GasLog</w:t>
            </w: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August 2018</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July 2019</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1.1738</w:t>
            </w:r>
          </w:p>
        </w:tc>
        <w:tc>
          <w:tcPr>
            <w:tcW w:w="1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152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4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9"/>
              </w:rPr>
              <w:t>GasLog</w:t>
            </w:r>
          </w:p>
        </w:tc>
        <w:tc>
          <w:tcPr>
            <w:tcW w:w="136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1"/>
              </w:rPr>
              <w:t>August 2018</w:t>
            </w:r>
          </w:p>
        </w:tc>
        <w:tc>
          <w:tcPr>
            <w:tcW w:w="16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Aug 2019</w:t>
            </w:r>
          </w:p>
        </w:tc>
        <w:tc>
          <w:tcPr>
            <w:tcW w:w="14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1.1772</w:t>
            </w:r>
          </w:p>
        </w:tc>
        <w:tc>
          <w:tcPr>
            <w:tcW w:w="140" w:type="dxa"/>
            <w:vAlign w:val="bottom"/>
            <w:shd w:val="clear" w:color="auto" w:fill="E5FFFF"/>
          </w:tcPr>
          <w:p>
            <w:pPr>
              <w:spacing w:after="0"/>
              <w:rPr>
                <w:sz w:val="17"/>
                <w:szCs w:val="17"/>
                <w:color w:val="auto"/>
              </w:rPr>
            </w:pPr>
          </w:p>
        </w:tc>
        <w:tc>
          <w:tcPr>
            <w:tcW w:w="1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15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GasLog Partners</w:t>
            </w:r>
          </w:p>
        </w:tc>
        <w:tc>
          <w:tcPr>
            <w:tcW w:w="1400" w:type="dxa"/>
            <w:vAlign w:val="bottom"/>
            <w:tcBorders>
              <w:bottom w:val="single" w:sz="8" w:color="E5FFFF"/>
            </w:tcBorders>
            <w:gridSpan w:val="2"/>
          </w:tcPr>
          <w:p>
            <w:pPr>
              <w:jc w:val="center"/>
              <w:ind w:right="140"/>
              <w:spacing w:after="0"/>
              <w:rPr>
                <w:sz w:val="20"/>
                <w:szCs w:val="20"/>
                <w:color w:val="auto"/>
              </w:rPr>
            </w:pPr>
            <w:r>
              <w:rPr>
                <w:rFonts w:ascii="Arial" w:cs="Arial" w:eastAsia="Arial" w:hAnsi="Arial"/>
                <w:sz w:val="16"/>
                <w:szCs w:val="16"/>
                <w:color w:val="auto"/>
                <w:w w:val="89"/>
              </w:rPr>
              <w:t>GasLog</w:t>
            </w:r>
          </w:p>
        </w:tc>
        <w:tc>
          <w:tcPr>
            <w:tcW w:w="1360" w:type="dxa"/>
            <w:vAlign w:val="bottom"/>
            <w:tcBorders>
              <w:bottom w:val="single" w:sz="8" w:color="E5FFFF"/>
            </w:tcBorders>
            <w:gridSpan w:val="2"/>
          </w:tcPr>
          <w:p>
            <w:pPr>
              <w:jc w:val="center"/>
              <w:ind w:right="140"/>
              <w:spacing w:after="0"/>
              <w:rPr>
                <w:sz w:val="20"/>
                <w:szCs w:val="20"/>
                <w:color w:val="auto"/>
              </w:rPr>
            </w:pPr>
            <w:r>
              <w:rPr>
                <w:rFonts w:ascii="Arial" w:cs="Arial" w:eastAsia="Arial" w:hAnsi="Arial"/>
                <w:sz w:val="16"/>
                <w:szCs w:val="16"/>
                <w:color w:val="auto"/>
                <w:w w:val="91"/>
              </w:rPr>
              <w:t>August 2018</w:t>
            </w:r>
          </w:p>
        </w:tc>
        <w:tc>
          <w:tcPr>
            <w:tcW w:w="1640" w:type="dxa"/>
            <w:vAlign w:val="bottom"/>
            <w:tcBorders>
              <w:bottom w:val="single" w:sz="8" w:color="E5FFFF"/>
            </w:tcBorders>
            <w:gridSpan w:val="2"/>
          </w:tcPr>
          <w:p>
            <w:pPr>
              <w:jc w:val="center"/>
              <w:ind w:right="120"/>
              <w:spacing w:after="0"/>
              <w:rPr>
                <w:sz w:val="20"/>
                <w:szCs w:val="20"/>
                <w:color w:val="auto"/>
              </w:rPr>
            </w:pPr>
            <w:r>
              <w:rPr>
                <w:rFonts w:ascii="Arial" w:cs="Arial" w:eastAsia="Arial" w:hAnsi="Arial"/>
                <w:sz w:val="16"/>
                <w:szCs w:val="16"/>
                <w:color w:val="auto"/>
                <w:w w:val="87"/>
              </w:rPr>
              <w:t>Sept 2019</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1.1809</w:t>
            </w:r>
          </w:p>
        </w:tc>
        <w:tc>
          <w:tcPr>
            <w:tcW w:w="140" w:type="dxa"/>
            <w:vAlign w:val="bottom"/>
            <w:tcBorders>
              <w:bottom w:val="single" w:sz="8" w:color="E5FFFF"/>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r>
      <w:tr>
        <w:trPr>
          <w:trHeight w:val="196"/>
        </w:trPr>
        <w:tc>
          <w:tcPr>
            <w:tcW w:w="152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E5FFFF"/>
            </w:tcBorders>
            <w:shd w:val="clear" w:color="auto" w:fill="E5FFFF"/>
          </w:tcPr>
          <w:p>
            <w:pPr>
              <w:spacing w:after="0"/>
              <w:rPr>
                <w:sz w:val="17"/>
                <w:szCs w:val="17"/>
                <w:color w:val="auto"/>
              </w:rPr>
            </w:pPr>
          </w:p>
        </w:tc>
        <w:tc>
          <w:tcPr>
            <w:tcW w:w="160" w:type="dxa"/>
            <w:vAlign w:val="bottom"/>
            <w:tcBorders>
              <w:bottom w:val="single" w:sz="8" w:color="E5FFFF"/>
            </w:tcBorders>
            <w:shd w:val="clear" w:color="auto" w:fill="E5FFFF"/>
          </w:tcPr>
          <w:p>
            <w:pPr>
              <w:spacing w:after="0"/>
              <w:rPr>
                <w:sz w:val="17"/>
                <w:szCs w:val="17"/>
                <w:color w:val="auto"/>
              </w:rPr>
            </w:pPr>
          </w:p>
        </w:tc>
        <w:tc>
          <w:tcPr>
            <w:tcW w:w="122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E5FFFF"/>
            </w:tcBorders>
            <w:shd w:val="clear" w:color="auto" w:fill="E5FFFF"/>
          </w:tcPr>
          <w:p>
            <w:pPr>
              <w:spacing w:after="0"/>
              <w:rPr>
                <w:sz w:val="17"/>
                <w:szCs w:val="17"/>
                <w:color w:val="auto"/>
              </w:rPr>
            </w:pPr>
          </w:p>
        </w:tc>
        <w:tc>
          <w:tcPr>
            <w:tcW w:w="152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142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Borders>
              <w:bottom w:val="single" w:sz="8" w:color="E5FFFF"/>
            </w:tcBorders>
            <w:shd w:val="clear" w:color="auto" w:fill="E5FFFF"/>
          </w:tcPr>
          <w:p>
            <w:pPr>
              <w:spacing w:after="0"/>
              <w:rPr>
                <w:sz w:val="17"/>
                <w:szCs w:val="17"/>
                <w:color w:val="auto"/>
              </w:rPr>
            </w:pPr>
          </w:p>
        </w:tc>
        <w:tc>
          <w:tcPr>
            <w:tcW w:w="1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€24,000</w:t>
            </w:r>
          </w:p>
        </w:tc>
      </w:tr>
      <w:tr>
        <w:trPr>
          <w:trHeight w:val="20"/>
        </w:trPr>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36" w:name="page37"/>
    <w:bookmarkEnd w:id="36"/>
    <w:p>
      <w:pPr>
        <w:ind w:firstLine="356"/>
        <w:spacing w:after="0" w:line="278"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September 30, 2018. The change in the fair value of these contracts for the three and nine months ended September 30, 2018 amounted to a loss of $106 and $292, respectively (for the three and nine months ended September 30, 2017: $0), which was recognized in profit or loss in the period incurred and is included in (Loss)/gain on derivatives (Note 11).</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Revenues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Partnership has recognized the following amounts relating to revenues:</w:t>
      </w:r>
    </w:p>
    <w:p>
      <w:pPr>
        <w:spacing w:after="0" w:line="231"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304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three months ended</w:t>
            </w:r>
          </w:p>
        </w:tc>
        <w:tc>
          <w:tcPr>
            <w:tcW w:w="286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4920" w:type="dxa"/>
            <w:vAlign w:val="bottom"/>
          </w:tcPr>
          <w:p>
            <w:pPr>
              <w:spacing w:after="0"/>
              <w:rPr>
                <w:sz w:val="17"/>
                <w:szCs w:val="17"/>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49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199"/>
        </w:trPr>
        <w:tc>
          <w:tcPr>
            <w:tcW w:w="4920" w:type="dxa"/>
            <w:vAlign w:val="bottom"/>
            <w:shd w:val="clear" w:color="auto" w:fill="E5FFFF"/>
          </w:tcPr>
          <w:p>
            <w:pPr>
              <w:spacing w:after="0"/>
              <w:rPr>
                <w:sz w:val="20"/>
                <w:szCs w:val="20"/>
                <w:color w:val="auto"/>
              </w:rPr>
            </w:pPr>
            <w:r>
              <w:rPr>
                <w:rFonts w:ascii="Arial" w:cs="Arial" w:eastAsia="Arial" w:hAnsi="Arial"/>
                <w:sz w:val="16"/>
                <w:szCs w:val="16"/>
                <w:color w:val="auto"/>
              </w:rPr>
              <w:t>Revenues from time charters</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86,353</w:t>
            </w:r>
          </w:p>
        </w:tc>
        <w:tc>
          <w:tcPr>
            <w:tcW w:w="22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77,777</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256,235</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237,546</w:t>
            </w:r>
          </w:p>
        </w:tc>
      </w:tr>
      <w:tr>
        <w:trPr>
          <w:trHeight w:val="203"/>
        </w:trPr>
        <w:tc>
          <w:tcPr>
            <w:tcW w:w="4920" w:type="dxa"/>
            <w:vAlign w:val="bottom"/>
          </w:tcPr>
          <w:p>
            <w:pPr>
              <w:spacing w:after="0"/>
              <w:rPr>
                <w:sz w:val="20"/>
                <w:szCs w:val="20"/>
                <w:color w:val="auto"/>
              </w:rPr>
            </w:pPr>
            <w:r>
              <w:rPr>
                <w:rFonts w:ascii="Arial" w:cs="Arial" w:eastAsia="Arial" w:hAnsi="Arial"/>
                <w:sz w:val="16"/>
                <w:szCs w:val="16"/>
                <w:color w:val="auto"/>
              </w:rPr>
              <w:t>Revenues from the Cool Pool</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4,110</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5,626</w:t>
            </w:r>
          </w:p>
        </w:tc>
      </w:tr>
      <w:tr>
        <w:trPr>
          <w:trHeight w:val="196"/>
        </w:trPr>
        <w:tc>
          <w:tcPr>
            <w:tcW w:w="49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86,353</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81,887</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256,235</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243,172</w:t>
            </w:r>
          </w:p>
        </w:tc>
      </w:tr>
      <w:tr>
        <w:trPr>
          <w:trHeight w:val="20"/>
        </w:trPr>
        <w:tc>
          <w:tcPr>
            <w:tcW w:w="4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280" w:firstLine="436"/>
        <w:spacing w:after="0" w:line="278" w:lineRule="auto"/>
        <w:rPr>
          <w:sz w:val="20"/>
          <w:szCs w:val="20"/>
          <w:color w:val="auto"/>
        </w:rPr>
      </w:pPr>
      <w:r>
        <w:rPr>
          <w:rFonts w:ascii="Arial" w:cs="Arial" w:eastAsia="Arial" w:hAnsi="Arial"/>
          <w:sz w:val="16"/>
          <w:szCs w:val="16"/>
          <w:color w:val="auto"/>
        </w:rPr>
        <w:t>Revenues from the Cool Pool relate only to the pool revenues received from a GasLog Partners vessel operating in the Cool Pool and do not include the net pool allocation to GasLog Partners of a gain of $780 and $423 for the three and nine months ended September 30, 2018, respectively ($0 for the three and nine months ended September 30,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10. General and Administrative Expenses</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40" w:type="dxa"/>
            <w:vAlign w:val="bottom"/>
          </w:tcPr>
          <w:p>
            <w:pPr>
              <w:spacing w:after="0"/>
              <w:rPr>
                <w:sz w:val="24"/>
                <w:szCs w:val="24"/>
                <w:color w:val="auto"/>
              </w:rPr>
            </w:pPr>
          </w:p>
        </w:tc>
        <w:tc>
          <w:tcPr>
            <w:tcW w:w="4920" w:type="dxa"/>
            <w:vAlign w:val="bottom"/>
          </w:tcPr>
          <w:p>
            <w:pPr>
              <w:ind w:left="100"/>
              <w:spacing w:after="0"/>
              <w:rPr>
                <w:sz w:val="20"/>
                <w:szCs w:val="20"/>
                <w:color w:val="auto"/>
              </w:rPr>
            </w:pPr>
            <w:r>
              <w:rPr>
                <w:rFonts w:ascii="Arial" w:cs="Arial" w:eastAsia="Arial" w:hAnsi="Arial"/>
                <w:sz w:val="16"/>
                <w:szCs w:val="16"/>
                <w:color w:val="auto"/>
              </w:rPr>
              <w:t>An analysis of general and administrative expenses is as follows:</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7"/>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0" w:type="dxa"/>
            <w:vAlign w:val="bottom"/>
          </w:tcPr>
          <w:p>
            <w:pPr>
              <w:spacing w:after="0"/>
              <w:rPr>
                <w:sz w:val="24"/>
                <w:szCs w:val="24"/>
                <w:color w:val="auto"/>
              </w:rPr>
            </w:pPr>
          </w:p>
        </w:tc>
        <w:tc>
          <w:tcPr>
            <w:tcW w:w="2920" w:type="dxa"/>
            <w:vAlign w:val="bottom"/>
            <w:gridSpan w:val="7"/>
          </w:tcPr>
          <w:p>
            <w:pPr>
              <w:ind w:left="4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7"/>
                <w:szCs w:val="17"/>
                <w:color w:val="auto"/>
              </w:rPr>
            </w:pPr>
          </w:p>
        </w:tc>
        <w:tc>
          <w:tcPr>
            <w:tcW w:w="150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7"/>
                <w:szCs w:val="17"/>
                <w:color w:val="auto"/>
              </w:rPr>
            </w:pPr>
          </w:p>
        </w:tc>
        <w:tc>
          <w:tcPr>
            <w:tcW w:w="1520" w:type="dxa"/>
            <w:vAlign w:val="bottom"/>
            <w:gridSpan w:val="3"/>
          </w:tcPr>
          <w:p>
            <w:pPr>
              <w:ind w:left="16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7"/>
                <w:szCs w:val="17"/>
                <w:color w:val="auto"/>
              </w:rPr>
            </w:pPr>
          </w:p>
        </w:tc>
        <w:tc>
          <w:tcPr>
            <w:tcW w:w="1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49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2017</w:t>
            </w:r>
          </w:p>
        </w:tc>
        <w:tc>
          <w:tcPr>
            <w:tcW w:w="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0" w:type="dxa"/>
            <w:vAlign w:val="bottom"/>
          </w:tcPr>
          <w:p>
            <w:pPr>
              <w:spacing w:after="0"/>
              <w:rPr>
                <w:sz w:val="17"/>
                <w:szCs w:val="17"/>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6"/>
                <w:szCs w:val="16"/>
                <w:color w:val="auto"/>
              </w:rPr>
              <w:t>Board of directors’ fees</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238</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253</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713</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758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Share-based compensation (Note 15)</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243</w:t>
            </w: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268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614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766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6"/>
                <w:szCs w:val="16"/>
                <w:color w:val="auto"/>
              </w:rPr>
              <w:t>Legal and professional fees</w:t>
            </w:r>
          </w:p>
        </w:tc>
        <w:tc>
          <w:tcPr>
            <w:tcW w:w="13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315</w:t>
            </w: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273</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941</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Commercial management fees (Note 3)</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1,170</w:t>
            </w: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1,170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3,510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3,510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6"/>
                <w:szCs w:val="16"/>
                <w:color w:val="auto"/>
              </w:rPr>
              <w:t>Administrative fees (Note 3)</w:t>
            </w:r>
          </w:p>
        </w:tc>
        <w:tc>
          <w:tcPr>
            <w:tcW w:w="13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1,735</w:t>
            </w: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2,638</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4,683</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7,654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Foreign exchange differences, net</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165</w:t>
            </w: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290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6"/>
                <w:szCs w:val="16"/>
                <w:color w:val="auto"/>
              </w:rPr>
              <w:t>Other expenses, net</w:t>
            </w:r>
          </w:p>
        </w:tc>
        <w:tc>
          <w:tcPr>
            <w:tcW w:w="13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123</w:t>
            </w: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71</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316</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318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3,989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4,693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11,067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14,074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11. Financial Costs and Loss/(Gain) on Derivatives</w:t>
            </w: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40" w:type="dxa"/>
            <w:vAlign w:val="bottom"/>
          </w:tcPr>
          <w:p>
            <w:pPr>
              <w:spacing w:after="0"/>
              <w:rPr>
                <w:sz w:val="24"/>
                <w:szCs w:val="24"/>
                <w:color w:val="auto"/>
              </w:rPr>
            </w:pPr>
          </w:p>
        </w:tc>
        <w:tc>
          <w:tcPr>
            <w:tcW w:w="4920" w:type="dxa"/>
            <w:vAlign w:val="bottom"/>
          </w:tcPr>
          <w:p>
            <w:pPr>
              <w:ind w:left="180"/>
              <w:spacing w:after="0"/>
              <w:rPr>
                <w:sz w:val="20"/>
                <w:szCs w:val="20"/>
                <w:color w:val="auto"/>
              </w:rPr>
            </w:pPr>
            <w:r>
              <w:rPr>
                <w:rFonts w:ascii="Arial" w:cs="Arial" w:eastAsia="Arial" w:hAnsi="Arial"/>
                <w:sz w:val="16"/>
                <w:szCs w:val="16"/>
                <w:color w:val="auto"/>
              </w:rPr>
              <w:t>An analysis of financial costs is as follows:</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7"/>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0" w:type="dxa"/>
            <w:vAlign w:val="bottom"/>
          </w:tcPr>
          <w:p>
            <w:pPr>
              <w:spacing w:after="0"/>
              <w:rPr>
                <w:sz w:val="24"/>
                <w:szCs w:val="24"/>
                <w:color w:val="auto"/>
              </w:rPr>
            </w:pPr>
          </w:p>
        </w:tc>
        <w:tc>
          <w:tcPr>
            <w:tcW w:w="2920" w:type="dxa"/>
            <w:vAlign w:val="bottom"/>
            <w:gridSpan w:val="7"/>
          </w:tcPr>
          <w:p>
            <w:pPr>
              <w:ind w:left="4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7"/>
                <w:szCs w:val="17"/>
                <w:color w:val="auto"/>
              </w:rPr>
            </w:pPr>
          </w:p>
        </w:tc>
        <w:tc>
          <w:tcPr>
            <w:tcW w:w="150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7"/>
                <w:szCs w:val="17"/>
                <w:color w:val="auto"/>
              </w:rPr>
            </w:pPr>
          </w:p>
        </w:tc>
        <w:tc>
          <w:tcPr>
            <w:tcW w:w="1520" w:type="dxa"/>
            <w:vAlign w:val="bottom"/>
            <w:gridSpan w:val="3"/>
          </w:tcPr>
          <w:p>
            <w:pPr>
              <w:ind w:left="16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7"/>
                <w:szCs w:val="17"/>
                <w:color w:val="auto"/>
              </w:rPr>
            </w:pPr>
          </w:p>
        </w:tc>
        <w:tc>
          <w:tcPr>
            <w:tcW w:w="1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49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2017</w:t>
            </w:r>
          </w:p>
        </w:tc>
        <w:tc>
          <w:tcPr>
            <w:tcW w:w="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0" w:type="dxa"/>
            <w:vAlign w:val="bottom"/>
          </w:tcPr>
          <w:p>
            <w:pPr>
              <w:spacing w:after="0"/>
              <w:rPr>
                <w:sz w:val="17"/>
                <w:szCs w:val="17"/>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1,688</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1,341</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5,009</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5,044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13,109</w:t>
            </w: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13,981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38,318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40,090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6"/>
                <w:szCs w:val="16"/>
                <w:color w:val="auto"/>
              </w:rPr>
              <w:t>Commitment fees</w:t>
            </w:r>
          </w:p>
        </w:tc>
        <w:tc>
          <w:tcPr>
            <w:tcW w:w="13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136</w:t>
            </w: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137</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496</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Other financial costs including bank commissions</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87</w:t>
            </w: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263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287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9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financial costs</w:t>
            </w:r>
          </w:p>
        </w:tc>
        <w:tc>
          <w:tcPr>
            <w:tcW w:w="13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15,020</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15,533</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44,086</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45,826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920" w:type="dxa"/>
            <w:vAlign w:val="bottom"/>
            <w:vMerge w:val="restart"/>
          </w:tcPr>
          <w:p>
            <w:pPr>
              <w:ind w:left="180"/>
              <w:spacing w:after="0"/>
              <w:rPr>
                <w:sz w:val="20"/>
                <w:szCs w:val="20"/>
                <w:color w:val="auto"/>
              </w:rPr>
            </w:pPr>
            <w:r>
              <w:rPr>
                <w:rFonts w:ascii="Arial" w:cs="Arial" w:eastAsia="Arial" w:hAnsi="Arial"/>
                <w:sz w:val="16"/>
                <w:szCs w:val="16"/>
                <w:color w:val="auto"/>
              </w:rPr>
              <w:t>An analysis of loss/(gain) on derivatives is as follows:</w:t>
            </w: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4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7"/>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0" w:type="dxa"/>
            <w:vAlign w:val="bottom"/>
          </w:tcPr>
          <w:p>
            <w:pPr>
              <w:spacing w:after="0"/>
              <w:rPr>
                <w:sz w:val="24"/>
                <w:szCs w:val="24"/>
                <w:color w:val="auto"/>
              </w:rPr>
            </w:pPr>
          </w:p>
        </w:tc>
        <w:tc>
          <w:tcPr>
            <w:tcW w:w="2920" w:type="dxa"/>
            <w:vAlign w:val="bottom"/>
            <w:gridSpan w:val="7"/>
          </w:tcPr>
          <w:p>
            <w:pPr>
              <w:ind w:left="50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150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7"/>
                <w:szCs w:val="17"/>
                <w:color w:val="auto"/>
              </w:rPr>
            </w:pPr>
          </w:p>
        </w:tc>
        <w:tc>
          <w:tcPr>
            <w:tcW w:w="1520" w:type="dxa"/>
            <w:vAlign w:val="bottom"/>
            <w:gridSpan w:val="3"/>
          </w:tcPr>
          <w:p>
            <w:pPr>
              <w:ind w:left="16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7"/>
                <w:szCs w:val="17"/>
                <w:color w:val="auto"/>
              </w:rPr>
            </w:pPr>
          </w:p>
        </w:tc>
        <w:tc>
          <w:tcPr>
            <w:tcW w:w="1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0" w:type="dxa"/>
            <w:vAlign w:val="bottom"/>
          </w:tcPr>
          <w:p>
            <w:pPr>
              <w:spacing w:after="0"/>
              <w:rPr>
                <w:sz w:val="17"/>
                <w:szCs w:val="17"/>
                <w:color w:val="auto"/>
              </w:rPr>
            </w:pPr>
          </w:p>
        </w:tc>
        <w:tc>
          <w:tcPr>
            <w:tcW w:w="49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Unrealized loss/(gain) on derivatives held for trading (Note 8)</w:t>
            </w:r>
          </w:p>
        </w:tc>
        <w:tc>
          <w:tcPr>
            <w:tcW w:w="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185</w:t>
            </w:r>
          </w:p>
        </w:tc>
        <w:tc>
          <w:tcPr>
            <w:tcW w:w="2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(1,653)</w:t>
            </w:r>
          </w:p>
        </w:tc>
        <w:tc>
          <w:tcPr>
            <w:tcW w:w="2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1,394</w:t>
            </w:r>
          </w:p>
        </w:tc>
        <w:tc>
          <w:tcPr>
            <w:tcW w:w="2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(9,024)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Realized loss/(gain) on derivatives held for trading</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487</w:t>
            </w:r>
          </w:p>
        </w:tc>
        <w:tc>
          <w:tcPr>
            <w:tcW w:w="200" w:type="dxa"/>
            <w:vAlign w:val="bottom"/>
          </w:tcPr>
          <w:p>
            <w:pPr>
              <w:spacing w:after="0"/>
              <w:rPr>
                <w:sz w:val="17"/>
                <w:szCs w:val="17"/>
                <w:color w:val="auto"/>
              </w:rPr>
            </w:pPr>
          </w:p>
        </w:tc>
        <w:tc>
          <w:tcPr>
            <w:tcW w:w="1520" w:type="dxa"/>
            <w:vAlign w:val="bottom"/>
            <w:gridSpan w:val="4"/>
          </w:tcPr>
          <w:p>
            <w:pPr>
              <w:jc w:val="right"/>
              <w:ind w:right="59"/>
              <w:spacing w:after="0"/>
              <w:rPr>
                <w:sz w:val="20"/>
                <w:szCs w:val="20"/>
                <w:color w:val="auto"/>
              </w:rPr>
            </w:pPr>
            <w:r>
              <w:rPr>
                <w:rFonts w:ascii="Arial" w:cs="Arial" w:eastAsia="Arial" w:hAnsi="Arial"/>
                <w:sz w:val="16"/>
                <w:szCs w:val="16"/>
                <w:color w:val="auto"/>
              </w:rPr>
              <w:t>(429)</w:t>
            </w:r>
          </w:p>
        </w:tc>
        <w:tc>
          <w:tcPr>
            <w:tcW w:w="1540" w:type="dxa"/>
            <w:vAlign w:val="bottom"/>
            <w:gridSpan w:val="4"/>
          </w:tcPr>
          <w:p>
            <w:pPr>
              <w:jc w:val="right"/>
              <w:ind w:right="200"/>
              <w:spacing w:after="0"/>
              <w:rPr>
                <w:sz w:val="20"/>
                <w:szCs w:val="20"/>
                <w:color w:val="auto"/>
              </w:rPr>
            </w:pPr>
            <w:r>
              <w:rPr>
                <w:rFonts w:ascii="Arial" w:cs="Arial" w:eastAsia="Arial" w:hAnsi="Arial"/>
                <w:sz w:val="16"/>
                <w:szCs w:val="16"/>
                <w:color w:val="auto"/>
              </w:rPr>
              <w:t>1,591</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(973)</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49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loss/(gain) on derivatives</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672</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(2,082</w:t>
            </w:r>
          </w:p>
        </w:tc>
        <w:tc>
          <w:tcPr>
            <w:tcW w:w="200" w:type="dxa"/>
            <w:vAlign w:val="bottom"/>
            <w:tcBorders>
              <w:top w:val="single" w:sz="8" w:color="E5FFFF"/>
              <w:bottom w:val="single" w:sz="8" w:color="E5FFFF"/>
            </w:tcBorders>
            <w:shd w:val="clear" w:color="auto" w:fill="E5FFFF"/>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2,985</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(9,997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46" w:right="4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12. Cash Flow Reconciliations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reconciliations of the Partnership’s non-cash investing and financing activities for the nine months ended September 30, 2018 are presented in the following tables:</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Opening</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balance</w:t>
            </w:r>
          </w:p>
        </w:tc>
        <w:tc>
          <w:tcPr>
            <w:tcW w:w="140" w:type="dxa"/>
            <w:vAlign w:val="bottom"/>
          </w:tcPr>
          <w:p>
            <w:pPr>
              <w:spacing w:after="0"/>
              <w:rPr>
                <w:sz w:val="18"/>
                <w:szCs w:val="18"/>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w w:val="94"/>
              </w:rPr>
              <w:t>Cash flows</w:t>
            </w:r>
          </w:p>
        </w:tc>
        <w:tc>
          <w:tcPr>
            <w:tcW w:w="120" w:type="dxa"/>
            <w:vAlign w:val="bottom"/>
          </w:tcPr>
          <w:p>
            <w:pPr>
              <w:spacing w:after="0"/>
              <w:rPr>
                <w:sz w:val="18"/>
                <w:szCs w:val="18"/>
                <w:color w:val="auto"/>
              </w:rPr>
            </w:pPr>
          </w:p>
        </w:tc>
        <w:tc>
          <w:tcPr>
            <w:tcW w:w="1600" w:type="dxa"/>
            <w:vAlign w:val="bottom"/>
            <w:gridSpan w:val="3"/>
          </w:tcPr>
          <w:p>
            <w:pPr>
              <w:ind w:left="100"/>
              <w:spacing w:after="0"/>
              <w:rPr>
                <w:sz w:val="20"/>
                <w:szCs w:val="20"/>
                <w:color w:val="auto"/>
              </w:rPr>
            </w:pPr>
            <w:r>
              <w:rPr>
                <w:rFonts w:ascii="Arial" w:cs="Arial" w:eastAsia="Arial" w:hAnsi="Arial"/>
                <w:sz w:val="16"/>
                <w:szCs w:val="16"/>
                <w:b w:val="1"/>
                <w:bCs w:val="1"/>
                <w:color w:val="auto"/>
              </w:rPr>
              <w:t>Non-cash items</w:t>
            </w: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r>
      <w:tr>
        <w:trPr>
          <w:trHeight w:val="199"/>
        </w:trPr>
        <w:tc>
          <w:tcPr>
            <w:tcW w:w="120" w:type="dxa"/>
            <w:vAlign w:val="bottom"/>
          </w:tcPr>
          <w:p>
            <w:pPr>
              <w:spacing w:after="0"/>
              <w:rPr>
                <w:sz w:val="17"/>
                <w:szCs w:val="17"/>
                <w:color w:val="auto"/>
              </w:rPr>
            </w:pPr>
          </w:p>
        </w:tc>
        <w:tc>
          <w:tcPr>
            <w:tcW w:w="4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Borrowings outstanding as of January 1, 2018 (Note 6)</w:t>
            </w:r>
          </w:p>
        </w:tc>
        <w:tc>
          <w:tcPr>
            <w:tcW w:w="22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1,300,565</w:t>
            </w:r>
          </w:p>
        </w:tc>
        <w:tc>
          <w:tcPr>
            <w:tcW w:w="2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1,300,565</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Borrowings repayments</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ind w:right="39"/>
              <w:spacing w:after="0"/>
              <w:rPr>
                <w:sz w:val="20"/>
                <w:szCs w:val="20"/>
                <w:color w:val="auto"/>
              </w:rPr>
            </w:pPr>
            <w:r>
              <w:rPr>
                <w:rFonts w:ascii="Arial" w:cs="Arial" w:eastAsia="Arial" w:hAnsi="Arial"/>
                <w:sz w:val="16"/>
                <w:szCs w:val="16"/>
                <w:color w:val="auto"/>
              </w:rPr>
              <w:t>(148,929)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(148,929)</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51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Additions in deferred loan fees</w:t>
            </w:r>
          </w:p>
        </w:tc>
        <w:tc>
          <w:tcPr>
            <w:tcW w:w="12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E5FF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0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9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Amortization and write-off of deferred loan issuance costs (Note 11)</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5FFFF"/>
            </w:tcBorders>
            <w:gridSpan w:val="2"/>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5,044</w:t>
            </w:r>
          </w:p>
        </w:tc>
        <w:tc>
          <w:tcPr>
            <w:tcW w:w="14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5,044</w:t>
            </w:r>
          </w:p>
        </w:tc>
        <w:tc>
          <w:tcPr>
            <w:tcW w:w="100" w:type="dxa"/>
            <w:vAlign w:val="bottom"/>
          </w:tcPr>
          <w:p>
            <w:pPr>
              <w:spacing w:after="0"/>
              <w:rPr>
                <w:sz w:val="17"/>
                <w:szCs w:val="17"/>
                <w:color w:val="auto"/>
              </w:rPr>
            </w:pPr>
          </w:p>
        </w:tc>
      </w:tr>
      <w:tr>
        <w:trPr>
          <w:trHeight w:val="210"/>
        </w:trPr>
        <w:tc>
          <w:tcPr>
            <w:tcW w:w="120" w:type="dxa"/>
            <w:vAlign w:val="bottom"/>
          </w:tcPr>
          <w:p>
            <w:pPr>
              <w:spacing w:after="0"/>
              <w:rPr>
                <w:sz w:val="18"/>
                <w:szCs w:val="18"/>
                <w:color w:val="auto"/>
              </w:rPr>
            </w:pPr>
          </w:p>
        </w:tc>
        <w:tc>
          <w:tcPr>
            <w:tcW w:w="516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Borrowings outstanding as of September 30, 2018 (Note 6)</w:t>
            </w:r>
          </w:p>
        </w:tc>
        <w:tc>
          <w:tcPr>
            <w:tcW w:w="9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1,300,565</w:t>
            </w:r>
          </w:p>
        </w:tc>
        <w:tc>
          <w:tcPr>
            <w:tcW w:w="22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(149,008</w:t>
            </w:r>
          </w:p>
        </w:tc>
        <w:tc>
          <w:tcPr>
            <w:tcW w:w="120" w:type="dxa"/>
            <w:vAlign w:val="bottom"/>
            <w:shd w:val="clear" w:color="auto" w:fill="E5FFFF"/>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0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5,044</w:t>
            </w:r>
          </w:p>
        </w:tc>
        <w:tc>
          <w:tcPr>
            <w:tcW w:w="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1,156,601</w:t>
            </w: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9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3"/>
        </w:trPr>
        <w:tc>
          <w:tcPr>
            <w:tcW w:w="120" w:type="dxa"/>
            <w:vAlign w:val="bottom"/>
          </w:tcPr>
          <w:p>
            <w:pPr>
              <w:spacing w:after="0"/>
              <w:rPr>
                <w:sz w:val="24"/>
                <w:szCs w:val="24"/>
                <w:color w:val="auto"/>
              </w:rPr>
            </w:pPr>
          </w:p>
        </w:tc>
        <w:tc>
          <w:tcPr>
            <w:tcW w:w="5160" w:type="dxa"/>
            <w:vAlign w:val="bottom"/>
            <w:gridSpan w:val="2"/>
          </w:tcPr>
          <w:p>
            <w:pPr>
              <w:ind w:left="100"/>
              <w:spacing w:after="0"/>
              <w:rPr>
                <w:sz w:val="20"/>
                <w:szCs w:val="20"/>
                <w:color w:val="auto"/>
              </w:rPr>
            </w:pPr>
            <w:r>
              <w:rPr>
                <w:rFonts w:ascii="Arial" w:cs="Arial" w:eastAsia="Arial" w:hAnsi="Arial"/>
                <w:sz w:val="16"/>
                <w:szCs w:val="16"/>
                <w:color w:val="auto"/>
                <w:w w:val="96"/>
              </w:rPr>
              <w:t>A reconciliation of derivatives arising from financing activities is as follows: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1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Opening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8"/>
                <w:szCs w:val="18"/>
                <w:color w:val="auto"/>
              </w:rPr>
            </w:pPr>
          </w:p>
        </w:tc>
        <w:tc>
          <w:tcPr>
            <w:tcW w:w="1600" w:type="dxa"/>
            <w:vAlign w:val="bottom"/>
            <w:gridSpan w:val="3"/>
          </w:tcPr>
          <w:p>
            <w:pPr>
              <w:ind w:left="220"/>
              <w:spacing w:after="0"/>
              <w:rPr>
                <w:sz w:val="20"/>
                <w:szCs w:val="20"/>
                <w:color w:val="auto"/>
              </w:rPr>
            </w:pPr>
            <w:r>
              <w:rPr>
                <w:rFonts w:ascii="Arial" w:cs="Arial" w:eastAsia="Arial" w:hAnsi="Arial"/>
                <w:sz w:val="16"/>
                <w:szCs w:val="16"/>
                <w:b w:val="1"/>
                <w:bCs w:val="1"/>
                <w:color w:val="auto"/>
              </w:rPr>
              <w:t>Non-cash items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r>
      <w:tr>
        <w:trPr>
          <w:trHeight w:val="199"/>
        </w:trPr>
        <w:tc>
          <w:tcPr>
            <w:tcW w:w="528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color w:val="auto"/>
              </w:rPr>
              <w:t>Net derivative assets as of January 1, 2018</w:t>
            </w:r>
          </w:p>
        </w:tc>
        <w:tc>
          <w:tcPr>
            <w:tcW w:w="98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1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6,346</w:t>
            </w:r>
          </w:p>
        </w:tc>
        <w:tc>
          <w:tcPr>
            <w:tcW w:w="10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6,346</w:t>
            </w:r>
          </w:p>
        </w:tc>
      </w:tr>
      <w:tr>
        <w:trPr>
          <w:trHeight w:val="203"/>
        </w:trPr>
        <w:tc>
          <w:tcPr>
            <w:tcW w:w="5280" w:type="dxa"/>
            <w:vAlign w:val="bottom"/>
            <w:gridSpan w:val="3"/>
          </w:tcPr>
          <w:p>
            <w:pPr>
              <w:spacing w:after="0"/>
              <w:rPr>
                <w:sz w:val="20"/>
                <w:szCs w:val="20"/>
                <w:color w:val="auto"/>
              </w:rPr>
            </w:pPr>
            <w:r>
              <w:rPr>
                <w:rFonts w:ascii="Arial" w:cs="Arial" w:eastAsia="Arial" w:hAnsi="Arial"/>
                <w:sz w:val="16"/>
                <w:szCs w:val="16"/>
                <w:color w:val="auto"/>
              </w:rPr>
              <w:t>Unrealized gain on derivatives held for trading (Note 11)</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9,024</w:t>
            </w:r>
          </w:p>
        </w:tc>
        <w:tc>
          <w:tcPr>
            <w:tcW w:w="10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9,024</w:t>
            </w:r>
          </w:p>
        </w:tc>
      </w:tr>
      <w:tr>
        <w:trPr>
          <w:trHeight w:val="196"/>
        </w:trPr>
        <w:tc>
          <w:tcPr>
            <w:tcW w:w="528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6"/>
                <w:szCs w:val="16"/>
                <w:b w:val="1"/>
                <w:bCs w:val="1"/>
                <w:color w:val="auto"/>
              </w:rPr>
              <w:t>Net derivative assets as of September 30, 2018</w:t>
            </w:r>
          </w:p>
        </w:tc>
        <w:tc>
          <w:tcPr>
            <w:tcW w:w="98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11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6,346</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9,024</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15,370</w:t>
            </w:r>
          </w:p>
        </w:tc>
      </w:tr>
      <w:tr>
        <w:trPr>
          <w:trHeight w:val="20"/>
        </w:trPr>
        <w:tc>
          <w:tcPr>
            <w:tcW w:w="1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120" w:type="dxa"/>
            <w:vAlign w:val="bottom"/>
          </w:tcPr>
          <w:p>
            <w:pPr>
              <w:spacing w:after="0"/>
              <w:rPr>
                <w:sz w:val="17"/>
                <w:szCs w:val="17"/>
                <w:color w:val="auto"/>
              </w:rPr>
            </w:pPr>
          </w:p>
        </w:tc>
        <w:tc>
          <w:tcPr>
            <w:tcW w:w="4820" w:type="dxa"/>
            <w:vAlign w:val="bottom"/>
          </w:tcPr>
          <w:p>
            <w:pPr>
              <w:ind w:left="100"/>
              <w:spacing w:after="0"/>
              <w:rPr>
                <w:sz w:val="20"/>
                <w:szCs w:val="20"/>
                <w:color w:val="auto"/>
              </w:rPr>
            </w:pPr>
            <w:r>
              <w:rPr>
                <w:rFonts w:ascii="Arial" w:cs="Arial" w:eastAsia="Arial" w:hAnsi="Arial"/>
                <w:sz w:val="16"/>
                <w:szCs w:val="16"/>
                <w:color w:val="auto"/>
                <w:w w:val="93"/>
              </w:rPr>
              <w:t>A reconciliation of vessels arising from investing activities is as follows:</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1"/>
        </w:trPr>
        <w:tc>
          <w:tcPr>
            <w:tcW w:w="1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Opening</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3"/>
        </w:trPr>
        <w:tc>
          <w:tcPr>
            <w:tcW w:w="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balance</w:t>
            </w:r>
          </w:p>
        </w:tc>
        <w:tc>
          <w:tcPr>
            <w:tcW w:w="166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Cash flows</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Non-cash items</w:t>
            </w:r>
          </w:p>
        </w:tc>
        <w:tc>
          <w:tcPr>
            <w:tcW w:w="80" w:type="dxa"/>
            <w:vAlign w:val="bottom"/>
          </w:tcPr>
          <w:p>
            <w:pPr>
              <w:spacing w:after="0"/>
              <w:rPr>
                <w:sz w:val="18"/>
                <w:szCs w:val="18"/>
                <w:color w:val="auto"/>
              </w:rPr>
            </w:pPr>
          </w:p>
        </w:tc>
        <w:tc>
          <w:tcPr>
            <w:tcW w:w="1280" w:type="dxa"/>
            <w:vAlign w:val="bottom"/>
            <w:gridSpan w:val="3"/>
          </w:tcPr>
          <w:p>
            <w:pPr>
              <w:ind w:left="340"/>
              <w:spacing w:after="0"/>
              <w:rPr>
                <w:sz w:val="20"/>
                <w:szCs w:val="20"/>
                <w:color w:val="auto"/>
              </w:rPr>
            </w:pPr>
            <w:r>
              <w:rPr>
                <w:rFonts w:ascii="Arial" w:cs="Arial" w:eastAsia="Arial" w:hAnsi="Arial"/>
                <w:sz w:val="16"/>
                <w:szCs w:val="16"/>
                <w:b w:val="1"/>
                <w:bCs w:val="1"/>
                <w:color w:val="auto"/>
              </w:rPr>
              <w:t>Total</w:t>
            </w:r>
          </w:p>
        </w:tc>
      </w:tr>
      <w:tr>
        <w:trPr>
          <w:trHeight w:val="199"/>
        </w:trPr>
        <w:tc>
          <w:tcPr>
            <w:tcW w:w="120" w:type="dxa"/>
            <w:vAlign w:val="bottom"/>
          </w:tcPr>
          <w:p>
            <w:pPr>
              <w:spacing w:after="0"/>
              <w:rPr>
                <w:sz w:val="17"/>
                <w:szCs w:val="17"/>
                <w:color w:val="auto"/>
              </w:rPr>
            </w:pPr>
          </w:p>
        </w:tc>
        <w:tc>
          <w:tcPr>
            <w:tcW w:w="48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Vessels as of January 1, 2018</w:t>
            </w: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2,149,751</w:t>
            </w:r>
          </w:p>
        </w:tc>
        <w:tc>
          <w:tcPr>
            <w:tcW w:w="22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2,149,751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Additions (Note 4)</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17,702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30,207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820" w:type="dxa"/>
            <w:vAlign w:val="bottom"/>
            <w:shd w:val="clear" w:color="auto" w:fill="E5FFFF"/>
          </w:tcPr>
          <w:p>
            <w:pPr>
              <w:spacing w:after="0"/>
              <w:rPr>
                <w:sz w:val="20"/>
                <w:szCs w:val="20"/>
                <w:color w:val="auto"/>
              </w:rPr>
            </w:pPr>
            <w:r>
              <w:rPr>
                <w:rFonts w:ascii="Arial" w:cs="Arial" w:eastAsia="Arial" w:hAnsi="Arial"/>
                <w:sz w:val="16"/>
                <w:szCs w:val="16"/>
                <w:color w:val="auto"/>
              </w:rPr>
              <w:t>Depreciation expense (Note 4)</w:t>
            </w: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17"/>
                <w:szCs w:val="17"/>
                <w:color w:val="auto"/>
              </w:rPr>
            </w:pPr>
          </w:p>
        </w:tc>
        <w:tc>
          <w:tcPr>
            <w:tcW w:w="1400" w:type="dxa"/>
            <w:vAlign w:val="bottom"/>
            <w:gridSpan w:val="4"/>
            <w:shd w:val="clear" w:color="auto" w:fill="E5FFFF"/>
          </w:tcPr>
          <w:p>
            <w:pPr>
              <w:jc w:val="right"/>
              <w:ind w:right="4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(55,314)</w:t>
            </w:r>
          </w:p>
        </w:tc>
        <w:tc>
          <w:tcPr>
            <w:tcW w:w="12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(55,314)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940" w:type="dxa"/>
            <w:vAlign w:val="bottom"/>
            <w:gridSpan w:val="2"/>
          </w:tcPr>
          <w:p>
            <w:pPr>
              <w:ind w:left="120"/>
              <w:spacing w:after="0"/>
              <w:rPr>
                <w:sz w:val="20"/>
                <w:szCs w:val="20"/>
                <w:color w:val="auto"/>
              </w:rPr>
            </w:pPr>
            <w:r>
              <w:rPr>
                <w:rFonts w:ascii="Arial" w:cs="Arial" w:eastAsia="Arial" w:hAnsi="Arial"/>
                <w:sz w:val="16"/>
                <w:szCs w:val="16"/>
                <w:b w:val="1"/>
                <w:bCs w:val="1"/>
                <w:color w:val="auto"/>
              </w:rPr>
              <w:t>Vessels as of September 30, 2018</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2,149,751</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17,702</w:t>
            </w:r>
          </w:p>
        </w:tc>
        <w:tc>
          <w:tcPr>
            <w:tcW w:w="2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(42,809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2,124,644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3"/>
        </w:trPr>
        <w:tc>
          <w:tcPr>
            <w:tcW w:w="120" w:type="dxa"/>
            <w:vAlign w:val="bottom"/>
          </w:tcPr>
          <w:p>
            <w:pPr>
              <w:spacing w:after="0"/>
              <w:rPr>
                <w:sz w:val="24"/>
                <w:szCs w:val="24"/>
                <w:color w:val="auto"/>
              </w:rPr>
            </w:pPr>
          </w:p>
        </w:tc>
        <w:tc>
          <w:tcPr>
            <w:tcW w:w="6240" w:type="dxa"/>
            <w:vAlign w:val="bottom"/>
            <w:gridSpan w:val="3"/>
          </w:tcPr>
          <w:p>
            <w:pPr>
              <w:ind w:left="100"/>
              <w:spacing w:after="0"/>
              <w:rPr>
                <w:sz w:val="20"/>
                <w:szCs w:val="20"/>
                <w:color w:val="auto"/>
              </w:rPr>
            </w:pPr>
            <w:r>
              <w:rPr>
                <w:rFonts w:ascii="Arial" w:cs="Arial" w:eastAsia="Arial" w:hAnsi="Arial"/>
                <w:sz w:val="16"/>
                <w:szCs w:val="16"/>
                <w:color w:val="auto"/>
              </w:rPr>
              <w:t>A reconciliation of equity offerings arising from financing activities is as follows: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1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Cash flows</w:t>
            </w:r>
          </w:p>
        </w:tc>
        <w:tc>
          <w:tcPr>
            <w:tcW w:w="1620" w:type="dxa"/>
            <w:vAlign w:val="bottom"/>
            <w:gridSpan w:val="3"/>
          </w:tcPr>
          <w:p>
            <w:pPr>
              <w:ind w:left="220"/>
              <w:spacing w:after="0"/>
              <w:rPr>
                <w:sz w:val="20"/>
                <w:szCs w:val="20"/>
                <w:color w:val="auto"/>
              </w:rPr>
            </w:pPr>
            <w:r>
              <w:rPr>
                <w:rFonts w:ascii="Arial" w:cs="Arial" w:eastAsia="Arial" w:hAnsi="Arial"/>
                <w:sz w:val="16"/>
                <w:szCs w:val="16"/>
                <w:b w:val="1"/>
                <w:bCs w:val="1"/>
                <w:color w:val="auto"/>
              </w:rPr>
              <w:t>Non-cash items</w:t>
            </w:r>
          </w:p>
        </w:tc>
        <w:tc>
          <w:tcPr>
            <w:tcW w:w="80" w:type="dxa"/>
            <w:vAlign w:val="bottom"/>
          </w:tcPr>
          <w:p>
            <w:pPr>
              <w:spacing w:after="0"/>
              <w:rPr>
                <w:sz w:val="24"/>
                <w:szCs w:val="24"/>
                <w:color w:val="auto"/>
              </w:rPr>
            </w:pPr>
          </w:p>
        </w:tc>
        <w:tc>
          <w:tcPr>
            <w:tcW w:w="1280" w:type="dxa"/>
            <w:vAlign w:val="bottom"/>
            <w:gridSpan w:val="3"/>
          </w:tcPr>
          <w:p>
            <w:pPr>
              <w:ind w:left="440"/>
              <w:spacing w:after="0"/>
              <w:rPr>
                <w:sz w:val="20"/>
                <w:szCs w:val="20"/>
                <w:color w:val="auto"/>
              </w:rPr>
            </w:pPr>
            <w:r>
              <w:rPr>
                <w:rFonts w:ascii="Arial" w:cs="Arial" w:eastAsia="Arial" w:hAnsi="Arial"/>
                <w:sz w:val="16"/>
                <w:szCs w:val="16"/>
                <w:b w:val="1"/>
                <w:bCs w:val="1"/>
                <w:color w:val="auto"/>
              </w:rPr>
              <w:t>Total</w:t>
            </w:r>
          </w:p>
        </w:tc>
      </w:tr>
      <w:tr>
        <w:trPr>
          <w:trHeight w:val="179"/>
        </w:trPr>
        <w:tc>
          <w:tcPr>
            <w:tcW w:w="6360" w:type="dxa"/>
            <w:vAlign w:val="bottom"/>
            <w:tcBorders>
              <w:top w:val="single" w:sz="8" w:color="E5FFFF"/>
            </w:tcBorders>
            <w:gridSpan w:val="4"/>
            <w:shd w:val="clear" w:color="auto" w:fill="E5FFFF"/>
          </w:tcPr>
          <w:p>
            <w:pPr>
              <w:spacing w:after="0" w:line="179" w:lineRule="exact"/>
              <w:rPr>
                <w:sz w:val="20"/>
                <w:szCs w:val="20"/>
                <w:color w:val="auto"/>
              </w:rPr>
            </w:pPr>
            <w:r>
              <w:rPr>
                <w:rFonts w:ascii="Arial" w:cs="Arial" w:eastAsia="Arial" w:hAnsi="Arial"/>
                <w:sz w:val="16"/>
                <w:szCs w:val="16"/>
                <w:color w:val="auto"/>
                <w:w w:val="99"/>
              </w:rPr>
              <w:t>Proceeds from public offerings and issuances of common and general partner units (net of</w:t>
            </w:r>
          </w:p>
        </w:tc>
        <w:tc>
          <w:tcPr>
            <w:tcW w:w="26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auto"/>
            </w:tcBorders>
            <w:shd w:val="clear" w:color="auto" w:fill="E5FFFF"/>
          </w:tcPr>
          <w:p>
            <w:pPr>
              <w:spacing w:after="0"/>
              <w:rPr>
                <w:sz w:val="15"/>
                <w:szCs w:val="15"/>
                <w:color w:val="auto"/>
              </w:rPr>
            </w:pPr>
          </w:p>
        </w:tc>
        <w:tc>
          <w:tcPr>
            <w:tcW w:w="60" w:type="dxa"/>
            <w:vAlign w:val="bottom"/>
          </w:tcPr>
          <w:p>
            <w:pPr>
              <w:spacing w:after="0"/>
              <w:rPr>
                <w:sz w:val="15"/>
                <w:szCs w:val="15"/>
                <w:color w:val="auto"/>
              </w:rPr>
            </w:pPr>
          </w:p>
        </w:tc>
      </w:tr>
      <w:tr>
        <w:trPr>
          <w:trHeight w:val="212"/>
        </w:trPr>
        <w:tc>
          <w:tcPr>
            <w:tcW w:w="49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underwriting discounts and commissions) (Note 5)</w:t>
            </w:r>
          </w:p>
        </w:tc>
        <w:tc>
          <w:tcPr>
            <w:tcW w:w="1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60" w:type="dxa"/>
            <w:vAlign w:val="bottom"/>
            <w:gridSpan w:val="4"/>
            <w:shd w:val="clear" w:color="auto" w:fill="E5FFFF"/>
          </w:tcPr>
          <w:p>
            <w:pPr>
              <w:jc w:val="right"/>
              <w:ind w:right="20"/>
              <w:spacing w:after="0"/>
              <w:rPr>
                <w:sz w:val="20"/>
                <w:szCs w:val="20"/>
                <w:color w:val="auto"/>
              </w:rPr>
            </w:pPr>
            <w:r>
              <w:rPr>
                <w:rFonts w:ascii="Arial" w:cs="Arial" w:eastAsia="Arial" w:hAnsi="Arial"/>
                <w:sz w:val="16"/>
                <w:szCs w:val="16"/>
                <w:color w:val="auto"/>
              </w:rPr>
              <w:t>56,381</w:t>
            </w:r>
          </w:p>
        </w:tc>
        <w:tc>
          <w:tcPr>
            <w:tcW w:w="200" w:type="dxa"/>
            <w:vAlign w:val="bottom"/>
            <w:shd w:val="clear" w:color="auto" w:fill="E5FFFF"/>
          </w:tcPr>
          <w:p>
            <w:pPr>
              <w:spacing w:after="0"/>
              <w:rPr>
                <w:sz w:val="18"/>
                <w:szCs w:val="18"/>
                <w:color w:val="auto"/>
              </w:rPr>
            </w:pPr>
          </w:p>
        </w:tc>
        <w:tc>
          <w:tcPr>
            <w:tcW w:w="162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56,381</w:t>
            </w:r>
          </w:p>
        </w:tc>
        <w:tc>
          <w:tcPr>
            <w:tcW w:w="60" w:type="dxa"/>
            <w:vAlign w:val="bottom"/>
          </w:tcPr>
          <w:p>
            <w:pPr>
              <w:spacing w:after="0"/>
              <w:rPr>
                <w:sz w:val="18"/>
                <w:szCs w:val="18"/>
                <w:color w:val="auto"/>
              </w:rPr>
            </w:pPr>
          </w:p>
        </w:tc>
      </w:tr>
      <w:tr>
        <w:trPr>
          <w:trHeight w:val="193"/>
        </w:trPr>
        <w:tc>
          <w:tcPr>
            <w:tcW w:w="6360" w:type="dxa"/>
            <w:vAlign w:val="bottom"/>
            <w:gridSpan w:val="4"/>
          </w:tcPr>
          <w:p>
            <w:pPr>
              <w:spacing w:after="0"/>
              <w:rPr>
                <w:sz w:val="20"/>
                <w:szCs w:val="20"/>
                <w:color w:val="auto"/>
              </w:rPr>
            </w:pPr>
            <w:r>
              <w:rPr>
                <w:rFonts w:ascii="Arial" w:cs="Arial" w:eastAsia="Arial" w:hAnsi="Arial"/>
                <w:sz w:val="16"/>
                <w:szCs w:val="16"/>
                <w:color w:val="auto"/>
              </w:rPr>
              <w:t>Proceeds from public offering of preference units (net of underwriting discounts and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4940" w:type="dxa"/>
            <w:vAlign w:val="bottom"/>
            <w:gridSpan w:val="2"/>
          </w:tcPr>
          <w:p>
            <w:pPr>
              <w:spacing w:after="0"/>
              <w:rPr>
                <w:sz w:val="20"/>
                <w:szCs w:val="20"/>
                <w:color w:val="auto"/>
              </w:rPr>
            </w:pPr>
            <w:r>
              <w:rPr>
                <w:rFonts w:ascii="Arial" w:cs="Arial" w:eastAsia="Arial" w:hAnsi="Arial"/>
                <w:sz w:val="16"/>
                <w:szCs w:val="16"/>
                <w:color w:val="auto"/>
              </w:rPr>
              <w:t>commissions) (Note 5)</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6"/>
                <w:szCs w:val="16"/>
                <w:color w:val="auto"/>
              </w:rPr>
              <w:t>111,544</w:t>
            </w:r>
          </w:p>
        </w:tc>
        <w:tc>
          <w:tcPr>
            <w:tcW w:w="200" w:type="dxa"/>
            <w:vAlign w:val="bottom"/>
          </w:tcPr>
          <w:p>
            <w:pPr>
              <w:spacing w:after="0"/>
              <w:rPr>
                <w:sz w:val="17"/>
                <w:szCs w:val="17"/>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111,544</w:t>
            </w:r>
          </w:p>
        </w:tc>
        <w:tc>
          <w:tcPr>
            <w:tcW w:w="60" w:type="dxa"/>
            <w:vAlign w:val="bottom"/>
          </w:tcPr>
          <w:p>
            <w:pPr>
              <w:spacing w:after="0"/>
              <w:rPr>
                <w:sz w:val="17"/>
                <w:szCs w:val="17"/>
                <w:color w:val="auto"/>
              </w:rPr>
            </w:pPr>
          </w:p>
        </w:tc>
      </w:tr>
      <w:tr>
        <w:trPr>
          <w:trHeight w:val="209"/>
        </w:trPr>
        <w:tc>
          <w:tcPr>
            <w:tcW w:w="49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Offering costs</w:t>
            </w:r>
          </w:p>
        </w:tc>
        <w:tc>
          <w:tcPr>
            <w:tcW w:w="1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60" w:type="dxa"/>
            <w:vAlign w:val="bottom"/>
            <w:gridSpan w:val="5"/>
            <w:shd w:val="clear" w:color="auto" w:fill="E5FFFF"/>
          </w:tcPr>
          <w:p>
            <w:pPr>
              <w:jc w:val="right"/>
              <w:ind w:right="160"/>
              <w:spacing w:after="0"/>
              <w:rPr>
                <w:sz w:val="20"/>
                <w:szCs w:val="20"/>
                <w:color w:val="auto"/>
              </w:rPr>
            </w:pPr>
            <w:r>
              <w:rPr>
                <w:rFonts w:ascii="Arial" w:cs="Arial" w:eastAsia="Arial" w:hAnsi="Arial"/>
                <w:sz w:val="16"/>
                <w:szCs w:val="16"/>
                <w:color w:val="auto"/>
              </w:rPr>
              <w:t>(929)</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E5FFFF"/>
          </w:tcPr>
          <w:p>
            <w:pPr>
              <w:spacing w:after="0"/>
              <w:rPr>
                <w:sz w:val="18"/>
                <w:szCs w:val="18"/>
                <w:color w:val="auto"/>
              </w:rPr>
            </w:pPr>
          </w:p>
        </w:tc>
        <w:tc>
          <w:tcPr>
            <w:tcW w:w="13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(731)</w:t>
            </w:r>
          </w:p>
        </w:tc>
        <w:tc>
          <w:tcPr>
            <w:tcW w:w="60" w:type="dxa"/>
            <w:vAlign w:val="bottom"/>
          </w:tcPr>
          <w:p>
            <w:pPr>
              <w:spacing w:after="0"/>
              <w:rPr>
                <w:sz w:val="18"/>
                <w:szCs w:val="18"/>
                <w:color w:val="auto"/>
              </w:rPr>
            </w:pPr>
          </w:p>
        </w:tc>
      </w:tr>
      <w:tr>
        <w:trPr>
          <w:trHeight w:val="196"/>
        </w:trPr>
        <w:tc>
          <w:tcPr>
            <w:tcW w:w="6360" w:type="dxa"/>
            <w:vAlign w:val="bottom"/>
            <w:gridSpan w:val="4"/>
          </w:tcPr>
          <w:p>
            <w:pPr>
              <w:spacing w:after="0"/>
              <w:rPr>
                <w:sz w:val="20"/>
                <w:szCs w:val="20"/>
                <w:color w:val="auto"/>
              </w:rPr>
            </w:pPr>
            <w:r>
              <w:rPr>
                <w:rFonts w:ascii="Arial" w:cs="Arial" w:eastAsia="Arial" w:hAnsi="Arial"/>
                <w:sz w:val="16"/>
                <w:szCs w:val="16"/>
                <w:b w:val="1"/>
                <w:bCs w:val="1"/>
                <w:color w:val="auto"/>
              </w:rPr>
              <w:t>Net proceeds from equity offerings in the nine months ended September 30, 2018</w:t>
            </w:r>
          </w:p>
        </w:tc>
        <w:tc>
          <w:tcPr>
            <w:tcW w:w="260" w:type="dxa"/>
            <w:vAlign w:val="bottom"/>
          </w:tcPr>
          <w:p>
            <w:pPr>
              <w:spacing w:after="0"/>
              <w:rPr>
                <w:sz w:val="17"/>
                <w:szCs w:val="17"/>
                <w:color w:val="auto"/>
              </w:rPr>
            </w:pPr>
          </w:p>
        </w:tc>
        <w:tc>
          <w:tcPr>
            <w:tcW w:w="12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166,996</w:t>
            </w:r>
          </w:p>
        </w:tc>
        <w:tc>
          <w:tcPr>
            <w:tcW w:w="200" w:type="dxa"/>
            <w:vAlign w:val="bottom"/>
          </w:tcPr>
          <w:p>
            <w:pPr>
              <w:spacing w:after="0"/>
              <w:rPr>
                <w:sz w:val="17"/>
                <w:szCs w:val="17"/>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167,194</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Cash Distributions</w:t>
      </w:r>
    </w:p>
    <w:p>
      <w:pPr>
        <w:spacing w:after="0" w:line="239" w:lineRule="exact"/>
        <w:rPr>
          <w:sz w:val="20"/>
          <w:szCs w:val="20"/>
          <w:color w:val="auto"/>
        </w:rPr>
      </w:pPr>
    </w:p>
    <w:p>
      <w:pPr>
        <w:ind w:right="80" w:firstLine="383"/>
        <w:spacing w:after="0" w:line="329" w:lineRule="auto"/>
        <w:rPr>
          <w:sz w:val="20"/>
          <w:szCs w:val="20"/>
          <w:color w:val="auto"/>
        </w:rPr>
      </w:pPr>
      <w:r>
        <w:rPr>
          <w:rFonts w:ascii="Arial" w:cs="Arial" w:eastAsia="Arial" w:hAnsi="Arial"/>
          <w:sz w:val="15"/>
          <w:szCs w:val="15"/>
          <w:color w:val="auto"/>
        </w:rPr>
        <w:t>On January 30, 2018, the board of directors of the Partnership approved and declared a quarterly cash distribution, with respect to the quarter ended December 31, 2017, of $0.5235 per common unit. The cash distribution of $22,845 was paid on February 14, 2018 to all unitholders of record as of February 9, 2018.</w:t>
      </w:r>
    </w:p>
    <w:p>
      <w:pPr>
        <w:spacing w:after="0" w:line="148" w:lineRule="exact"/>
        <w:rPr>
          <w:sz w:val="20"/>
          <w:szCs w:val="20"/>
          <w:color w:val="auto"/>
        </w:rPr>
      </w:pPr>
    </w:p>
    <w:p>
      <w:pPr>
        <w:ind w:right="40" w:firstLine="383"/>
        <w:spacing w:after="0" w:line="278" w:lineRule="auto"/>
        <w:rPr>
          <w:sz w:val="20"/>
          <w:szCs w:val="20"/>
          <w:color w:val="auto"/>
        </w:rPr>
      </w:pPr>
      <w:r>
        <w:rPr>
          <w:rFonts w:ascii="Arial" w:cs="Arial" w:eastAsia="Arial" w:hAnsi="Arial"/>
          <w:sz w:val="16"/>
          <w:szCs w:val="16"/>
          <w:color w:val="auto"/>
        </w:rPr>
        <w:t>On February 8, 2018, the board of directors of the Partnership approved and declared a distribution on the Series A Preference Units of $0.5390625 per preference unit and a distribution on the Series B Preference Units of $0.33028 per preference unit. The aggregate cash distributions of $4,619 were paid on March 15, 2018, to all unitholders of record as of March 8, 2018.</w:t>
      </w:r>
    </w:p>
    <w:p>
      <w:pPr>
        <w:spacing w:after="0" w:line="184" w:lineRule="exact"/>
        <w:rPr>
          <w:sz w:val="20"/>
          <w:szCs w:val="20"/>
          <w:color w:val="auto"/>
        </w:rPr>
      </w:pPr>
    </w:p>
    <w:p>
      <w:pPr>
        <w:ind w:right="300" w:firstLine="383"/>
        <w:spacing w:after="0" w:line="293" w:lineRule="auto"/>
        <w:rPr>
          <w:sz w:val="20"/>
          <w:szCs w:val="20"/>
          <w:color w:val="auto"/>
        </w:rPr>
      </w:pPr>
      <w:r>
        <w:rPr>
          <w:rFonts w:ascii="Arial" w:cs="Arial" w:eastAsia="Arial" w:hAnsi="Arial"/>
          <w:sz w:val="16"/>
          <w:szCs w:val="16"/>
          <w:color w:val="auto"/>
        </w:rPr>
        <w:t>On April 26, 2018, the board of directors of the Partnership approved and declared a quarterly cash distribution, with respect to the quarter ended March 31, 2018, of $0.53 per common unit. The cash distribution of $24,272 was paid on May 11, 2018 to all unitholders of record as of May 7, 2018.</w:t>
      </w:r>
    </w:p>
    <w:p>
      <w:pPr>
        <w:spacing w:after="0" w:line="172" w:lineRule="exact"/>
        <w:rPr>
          <w:sz w:val="20"/>
          <w:szCs w:val="20"/>
          <w:color w:val="auto"/>
        </w:rPr>
      </w:pPr>
    </w:p>
    <w:p>
      <w:pPr>
        <w:jc w:val="both"/>
        <w:ind w:firstLine="383"/>
        <w:spacing w:after="0" w:line="278" w:lineRule="auto"/>
        <w:rPr>
          <w:sz w:val="20"/>
          <w:szCs w:val="20"/>
          <w:color w:val="auto"/>
        </w:rPr>
      </w:pPr>
      <w:r>
        <w:rPr>
          <w:rFonts w:ascii="Arial" w:cs="Arial" w:eastAsia="Arial" w:hAnsi="Arial"/>
          <w:sz w:val="16"/>
          <w:szCs w:val="16"/>
          <w:color w:val="auto"/>
        </w:rPr>
        <w:t>On May 11, 2018, the board of directors of the Partnership approved and declared a distribution on the Series A Preference Units of $0.5390625 per preference unit and a distribution on the Series B Preference Units of $0.5125 per preference unit. The aggregate cash distributions of $5,457 were paid on June 15, 2018, to all unitholders of record as of June 8, 2018.</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8" w:name="page39"/>
    <w:bookmarkEnd w:id="38"/>
    <w:p>
      <w:pPr>
        <w:ind w:right="120" w:firstLine="383"/>
        <w:spacing w:after="0" w:line="293" w:lineRule="auto"/>
        <w:rPr>
          <w:sz w:val="20"/>
          <w:szCs w:val="20"/>
          <w:color w:val="auto"/>
        </w:rPr>
      </w:pPr>
      <w:r>
        <w:rPr>
          <w:rFonts w:ascii="Arial" w:cs="Arial" w:eastAsia="Arial" w:hAnsi="Arial"/>
          <w:sz w:val="16"/>
          <w:szCs w:val="16"/>
          <w:color w:val="auto"/>
        </w:rPr>
        <w:t>On July 25, 2018, the board of directors of the Partnership approved and declared a quarterly cash distribution, with respect to the quarter ended June 30, 2018, of $0.53 per common unit. The cash distribution of $24,272 was paid on August 10, 2018 to all unitholders of record as of August 6, 2018.</w:t>
      </w:r>
    </w:p>
    <w:p>
      <w:pPr>
        <w:spacing w:after="0" w:line="172" w:lineRule="exact"/>
        <w:rPr>
          <w:sz w:val="20"/>
          <w:szCs w:val="20"/>
          <w:color w:val="auto"/>
        </w:rPr>
      </w:pPr>
    </w:p>
    <w:p>
      <w:pPr>
        <w:jc w:val="both"/>
        <w:ind w:right="60" w:firstLine="383"/>
        <w:spacing w:after="0" w:line="278" w:lineRule="auto"/>
        <w:rPr>
          <w:sz w:val="20"/>
          <w:szCs w:val="20"/>
          <w:color w:val="auto"/>
        </w:rPr>
      </w:pPr>
      <w:r>
        <w:rPr>
          <w:rFonts w:ascii="Arial" w:cs="Arial" w:eastAsia="Arial" w:hAnsi="Arial"/>
          <w:sz w:val="16"/>
          <w:szCs w:val="16"/>
          <w:color w:val="auto"/>
        </w:rPr>
        <w:t>On July 25, 2018, the board of directors of the Partnership approved and declared a distribution on the Series A Preference Units of $0.5390625 per preference unit and a distribution on the Series B Preference Units of $0.5125 per preference unit. The aggregate cash distributions of $5,457 were paid on September 17, 2018, to all unitholders of record as of September 10, 2018.</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Earnings per Unit (“EPU”)</w:t>
      </w:r>
    </w:p>
    <w:p>
      <w:pPr>
        <w:spacing w:after="0" w:line="239" w:lineRule="exact"/>
        <w:rPr>
          <w:sz w:val="20"/>
          <w:szCs w:val="20"/>
          <w:color w:val="auto"/>
        </w:rPr>
      </w:pPr>
    </w:p>
    <w:p>
      <w:pPr>
        <w:jc w:val="both"/>
        <w:ind w:right="40" w:firstLine="396"/>
        <w:spacing w:after="0" w:line="293" w:lineRule="auto"/>
        <w:rPr>
          <w:sz w:val="20"/>
          <w:szCs w:val="20"/>
          <w:color w:val="auto"/>
        </w:rPr>
      </w:pPr>
      <w:r>
        <w:rPr>
          <w:rFonts w:ascii="Arial" w:cs="Arial" w:eastAsia="Arial" w:hAnsi="Arial"/>
          <w:sz w:val="16"/>
          <w:szCs w:val="16"/>
          <w:color w:val="auto"/>
        </w:rPr>
        <w:t>The Partnership calculates earnings per unit by allocating reported profit for each period to each class of units based on the distribution policy for available cash stated in the Partnership Agreement.</w:t>
      </w:r>
    </w:p>
    <w:p>
      <w:pPr>
        <w:spacing w:after="0" w:line="172" w:lineRule="exact"/>
        <w:rPr>
          <w:sz w:val="20"/>
          <w:szCs w:val="20"/>
          <w:color w:val="auto"/>
        </w:rPr>
      </w:pPr>
    </w:p>
    <w:p>
      <w:pPr>
        <w:ind w:right="60" w:firstLine="396"/>
        <w:spacing w:after="0" w:line="305" w:lineRule="auto"/>
        <w:rPr>
          <w:sz w:val="20"/>
          <w:szCs w:val="20"/>
          <w:color w:val="auto"/>
        </w:rPr>
      </w:pPr>
      <w:r>
        <w:rPr>
          <w:rFonts w:ascii="Arial" w:cs="Arial" w:eastAsia="Arial" w:hAnsi="Arial"/>
          <w:sz w:val="15"/>
          <w:szCs w:val="15"/>
          <w:color w:val="auto"/>
        </w:rPr>
        <w:t>Basic earnings per unit is determined by dividing profit for the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Earnings per unit is presented for the period in which the units were outstanding, with earnings calculated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00" w:type="dxa"/>
            <w:vAlign w:val="bottom"/>
            <w:gridSpan w:val="4"/>
          </w:tcPr>
          <w:p>
            <w:pPr>
              <w:jc w:val="right"/>
              <w:ind w:right="760"/>
              <w:spacing w:after="0"/>
              <w:rPr>
                <w:sz w:val="20"/>
                <w:szCs w:val="20"/>
                <w:color w:val="auto"/>
              </w:rPr>
            </w:pPr>
            <w:r>
              <w:rPr>
                <w:rFonts w:ascii="Arial" w:cs="Arial" w:eastAsia="Arial" w:hAnsi="Arial"/>
                <w:sz w:val="16"/>
                <w:szCs w:val="16"/>
                <w:b w:val="1"/>
                <w:bCs w:val="1"/>
                <w:color w:val="auto"/>
              </w:rPr>
              <w:t>For the three months ended</w:t>
            </w:r>
          </w:p>
        </w:tc>
        <w:tc>
          <w:tcPr>
            <w:tcW w:w="3000" w:type="dxa"/>
            <w:vAlign w:val="bottom"/>
            <w:gridSpan w:val="4"/>
          </w:tcPr>
          <w:p>
            <w:pPr>
              <w:ind w:left="56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31,007</w:t>
            </w: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27,270</w:t>
            </w: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92,993</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85,846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Less:</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Profit attributable to GasLog’s operations*</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(5,708)</w:t>
            </w: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(27,314)</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Partnership’s profit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25,299</w:t>
            </w:r>
          </w:p>
        </w:tc>
        <w:tc>
          <w:tcPr>
            <w:tcW w:w="2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2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65,679</w:t>
            </w:r>
          </w:p>
        </w:tc>
        <w:tc>
          <w:tcPr>
            <w:tcW w:w="2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82,173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Adjustment for:</w:t>
            </w:r>
          </w:p>
        </w:tc>
        <w:tc>
          <w:tcPr>
            <w:tcW w:w="13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Paid and accrued preference unit distributions</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(3,100)</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(5,457)</w:t>
            </w: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(4,649)</w:t>
            </w:r>
          </w:p>
        </w:tc>
        <w:tc>
          <w:tcPr>
            <w:tcW w:w="1380" w:type="dxa"/>
            <w:vAlign w:val="bottom"/>
          </w:tcPr>
          <w:p>
            <w:pPr>
              <w:jc w:val="right"/>
              <w:spacing w:after="0"/>
              <w:rPr>
                <w:sz w:val="20"/>
                <w:szCs w:val="20"/>
                <w:color w:val="auto"/>
              </w:rPr>
            </w:pPr>
            <w:r>
              <w:rPr>
                <w:rFonts w:ascii="Arial" w:cs="Arial" w:eastAsia="Arial" w:hAnsi="Arial"/>
                <w:sz w:val="16"/>
                <w:szCs w:val="16"/>
                <w:color w:val="auto"/>
              </w:rPr>
              <w:t>(15,952)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22,199</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21,813</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61,030</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66,221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Common unitholders</w:t>
            </w: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vMerge w:val="continue"/>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20,941</w:t>
            </w:r>
          </w:p>
        </w:tc>
        <w:tc>
          <w:tcPr>
            <w:tcW w:w="22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21,127</w:t>
            </w:r>
          </w:p>
        </w:tc>
        <w:tc>
          <w:tcPr>
            <w:tcW w:w="22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53,014</w:t>
            </w:r>
          </w:p>
        </w:tc>
        <w:tc>
          <w:tcPr>
            <w:tcW w:w="20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Subordinated unitholders**</w:t>
            </w: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N/A</w:t>
            </w: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N/A</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5,085</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General partner</w:t>
            </w:r>
          </w:p>
        </w:tc>
        <w:tc>
          <w:tcPr>
            <w:tcW w:w="1380" w:type="dxa"/>
            <w:vAlign w:val="bottom"/>
          </w:tcPr>
          <w:p>
            <w:pPr>
              <w:jc w:val="right"/>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17"/>
                <w:szCs w:val="17"/>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436</w:t>
            </w:r>
          </w:p>
        </w:tc>
        <w:tc>
          <w:tcPr>
            <w:tcW w:w="1380" w:type="dxa"/>
            <w:vAlign w:val="bottom"/>
          </w:tcPr>
          <w:p>
            <w:pPr>
              <w:jc w:val="right"/>
              <w:spacing w:after="0"/>
              <w:rPr>
                <w:sz w:val="20"/>
                <w:szCs w:val="20"/>
                <w:color w:val="auto"/>
              </w:rPr>
            </w:pPr>
            <w:r>
              <w:rPr>
                <w:rFonts w:ascii="Arial" w:cs="Arial" w:eastAsia="Arial" w:hAnsi="Arial"/>
                <w:sz w:val="16"/>
                <w:szCs w:val="16"/>
                <w:color w:val="auto"/>
              </w:rPr>
              <w:t>1,220</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Incentive distribution rights***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815</w:t>
            </w:r>
          </w:p>
        </w:tc>
        <w:tc>
          <w:tcPr>
            <w:tcW w:w="22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250</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1,711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Weighted average number of units outstanding (basic)</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39,334,356</w:t>
            </w:r>
          </w:p>
        </w:tc>
        <w:tc>
          <w:tcPr>
            <w:tcW w:w="22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42,968,737</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35,011,970</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42,118,574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Subordinated units**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c>
          <w:tcPr>
            <w:tcW w:w="1380" w:type="dxa"/>
            <w:vAlign w:val="bottom"/>
          </w:tcPr>
          <w:p>
            <w:pPr>
              <w:jc w:val="right"/>
              <w:spacing w:after="0"/>
              <w:rPr>
                <w:sz w:val="20"/>
                <w:szCs w:val="20"/>
                <w:color w:val="auto"/>
              </w:rPr>
            </w:pPr>
            <w:r>
              <w:rPr>
                <w:rFonts w:ascii="Arial" w:cs="Arial" w:eastAsia="Arial" w:hAnsi="Arial"/>
                <w:sz w:val="16"/>
                <w:szCs w:val="16"/>
                <w:color w:val="auto"/>
              </w:rPr>
              <w:t>9,822,358</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793,459</w:t>
            </w:r>
          </w:p>
        </w:tc>
        <w:tc>
          <w:tcPr>
            <w:tcW w:w="22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876,958</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777,109</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859,520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Earnings per unit (basic)</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Common unitholders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0.53</w:t>
            </w:r>
          </w:p>
        </w:tc>
        <w:tc>
          <w:tcPr>
            <w:tcW w:w="22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0.49</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1.51</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Subordinated unitholders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c>
          <w:tcPr>
            <w:tcW w:w="1380" w:type="dxa"/>
            <w:vAlign w:val="bottom"/>
          </w:tcPr>
          <w:p>
            <w:pPr>
              <w:jc w:val="right"/>
              <w:spacing w:after="0"/>
              <w:rPr>
                <w:sz w:val="20"/>
                <w:szCs w:val="20"/>
                <w:color w:val="auto"/>
              </w:rPr>
            </w:pPr>
            <w:r>
              <w:rPr>
                <w:rFonts w:ascii="Arial" w:cs="Arial" w:eastAsia="Arial" w:hAnsi="Arial"/>
                <w:sz w:val="16"/>
                <w:szCs w:val="16"/>
                <w:color w:val="auto"/>
              </w:rPr>
              <w:t>0.52</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0.56</w:t>
            </w:r>
          </w:p>
        </w:tc>
        <w:tc>
          <w:tcPr>
            <w:tcW w:w="22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0.50</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1.57</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Weighted average number of units outstanding (diluted)</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39,397,507</w:t>
            </w:r>
          </w:p>
        </w:tc>
        <w:tc>
          <w:tcPr>
            <w:tcW w:w="22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43,035,573</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35,063,379</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42,198,860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Subordinated units**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c>
          <w:tcPr>
            <w:tcW w:w="1380" w:type="dxa"/>
            <w:vAlign w:val="bottom"/>
          </w:tcPr>
          <w:p>
            <w:pPr>
              <w:jc w:val="right"/>
              <w:spacing w:after="0"/>
              <w:rPr>
                <w:sz w:val="20"/>
                <w:szCs w:val="20"/>
                <w:color w:val="auto"/>
              </w:rPr>
            </w:pPr>
            <w:r>
              <w:rPr>
                <w:rFonts w:ascii="Arial" w:cs="Arial" w:eastAsia="Arial" w:hAnsi="Arial"/>
                <w:sz w:val="16"/>
                <w:szCs w:val="16"/>
                <w:color w:val="auto"/>
              </w:rPr>
              <w:t>9,822,358</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793,459</w:t>
            </w:r>
          </w:p>
        </w:tc>
        <w:tc>
          <w:tcPr>
            <w:tcW w:w="22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876,958</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777,109</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859,520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Earnings per unit (diluted)</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Common unitholders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0.53</w:t>
            </w:r>
          </w:p>
        </w:tc>
        <w:tc>
          <w:tcPr>
            <w:tcW w:w="22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0.49</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1.51</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Subordinated unitholders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c>
          <w:tcPr>
            <w:tcW w:w="1380" w:type="dxa"/>
            <w:vAlign w:val="bottom"/>
          </w:tcPr>
          <w:p>
            <w:pPr>
              <w:jc w:val="right"/>
              <w:spacing w:after="0"/>
              <w:rPr>
                <w:sz w:val="20"/>
                <w:szCs w:val="20"/>
                <w:color w:val="auto"/>
              </w:rPr>
            </w:pPr>
            <w:r>
              <w:rPr>
                <w:rFonts w:ascii="Arial" w:cs="Arial" w:eastAsia="Arial" w:hAnsi="Arial"/>
                <w:sz w:val="16"/>
                <w:szCs w:val="16"/>
                <w:color w:val="auto"/>
              </w:rPr>
              <w:t>0.52</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0.56</w:t>
            </w:r>
          </w:p>
        </w:tc>
        <w:tc>
          <w:tcPr>
            <w:tcW w:w="22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0.50</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1.57</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140" w:right="80" w:hanging="132"/>
        <w:spacing w:after="0" w:line="235" w:lineRule="auto"/>
        <w:tabs>
          <w:tab w:leader="none" w:pos="134" w:val="left"/>
        </w:tabs>
        <w:numPr>
          <w:ilvl w:val="0"/>
          <w:numId w:val="25"/>
        </w:numPr>
        <w:rPr>
          <w:rFonts w:ascii="Arial" w:cs="Arial" w:eastAsia="Arial" w:hAnsi="Arial"/>
          <w:sz w:val="16"/>
          <w:szCs w:val="16"/>
          <w:color w:val="auto"/>
        </w:rPr>
      </w:pPr>
      <w:r>
        <w:rPr>
          <w:rFonts w:ascii="Arial" w:cs="Arial" w:eastAsia="Arial" w:hAnsi="Arial"/>
          <w:sz w:val="14"/>
          <w:szCs w:val="14"/>
          <w:color w:val="auto"/>
        </w:rPr>
        <w:t>Includes the aggregate profit of GAS-eleven Ltd., GAS-thirteen Ltd., GAS-eight Ltd. and GAS-fourteen Ltd. for the period prior to their transfers to the Partnership on May 3, 2017, July 3, 2017, October 20, 2017 and April 26, 2018, respectively. While such amounts are reflected in the Partnership’s financial statements because the transfers to the Partnership were accounted for as reorganizations of entities under common control (Note 1), the aforementioned entities were not owned by the Partnership prior to their transfers to the Partnership on the respective dates and accordingly the Partnership was not entitled to the cash or results generated in the periods prior to such transfers.</w:t>
      </w:r>
    </w:p>
    <w:p>
      <w:pPr>
        <w:spacing w:after="0" w:line="184" w:lineRule="exact"/>
        <w:rPr>
          <w:sz w:val="20"/>
          <w:szCs w:val="20"/>
          <w:color w:val="auto"/>
        </w:rPr>
      </w:pPr>
    </w:p>
    <w:p>
      <w:pPr>
        <w:ind w:left="140" w:hanging="132"/>
        <w:spacing w:after="0" w:line="264" w:lineRule="auto"/>
        <w:tabs>
          <w:tab w:leader="none" w:pos="192" w:val="left"/>
        </w:tabs>
        <w:numPr>
          <w:ilvl w:val="0"/>
          <w:numId w:val="26"/>
        </w:numPr>
        <w:rPr>
          <w:rFonts w:ascii="Arial" w:cs="Arial" w:eastAsia="Arial" w:hAnsi="Arial"/>
          <w:sz w:val="13"/>
          <w:szCs w:val="13"/>
          <w:color w:val="auto"/>
        </w:rPr>
      </w:pPr>
      <w:r>
        <w:rPr>
          <w:rFonts w:ascii="Arial" w:cs="Arial" w:eastAsia="Arial" w:hAnsi="Arial"/>
          <w:sz w:val="13"/>
          <w:szCs w:val="13"/>
          <w:color w:val="auto"/>
        </w:rPr>
        <w:t>On May 16, 2017, all 9,822,358 subordinated units converted into common units on a one-for-one basis. As of June 30, 2017, they participated pro rata with all other outstanding common units in distributions of available cash for the three months ended June 30, 2017. Consequently, earnings have been allocated to subordinated units and the weighted average number of subordinated units has been calculated only for the applicable period during which they were entitled to distributions based on the Partnership Agreement, i.e. for the three months ended March 31, 2017.</w:t>
      </w:r>
    </w:p>
    <w:p>
      <w:pPr>
        <w:spacing w:after="0" w:line="168" w:lineRule="exact"/>
        <w:rPr>
          <w:rFonts w:ascii="Arial" w:cs="Arial" w:eastAsia="Arial" w:hAnsi="Arial"/>
          <w:sz w:val="13"/>
          <w:szCs w:val="13"/>
          <w:color w:val="auto"/>
        </w:rPr>
      </w:pPr>
    </w:p>
    <w:p>
      <w:pPr>
        <w:ind w:left="140" w:right="120" w:hanging="132"/>
        <w:spacing w:after="0" w:line="238" w:lineRule="auto"/>
        <w:tabs>
          <w:tab w:leader="none" w:pos="264"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 the right to receive an increasing percentage of quarterly distributions of available cash from operating surplus after the minimum quarterly distribution and the target distribution levels have been achieved. GasLog holds the incentive distribution rights following completion of the Partnership’s IPO. The IDRs may be transferred separately from any other interests, subject to restrictions in the Partnership Agreement. Based on the nature of such right, earnings attributable to IDRs cannot be allocated on a per unit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Share-based Compensation</w:t>
      </w:r>
    </w:p>
    <w:p>
      <w:pPr>
        <w:spacing w:after="0" w:line="239" w:lineRule="exact"/>
        <w:rPr>
          <w:sz w:val="20"/>
          <w:szCs w:val="20"/>
          <w:color w:val="auto"/>
        </w:rPr>
      </w:pPr>
    </w:p>
    <w:p>
      <w:pPr>
        <w:ind w:right="60" w:firstLine="383"/>
        <w:spacing w:after="0" w:line="293" w:lineRule="auto"/>
        <w:rPr>
          <w:sz w:val="20"/>
          <w:szCs w:val="20"/>
          <w:color w:val="auto"/>
        </w:rPr>
      </w:pPr>
      <w:r>
        <w:rPr>
          <w:rFonts w:ascii="Arial" w:cs="Arial" w:eastAsia="Arial" w:hAnsi="Arial"/>
          <w:sz w:val="16"/>
          <w:szCs w:val="16"/>
          <w:color w:val="auto"/>
        </w:rPr>
        <w:t>The terms of the 2015 Plan and the assumptions for the valuation of RCUs and PCUs have been disclosed in Note 19 “Share-Based Compensation” in the annual audited consolidated financial statements for the year ended December 31, 2017.</w:t>
      </w:r>
    </w:p>
    <w:p>
      <w:pPr>
        <w:spacing w:after="0" w:line="172"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On April 2, 2018, the Partnership granted to its executives 24,608 RCUs and 24,608 PCUs in accordance with its 2015 Plan. The RCUs and PCUs will vest on April 2, 2021. The holders are entitled to cash distributions that will be accrued and settled on vesting.</w:t>
      </w:r>
    </w:p>
    <w:p>
      <w:pPr>
        <w:spacing w:after="0" w:line="168" w:lineRule="exact"/>
        <w:rPr>
          <w:sz w:val="20"/>
          <w:szCs w:val="20"/>
          <w:color w:val="auto"/>
        </w:rPr>
      </w:pPr>
    </w:p>
    <w:tbl>
      <w:tblPr>
        <w:tblLayout w:type="fixed"/>
        <w:tblInd w:w="218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 at</w:t>
            </w:r>
          </w:p>
        </w:tc>
      </w:tr>
      <w:tr>
        <w:trPr>
          <w:trHeight w:val="213"/>
        </w:trPr>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Awards</w:t>
            </w: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Number</w:t>
            </w: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Grant date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3"/>
              </w:rPr>
              <w:t>grant date</w:t>
            </w:r>
          </w:p>
        </w:tc>
      </w:tr>
      <w:tr>
        <w:trPr>
          <w:trHeight w:val="199"/>
        </w:trPr>
        <w:tc>
          <w:tcPr>
            <w:tcW w:w="24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RCUs</w:t>
            </w:r>
          </w:p>
        </w:tc>
        <w:tc>
          <w:tcPr>
            <w:tcW w:w="14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24,608</w:t>
            </w:r>
          </w:p>
        </w:tc>
        <w:tc>
          <w:tcPr>
            <w:tcW w:w="26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April 2, 2018</w:t>
            </w:r>
          </w:p>
        </w:tc>
        <w:tc>
          <w:tcPr>
            <w:tcW w:w="2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$23.40</w:t>
            </w:r>
          </w:p>
        </w:tc>
      </w:tr>
      <w:tr>
        <w:trPr>
          <w:trHeight w:val="206"/>
        </w:trPr>
        <w:tc>
          <w:tcPr>
            <w:tcW w:w="2540" w:type="dxa"/>
            <w:vAlign w:val="bottom"/>
            <w:gridSpan w:val="2"/>
          </w:tcPr>
          <w:p>
            <w:pPr>
              <w:spacing w:after="0"/>
              <w:rPr>
                <w:sz w:val="20"/>
                <w:szCs w:val="20"/>
                <w:color w:val="auto"/>
              </w:rPr>
            </w:pPr>
            <w:r>
              <w:rPr>
                <w:rFonts w:ascii="Arial" w:cs="Arial" w:eastAsia="Arial" w:hAnsi="Arial"/>
                <w:sz w:val="16"/>
                <w:szCs w:val="16"/>
                <w:color w:val="auto"/>
              </w:rPr>
              <w:t>PCUs</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24,608</w:t>
            </w:r>
          </w:p>
        </w:tc>
        <w:tc>
          <w:tcPr>
            <w:tcW w:w="260" w:type="dxa"/>
            <w:vAlign w:val="bottom"/>
          </w:tcPr>
          <w:p>
            <w:pPr>
              <w:spacing w:after="0"/>
              <w:rPr>
                <w:sz w:val="17"/>
                <w:szCs w:val="17"/>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April 2, 2018</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$23.40</w:t>
            </w:r>
          </w:p>
        </w:tc>
      </w:tr>
    </w:tbl>
    <w:p>
      <w:pPr>
        <w:sectPr>
          <w:pgSz w:w="11900" w:h="16838" w:orient="portrait"/>
          <w:cols w:equalWidth="0" w:num="1">
            <w:col w:w="11420"/>
          </w:cols>
          <w:pgMar w:left="240" w:top="346" w:right="239" w:bottom="5" w:gutter="0" w:footer="0" w:header="0"/>
        </w:sectPr>
      </w:pPr>
    </w:p>
    <w:bookmarkStart w:id="39" w:name="page40"/>
    <w:bookmarkEnd w:id="39"/>
    <w:p>
      <w:pPr>
        <w:jc w:val="both"/>
        <w:ind w:right="80" w:firstLine="324"/>
        <w:spacing w:after="0" w:line="278" w:lineRule="auto"/>
        <w:rPr>
          <w:sz w:val="20"/>
          <w:szCs w:val="20"/>
          <w:color w:val="auto"/>
        </w:rPr>
      </w:pPr>
      <w:r>
        <w:rPr>
          <w:rFonts w:ascii="Arial" w:cs="Arial" w:eastAsia="Arial" w:hAnsi="Arial"/>
          <w:sz w:val="16"/>
          <w:szCs w:val="16"/>
          <w:color w:val="auto"/>
        </w:rPr>
        <w:t>In accordance with the terms of the 2015 Plan, the awards will be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w:t>
      </w:r>
    </w:p>
    <w:p>
      <w:pPr>
        <w:spacing w:after="0" w:line="23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fair value of the RCUs and PCUs in accordance with the Plan was determined by using the grant date closing price of $23.40 per common unit and was not further adjusted since the holders are entitled to cash distributions.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Movement in RCUs and PCUs during the period</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19"/>
        </w:trPr>
        <w:tc>
          <w:tcPr>
            <w:tcW w:w="5520" w:type="dxa"/>
            <w:vAlign w:val="bottom"/>
            <w:gridSpan w:val="2"/>
          </w:tcPr>
          <w:p>
            <w:pPr>
              <w:ind w:left="340"/>
              <w:spacing w:after="0"/>
              <w:rPr>
                <w:sz w:val="20"/>
                <w:szCs w:val="20"/>
                <w:color w:val="auto"/>
              </w:rPr>
            </w:pPr>
            <w:r>
              <w:rPr>
                <w:rFonts w:ascii="Arial" w:cs="Arial" w:eastAsia="Arial" w:hAnsi="Arial"/>
                <w:sz w:val="16"/>
                <w:szCs w:val="16"/>
                <w:color w:val="auto"/>
              </w:rPr>
              <w:t>The summary of RCUs and PCUs is presented below:</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1"/>
        </w:trPr>
        <w:tc>
          <w:tcPr>
            <w:tcW w:w="10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10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Number of</w:t>
            </w: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average</w:t>
            </w: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10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awards</w:t>
            </w: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contractual life</w:t>
            </w: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fair value</w:t>
            </w:r>
          </w:p>
        </w:tc>
      </w:tr>
      <w:tr>
        <w:trPr>
          <w:trHeight w:val="189"/>
        </w:trPr>
        <w:tc>
          <w:tcPr>
            <w:tcW w:w="1040" w:type="dxa"/>
            <w:vAlign w:val="bottom"/>
          </w:tcPr>
          <w:p>
            <w:pPr>
              <w:spacing w:after="0"/>
              <w:rPr>
                <w:sz w:val="16"/>
                <w:szCs w:val="16"/>
                <w:color w:val="auto"/>
              </w:rPr>
            </w:pPr>
          </w:p>
        </w:tc>
        <w:tc>
          <w:tcPr>
            <w:tcW w:w="4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RCUs</w:t>
            </w:r>
          </w:p>
        </w:tc>
        <w:tc>
          <w:tcPr>
            <w:tcW w:w="152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142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r>
      <w:tr>
        <w:trPr>
          <w:trHeight w:val="203"/>
        </w:trPr>
        <w:tc>
          <w:tcPr>
            <w:tcW w:w="10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b w:val="1"/>
                <w:bCs w:val="1"/>
                <w:color w:val="auto"/>
              </w:rPr>
              <w:t>Outstanding as of January 1, 2018</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67,475</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1,429</w:t>
            </w:r>
          </w:p>
        </w:tc>
        <w:tc>
          <w:tcPr>
            <w:tcW w:w="1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24,608</w:t>
            </w:r>
          </w:p>
        </w:tc>
        <w:tc>
          <w:tcPr>
            <w:tcW w:w="24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Vested during the period</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(16,999)</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44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September 30, 2018</w:t>
            </w:r>
          </w:p>
        </w:tc>
        <w:tc>
          <w:tcPr>
            <w:tcW w:w="1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75,084</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1,595</w:t>
            </w:r>
          </w:p>
        </w:tc>
        <w:tc>
          <w:tcPr>
            <w:tcW w:w="120" w:type="dxa"/>
            <w:vAlign w:val="bottom"/>
            <w:tcBorders>
              <w:top w:val="single" w:sz="8" w:color="auto"/>
              <w:bottom w:val="single" w:sz="8" w:color="auto"/>
            </w:tcBorders>
          </w:tcPr>
          <w:p>
            <w:pPr>
              <w:spacing w:after="0"/>
              <w:rPr>
                <w:sz w:val="18"/>
                <w:szCs w:val="18"/>
                <w:color w:val="auto"/>
              </w:rPr>
            </w:pPr>
          </w:p>
        </w:tc>
      </w:tr>
      <w:tr>
        <w:trPr>
          <w:trHeight w:val="176"/>
        </w:trPr>
        <w:tc>
          <w:tcPr>
            <w:tcW w:w="104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Arial" w:cs="Arial" w:eastAsia="Arial" w:hAnsi="Arial"/>
                <w:sz w:val="16"/>
                <w:szCs w:val="16"/>
                <w:b w:val="1"/>
                <w:bCs w:val="1"/>
                <w:color w:val="auto"/>
              </w:rPr>
              <w:t>PCUs</w:t>
            </w: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1040" w:type="dxa"/>
            <w:vAlign w:val="bottom"/>
          </w:tcPr>
          <w:p>
            <w:pPr>
              <w:spacing w:after="0"/>
              <w:rPr>
                <w:sz w:val="17"/>
                <w:szCs w:val="17"/>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Outstanding as of January 1, 2018</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67,475</w:t>
            </w:r>
          </w:p>
        </w:tc>
        <w:tc>
          <w:tcPr>
            <w:tcW w:w="240" w:type="dxa"/>
            <w:vAlign w:val="bottom"/>
            <w:shd w:val="clear" w:color="auto" w:fill="E5FFFF"/>
          </w:tcPr>
          <w:p>
            <w:pPr>
              <w:spacing w:after="0"/>
              <w:rPr>
                <w:sz w:val="17"/>
                <w:szCs w:val="17"/>
                <w:color w:val="auto"/>
              </w:rPr>
            </w:pP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1.38</w:t>
            </w:r>
          </w:p>
        </w:tc>
        <w:tc>
          <w:tcPr>
            <w:tcW w:w="24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1,429</w:t>
            </w:r>
          </w:p>
        </w:tc>
        <w:tc>
          <w:tcPr>
            <w:tcW w:w="1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Granted during the period</w:t>
            </w:r>
          </w:p>
        </w:tc>
        <w:tc>
          <w:tcPr>
            <w:tcW w:w="1520" w:type="dxa"/>
            <w:vAlign w:val="bottom"/>
          </w:tcPr>
          <w:p>
            <w:pPr>
              <w:jc w:val="right"/>
              <w:spacing w:after="0"/>
              <w:rPr>
                <w:sz w:val="20"/>
                <w:szCs w:val="20"/>
                <w:color w:val="auto"/>
              </w:rPr>
            </w:pPr>
            <w:r>
              <w:rPr>
                <w:rFonts w:ascii="Arial" w:cs="Arial" w:eastAsia="Arial" w:hAnsi="Arial"/>
                <w:sz w:val="16"/>
                <w:szCs w:val="16"/>
                <w:color w:val="auto"/>
              </w:rPr>
              <w:t>24,608</w:t>
            </w:r>
          </w:p>
        </w:tc>
        <w:tc>
          <w:tcPr>
            <w:tcW w:w="24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6"/>
                <w:szCs w:val="16"/>
                <w:color w:val="auto"/>
              </w:rPr>
              <w:t>Vested during the period</w:t>
            </w:r>
          </w:p>
        </w:tc>
        <w:tc>
          <w:tcPr>
            <w:tcW w:w="17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(16,999)</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7"/>
                <w:szCs w:val="17"/>
                <w:color w:val="auto"/>
              </w:rPr>
            </w:pPr>
          </w:p>
        </w:tc>
      </w:tr>
      <w:tr>
        <w:trPr>
          <w:trHeight w:val="203"/>
        </w:trPr>
        <w:tc>
          <w:tcPr>
            <w:tcW w:w="5520" w:type="dxa"/>
            <w:vAlign w:val="bottom"/>
            <w:gridSpan w:val="2"/>
          </w:tcPr>
          <w:p>
            <w:pPr>
              <w:ind w:left="1040"/>
              <w:spacing w:after="0"/>
              <w:rPr>
                <w:sz w:val="20"/>
                <w:szCs w:val="20"/>
                <w:color w:val="auto"/>
              </w:rPr>
            </w:pPr>
            <w:r>
              <w:rPr>
                <w:rFonts w:ascii="Arial" w:cs="Arial" w:eastAsia="Arial" w:hAnsi="Arial"/>
                <w:sz w:val="16"/>
                <w:szCs w:val="16"/>
                <w:b w:val="1"/>
                <w:bCs w:val="1"/>
                <w:color w:val="auto"/>
              </w:rPr>
              <w:t>Outstanding as of September 30, 2018</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75,084</w:t>
            </w:r>
          </w:p>
        </w:tc>
        <w:tc>
          <w:tcPr>
            <w:tcW w:w="24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1,595</w:t>
            </w:r>
          </w:p>
        </w:tc>
        <w:tc>
          <w:tcPr>
            <w:tcW w:w="120" w:type="dxa"/>
            <w:vAlign w:val="bottom"/>
            <w:tcBorders>
              <w:top w:val="single" w:sz="8" w:color="auto"/>
              <w:bottom w:val="single" w:sz="8" w:color="auto"/>
            </w:tcBorders>
          </w:tcPr>
          <w:p>
            <w:pPr>
              <w:spacing w:after="0"/>
              <w:rPr>
                <w:sz w:val="17"/>
                <w:szCs w:val="17"/>
                <w:color w:val="auto"/>
              </w:rPr>
            </w:pPr>
          </w:p>
        </w:tc>
      </w:tr>
    </w:tbl>
    <w:p>
      <w:pPr>
        <w:spacing w:after="0" w:line="206" w:lineRule="exact"/>
        <w:rPr>
          <w:sz w:val="20"/>
          <w:szCs w:val="20"/>
          <w:color w:val="auto"/>
        </w:rPr>
      </w:pPr>
    </w:p>
    <w:p>
      <w:pPr>
        <w:ind w:right="40" w:firstLine="396"/>
        <w:spacing w:after="0" w:line="278" w:lineRule="auto"/>
        <w:rPr>
          <w:sz w:val="20"/>
          <w:szCs w:val="20"/>
          <w:color w:val="auto"/>
        </w:rPr>
      </w:pPr>
      <w:r>
        <w:rPr>
          <w:rFonts w:ascii="Arial" w:cs="Arial" w:eastAsia="Arial" w:hAnsi="Arial"/>
          <w:sz w:val="16"/>
          <w:szCs w:val="16"/>
          <w:color w:val="auto"/>
        </w:rPr>
        <w:t>On April 3, 2018, 16,999 RCUs and 16,999 PCUs vested under the Partnership’s 2015 Plan. The total expense recognized in respect of equity-settled employee benefits for the three and nine months ended September 30, 2018 was $268 and $766, respectively (for the three and nine months ended September 30, 2017: $243 and $614 respectively). The total accrued cash distribution as of September 30, 2018 is $462 (December 31, 2017: $428).</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Commitments and Contingencies</w:t>
      </w:r>
    </w:p>
    <w:p>
      <w:pPr>
        <w:spacing w:after="0" w:line="239" w:lineRule="exact"/>
        <w:rPr>
          <w:sz w:val="20"/>
          <w:szCs w:val="20"/>
          <w:color w:val="auto"/>
        </w:rPr>
      </w:pPr>
    </w:p>
    <w:p>
      <w:pPr>
        <w:ind w:firstLine="405"/>
        <w:spacing w:after="0" w:line="278" w:lineRule="auto"/>
        <w:rPr>
          <w:sz w:val="20"/>
          <w:szCs w:val="20"/>
          <w:color w:val="auto"/>
        </w:rPr>
      </w:pPr>
      <w:r>
        <w:rPr>
          <w:rFonts w:ascii="Arial" w:cs="Arial" w:eastAsia="Arial" w:hAnsi="Arial"/>
          <w:sz w:val="16"/>
          <w:szCs w:val="16"/>
          <w:color w:val="auto"/>
        </w:rPr>
        <w:t>Future gross minimum lease payments receivable in relation to non-cancellable time charter agreements for vessels in operation as of September 30, 2018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1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September 30, 2018</w:t>
            </w:r>
          </w:p>
        </w:tc>
      </w:tr>
      <w:tr>
        <w:trPr>
          <w:trHeight w:val="202"/>
        </w:trPr>
        <w:tc>
          <w:tcPr>
            <w:tcW w:w="948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233,186</w:t>
            </w:r>
          </w:p>
        </w:tc>
      </w:tr>
      <w:tr>
        <w:trPr>
          <w:trHeight w:val="203"/>
        </w:trPr>
        <w:tc>
          <w:tcPr>
            <w:tcW w:w="9480" w:type="dxa"/>
            <w:vAlign w:val="bottom"/>
          </w:tcPr>
          <w:p>
            <w:pPr>
              <w:spacing w:after="0"/>
              <w:rPr>
                <w:sz w:val="20"/>
                <w:szCs w:val="20"/>
                <w:color w:val="auto"/>
              </w:rPr>
            </w:pPr>
            <w:r>
              <w:rPr>
                <w:rFonts w:ascii="Arial" w:cs="Arial" w:eastAsia="Arial" w:hAnsi="Arial"/>
                <w:sz w:val="16"/>
                <w:szCs w:val="16"/>
                <w:color w:val="auto"/>
              </w:rPr>
              <w:t>Later than one year and not later than three years</w:t>
            </w:r>
          </w:p>
        </w:tc>
        <w:tc>
          <w:tcPr>
            <w:tcW w:w="1840" w:type="dxa"/>
            <w:vAlign w:val="bottom"/>
          </w:tcPr>
          <w:p>
            <w:pPr>
              <w:jc w:val="right"/>
              <w:spacing w:after="0"/>
              <w:rPr>
                <w:sz w:val="20"/>
                <w:szCs w:val="20"/>
                <w:color w:val="auto"/>
              </w:rPr>
            </w:pPr>
            <w:r>
              <w:rPr>
                <w:rFonts w:ascii="Arial" w:cs="Arial" w:eastAsia="Arial" w:hAnsi="Arial"/>
                <w:sz w:val="16"/>
                <w:szCs w:val="16"/>
                <w:color w:val="auto"/>
              </w:rPr>
              <w:t>297,784</w:t>
            </w:r>
          </w:p>
        </w:tc>
      </w:tr>
      <w:tr>
        <w:trPr>
          <w:trHeight w:val="203"/>
        </w:trPr>
        <w:tc>
          <w:tcPr>
            <w:tcW w:w="9480" w:type="dxa"/>
            <w:vAlign w:val="bottom"/>
            <w:shd w:val="clear" w:color="auto" w:fill="E5FFFF"/>
          </w:tcPr>
          <w:p>
            <w:pPr>
              <w:spacing w:after="0"/>
              <w:rPr>
                <w:sz w:val="20"/>
                <w:szCs w:val="20"/>
                <w:color w:val="auto"/>
              </w:rPr>
            </w:pPr>
            <w:r>
              <w:rPr>
                <w:rFonts w:ascii="Arial" w:cs="Arial" w:eastAsia="Arial" w:hAnsi="Arial"/>
                <w:sz w:val="16"/>
                <w:szCs w:val="16"/>
                <w:color w:val="auto"/>
              </w:rPr>
              <w:t>Later than three years and not later than five years</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146,486</w:t>
            </w:r>
          </w:p>
        </w:tc>
      </w:tr>
      <w:tr>
        <w:trPr>
          <w:trHeight w:val="203"/>
        </w:trPr>
        <w:tc>
          <w:tcPr>
            <w:tcW w:w="94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More than five years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62,729</w:t>
            </w:r>
          </w:p>
        </w:tc>
      </w:tr>
      <w:tr>
        <w:trPr>
          <w:trHeight w:val="196"/>
        </w:trPr>
        <w:tc>
          <w:tcPr>
            <w:tcW w:w="94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740,185</w:t>
            </w:r>
          </w:p>
        </w:tc>
      </w:tr>
      <w:tr>
        <w:trPr>
          <w:trHeight w:val="20"/>
        </w:trPr>
        <w:tc>
          <w:tcPr>
            <w:tcW w:w="94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280" w:firstLine="383"/>
        <w:spacing w:after="0" w:line="293" w:lineRule="auto"/>
        <w:rPr>
          <w:sz w:val="20"/>
          <w:szCs w:val="20"/>
          <w:color w:val="auto"/>
        </w:rPr>
      </w:pPr>
      <w:r>
        <w:rPr>
          <w:rFonts w:ascii="Arial" w:cs="Arial" w:eastAsia="Arial" w:hAnsi="Arial"/>
          <w:sz w:val="16"/>
          <w:szCs w:val="16"/>
          <w:color w:val="auto"/>
        </w:rPr>
        <w:t>In April and May 2017, GasLog LNG Services entered into agreements in relation to investments in certain of the Partnership and GasLog’s vessels, with the aim of enhancing their operational performance. Commitments relating to these agreements for the Partnership are as follows:</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30" w:right="319" w:bottom="1440" w:gutter="0" w:footer="0" w:header="0"/>
        </w:sectPr>
      </w:pPr>
    </w:p>
    <w:bookmarkStart w:id="40" w:name="page41"/>
    <w:bookmarkEnd w:id="40"/>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Not later than one year</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-6166485</wp:posOffset>
            </wp:positionH>
            <wp:positionV relativeFrom="paragraph">
              <wp:posOffset>20320</wp:posOffset>
            </wp:positionV>
            <wp:extent cx="717804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37160"/>
                    </a:xfrm>
                    <a:prstGeom prst="rect">
                      <a:avLst/>
                    </a:prstGeom>
                    <a:noFill/>
                  </pic:spPr>
                </pic:pic>
              </a:graphicData>
            </a:graphic>
          </wp:anchor>
        </w:drawing>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1,549</w:t>
      </w:r>
    </w:p>
    <w:p>
      <w:pPr>
        <w:spacing w:after="0" w:line="28"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1,549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20320</wp:posOffset>
            </wp:positionV>
            <wp:extent cx="11576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37465</wp:posOffset>
            </wp:positionV>
            <wp:extent cx="11576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-116205</wp:posOffset>
            </wp:positionV>
            <wp:extent cx="11576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00" w:space="720"/>
            <w:col w:w="1680"/>
          </w:cols>
          <w:pgMar w:left="240" w:top="342" w:right="259" w:bottom="1440" w:gutter="0" w:footer="0" w:header="0"/>
        </w:sectPr>
      </w:pPr>
    </w:p>
    <w:p>
      <w:pPr>
        <w:spacing w:after="0" w:line="79" w:lineRule="exact"/>
        <w:rPr>
          <w:sz w:val="20"/>
          <w:szCs w:val="20"/>
          <w:color w:val="auto"/>
        </w:rPr>
      </w:pPr>
    </w:p>
    <w:p>
      <w:pPr>
        <w:ind w:right="100" w:firstLine="383"/>
        <w:spacing w:after="0" w:line="324" w:lineRule="auto"/>
        <w:rPr>
          <w:sz w:val="20"/>
          <w:szCs w:val="20"/>
          <w:color w:val="auto"/>
        </w:rPr>
      </w:pPr>
      <w:r>
        <w:rPr>
          <w:rFonts w:ascii="Arial" w:cs="Arial" w:eastAsia="Arial" w:hAnsi="Arial"/>
          <w:sz w:val="14"/>
          <w:szCs w:val="14"/>
          <w:color w:val="auto"/>
        </w:rPr>
        <w:t xml:space="preserve">Following the acquisition of (i)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and (ii)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Shirley Elisabeth</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Heather Sally</w:t>
      </w:r>
      <w:r>
        <w:rPr>
          <w:rFonts w:ascii="Arial" w:cs="Arial" w:eastAsia="Arial" w:hAnsi="Arial"/>
          <w:sz w:val="14"/>
          <w:szCs w:val="14"/>
          <w:color w:val="auto"/>
        </w:rPr>
        <w:t>, the Partnership, through its subsidiaries (i) GAS-sixteen Ltd. and GAS-seventeen Ltd. and (ii) GAS-nineteen Ltd., GAS-twenty Ltd. and GAS-twenty</w:t>
      </w:r>
      <w:r>
        <w:rPr>
          <w:rFonts w:ascii="Arial" w:cs="Arial" w:eastAsia="Arial" w:hAnsi="Arial"/>
          <w:sz w:val="14"/>
          <w:szCs w:val="14"/>
          <w:i w:val="1"/>
          <w:iCs w:val="1"/>
          <w:color w:val="auto"/>
        </w:rPr>
        <w:t xml:space="preserve"> </w:t>
      </w:r>
      <w:r>
        <w:rPr>
          <w:rFonts w:ascii="Arial" w:cs="Arial" w:eastAsia="Arial" w:hAnsi="Arial"/>
          <w:sz w:val="14"/>
          <w:szCs w:val="14"/>
          <w:color w:val="auto"/>
        </w:rPr>
        <w:t>one Ltd., respectively, is counter guarantor for the acquisition from BG Group plc of 83.33% of depot spares with an aggregate value of $6,000, of which $660 have been purchased and paid as of September 30, 2018 by GasLog. These spares are expected to be acquired before the end of the initial term of the charter party agreements.</w:t>
      </w:r>
    </w:p>
    <w:p>
      <w:pPr>
        <w:spacing w:after="0" w:line="157" w:lineRule="exact"/>
        <w:rPr>
          <w:sz w:val="20"/>
          <w:szCs w:val="20"/>
          <w:color w:val="auto"/>
        </w:rPr>
      </w:pPr>
    </w:p>
    <w:p>
      <w:pPr>
        <w:ind w:right="580" w:firstLine="383"/>
        <w:spacing w:after="0" w:line="278" w:lineRule="auto"/>
        <w:rPr>
          <w:sz w:val="20"/>
          <w:szCs w:val="20"/>
          <w:color w:val="auto"/>
        </w:rPr>
      </w:pPr>
      <w:r>
        <w:rPr>
          <w:rFonts w:ascii="Arial" w:cs="Arial" w:eastAsia="Arial" w:hAnsi="Arial"/>
          <w:sz w:val="16"/>
          <w:szCs w:val="16"/>
          <w:color w:val="auto"/>
        </w:rPr>
        <w:t>Additionally, in September 2017 and July 2018, GasLog LNG Services entered into maintenance agreements with Wartsila Greece S.A. in respect of six of the Partnership’s LNG carriers. The agreements ensure dynamic maintenance planning, technical support, security of spare parts supply, specialist technical personnel and performance monitoring.</w:t>
      </w:r>
    </w:p>
    <w:p>
      <w:pPr>
        <w:spacing w:after="0" w:line="184" w:lineRule="exact"/>
        <w:rPr>
          <w:sz w:val="20"/>
          <w:szCs w:val="20"/>
          <w:color w:val="auto"/>
        </w:rPr>
      </w:pPr>
    </w:p>
    <w:p>
      <w:pPr>
        <w:ind w:right="20" w:firstLine="324"/>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w:t>
      </w:r>
    </w:p>
    <w:p>
      <w:pPr>
        <w:spacing w:after="0" w:line="239" w:lineRule="exact"/>
        <w:rPr>
          <w:sz w:val="20"/>
          <w:szCs w:val="20"/>
          <w:color w:val="auto"/>
        </w:rPr>
      </w:pPr>
    </w:p>
    <w:p>
      <w:pPr>
        <w:ind w:firstLine="383"/>
        <w:spacing w:after="0" w:line="278" w:lineRule="auto"/>
        <w:rPr>
          <w:sz w:val="20"/>
          <w:szCs w:val="20"/>
          <w:color w:val="auto"/>
        </w:rPr>
      </w:pPr>
      <w:r>
        <w:rPr>
          <w:rFonts w:ascii="Arial" w:cs="Arial" w:eastAsia="Arial" w:hAnsi="Arial"/>
          <w:sz w:val="16"/>
          <w:szCs w:val="16"/>
          <w:color w:val="auto"/>
        </w:rPr>
        <w:t>In the period from October 1, 2018 through October 9, 2018, GasLog Partners issued and received payment for an additional 156,225 common units at a weighted average price of $23.60 per unit for total net proceeds of $3,678 through its ATM Programme. The issuance of these units fulfilled contractual commitments entered into before September 30, 2018.</w:t>
      </w:r>
    </w:p>
    <w:p>
      <w:pPr>
        <w:spacing w:after="0" w:line="184" w:lineRule="exact"/>
        <w:rPr>
          <w:sz w:val="20"/>
          <w:szCs w:val="20"/>
          <w:color w:val="auto"/>
        </w:rPr>
      </w:pPr>
    </w:p>
    <w:p>
      <w:pPr>
        <w:ind w:right="380" w:firstLine="383"/>
        <w:spacing w:after="0" w:line="273" w:lineRule="auto"/>
        <w:rPr>
          <w:sz w:val="20"/>
          <w:szCs w:val="20"/>
          <w:color w:val="auto"/>
        </w:rPr>
      </w:pPr>
      <w:r>
        <w:rPr>
          <w:rFonts w:ascii="Arial" w:cs="Arial" w:eastAsia="Arial" w:hAnsi="Arial"/>
          <w:sz w:val="16"/>
          <w:szCs w:val="16"/>
          <w:color w:val="auto"/>
        </w:rPr>
        <w:t>On October 24, 2018, the board of directors of GasLog Partners approved and declared a quarterly cash distribution of $0.53 per common unit for the quarter ended September 30, 2018. The cash distribution is payable on November 9, 2018, to all unitholders of record as of November 5, 2018. The aggregate amount of the declared distribution will be $25,658 based on the number of units issued and outstanding after giving effect to the issuances of common units through October 9, 2018 and corresponding 3,188 general partner units (in order for GasLog to retain its 2.0% general partner interest).</w:t>
      </w:r>
    </w:p>
    <w:p>
      <w:pPr>
        <w:spacing w:after="0" w:line="189" w:lineRule="exact"/>
        <w:rPr>
          <w:sz w:val="20"/>
          <w:szCs w:val="20"/>
          <w:color w:val="auto"/>
        </w:rPr>
      </w:pPr>
    </w:p>
    <w:p>
      <w:pPr>
        <w:ind w:right="320" w:firstLine="383"/>
        <w:spacing w:after="0" w:line="329" w:lineRule="auto"/>
        <w:rPr>
          <w:sz w:val="20"/>
          <w:szCs w:val="20"/>
          <w:color w:val="auto"/>
        </w:rPr>
      </w:pPr>
      <w:r>
        <w:rPr>
          <w:rFonts w:ascii="Arial" w:cs="Arial" w:eastAsia="Arial" w:hAnsi="Arial"/>
          <w:sz w:val="15"/>
          <w:szCs w:val="15"/>
          <w:color w:val="auto"/>
        </w:rPr>
        <w:t xml:space="preserve">On October 24, 2018, the board of directors of GasLog Partners approved the acquisition from GasLog of 100% of the shares in the entity that owns and charters the </w:t>
      </w:r>
      <w:r>
        <w:rPr>
          <w:rFonts w:ascii="Arial" w:cs="Arial" w:eastAsia="Arial" w:hAnsi="Arial"/>
          <w:sz w:val="15"/>
          <w:szCs w:val="15"/>
          <w:i w:val="1"/>
          <w:iCs w:val="1"/>
          <w:color w:val="auto"/>
        </w:rPr>
        <w:t>Methane Becki Anne</w:t>
      </w:r>
      <w:r>
        <w:rPr>
          <w:rFonts w:ascii="Arial" w:cs="Arial" w:eastAsia="Arial" w:hAnsi="Arial"/>
          <w:sz w:val="15"/>
          <w:szCs w:val="15"/>
          <w:color w:val="auto"/>
        </w:rPr>
        <w:t>, a 170,000 cbm TFDE LNG carrier built in 2010 which is chartered to Shell through March 2024, for an aggregate purchase price of $207,400.</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APPENDIX A</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Non-GAAP Partnership Performance Information and Reconciliation Tables</w:t>
      </w:r>
    </w:p>
    <w:p>
      <w:pPr>
        <w:spacing w:after="0" w:line="239" w:lineRule="exact"/>
        <w:rPr>
          <w:sz w:val="20"/>
          <w:szCs w:val="20"/>
          <w:color w:val="auto"/>
        </w:rPr>
      </w:pPr>
    </w:p>
    <w:p>
      <w:pPr>
        <w:ind w:right="80"/>
        <w:spacing w:after="0" w:line="310" w:lineRule="auto"/>
        <w:rPr>
          <w:sz w:val="20"/>
          <w:szCs w:val="20"/>
          <w:color w:val="auto"/>
        </w:rPr>
      </w:pPr>
      <w:r>
        <w:rPr>
          <w:rFonts w:ascii="Arial" w:cs="Arial" w:eastAsia="Arial" w:hAnsi="Arial"/>
          <w:sz w:val="14"/>
          <w:szCs w:val="14"/>
          <w:color w:val="auto"/>
        </w:rPr>
        <w:t xml:space="preserve">Our IFRS Common Control Reported Results are derived from the consolidated financial statements of the Partnership. The non-GAAP Partnership Performance Results presented below exclude amounts related to GAS-eleven Ltd., the owner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GAS-thirteen Ltd., the owner of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GAS-eight Ltd., the owner of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and GAS-fourteen Ltd., the owner of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for the periods prior to their transfers to the Partnership on May 3, 2017, July 3, 2017, October 20, 2017 and April 26, 2018, respectively. While such amounts are reflected in the Partnership’s unaudited condensed consolidated financial statements because the transfers to the Partnership were accounted for as reorganizations of entities under common control under IFRS, the aforementioned entities were not owned by the Partnership prior to their respective transfers to the Partnership on May 3, 2017, July 3, 2017, October 20, 2017 and April 26, 2018, respectively, and accordingly the Partnership was not entitled to the cash or results generated in the periods prior to such transfers. The Partnership believes these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vessels acquired prior to their transfers to the Partnership.</w:t>
      </w:r>
    </w:p>
    <w:p>
      <w:pPr>
        <w:spacing w:after="0" w:line="168" w:lineRule="exact"/>
        <w:rPr>
          <w:sz w:val="20"/>
          <w:szCs w:val="20"/>
          <w:color w:val="auto"/>
        </w:rPr>
      </w:pPr>
    </w:p>
    <w:p>
      <w:pPr>
        <w:ind w:right="240"/>
        <w:spacing w:after="0" w:line="335" w:lineRule="auto"/>
        <w:rPr>
          <w:sz w:val="20"/>
          <w:szCs w:val="20"/>
          <w:color w:val="auto"/>
        </w:rPr>
      </w:pPr>
      <w:r>
        <w:rPr>
          <w:rFonts w:ascii="Arial" w:cs="Arial" w:eastAsia="Arial" w:hAnsi="Arial"/>
          <w:sz w:val="14"/>
          <w:szCs w:val="14"/>
          <w:color w:val="auto"/>
        </w:rPr>
        <w:t>Amounts reflected in the Partnership’s unaudited condensed consolidated financial statements for the three months ended September 30, 2018 are fully attributable to the Partnership. The Partnership Performance Results reported in the third quarter of 2018 are the same as the IFRS Common Control Reported Results for the respective period since there were no vessel acquisitions from GasLog during the quarter, which would have resulted in retrospective adjustment of the historical financial statements.</w:t>
      </w:r>
    </w:p>
    <w:p>
      <w:pPr>
        <w:spacing w:after="0" w:line="15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rPr>
              <w:t>Partnership Performance Results</w:t>
            </w: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00" w:type="dxa"/>
            <w:vAlign w:val="bottom"/>
            <w:vMerge w:val="continue"/>
          </w:tcPr>
          <w:p>
            <w:pPr>
              <w:spacing w:after="0"/>
              <w:rPr>
                <w:sz w:val="17"/>
                <w:szCs w:val="17"/>
                <w:color w:val="auto"/>
              </w:rPr>
            </w:pPr>
          </w:p>
        </w:tc>
        <w:tc>
          <w:tcPr>
            <w:tcW w:w="4080" w:type="dxa"/>
            <w:vAlign w:val="bottom"/>
            <w:gridSpan w:val="4"/>
            <w:vMerge w:val="restart"/>
          </w:tcPr>
          <w:p>
            <w:pPr>
              <w:jc w:val="right"/>
              <w:ind w:right="1139"/>
              <w:spacing w:after="0"/>
              <w:rPr>
                <w:sz w:val="20"/>
                <w:szCs w:val="20"/>
                <w:color w:val="auto"/>
              </w:rPr>
            </w:pPr>
            <w:r>
              <w:rPr>
                <w:rFonts w:ascii="Arial" w:cs="Arial" w:eastAsia="Arial" w:hAnsi="Arial"/>
                <w:sz w:val="16"/>
                <w:szCs w:val="16"/>
                <w:b w:val="1"/>
                <w:bCs w:val="1"/>
                <w:color w:val="auto"/>
              </w:rPr>
              <w:t>For the three months ended</w:t>
            </w:r>
          </w:p>
        </w:tc>
        <w:tc>
          <w:tcPr>
            <w:tcW w:w="3780" w:type="dxa"/>
            <w:vAlign w:val="bottom"/>
            <w:gridSpan w:val="4"/>
            <w:vMerge w:val="restart"/>
          </w:tcPr>
          <w:p>
            <w:pPr>
              <w:jc w:val="right"/>
              <w:ind w:right="93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6"/>
        </w:trPr>
        <w:tc>
          <w:tcPr>
            <w:tcW w:w="3500" w:type="dxa"/>
            <w:vAlign w:val="bottom"/>
          </w:tcPr>
          <w:p>
            <w:pPr>
              <w:ind w:left="200"/>
              <w:spacing w:after="0"/>
              <w:rPr>
                <w:sz w:val="20"/>
                <w:szCs w:val="20"/>
                <w:color w:val="auto"/>
              </w:rPr>
            </w:pPr>
            <w:r>
              <w:rPr>
                <w:rFonts w:ascii="Arial" w:cs="Arial" w:eastAsia="Arial" w:hAnsi="Arial"/>
                <w:sz w:val="16"/>
                <w:szCs w:val="16"/>
                <w:b w:val="1"/>
                <w:bCs w:val="1"/>
                <w:i w:val="1"/>
                <w:iCs w:val="1"/>
                <w:color w:val="auto"/>
              </w:rPr>
              <w:t>U.S. dollars</w:t>
            </w:r>
            <w:r>
              <w:rPr>
                <w:rFonts w:ascii="Arial" w:cs="Arial" w:eastAsia="Arial" w:hAnsi="Arial"/>
                <w:sz w:val="16"/>
                <w:szCs w:val="16"/>
                <w:color w:val="auto"/>
              </w:rPr>
              <w:t>)</w:t>
            </w:r>
          </w:p>
        </w:tc>
        <w:tc>
          <w:tcPr>
            <w:tcW w:w="4080" w:type="dxa"/>
            <w:vAlign w:val="bottom"/>
            <w:gridSpan w:val="4"/>
            <w:vMerge w:val="continue"/>
          </w:tcPr>
          <w:p>
            <w:pPr>
              <w:spacing w:after="0"/>
              <w:rPr>
                <w:sz w:val="17"/>
                <w:szCs w:val="17"/>
                <w:color w:val="auto"/>
              </w:rPr>
            </w:pPr>
          </w:p>
        </w:tc>
        <w:tc>
          <w:tcPr>
            <w:tcW w:w="37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98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September 30, 2017</w:t>
            </w:r>
          </w:p>
        </w:tc>
        <w:tc>
          <w:tcPr>
            <w:tcW w:w="210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September 30, 2018</w:t>
            </w:r>
          </w:p>
        </w:tc>
        <w:tc>
          <w:tcPr>
            <w:tcW w:w="208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September 30, 2017</w:t>
            </w:r>
          </w:p>
        </w:tc>
        <w:tc>
          <w:tcPr>
            <w:tcW w:w="170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w w:val="99"/>
              </w:rPr>
              <w:t>September 30, 2018</w:t>
            </w:r>
          </w:p>
        </w:tc>
        <w:tc>
          <w:tcPr>
            <w:tcW w:w="0" w:type="dxa"/>
            <w:vAlign w:val="bottom"/>
          </w:tcPr>
          <w:p>
            <w:pPr>
              <w:spacing w:after="0"/>
              <w:rPr>
                <w:sz w:val="1"/>
                <w:szCs w:val="1"/>
                <w:color w:val="auto"/>
              </w:rPr>
            </w:pPr>
          </w:p>
        </w:tc>
      </w:tr>
      <w:tr>
        <w:trPr>
          <w:trHeight w:val="202"/>
        </w:trPr>
        <w:tc>
          <w:tcPr>
            <w:tcW w:w="3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73,277</w:t>
            </w:r>
          </w:p>
        </w:tc>
        <w:tc>
          <w:tcPr>
            <w:tcW w:w="28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81,887</w:t>
            </w:r>
          </w:p>
        </w:tc>
        <w:tc>
          <w:tcPr>
            <w:tcW w:w="28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192,852</w:t>
            </w:r>
          </w:p>
        </w:tc>
        <w:tc>
          <w:tcPr>
            <w:tcW w:w="30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233,857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rPr>
              <w:t>Net pool allocation</w:t>
            </w:r>
          </w:p>
        </w:tc>
        <w:tc>
          <w:tcPr>
            <w:tcW w:w="198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780</w:t>
            </w:r>
          </w:p>
        </w:tc>
        <w:tc>
          <w:tcPr>
            <w:tcW w:w="280" w:type="dxa"/>
            <w:vAlign w:val="bottom"/>
          </w:tcPr>
          <w:p>
            <w:pPr>
              <w:spacing w:after="0"/>
              <w:rPr>
                <w:sz w:val="17"/>
                <w:szCs w:val="17"/>
                <w:color w:val="auto"/>
              </w:rPr>
            </w:pPr>
          </w:p>
        </w:tc>
        <w:tc>
          <w:tcPr>
            <w:tcW w:w="20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98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(919)</w:t>
            </w:r>
          </w:p>
        </w:tc>
        <w:tc>
          <w:tcPr>
            <w:tcW w:w="21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(3,359)</w:t>
            </w:r>
          </w:p>
        </w:tc>
        <w:tc>
          <w:tcPr>
            <w:tcW w:w="208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(2,420)</w:t>
            </w:r>
          </w:p>
        </w:tc>
        <w:tc>
          <w:tcPr>
            <w:tcW w:w="1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980" w:type="dxa"/>
            <w:vAlign w:val="bottom"/>
            <w:gridSpan w:val="2"/>
          </w:tcPr>
          <w:p>
            <w:pPr>
              <w:jc w:val="right"/>
              <w:ind w:right="199"/>
              <w:spacing w:after="0"/>
              <w:rPr>
                <w:sz w:val="20"/>
                <w:szCs w:val="20"/>
                <w:color w:val="auto"/>
              </w:rPr>
            </w:pPr>
            <w:r>
              <w:rPr>
                <w:rFonts w:ascii="Arial" w:cs="Arial" w:eastAsia="Arial" w:hAnsi="Arial"/>
                <w:sz w:val="16"/>
                <w:szCs w:val="16"/>
                <w:color w:val="auto"/>
              </w:rPr>
              <w:t>(15,046)</w:t>
            </w:r>
          </w:p>
        </w:tc>
        <w:tc>
          <w:tcPr>
            <w:tcW w:w="2100" w:type="dxa"/>
            <w:vAlign w:val="bottom"/>
            <w:gridSpan w:val="2"/>
          </w:tcPr>
          <w:p>
            <w:pPr>
              <w:jc w:val="right"/>
              <w:ind w:right="139"/>
              <w:spacing w:after="0"/>
              <w:rPr>
                <w:sz w:val="20"/>
                <w:szCs w:val="20"/>
                <w:color w:val="auto"/>
              </w:rPr>
            </w:pPr>
            <w:r>
              <w:rPr>
                <w:rFonts w:ascii="Arial" w:cs="Arial" w:eastAsia="Arial" w:hAnsi="Arial"/>
                <w:sz w:val="16"/>
                <w:szCs w:val="16"/>
                <w:color w:val="auto"/>
              </w:rPr>
              <w:t>(15,765)</w:t>
            </w:r>
          </w:p>
        </w:tc>
        <w:tc>
          <w:tcPr>
            <w:tcW w:w="2080" w:type="dxa"/>
            <w:vAlign w:val="bottom"/>
            <w:gridSpan w:val="2"/>
          </w:tcPr>
          <w:p>
            <w:pPr>
              <w:jc w:val="right"/>
              <w:ind w:right="159"/>
              <w:spacing w:after="0"/>
              <w:rPr>
                <w:sz w:val="20"/>
                <w:szCs w:val="20"/>
                <w:color w:val="auto"/>
              </w:rPr>
            </w:pPr>
            <w:r>
              <w:rPr>
                <w:rFonts w:ascii="Arial" w:cs="Arial" w:eastAsia="Arial" w:hAnsi="Arial"/>
                <w:sz w:val="16"/>
                <w:szCs w:val="16"/>
                <w:color w:val="auto"/>
              </w:rPr>
              <w:t>(39,523)</w:t>
            </w:r>
          </w:p>
        </w:tc>
        <w:tc>
          <w:tcPr>
            <w:tcW w:w="1660" w:type="dxa"/>
            <w:vAlign w:val="bottom"/>
          </w:tcPr>
          <w:p>
            <w:pPr>
              <w:jc w:val="right"/>
              <w:spacing w:after="0"/>
              <w:rPr>
                <w:sz w:val="20"/>
                <w:szCs w:val="20"/>
                <w:color w:val="auto"/>
              </w:rPr>
            </w:pPr>
            <w:r>
              <w:rPr>
                <w:rFonts w:ascii="Arial" w:cs="Arial" w:eastAsia="Arial" w:hAnsi="Arial"/>
                <w:sz w:val="16"/>
                <w:szCs w:val="16"/>
                <w:color w:val="auto"/>
              </w:rPr>
              <w:t>(46,466)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98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(15,580)</w:t>
            </w:r>
          </w:p>
        </w:tc>
        <w:tc>
          <w:tcPr>
            <w:tcW w:w="21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(18,710)</w:t>
            </w:r>
          </w:p>
        </w:tc>
        <w:tc>
          <w:tcPr>
            <w:tcW w:w="208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(41,408)</w:t>
            </w:r>
          </w:p>
        </w:tc>
        <w:tc>
          <w:tcPr>
            <w:tcW w:w="1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(53,470)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980" w:type="dxa"/>
            <w:vAlign w:val="bottom"/>
            <w:gridSpan w:val="2"/>
          </w:tcPr>
          <w:p>
            <w:pPr>
              <w:jc w:val="right"/>
              <w:ind w:right="199"/>
              <w:spacing w:after="0"/>
              <w:rPr>
                <w:sz w:val="20"/>
                <w:szCs w:val="20"/>
                <w:color w:val="auto"/>
              </w:rPr>
            </w:pPr>
            <w:r>
              <w:rPr>
                <w:rFonts w:ascii="Arial" w:cs="Arial" w:eastAsia="Arial" w:hAnsi="Arial"/>
                <w:sz w:val="16"/>
                <w:szCs w:val="16"/>
                <w:color w:val="auto"/>
              </w:rPr>
              <w:t>(3,783)</w:t>
            </w:r>
          </w:p>
        </w:tc>
        <w:tc>
          <w:tcPr>
            <w:tcW w:w="2100" w:type="dxa"/>
            <w:vAlign w:val="bottom"/>
            <w:gridSpan w:val="2"/>
          </w:tcPr>
          <w:p>
            <w:pPr>
              <w:jc w:val="right"/>
              <w:ind w:right="139"/>
              <w:spacing w:after="0"/>
              <w:rPr>
                <w:sz w:val="20"/>
                <w:szCs w:val="20"/>
                <w:color w:val="auto"/>
              </w:rPr>
            </w:pPr>
            <w:r>
              <w:rPr>
                <w:rFonts w:ascii="Arial" w:cs="Arial" w:eastAsia="Arial" w:hAnsi="Arial"/>
                <w:sz w:val="16"/>
                <w:szCs w:val="16"/>
                <w:color w:val="auto"/>
              </w:rPr>
              <w:t>(4,693)</w:t>
            </w:r>
          </w:p>
        </w:tc>
        <w:tc>
          <w:tcPr>
            <w:tcW w:w="2080" w:type="dxa"/>
            <w:vAlign w:val="bottom"/>
            <w:gridSpan w:val="2"/>
          </w:tcPr>
          <w:p>
            <w:pPr>
              <w:jc w:val="right"/>
              <w:ind w:right="159"/>
              <w:spacing w:after="0"/>
              <w:rPr>
                <w:sz w:val="20"/>
                <w:szCs w:val="20"/>
                <w:color w:val="auto"/>
              </w:rPr>
            </w:pPr>
            <w:r>
              <w:rPr>
                <w:rFonts w:ascii="Arial" w:cs="Arial" w:eastAsia="Arial" w:hAnsi="Arial"/>
                <w:sz w:val="16"/>
                <w:szCs w:val="16"/>
                <w:color w:val="auto"/>
              </w:rPr>
              <w:t>(10,134)</w:t>
            </w:r>
          </w:p>
        </w:tc>
        <w:tc>
          <w:tcPr>
            <w:tcW w:w="1660" w:type="dxa"/>
            <w:vAlign w:val="bottom"/>
          </w:tcPr>
          <w:p>
            <w:pPr>
              <w:jc w:val="right"/>
              <w:spacing w:after="0"/>
              <w:rPr>
                <w:sz w:val="20"/>
                <w:szCs w:val="20"/>
                <w:color w:val="auto"/>
              </w:rPr>
            </w:pPr>
            <w:r>
              <w:rPr>
                <w:rFonts w:ascii="Arial" w:cs="Arial" w:eastAsia="Arial" w:hAnsi="Arial"/>
                <w:sz w:val="16"/>
                <w:szCs w:val="16"/>
                <w:color w:val="auto"/>
              </w:rPr>
              <w:t>(13,949)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37,949</w:t>
            </w:r>
          </w:p>
        </w:tc>
        <w:tc>
          <w:tcPr>
            <w:tcW w:w="28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40,140</w:t>
            </w:r>
          </w:p>
        </w:tc>
        <w:tc>
          <w:tcPr>
            <w:tcW w:w="28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99,367</w:t>
            </w:r>
          </w:p>
        </w:tc>
        <w:tc>
          <w:tcPr>
            <w:tcW w:w="30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114,470</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20"/>
                <w:szCs w:val="20"/>
                <w:color w:val="auto"/>
              </w:rPr>
            </w:pPr>
            <w:r>
              <w:rPr>
                <w:rFonts w:ascii="Arial" w:cs="Arial" w:eastAsia="Arial" w:hAnsi="Arial"/>
                <w:sz w:val="16"/>
                <w:szCs w:val="16"/>
                <w:color w:val="auto"/>
              </w:rPr>
              <w:t>Financial costs</w:t>
            </w:r>
          </w:p>
        </w:tc>
        <w:tc>
          <w:tcPr>
            <w:tcW w:w="1700" w:type="dxa"/>
            <w:vAlign w:val="bottom"/>
          </w:tcPr>
          <w:p>
            <w:pPr>
              <w:jc w:val="right"/>
              <w:spacing w:after="0"/>
              <w:rPr>
                <w:sz w:val="20"/>
                <w:szCs w:val="20"/>
                <w:color w:val="auto"/>
              </w:rPr>
            </w:pPr>
            <w:r>
              <w:rPr>
                <w:rFonts w:ascii="Arial" w:cs="Arial" w:eastAsia="Arial" w:hAnsi="Arial"/>
                <w:sz w:val="16"/>
                <w:szCs w:val="16"/>
                <w:color w:val="auto"/>
              </w:rPr>
              <w:t>(12,289</w:t>
            </w:r>
          </w:p>
        </w:tc>
        <w:tc>
          <w:tcPr>
            <w:tcW w:w="280" w:type="dxa"/>
            <w:vAlign w:val="bottom"/>
          </w:tcPr>
          <w:p>
            <w:pPr>
              <w:jc w:val="right"/>
              <w:ind w:right="199"/>
              <w:spacing w:after="0"/>
              <w:rPr>
                <w:sz w:val="20"/>
                <w:szCs w:val="20"/>
                <w:color w:val="auto"/>
              </w:rPr>
            </w:pPr>
            <w:r>
              <w:rPr>
                <w:rFonts w:ascii="Arial" w:cs="Arial" w:eastAsia="Arial" w:hAnsi="Arial"/>
                <w:sz w:val="8"/>
                <w:szCs w:val="8"/>
                <w:color w:val="auto"/>
                <w:w w:val="73"/>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(15,533</w:t>
            </w:r>
          </w:p>
        </w:tc>
        <w:tc>
          <w:tcPr>
            <w:tcW w:w="280" w:type="dxa"/>
            <w:vAlign w:val="bottom"/>
          </w:tcPr>
          <w:p>
            <w:pPr>
              <w:jc w:val="right"/>
              <w:ind w:right="139"/>
              <w:spacing w:after="0"/>
              <w:rPr>
                <w:sz w:val="20"/>
                <w:szCs w:val="20"/>
                <w:color w:val="auto"/>
              </w:rPr>
            </w:pPr>
            <w:r>
              <w:rPr>
                <w:rFonts w:ascii="Arial" w:cs="Arial" w:eastAsia="Arial" w:hAnsi="Arial"/>
                <w:sz w:val="16"/>
                <w:szCs w:val="16"/>
                <w:color w:val="auto"/>
                <w:w w:val="74"/>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(31,359</w:t>
            </w:r>
          </w:p>
        </w:tc>
        <w:tc>
          <w:tcPr>
            <w:tcW w:w="300" w:type="dxa"/>
            <w:vAlign w:val="bottom"/>
          </w:tcPr>
          <w:p>
            <w:pPr>
              <w:jc w:val="right"/>
              <w:ind w:right="159"/>
              <w:spacing w:after="0"/>
              <w:rPr>
                <w:sz w:val="20"/>
                <w:szCs w:val="20"/>
                <w:color w:val="auto"/>
              </w:rPr>
            </w:pPr>
            <w:r>
              <w:rPr>
                <w:rFonts w:ascii="Arial" w:cs="Arial" w:eastAsia="Arial" w:hAnsi="Arial"/>
                <w:sz w:val="16"/>
                <w:szCs w:val="16"/>
                <w:color w:val="auto"/>
                <w:w w:val="74"/>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(43,973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980" w:type="dxa"/>
            <w:vAlign w:val="bottom"/>
            <w:gridSpan w:val="2"/>
            <w:shd w:val="clear" w:color="auto" w:fill="E5FFFF"/>
          </w:tcPr>
          <w:p>
            <w:pPr>
              <w:jc w:val="right"/>
              <w:ind w:right="239"/>
              <w:spacing w:after="0"/>
              <w:rPr>
                <w:sz w:val="20"/>
                <w:szCs w:val="20"/>
                <w:color w:val="auto"/>
              </w:rPr>
            </w:pPr>
            <w:r>
              <w:rPr>
                <w:rFonts w:ascii="Arial" w:cs="Arial" w:eastAsia="Arial" w:hAnsi="Arial"/>
                <w:sz w:val="16"/>
                <w:szCs w:val="16"/>
                <w:color w:val="auto"/>
              </w:rPr>
              <w:t>311</w:t>
            </w:r>
          </w:p>
        </w:tc>
        <w:tc>
          <w:tcPr>
            <w:tcW w:w="1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581</w:t>
            </w:r>
          </w:p>
        </w:tc>
        <w:tc>
          <w:tcPr>
            <w:tcW w:w="280" w:type="dxa"/>
            <w:vAlign w:val="bottom"/>
            <w:shd w:val="clear" w:color="auto" w:fill="E5FFFF"/>
          </w:tcPr>
          <w:p>
            <w:pPr>
              <w:spacing w:after="0"/>
              <w:rPr>
                <w:sz w:val="17"/>
                <w:szCs w:val="17"/>
                <w:color w:val="auto"/>
              </w:rPr>
            </w:pPr>
          </w:p>
        </w:tc>
        <w:tc>
          <w:tcPr>
            <w:tcW w:w="2080" w:type="dxa"/>
            <w:vAlign w:val="bottom"/>
            <w:gridSpan w:val="2"/>
            <w:shd w:val="clear" w:color="auto" w:fill="E5FFFF"/>
          </w:tcPr>
          <w:p>
            <w:pPr>
              <w:jc w:val="right"/>
              <w:ind w:right="219"/>
              <w:spacing w:after="0"/>
              <w:rPr>
                <w:sz w:val="20"/>
                <w:szCs w:val="20"/>
                <w:color w:val="auto"/>
              </w:rPr>
            </w:pPr>
            <w:r>
              <w:rPr>
                <w:rFonts w:ascii="Arial" w:cs="Arial" w:eastAsia="Arial" w:hAnsi="Arial"/>
                <w:sz w:val="16"/>
                <w:szCs w:val="16"/>
                <w:color w:val="auto"/>
              </w:rPr>
              <w:t>656</w:t>
            </w:r>
          </w:p>
        </w:tc>
        <w:tc>
          <w:tcPr>
            <w:tcW w:w="1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rPr>
              <w:t>(Loss)/gain on derivatives</w:t>
            </w:r>
          </w:p>
        </w:tc>
        <w:tc>
          <w:tcPr>
            <w:tcW w:w="1980" w:type="dxa"/>
            <w:vAlign w:val="bottom"/>
            <w:gridSpan w:val="2"/>
          </w:tcPr>
          <w:p>
            <w:pPr>
              <w:jc w:val="right"/>
              <w:ind w:right="199"/>
              <w:spacing w:after="0"/>
              <w:rPr>
                <w:sz w:val="20"/>
                <w:szCs w:val="20"/>
                <w:color w:val="auto"/>
              </w:rPr>
            </w:pPr>
            <w:r>
              <w:rPr>
                <w:rFonts w:ascii="Arial" w:cs="Arial" w:eastAsia="Arial" w:hAnsi="Arial"/>
                <w:sz w:val="16"/>
                <w:szCs w:val="16"/>
                <w:color w:val="auto"/>
              </w:rPr>
              <w:t>(672)</w:t>
            </w:r>
          </w:p>
        </w:tc>
        <w:tc>
          <w:tcPr>
            <w:tcW w:w="1820" w:type="dxa"/>
            <w:vAlign w:val="bottom"/>
          </w:tcPr>
          <w:p>
            <w:pPr>
              <w:jc w:val="right"/>
              <w:spacing w:after="0"/>
              <w:rPr>
                <w:sz w:val="20"/>
                <w:szCs w:val="20"/>
                <w:color w:val="auto"/>
              </w:rPr>
            </w:pPr>
            <w:r>
              <w:rPr>
                <w:rFonts w:ascii="Arial" w:cs="Arial" w:eastAsia="Arial" w:hAnsi="Arial"/>
                <w:sz w:val="16"/>
                <w:szCs w:val="16"/>
                <w:color w:val="auto"/>
              </w:rPr>
              <w:t>2,082</w:t>
            </w:r>
          </w:p>
        </w:tc>
        <w:tc>
          <w:tcPr>
            <w:tcW w:w="280" w:type="dxa"/>
            <w:vAlign w:val="bottom"/>
          </w:tcPr>
          <w:p>
            <w:pPr>
              <w:spacing w:after="0"/>
              <w:rPr>
                <w:sz w:val="17"/>
                <w:szCs w:val="17"/>
                <w:color w:val="auto"/>
              </w:rPr>
            </w:pPr>
          </w:p>
        </w:tc>
        <w:tc>
          <w:tcPr>
            <w:tcW w:w="2080" w:type="dxa"/>
            <w:vAlign w:val="bottom"/>
            <w:gridSpan w:val="2"/>
          </w:tcPr>
          <w:p>
            <w:pPr>
              <w:jc w:val="right"/>
              <w:ind w:right="159"/>
              <w:spacing w:after="0"/>
              <w:rPr>
                <w:sz w:val="20"/>
                <w:szCs w:val="20"/>
                <w:color w:val="auto"/>
              </w:rPr>
            </w:pPr>
            <w:r>
              <w:rPr>
                <w:rFonts w:ascii="Arial" w:cs="Arial" w:eastAsia="Arial" w:hAnsi="Arial"/>
                <w:sz w:val="16"/>
                <w:szCs w:val="16"/>
                <w:color w:val="auto"/>
              </w:rPr>
              <w:t>(2,985)</w:t>
            </w:r>
          </w:p>
        </w:tc>
        <w:tc>
          <w:tcPr>
            <w:tcW w:w="1660" w:type="dxa"/>
            <w:vAlign w:val="bottom"/>
          </w:tcPr>
          <w:p>
            <w:pPr>
              <w:jc w:val="right"/>
              <w:spacing w:after="0"/>
              <w:rPr>
                <w:sz w:val="20"/>
                <w:szCs w:val="20"/>
                <w:color w:val="auto"/>
              </w:rPr>
            </w:pPr>
            <w:r>
              <w:rPr>
                <w:rFonts w:ascii="Arial" w:cs="Arial" w:eastAsia="Arial" w:hAnsi="Arial"/>
                <w:sz w:val="16"/>
                <w:szCs w:val="16"/>
                <w:color w:val="auto"/>
              </w:rPr>
              <w:t>9,997</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3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(12,650</w:t>
            </w:r>
          </w:p>
        </w:tc>
        <w:tc>
          <w:tcPr>
            <w:tcW w:w="280" w:type="dxa"/>
            <w:vAlign w:val="bottom"/>
            <w:tcBorders>
              <w:top w:val="single" w:sz="8" w:color="E5FFFF"/>
            </w:tcBorders>
            <w:shd w:val="clear" w:color="auto" w:fill="E5FFFF"/>
          </w:tcPr>
          <w:p>
            <w:pPr>
              <w:jc w:val="right"/>
              <w:ind w:right="199"/>
              <w:spacing w:after="0"/>
              <w:rPr>
                <w:sz w:val="20"/>
                <w:szCs w:val="20"/>
                <w:color w:val="auto"/>
              </w:rPr>
            </w:pPr>
            <w:r>
              <w:rPr>
                <w:rFonts w:ascii="Arial" w:cs="Arial" w:eastAsia="Arial" w:hAnsi="Arial"/>
                <w:sz w:val="8"/>
                <w:szCs w:val="8"/>
                <w:b w:val="1"/>
                <w:bCs w:val="1"/>
                <w:color w:val="auto"/>
                <w:w w:val="73"/>
              </w:rPr>
              <w:t>)</w:t>
            </w: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(12,870</w:t>
            </w:r>
          </w:p>
        </w:tc>
        <w:tc>
          <w:tcPr>
            <w:tcW w:w="280" w:type="dxa"/>
            <w:vAlign w:val="bottom"/>
            <w:tcBorders>
              <w:top w:val="single" w:sz="8" w:color="E5FFFF"/>
            </w:tcBorders>
            <w:shd w:val="clear" w:color="auto" w:fill="E5FFFF"/>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(33,688</w:t>
            </w:r>
          </w:p>
        </w:tc>
        <w:tc>
          <w:tcPr>
            <w:tcW w:w="300" w:type="dxa"/>
            <w:vAlign w:val="bottom"/>
            <w:tcBorders>
              <w:top w:val="single" w:sz="8" w:color="E5FFFF"/>
            </w:tcBorders>
            <w:shd w:val="clear" w:color="auto" w:fill="E5FFFF"/>
          </w:tcPr>
          <w:p>
            <w:pPr>
              <w:jc w:val="right"/>
              <w:ind w:right="159"/>
              <w:spacing w:after="0"/>
              <w:rPr>
                <w:sz w:val="20"/>
                <w:szCs w:val="20"/>
                <w:color w:val="auto"/>
              </w:rPr>
            </w:pPr>
            <w:r>
              <w:rPr>
                <w:rFonts w:ascii="Arial" w:cs="Arial" w:eastAsia="Arial" w:hAnsi="Arial"/>
                <w:sz w:val="16"/>
                <w:szCs w:val="16"/>
                <w:b w:val="1"/>
                <w:bCs w:val="1"/>
                <w:color w:val="auto"/>
                <w:w w:val="74"/>
              </w:rPr>
              <w:t>)</w:t>
            </w:r>
          </w:p>
        </w:tc>
        <w:tc>
          <w:tcPr>
            <w:tcW w:w="1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(32,297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00" w:type="dxa"/>
            <w:vAlign w:val="bottom"/>
          </w:tcPr>
          <w:p>
            <w:pPr>
              <w:spacing w:after="0"/>
              <w:rPr>
                <w:sz w:val="20"/>
                <w:szCs w:val="20"/>
                <w:color w:val="auto"/>
              </w:rPr>
            </w:pPr>
            <w:r>
              <w:rPr>
                <w:rFonts w:ascii="Arial" w:cs="Arial" w:eastAsia="Arial" w:hAnsi="Arial"/>
                <w:sz w:val="16"/>
                <w:szCs w:val="16"/>
                <w:b w:val="1"/>
                <w:bCs w:val="1"/>
                <w:color w:val="auto"/>
              </w:rPr>
              <w:t>Partnership’s profit for the period</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25,299</w:t>
            </w:r>
          </w:p>
        </w:tc>
        <w:tc>
          <w:tcPr>
            <w:tcW w:w="2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27,270</w:t>
            </w:r>
          </w:p>
        </w:tc>
        <w:tc>
          <w:tcPr>
            <w:tcW w:w="2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65,679</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82,173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-4445</wp:posOffset>
            </wp:positionV>
            <wp:extent cx="49568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5681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Reconciliation of IFRS Common Control Reported Results in our Financial Statements to Partnership Performance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5940" w:type="dxa"/>
            <w:vAlign w:val="bottom"/>
            <w:gridSpan w:val="6"/>
          </w:tcPr>
          <w:p>
            <w:pPr>
              <w:jc w:val="right"/>
              <w:ind w:right="1379"/>
              <w:spacing w:after="0"/>
              <w:rPr>
                <w:sz w:val="20"/>
                <w:szCs w:val="20"/>
                <w:color w:val="auto"/>
              </w:rPr>
            </w:pPr>
            <w:r>
              <w:rPr>
                <w:rFonts w:ascii="Arial" w:cs="Arial" w:eastAsia="Arial" w:hAnsi="Arial"/>
                <w:sz w:val="16"/>
                <w:szCs w:val="16"/>
                <w:b w:val="1"/>
                <w:bCs w:val="1"/>
                <w:color w:val="auto"/>
              </w:rPr>
              <w:t>For the three months ended September 30, 2017</w:t>
            </w:r>
          </w:p>
        </w:tc>
        <w:tc>
          <w:tcPr>
            <w:tcW w:w="0" w:type="dxa"/>
            <w:vAlign w:val="bottom"/>
          </w:tcPr>
          <w:p>
            <w:pPr>
              <w:spacing w:after="0"/>
              <w:rPr>
                <w:sz w:val="1"/>
                <w:szCs w:val="1"/>
                <w:color w:val="auto"/>
              </w:rPr>
            </w:pPr>
          </w:p>
        </w:tc>
      </w:tr>
      <w:tr>
        <w:trPr>
          <w:trHeight w:val="203"/>
        </w:trPr>
        <w:tc>
          <w:tcPr>
            <w:tcW w:w="552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w:t>
            </w:r>
          </w:p>
        </w:tc>
        <w:tc>
          <w:tcPr>
            <w:tcW w:w="2100" w:type="dxa"/>
            <w:vAlign w:val="bottom"/>
            <w:gridSpan w:val="2"/>
            <w:vMerge w:val="restart"/>
          </w:tcPr>
          <w:p>
            <w:pPr>
              <w:jc w:val="right"/>
              <w:ind w:right="419"/>
              <w:spacing w:after="0"/>
              <w:rPr>
                <w:sz w:val="20"/>
                <w:szCs w:val="20"/>
                <w:color w:val="auto"/>
              </w:rPr>
            </w:pPr>
            <w:r>
              <w:rPr>
                <w:rFonts w:ascii="Arial" w:cs="Arial" w:eastAsia="Arial" w:hAnsi="Arial"/>
                <w:sz w:val="16"/>
                <w:szCs w:val="16"/>
                <w:b w:val="1"/>
                <w:bCs w:val="1"/>
                <w:color w:val="auto"/>
              </w:rPr>
              <w:t>Results attributable</w:t>
            </w:r>
          </w:p>
        </w:tc>
        <w:tc>
          <w:tcPr>
            <w:tcW w:w="2000" w:type="dxa"/>
            <w:vAlign w:val="bottom"/>
            <w:gridSpan w:val="2"/>
            <w:vMerge w:val="restart"/>
          </w:tcPr>
          <w:p>
            <w:pPr>
              <w:jc w:val="right"/>
              <w:ind w:right="659"/>
              <w:spacing w:after="0"/>
              <w:rPr>
                <w:sz w:val="20"/>
                <w:szCs w:val="20"/>
                <w:color w:val="auto"/>
              </w:rPr>
            </w:pPr>
            <w:r>
              <w:rPr>
                <w:rFonts w:ascii="Arial" w:cs="Arial" w:eastAsia="Arial" w:hAnsi="Arial"/>
                <w:sz w:val="16"/>
                <w:szCs w:val="16"/>
                <w:b w:val="1"/>
                <w:bCs w:val="1"/>
                <w:color w:val="auto"/>
              </w:rPr>
              <w:t>Partnership</w:t>
            </w:r>
          </w:p>
        </w:tc>
        <w:tc>
          <w:tcPr>
            <w:tcW w:w="184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95"/>
        </w:trPr>
        <w:tc>
          <w:tcPr>
            <w:tcW w:w="5520" w:type="dxa"/>
            <w:vAlign w:val="bottom"/>
            <w:vMerge w:val="continue"/>
          </w:tcPr>
          <w:p>
            <w:pPr>
              <w:spacing w:after="0"/>
              <w:rPr>
                <w:sz w:val="8"/>
                <w:szCs w:val="8"/>
                <w:color w:val="auto"/>
              </w:rPr>
            </w:pPr>
          </w:p>
        </w:tc>
        <w:tc>
          <w:tcPr>
            <w:tcW w:w="2100" w:type="dxa"/>
            <w:vAlign w:val="bottom"/>
            <w:gridSpan w:val="2"/>
            <w:vMerge w:val="continue"/>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1840" w:type="dxa"/>
            <w:vAlign w:val="bottom"/>
            <w:gridSpan w:val="2"/>
            <w:vMerge w:val="restart"/>
          </w:tcPr>
          <w:p>
            <w:pPr>
              <w:jc w:val="center"/>
              <w:ind w:right="179"/>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108"/>
        </w:trPr>
        <w:tc>
          <w:tcPr>
            <w:tcW w:w="5520" w:type="dxa"/>
            <w:vAlign w:val="bottom"/>
            <w:vMerge w:val="restart"/>
          </w:tcPr>
          <w:p>
            <w:pPr>
              <w:ind w:left="200"/>
              <w:spacing w:after="0"/>
              <w:rPr>
                <w:sz w:val="20"/>
                <w:szCs w:val="20"/>
                <w:color w:val="auto"/>
              </w:rPr>
            </w:pPr>
            <w:r>
              <w:rPr>
                <w:rFonts w:ascii="Arial" w:cs="Arial" w:eastAsia="Arial" w:hAnsi="Arial"/>
                <w:sz w:val="16"/>
                <w:szCs w:val="16"/>
                <w:b w:val="1"/>
                <w:bCs w:val="1"/>
                <w:i w:val="1"/>
                <w:iCs w:val="1"/>
                <w:color w:val="auto"/>
              </w:rPr>
              <w:t>U.S. dollars</w:t>
            </w:r>
            <w:r>
              <w:rPr>
                <w:rFonts w:ascii="Arial" w:cs="Arial" w:eastAsia="Arial" w:hAnsi="Arial"/>
                <w:sz w:val="16"/>
                <w:szCs w:val="16"/>
                <w:color w:val="auto"/>
              </w:rPr>
              <w:t>)</w:t>
            </w:r>
          </w:p>
        </w:tc>
        <w:tc>
          <w:tcPr>
            <w:tcW w:w="2100" w:type="dxa"/>
            <w:vAlign w:val="bottom"/>
            <w:gridSpan w:val="2"/>
            <w:vMerge w:val="restart"/>
          </w:tcPr>
          <w:p>
            <w:pPr>
              <w:jc w:val="right"/>
              <w:ind w:right="759"/>
              <w:spacing w:after="0"/>
              <w:rPr>
                <w:sz w:val="20"/>
                <w:szCs w:val="20"/>
                <w:color w:val="auto"/>
              </w:rPr>
            </w:pPr>
            <w:r>
              <w:rPr>
                <w:rFonts w:ascii="Arial" w:cs="Arial" w:eastAsia="Arial" w:hAnsi="Arial"/>
                <w:sz w:val="16"/>
                <w:szCs w:val="16"/>
                <w:b w:val="1"/>
                <w:bCs w:val="1"/>
                <w:color w:val="auto"/>
              </w:rPr>
              <w:t>to GasLog</w:t>
            </w:r>
          </w:p>
        </w:tc>
        <w:tc>
          <w:tcPr>
            <w:tcW w:w="2000" w:type="dxa"/>
            <w:vAlign w:val="bottom"/>
            <w:gridSpan w:val="2"/>
            <w:vMerge w:val="restart"/>
          </w:tcPr>
          <w:p>
            <w:pPr>
              <w:jc w:val="right"/>
              <w:ind w:right="339"/>
              <w:spacing w:after="0"/>
              <w:rPr>
                <w:sz w:val="20"/>
                <w:szCs w:val="20"/>
                <w:color w:val="auto"/>
              </w:rPr>
            </w:pPr>
            <w:r>
              <w:rPr>
                <w:rFonts w:ascii="Arial" w:cs="Arial" w:eastAsia="Arial" w:hAnsi="Arial"/>
                <w:sz w:val="16"/>
                <w:szCs w:val="16"/>
                <w:b w:val="1"/>
                <w:bCs w:val="1"/>
                <w:color w:val="auto"/>
                <w:w w:val="97"/>
              </w:rPr>
              <w:t>Performance Results</w:t>
            </w:r>
          </w:p>
        </w:tc>
        <w:tc>
          <w:tcPr>
            <w:tcW w:w="1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520" w:type="dxa"/>
            <w:vAlign w:val="bottom"/>
            <w:vMerge w:val="continue"/>
          </w:tcPr>
          <w:p>
            <w:pPr>
              <w:spacing w:after="0"/>
              <w:rPr>
                <w:sz w:val="8"/>
                <w:szCs w:val="8"/>
                <w:color w:val="auto"/>
              </w:rPr>
            </w:pPr>
          </w:p>
        </w:tc>
        <w:tc>
          <w:tcPr>
            <w:tcW w:w="2100" w:type="dxa"/>
            <w:vAlign w:val="bottom"/>
            <w:gridSpan w:val="2"/>
            <w:vMerge w:val="continue"/>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1840" w:type="dxa"/>
            <w:vAlign w:val="bottom"/>
            <w:gridSpan w:val="2"/>
            <w:vMerge w:val="restart"/>
          </w:tcPr>
          <w:p>
            <w:pPr>
              <w:jc w:val="center"/>
              <w:ind w:right="179"/>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13,076</w:t>
            </w:r>
          </w:p>
        </w:tc>
        <w:tc>
          <w:tcPr>
            <w:tcW w:w="28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73,277</w:t>
            </w:r>
          </w:p>
        </w:tc>
        <w:tc>
          <w:tcPr>
            <w:tcW w:w="30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86,353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2100" w:type="dxa"/>
            <w:vAlign w:val="bottom"/>
            <w:gridSpan w:val="2"/>
          </w:tcPr>
          <w:p>
            <w:pPr>
              <w:jc w:val="right"/>
              <w:ind w:right="139"/>
              <w:spacing w:after="0"/>
              <w:rPr>
                <w:sz w:val="20"/>
                <w:szCs w:val="20"/>
                <w:color w:val="auto"/>
              </w:rPr>
            </w:pPr>
            <w:r>
              <w:rPr>
                <w:rFonts w:ascii="Arial" w:cs="Arial" w:eastAsia="Arial" w:hAnsi="Arial"/>
                <w:sz w:val="16"/>
                <w:szCs w:val="16"/>
                <w:color w:val="auto"/>
              </w:rPr>
              <w:t>(162)</w:t>
            </w:r>
          </w:p>
        </w:tc>
        <w:tc>
          <w:tcPr>
            <w:tcW w:w="2000" w:type="dxa"/>
            <w:vAlign w:val="bottom"/>
            <w:gridSpan w:val="2"/>
          </w:tcPr>
          <w:p>
            <w:pPr>
              <w:jc w:val="right"/>
              <w:ind w:right="159"/>
              <w:spacing w:after="0"/>
              <w:rPr>
                <w:sz w:val="20"/>
                <w:szCs w:val="20"/>
                <w:color w:val="auto"/>
              </w:rPr>
            </w:pPr>
            <w:r>
              <w:rPr>
                <w:rFonts w:ascii="Arial" w:cs="Arial" w:eastAsia="Arial" w:hAnsi="Arial"/>
                <w:sz w:val="16"/>
                <w:szCs w:val="16"/>
                <w:color w:val="auto"/>
              </w:rPr>
              <w:t>(919)</w:t>
            </w:r>
          </w:p>
        </w:tc>
        <w:tc>
          <w:tcPr>
            <w:tcW w:w="1660" w:type="dxa"/>
            <w:vAlign w:val="bottom"/>
          </w:tcPr>
          <w:p>
            <w:pPr>
              <w:jc w:val="right"/>
              <w:spacing w:after="0"/>
              <w:rPr>
                <w:sz w:val="20"/>
                <w:szCs w:val="20"/>
                <w:color w:val="auto"/>
              </w:rPr>
            </w:pPr>
            <w:r>
              <w:rPr>
                <w:rFonts w:ascii="Arial" w:cs="Arial" w:eastAsia="Arial" w:hAnsi="Arial"/>
                <w:sz w:val="16"/>
                <w:szCs w:val="16"/>
                <w:color w:val="auto"/>
              </w:rPr>
              <w:t>(1,081)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21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(1,327)</w:t>
            </w:r>
          </w:p>
        </w:tc>
        <w:tc>
          <w:tcPr>
            <w:tcW w:w="200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(15,046)</w:t>
            </w:r>
          </w:p>
        </w:tc>
        <w:tc>
          <w:tcPr>
            <w:tcW w:w="16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(16,373)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Depreciation</w:t>
            </w:r>
          </w:p>
        </w:tc>
        <w:tc>
          <w:tcPr>
            <w:tcW w:w="2100" w:type="dxa"/>
            <w:vAlign w:val="bottom"/>
            <w:gridSpan w:val="2"/>
          </w:tcPr>
          <w:p>
            <w:pPr>
              <w:jc w:val="right"/>
              <w:ind w:right="139"/>
              <w:spacing w:after="0"/>
              <w:rPr>
                <w:sz w:val="20"/>
                <w:szCs w:val="20"/>
                <w:color w:val="auto"/>
              </w:rPr>
            </w:pPr>
            <w:r>
              <w:rPr>
                <w:rFonts w:ascii="Arial" w:cs="Arial" w:eastAsia="Arial" w:hAnsi="Arial"/>
                <w:sz w:val="16"/>
                <w:szCs w:val="16"/>
                <w:color w:val="auto"/>
              </w:rPr>
              <w:t>(2,952)</w:t>
            </w:r>
          </w:p>
        </w:tc>
        <w:tc>
          <w:tcPr>
            <w:tcW w:w="2000" w:type="dxa"/>
            <w:vAlign w:val="bottom"/>
            <w:gridSpan w:val="2"/>
          </w:tcPr>
          <w:p>
            <w:pPr>
              <w:jc w:val="right"/>
              <w:ind w:right="159"/>
              <w:spacing w:after="0"/>
              <w:rPr>
                <w:sz w:val="20"/>
                <w:szCs w:val="20"/>
                <w:color w:val="auto"/>
              </w:rPr>
            </w:pPr>
            <w:r>
              <w:rPr>
                <w:rFonts w:ascii="Arial" w:cs="Arial" w:eastAsia="Arial" w:hAnsi="Arial"/>
                <w:sz w:val="16"/>
                <w:szCs w:val="16"/>
                <w:color w:val="auto"/>
              </w:rPr>
              <w:t>(15,580)</w:t>
            </w:r>
          </w:p>
        </w:tc>
        <w:tc>
          <w:tcPr>
            <w:tcW w:w="1660" w:type="dxa"/>
            <w:vAlign w:val="bottom"/>
          </w:tcPr>
          <w:p>
            <w:pPr>
              <w:jc w:val="right"/>
              <w:spacing w:after="0"/>
              <w:rPr>
                <w:sz w:val="20"/>
                <w:szCs w:val="20"/>
                <w:color w:val="auto"/>
              </w:rPr>
            </w:pPr>
            <w:r>
              <w:rPr>
                <w:rFonts w:ascii="Arial" w:cs="Arial" w:eastAsia="Arial" w:hAnsi="Arial"/>
                <w:sz w:val="16"/>
                <w:szCs w:val="16"/>
                <w:color w:val="auto"/>
              </w:rPr>
              <w:t>(18,532)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21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(206)</w:t>
            </w:r>
          </w:p>
        </w:tc>
        <w:tc>
          <w:tcPr>
            <w:tcW w:w="200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(3,783)</w:t>
            </w:r>
          </w:p>
        </w:tc>
        <w:tc>
          <w:tcPr>
            <w:tcW w:w="16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(3,989)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8,429</w:t>
            </w:r>
          </w:p>
        </w:tc>
        <w:tc>
          <w:tcPr>
            <w:tcW w:w="28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37,949</w:t>
            </w:r>
          </w:p>
        </w:tc>
        <w:tc>
          <w:tcPr>
            <w:tcW w:w="300" w:type="dxa"/>
            <w:vAlign w:val="bottom"/>
            <w:tcBorders>
              <w:bottom w:val="single" w:sz="8" w:color="E5FFFF"/>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46,378</w:t>
            </w:r>
          </w:p>
        </w:tc>
        <w:tc>
          <w:tcPr>
            <w:tcW w:w="180" w:type="dxa"/>
            <w:vAlign w:val="bottom"/>
            <w:vMerge w:val="restart"/>
          </w:tcPr>
          <w:p>
            <w:pPr>
              <w:jc w:val="right"/>
              <w:ind w:right="9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(2,731</w:t>
            </w:r>
          </w:p>
        </w:tc>
        <w:tc>
          <w:tcPr>
            <w:tcW w:w="28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w w:val="74"/>
              </w:rPr>
              <w:t>)</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(12,289</w:t>
            </w:r>
          </w:p>
        </w:tc>
        <w:tc>
          <w:tcPr>
            <w:tcW w:w="30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w w:val="74"/>
              </w:rPr>
              <w:t>)</w:t>
            </w:r>
          </w:p>
        </w:tc>
        <w:tc>
          <w:tcPr>
            <w:tcW w:w="16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(15,020</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Financial income</w:t>
            </w:r>
          </w:p>
        </w:tc>
        <w:tc>
          <w:tcPr>
            <w:tcW w:w="2100" w:type="dxa"/>
            <w:vAlign w:val="bottom"/>
            <w:gridSpan w:val="2"/>
          </w:tcPr>
          <w:p>
            <w:pPr>
              <w:jc w:val="right"/>
              <w:ind w:right="199"/>
              <w:spacing w:after="0"/>
              <w:rPr>
                <w:sz w:val="20"/>
                <w:szCs w:val="20"/>
                <w:color w:val="auto"/>
              </w:rPr>
            </w:pPr>
            <w:r>
              <w:rPr>
                <w:rFonts w:ascii="Arial" w:cs="Arial" w:eastAsia="Arial" w:hAnsi="Arial"/>
                <w:sz w:val="16"/>
                <w:szCs w:val="16"/>
                <w:color w:val="auto"/>
              </w:rPr>
              <w:t>10</w:t>
            </w:r>
          </w:p>
        </w:tc>
        <w:tc>
          <w:tcPr>
            <w:tcW w:w="2000" w:type="dxa"/>
            <w:vAlign w:val="bottom"/>
            <w:gridSpan w:val="2"/>
          </w:tcPr>
          <w:p>
            <w:pPr>
              <w:jc w:val="right"/>
              <w:ind w:right="219"/>
              <w:spacing w:after="0"/>
              <w:rPr>
                <w:sz w:val="20"/>
                <w:szCs w:val="20"/>
                <w:color w:val="auto"/>
              </w:rPr>
            </w:pPr>
            <w:r>
              <w:rPr>
                <w:rFonts w:ascii="Arial" w:cs="Arial" w:eastAsia="Arial" w:hAnsi="Arial"/>
                <w:sz w:val="16"/>
                <w:szCs w:val="16"/>
                <w:color w:val="auto"/>
              </w:rPr>
              <w:t>311</w:t>
            </w:r>
          </w:p>
        </w:tc>
        <w:tc>
          <w:tcPr>
            <w:tcW w:w="1660" w:type="dxa"/>
            <w:vAlign w:val="bottom"/>
          </w:tcPr>
          <w:p>
            <w:pPr>
              <w:jc w:val="right"/>
              <w:spacing w:after="0"/>
              <w:rPr>
                <w:sz w:val="20"/>
                <w:szCs w:val="20"/>
                <w:color w:val="auto"/>
              </w:rPr>
            </w:pPr>
            <w:r>
              <w:rPr>
                <w:rFonts w:ascii="Arial" w:cs="Arial" w:eastAsia="Arial" w:hAnsi="Arial"/>
                <w:sz w:val="16"/>
                <w:szCs w:val="16"/>
                <w:color w:val="auto"/>
              </w:rPr>
              <w:t>321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Loss on derivatives</w:t>
            </w:r>
          </w:p>
        </w:tc>
        <w:tc>
          <w:tcPr>
            <w:tcW w:w="210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200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(672)</w:t>
            </w:r>
          </w:p>
        </w:tc>
        <w:tc>
          <w:tcPr>
            <w:tcW w:w="16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(672)</w:t>
            </w:r>
          </w:p>
        </w:tc>
        <w:tc>
          <w:tcPr>
            <w:tcW w:w="180" w:type="dxa"/>
            <w:vAlign w:val="bottom"/>
            <w:vMerge w:val="restart"/>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(2,721</w:t>
            </w:r>
          </w:p>
        </w:tc>
        <w:tc>
          <w:tcPr>
            <w:tcW w:w="280" w:type="dxa"/>
            <w:vAlign w:val="bottom"/>
            <w:tcBorders>
              <w:bottom w:val="single" w:sz="8" w:color="E5FFFF"/>
            </w:tcBorders>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(12,650</w:t>
            </w:r>
          </w:p>
        </w:tc>
        <w:tc>
          <w:tcPr>
            <w:tcW w:w="300" w:type="dxa"/>
            <w:vAlign w:val="bottom"/>
            <w:tcBorders>
              <w:bottom w:val="single" w:sz="8" w:color="E5FFFF"/>
            </w:tcBorders>
          </w:tcPr>
          <w:p>
            <w:pPr>
              <w:jc w:val="right"/>
              <w:ind w:right="159"/>
              <w:spacing w:after="0"/>
              <w:rPr>
                <w:sz w:val="20"/>
                <w:szCs w:val="20"/>
                <w:color w:val="auto"/>
              </w:rPr>
            </w:pPr>
            <w:r>
              <w:rPr>
                <w:rFonts w:ascii="Arial" w:cs="Arial" w:eastAsia="Arial" w:hAnsi="Arial"/>
                <w:sz w:val="16"/>
                <w:szCs w:val="16"/>
                <w:b w:val="1"/>
                <w:bCs w:val="1"/>
                <w:color w:val="auto"/>
                <w:w w:val="7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(15,371</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5,708</w:t>
            </w:r>
          </w:p>
        </w:tc>
        <w:tc>
          <w:tcPr>
            <w:tcW w:w="28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25,299</w:t>
            </w:r>
          </w:p>
        </w:tc>
        <w:tc>
          <w:tcPr>
            <w:tcW w:w="300" w:type="dxa"/>
            <w:vAlign w:val="bottom"/>
            <w:tcBorders>
              <w:bottom w:val="single" w:sz="8" w:color="E5FFFF"/>
            </w:tcBorders>
            <w:shd w:val="clear" w:color="auto" w:fill="E5FFFF"/>
          </w:tcPr>
          <w:p>
            <w:pPr>
              <w:spacing w:after="0"/>
              <w:rPr>
                <w:sz w:val="17"/>
                <w:szCs w:val="17"/>
                <w:color w:val="auto"/>
              </w:rPr>
            </w:pPr>
          </w:p>
        </w:tc>
        <w:tc>
          <w:tcPr>
            <w:tcW w:w="166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31,007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4"/>
                <w:szCs w:val="24"/>
                <w:color w:val="auto"/>
              </w:rPr>
            </w:pPr>
          </w:p>
        </w:tc>
        <w:tc>
          <w:tcPr>
            <w:tcW w:w="2100" w:type="dxa"/>
            <w:vAlign w:val="bottom"/>
            <w:gridSpan w:val="2"/>
          </w:tcPr>
          <w:p>
            <w:pPr>
              <w:jc w:val="right"/>
              <w:ind w:right="1679"/>
              <w:spacing w:after="0"/>
              <w:rPr>
                <w:sz w:val="20"/>
                <w:szCs w:val="20"/>
                <w:color w:val="auto"/>
              </w:rPr>
            </w:pPr>
            <w:r>
              <w:rPr>
                <w:rFonts w:ascii="Arial" w:cs="Arial" w:eastAsia="Arial" w:hAnsi="Arial"/>
                <w:sz w:val="18"/>
                <w:szCs w:val="18"/>
                <w:color w:val="auto"/>
              </w:rPr>
              <w:t>A-1</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52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20" w:type="dxa"/>
            <w:vAlign w:val="bottom"/>
            <w:gridSpan w:val="11"/>
          </w:tcPr>
          <w:p>
            <w:pPr>
              <w:jc w:val="center"/>
              <w:ind w:right="199"/>
              <w:spacing w:after="0"/>
              <w:rPr>
                <w:sz w:val="20"/>
                <w:szCs w:val="20"/>
                <w:color w:val="auto"/>
              </w:rPr>
            </w:pPr>
            <w:r>
              <w:rPr>
                <w:rFonts w:ascii="Arial" w:cs="Arial" w:eastAsia="Arial" w:hAnsi="Arial"/>
                <w:sz w:val="16"/>
                <w:szCs w:val="16"/>
                <w:b w:val="1"/>
                <w:bCs w:val="1"/>
                <w:color w:val="auto"/>
                <w:w w:val="90"/>
              </w:rPr>
              <w:t>For the three months ended September 30, 2018</w:t>
            </w:r>
          </w:p>
        </w:tc>
        <w:tc>
          <w:tcPr>
            <w:tcW w:w="0" w:type="dxa"/>
            <w:vAlign w:val="bottom"/>
          </w:tcPr>
          <w:p>
            <w:pPr>
              <w:spacing w:after="0"/>
              <w:rPr>
                <w:sz w:val="1"/>
                <w:szCs w:val="1"/>
                <w:color w:val="auto"/>
              </w:rPr>
            </w:pPr>
          </w:p>
        </w:tc>
      </w:tr>
      <w:tr>
        <w:trPr>
          <w:trHeight w:val="208"/>
        </w:trPr>
        <w:tc>
          <w:tcPr>
            <w:tcW w:w="410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gridSpan w:val="3"/>
            <w:vMerge w:val="restart"/>
          </w:tcPr>
          <w:p>
            <w:pPr>
              <w:jc w:val="center"/>
              <w:ind w:right="239"/>
              <w:spacing w:after="0"/>
              <w:rPr>
                <w:sz w:val="20"/>
                <w:szCs w:val="20"/>
                <w:color w:val="auto"/>
              </w:rPr>
            </w:pPr>
            <w:r>
              <w:rPr>
                <w:rFonts w:ascii="Arial" w:cs="Arial" w:eastAsia="Arial" w:hAnsi="Arial"/>
                <w:sz w:val="16"/>
                <w:szCs w:val="16"/>
                <w:b w:val="1"/>
                <w:bCs w:val="1"/>
                <w:color w:val="auto"/>
                <w:w w:val="92"/>
              </w:rPr>
              <w:t>Results attributable</w:t>
            </w:r>
          </w:p>
        </w:tc>
        <w:tc>
          <w:tcPr>
            <w:tcW w:w="40" w:type="dxa"/>
            <w:vAlign w:val="bottom"/>
          </w:tcPr>
          <w:p>
            <w:pPr>
              <w:spacing w:after="0"/>
              <w:rPr>
                <w:sz w:val="18"/>
                <w:szCs w:val="18"/>
                <w:color w:val="auto"/>
              </w:rPr>
            </w:pPr>
          </w:p>
        </w:tc>
        <w:tc>
          <w:tcPr>
            <w:tcW w:w="1960" w:type="dxa"/>
            <w:vAlign w:val="bottom"/>
            <w:gridSpan w:val="3"/>
            <w:vMerge w:val="restart"/>
          </w:tcPr>
          <w:p>
            <w:pPr>
              <w:jc w:val="center"/>
              <w:ind w:right="299"/>
              <w:spacing w:after="0"/>
              <w:rPr>
                <w:sz w:val="20"/>
                <w:szCs w:val="20"/>
                <w:color w:val="auto"/>
              </w:rPr>
            </w:pPr>
            <w:r>
              <w:rPr>
                <w:rFonts w:ascii="Arial" w:cs="Arial" w:eastAsia="Arial" w:hAnsi="Arial"/>
                <w:sz w:val="16"/>
                <w:szCs w:val="16"/>
                <w:b w:val="1"/>
                <w:bCs w:val="1"/>
                <w:color w:val="auto"/>
                <w:w w:val="92"/>
              </w:rPr>
              <w:t>Partnership</w:t>
            </w:r>
          </w:p>
        </w:tc>
        <w:tc>
          <w:tcPr>
            <w:tcW w:w="60" w:type="dxa"/>
            <w:vAlign w:val="bottom"/>
          </w:tcPr>
          <w:p>
            <w:pPr>
              <w:spacing w:after="0"/>
              <w:rPr>
                <w:sz w:val="18"/>
                <w:szCs w:val="18"/>
                <w:color w:val="auto"/>
              </w:rPr>
            </w:pPr>
          </w:p>
        </w:tc>
        <w:tc>
          <w:tcPr>
            <w:tcW w:w="182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95"/>
        </w:trPr>
        <w:tc>
          <w:tcPr>
            <w:tcW w:w="410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gridSpan w:val="3"/>
            <w:vMerge w:val="restart"/>
          </w:tcPr>
          <w:p>
            <w:pPr>
              <w:jc w:val="center"/>
              <w:ind w:right="219"/>
              <w:spacing w:after="0"/>
              <w:rPr>
                <w:sz w:val="20"/>
                <w:szCs w:val="20"/>
                <w:color w:val="auto"/>
              </w:rPr>
            </w:pPr>
            <w:r>
              <w:rPr>
                <w:rFonts w:ascii="Arial" w:cs="Arial" w:eastAsia="Arial" w:hAnsi="Arial"/>
                <w:sz w:val="16"/>
                <w:szCs w:val="16"/>
                <w:b w:val="1"/>
                <w:bCs w:val="1"/>
                <w:color w:val="auto"/>
                <w:w w:val="94"/>
              </w:rPr>
              <w:t>Control Reported</w:t>
            </w:r>
          </w:p>
        </w:tc>
        <w:tc>
          <w:tcPr>
            <w:tcW w:w="0" w:type="dxa"/>
            <w:vAlign w:val="bottom"/>
          </w:tcPr>
          <w:p>
            <w:pPr>
              <w:spacing w:after="0"/>
              <w:rPr>
                <w:sz w:val="1"/>
                <w:szCs w:val="1"/>
                <w:color w:val="auto"/>
              </w:rPr>
            </w:pPr>
          </w:p>
        </w:tc>
      </w:tr>
      <w:tr>
        <w:trPr>
          <w:trHeight w:val="108"/>
        </w:trPr>
        <w:tc>
          <w:tcPr>
            <w:tcW w:w="4100" w:type="dxa"/>
            <w:vAlign w:val="bottom"/>
            <w:vMerge w:val="restart"/>
          </w:tcPr>
          <w:p>
            <w:pPr>
              <w:ind w:left="200"/>
              <w:spacing w:after="0"/>
              <w:rPr>
                <w:sz w:val="20"/>
                <w:szCs w:val="20"/>
                <w:color w:val="auto"/>
              </w:rPr>
            </w:pPr>
            <w:r>
              <w:rPr>
                <w:rFonts w:ascii="Arial" w:cs="Arial" w:eastAsia="Arial" w:hAnsi="Arial"/>
                <w:sz w:val="16"/>
                <w:szCs w:val="16"/>
                <w:b w:val="1"/>
                <w:bCs w:val="1"/>
                <w:i w:val="1"/>
                <w:iCs w:val="1"/>
                <w:color w:val="auto"/>
              </w:rPr>
              <w:t>U.S. dollars</w:t>
            </w:r>
            <w:r>
              <w:rPr>
                <w:rFonts w:ascii="Arial" w:cs="Arial" w:eastAsia="Arial" w:hAnsi="Arial"/>
                <w:sz w:val="16"/>
                <w:szCs w:val="16"/>
                <w:color w:val="auto"/>
              </w:rPr>
              <w:t>)</w:t>
            </w: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gridSpan w:val="3"/>
            <w:vMerge w:val="restart"/>
          </w:tcPr>
          <w:p>
            <w:pPr>
              <w:jc w:val="center"/>
              <w:ind w:right="239"/>
              <w:spacing w:after="0"/>
              <w:rPr>
                <w:sz w:val="20"/>
                <w:szCs w:val="20"/>
                <w:color w:val="auto"/>
              </w:rPr>
            </w:pPr>
            <w:r>
              <w:rPr>
                <w:rFonts w:ascii="Arial" w:cs="Arial" w:eastAsia="Arial" w:hAnsi="Arial"/>
                <w:sz w:val="16"/>
                <w:szCs w:val="16"/>
                <w:b w:val="1"/>
                <w:bCs w:val="1"/>
                <w:color w:val="auto"/>
                <w:w w:val="88"/>
              </w:rPr>
              <w:t>to GasLog</w:t>
            </w:r>
          </w:p>
        </w:tc>
        <w:tc>
          <w:tcPr>
            <w:tcW w:w="40" w:type="dxa"/>
            <w:vAlign w:val="bottom"/>
          </w:tcPr>
          <w:p>
            <w:pPr>
              <w:spacing w:after="0"/>
              <w:rPr>
                <w:sz w:val="9"/>
                <w:szCs w:val="9"/>
                <w:color w:val="auto"/>
              </w:rPr>
            </w:pPr>
          </w:p>
        </w:tc>
        <w:tc>
          <w:tcPr>
            <w:tcW w:w="1960" w:type="dxa"/>
            <w:vAlign w:val="bottom"/>
            <w:gridSpan w:val="3"/>
            <w:vMerge w:val="restart"/>
          </w:tcPr>
          <w:p>
            <w:pPr>
              <w:jc w:val="center"/>
              <w:ind w:right="279"/>
              <w:spacing w:after="0"/>
              <w:rPr>
                <w:sz w:val="20"/>
                <w:szCs w:val="20"/>
                <w:color w:val="auto"/>
              </w:rPr>
            </w:pPr>
            <w:r>
              <w:rPr>
                <w:rFonts w:ascii="Arial" w:cs="Arial" w:eastAsia="Arial" w:hAnsi="Arial"/>
                <w:sz w:val="16"/>
                <w:szCs w:val="16"/>
                <w:b w:val="1"/>
                <w:bCs w:val="1"/>
                <w:color w:val="auto"/>
                <w:w w:val="89"/>
              </w:rPr>
              <w:t>Performance Results</w:t>
            </w:r>
          </w:p>
        </w:tc>
        <w:tc>
          <w:tcPr>
            <w:tcW w:w="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0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gridSpan w:val="3"/>
            <w:vMerge w:val="restart"/>
          </w:tcPr>
          <w:p>
            <w:pPr>
              <w:jc w:val="center"/>
              <w:ind w:right="219"/>
              <w:spacing w:after="0"/>
              <w:rPr>
                <w:sz w:val="20"/>
                <w:szCs w:val="20"/>
                <w:color w:val="auto"/>
              </w:rPr>
            </w:pPr>
            <w:r>
              <w:rPr>
                <w:rFonts w:ascii="Arial" w:cs="Arial" w:eastAsia="Arial" w:hAnsi="Arial"/>
                <w:sz w:val="16"/>
                <w:szCs w:val="16"/>
                <w:b w:val="1"/>
                <w:bCs w:val="1"/>
                <w:color w:val="auto"/>
                <w:w w:val="89"/>
              </w:rPr>
              <w:t>Results</w:t>
            </w: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5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640" w:type="dxa"/>
            <w:vAlign w:val="bottom"/>
            <w:tcBorders>
              <w:top w:val="single" w:sz="8" w:color="auto"/>
            </w:tcBorders>
            <w:shd w:val="clear" w:color="auto" w:fill="E5FFFF"/>
          </w:tcPr>
          <w:p>
            <w:pPr>
              <w:ind w:left="1480"/>
              <w:spacing w:after="0"/>
              <w:rPr>
                <w:sz w:val="20"/>
                <w:szCs w:val="20"/>
                <w:color w:val="auto"/>
              </w:rPr>
            </w:pPr>
            <w:r>
              <w:rPr>
                <w:rFonts w:ascii="Arial" w:cs="Arial" w:eastAsia="Arial" w:hAnsi="Arial"/>
                <w:sz w:val="16"/>
                <w:szCs w:val="16"/>
                <w:color w:val="auto"/>
                <w:w w:val="87"/>
              </w:rPr>
              <w:t>—</w:t>
            </w:r>
          </w:p>
        </w:tc>
        <w:tc>
          <w:tcPr>
            <w:tcW w:w="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81,887</w:t>
            </w:r>
          </w:p>
        </w:tc>
        <w:tc>
          <w:tcPr>
            <w:tcW w:w="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81,887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Net pool allocation</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3"/>
          </w:tcPr>
          <w:p>
            <w:pPr>
              <w:ind w:left="148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780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780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5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940" w:type="dxa"/>
            <w:vAlign w:val="bottom"/>
            <w:gridSpan w:val="3"/>
            <w:shd w:val="clear" w:color="auto" w:fill="E5FFFF"/>
          </w:tcPr>
          <w:p>
            <w:pPr>
              <w:ind w:left="1480"/>
              <w:spacing w:after="0"/>
              <w:rPr>
                <w:sz w:val="20"/>
                <w:szCs w:val="20"/>
                <w:color w:val="auto"/>
              </w:rPr>
            </w:pPr>
            <w:r>
              <w:rPr>
                <w:rFonts w:ascii="Arial" w:cs="Arial" w:eastAsia="Arial" w:hAnsi="Arial"/>
                <w:sz w:val="16"/>
                <w:szCs w:val="16"/>
                <w:color w:val="auto"/>
              </w:rPr>
              <w:t>—</w:t>
            </w:r>
          </w:p>
        </w:tc>
        <w:tc>
          <w:tcPr>
            <w:tcW w:w="17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(3,359)</w:t>
            </w:r>
          </w:p>
        </w:tc>
        <w:tc>
          <w:tcPr>
            <w:tcW w:w="220" w:type="dxa"/>
            <w:vAlign w:val="bottom"/>
            <w:shd w:val="clear" w:color="auto" w:fill="E5FFFF"/>
          </w:tcPr>
          <w:p>
            <w:pPr>
              <w:spacing w:after="0"/>
              <w:rPr>
                <w:sz w:val="17"/>
                <w:szCs w:val="17"/>
                <w:color w:val="auto"/>
              </w:rPr>
            </w:pPr>
          </w:p>
        </w:tc>
        <w:tc>
          <w:tcPr>
            <w:tcW w:w="17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(3,359)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3"/>
          </w:tcPr>
          <w:p>
            <w:pPr>
              <w:ind w:left="1480"/>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(15,765)</w:t>
            </w:r>
          </w:p>
        </w:tc>
        <w:tc>
          <w:tcPr>
            <w:tcW w:w="2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(15,765)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5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940" w:type="dxa"/>
            <w:vAlign w:val="bottom"/>
            <w:gridSpan w:val="3"/>
            <w:shd w:val="clear" w:color="auto" w:fill="E5FFFF"/>
          </w:tcPr>
          <w:p>
            <w:pPr>
              <w:ind w:left="1480"/>
              <w:spacing w:after="0"/>
              <w:rPr>
                <w:sz w:val="20"/>
                <w:szCs w:val="20"/>
                <w:color w:val="auto"/>
              </w:rPr>
            </w:pPr>
            <w:r>
              <w:rPr>
                <w:rFonts w:ascii="Arial" w:cs="Arial" w:eastAsia="Arial" w:hAnsi="Arial"/>
                <w:sz w:val="16"/>
                <w:szCs w:val="16"/>
                <w:color w:val="auto"/>
              </w:rPr>
              <w:t>—</w:t>
            </w:r>
          </w:p>
        </w:tc>
        <w:tc>
          <w:tcPr>
            <w:tcW w:w="17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(18,710)</w:t>
            </w:r>
          </w:p>
        </w:tc>
        <w:tc>
          <w:tcPr>
            <w:tcW w:w="220" w:type="dxa"/>
            <w:vAlign w:val="bottom"/>
            <w:shd w:val="clear" w:color="auto" w:fill="E5FFFF"/>
          </w:tcPr>
          <w:p>
            <w:pPr>
              <w:spacing w:after="0"/>
              <w:rPr>
                <w:sz w:val="17"/>
                <w:szCs w:val="17"/>
                <w:color w:val="auto"/>
              </w:rPr>
            </w:pPr>
          </w:p>
        </w:tc>
        <w:tc>
          <w:tcPr>
            <w:tcW w:w="17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(18,710)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3"/>
          </w:tcPr>
          <w:p>
            <w:pPr>
              <w:ind w:left="1480"/>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(4,693)</w:t>
            </w:r>
          </w:p>
        </w:tc>
        <w:tc>
          <w:tcPr>
            <w:tcW w:w="2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(4,693)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5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bottom w:val="single" w:sz="8" w:color="auto"/>
            </w:tcBorders>
            <w:shd w:val="clear" w:color="auto" w:fill="E5FFFF"/>
          </w:tcPr>
          <w:p>
            <w:pPr>
              <w:spacing w:after="0"/>
              <w:rPr>
                <w:sz w:val="17"/>
                <w:szCs w:val="17"/>
                <w:color w:val="auto"/>
              </w:rPr>
            </w:pPr>
          </w:p>
        </w:tc>
        <w:tc>
          <w:tcPr>
            <w:tcW w:w="1640" w:type="dxa"/>
            <w:vAlign w:val="bottom"/>
            <w:tcBorders>
              <w:top w:val="single" w:sz="8" w:color="auto"/>
              <w:bottom w:val="single" w:sz="8" w:color="auto"/>
            </w:tcBorders>
            <w:shd w:val="clear" w:color="auto" w:fill="E5FFFF"/>
          </w:tcPr>
          <w:p>
            <w:pPr>
              <w:ind w:left="1480"/>
              <w:spacing w:after="0"/>
              <w:rPr>
                <w:sz w:val="20"/>
                <w:szCs w:val="20"/>
                <w:color w:val="auto"/>
              </w:rPr>
            </w:pPr>
            <w:r>
              <w:rPr>
                <w:rFonts w:ascii="Arial" w:cs="Arial" w:eastAsia="Arial" w:hAnsi="Arial"/>
                <w:sz w:val="16"/>
                <w:szCs w:val="16"/>
                <w:b w:val="1"/>
                <w:bCs w:val="1"/>
                <w:color w:val="auto"/>
                <w:w w:val="87"/>
              </w:rPr>
              <w:t>—</w:t>
            </w:r>
          </w:p>
        </w:tc>
        <w:tc>
          <w:tcPr>
            <w:tcW w:w="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40,140</w:t>
            </w:r>
          </w:p>
        </w:tc>
        <w:tc>
          <w:tcPr>
            <w:tcW w:w="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40,140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Pr>
          <w:p>
            <w:pPr>
              <w:spacing w:after="0"/>
              <w:rPr>
                <w:sz w:val="20"/>
                <w:szCs w:val="20"/>
                <w:color w:val="auto"/>
              </w:rPr>
            </w:pPr>
            <w:r>
              <w:rPr>
                <w:rFonts w:ascii="Arial" w:cs="Arial" w:eastAsia="Arial" w:hAnsi="Arial"/>
                <w:sz w:val="16"/>
                <w:szCs w:val="16"/>
                <w:color w:val="auto"/>
              </w:rPr>
              <w:t>Financial costs</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ind w:left="1480"/>
              <w:spacing w:after="0"/>
              <w:rPr>
                <w:sz w:val="20"/>
                <w:szCs w:val="20"/>
                <w:color w:val="auto"/>
              </w:rPr>
            </w:pPr>
            <w:r>
              <w:rPr>
                <w:rFonts w:ascii="Arial" w:cs="Arial" w:eastAsia="Arial" w:hAnsi="Arial"/>
                <w:sz w:val="16"/>
                <w:szCs w:val="16"/>
                <w:color w:val="auto"/>
                <w:w w:val="87"/>
              </w:rPr>
              <w: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(15,533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(15,533)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5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940" w:type="dxa"/>
            <w:vAlign w:val="bottom"/>
            <w:gridSpan w:val="3"/>
            <w:shd w:val="clear" w:color="auto" w:fill="E5FFFF"/>
          </w:tcPr>
          <w:p>
            <w:pPr>
              <w:ind w:left="14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581</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7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581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Gain on derivatives</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3"/>
          </w:tcPr>
          <w:p>
            <w:pPr>
              <w:ind w:left="148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2,082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2,082</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5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bottom w:val="single" w:sz="8" w:color="auto"/>
            </w:tcBorders>
            <w:shd w:val="clear" w:color="auto" w:fill="E5FFFF"/>
          </w:tcPr>
          <w:p>
            <w:pPr>
              <w:spacing w:after="0"/>
              <w:rPr>
                <w:sz w:val="17"/>
                <w:szCs w:val="17"/>
                <w:color w:val="auto"/>
              </w:rPr>
            </w:pPr>
          </w:p>
        </w:tc>
        <w:tc>
          <w:tcPr>
            <w:tcW w:w="1640" w:type="dxa"/>
            <w:vAlign w:val="bottom"/>
            <w:tcBorders>
              <w:top w:val="single" w:sz="8" w:color="auto"/>
              <w:bottom w:val="single" w:sz="8" w:color="auto"/>
            </w:tcBorders>
            <w:shd w:val="clear" w:color="auto" w:fill="E5FFFF"/>
          </w:tcPr>
          <w:p>
            <w:pPr>
              <w:ind w:left="1480"/>
              <w:spacing w:after="0"/>
              <w:rPr>
                <w:sz w:val="20"/>
                <w:szCs w:val="20"/>
                <w:color w:val="auto"/>
              </w:rPr>
            </w:pPr>
            <w:r>
              <w:rPr>
                <w:rFonts w:ascii="Arial" w:cs="Arial" w:eastAsia="Arial" w:hAnsi="Arial"/>
                <w:sz w:val="16"/>
                <w:szCs w:val="16"/>
                <w:b w:val="1"/>
                <w:bCs w:val="1"/>
                <w:color w:val="auto"/>
                <w:w w:val="87"/>
              </w:rPr>
              <w:t>—</w:t>
            </w:r>
          </w:p>
        </w:tc>
        <w:tc>
          <w:tcPr>
            <w:tcW w:w="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(12,870</w:t>
            </w:r>
          </w:p>
        </w:tc>
        <w:tc>
          <w:tcPr>
            <w:tcW w:w="6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(12,870</w:t>
            </w:r>
          </w:p>
        </w:tc>
        <w:tc>
          <w:tcPr>
            <w:tcW w:w="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5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ind w:left="1480"/>
              <w:spacing w:after="0"/>
              <w:rPr>
                <w:sz w:val="20"/>
                <w:szCs w:val="20"/>
                <w:color w:val="auto"/>
              </w:rPr>
            </w:pPr>
            <w:r>
              <w:rPr>
                <w:rFonts w:ascii="Arial" w:cs="Arial" w:eastAsia="Arial" w:hAnsi="Arial"/>
                <w:sz w:val="16"/>
                <w:szCs w:val="16"/>
                <w:b w:val="1"/>
                <w:bCs w:val="1"/>
                <w:color w:val="auto"/>
                <w:w w:val="87"/>
              </w:rPr>
              <w: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27,270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27,270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9"/>
        </w:trPr>
        <w:tc>
          <w:tcPr>
            <w:tcW w:w="4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11"/>
          </w:tcPr>
          <w:p>
            <w:pPr>
              <w:jc w:val="center"/>
              <w:ind w:right="179"/>
              <w:spacing w:after="0"/>
              <w:rPr>
                <w:sz w:val="20"/>
                <w:szCs w:val="20"/>
                <w:color w:val="auto"/>
              </w:rPr>
            </w:pPr>
            <w:r>
              <w:rPr>
                <w:rFonts w:ascii="Arial" w:cs="Arial" w:eastAsia="Arial" w:hAnsi="Arial"/>
                <w:sz w:val="16"/>
                <w:szCs w:val="16"/>
                <w:b w:val="1"/>
                <w:bCs w:val="1"/>
                <w:color w:val="auto"/>
                <w:w w:val="90"/>
              </w:rPr>
              <w:t>For the nine months ended September 30, 2017</w:t>
            </w:r>
          </w:p>
        </w:tc>
        <w:tc>
          <w:tcPr>
            <w:tcW w:w="0" w:type="dxa"/>
            <w:vAlign w:val="bottom"/>
          </w:tcPr>
          <w:p>
            <w:pPr>
              <w:spacing w:after="0"/>
              <w:rPr>
                <w:sz w:val="1"/>
                <w:szCs w:val="1"/>
                <w:color w:val="auto"/>
              </w:rPr>
            </w:pPr>
          </w:p>
        </w:tc>
      </w:tr>
      <w:tr>
        <w:trPr>
          <w:trHeight w:val="208"/>
        </w:trPr>
        <w:tc>
          <w:tcPr>
            <w:tcW w:w="410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gridSpan w:val="3"/>
            <w:vMerge w:val="restart"/>
          </w:tcPr>
          <w:p>
            <w:pPr>
              <w:jc w:val="center"/>
              <w:ind w:right="239"/>
              <w:spacing w:after="0"/>
              <w:rPr>
                <w:sz w:val="20"/>
                <w:szCs w:val="20"/>
                <w:color w:val="auto"/>
              </w:rPr>
            </w:pPr>
            <w:r>
              <w:rPr>
                <w:rFonts w:ascii="Arial" w:cs="Arial" w:eastAsia="Arial" w:hAnsi="Arial"/>
                <w:sz w:val="16"/>
                <w:szCs w:val="16"/>
                <w:b w:val="1"/>
                <w:bCs w:val="1"/>
                <w:color w:val="auto"/>
                <w:w w:val="92"/>
              </w:rPr>
              <w:t>Results attributable</w:t>
            </w:r>
          </w:p>
        </w:tc>
        <w:tc>
          <w:tcPr>
            <w:tcW w:w="40" w:type="dxa"/>
            <w:vAlign w:val="bottom"/>
          </w:tcPr>
          <w:p>
            <w:pPr>
              <w:spacing w:after="0"/>
              <w:rPr>
                <w:sz w:val="18"/>
                <w:szCs w:val="18"/>
                <w:color w:val="auto"/>
              </w:rPr>
            </w:pPr>
          </w:p>
        </w:tc>
        <w:tc>
          <w:tcPr>
            <w:tcW w:w="1960" w:type="dxa"/>
            <w:vAlign w:val="bottom"/>
            <w:gridSpan w:val="3"/>
            <w:vMerge w:val="restart"/>
          </w:tcPr>
          <w:p>
            <w:pPr>
              <w:jc w:val="center"/>
              <w:ind w:right="299"/>
              <w:spacing w:after="0"/>
              <w:rPr>
                <w:sz w:val="20"/>
                <w:szCs w:val="20"/>
                <w:color w:val="auto"/>
              </w:rPr>
            </w:pPr>
            <w:r>
              <w:rPr>
                <w:rFonts w:ascii="Arial" w:cs="Arial" w:eastAsia="Arial" w:hAnsi="Arial"/>
                <w:sz w:val="16"/>
                <w:szCs w:val="16"/>
                <w:b w:val="1"/>
                <w:bCs w:val="1"/>
                <w:color w:val="auto"/>
                <w:w w:val="92"/>
              </w:rPr>
              <w:t>Partnership</w:t>
            </w:r>
          </w:p>
        </w:tc>
        <w:tc>
          <w:tcPr>
            <w:tcW w:w="60" w:type="dxa"/>
            <w:vAlign w:val="bottom"/>
          </w:tcPr>
          <w:p>
            <w:pPr>
              <w:spacing w:after="0"/>
              <w:rPr>
                <w:sz w:val="18"/>
                <w:szCs w:val="18"/>
                <w:color w:val="auto"/>
              </w:rPr>
            </w:pPr>
          </w:p>
        </w:tc>
        <w:tc>
          <w:tcPr>
            <w:tcW w:w="182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95"/>
        </w:trPr>
        <w:tc>
          <w:tcPr>
            <w:tcW w:w="410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gridSpan w:val="3"/>
            <w:vMerge w:val="restart"/>
          </w:tcPr>
          <w:p>
            <w:pPr>
              <w:jc w:val="center"/>
              <w:ind w:right="219"/>
              <w:spacing w:after="0"/>
              <w:rPr>
                <w:sz w:val="20"/>
                <w:szCs w:val="20"/>
                <w:color w:val="auto"/>
              </w:rPr>
            </w:pPr>
            <w:r>
              <w:rPr>
                <w:rFonts w:ascii="Arial" w:cs="Arial" w:eastAsia="Arial" w:hAnsi="Arial"/>
                <w:sz w:val="16"/>
                <w:szCs w:val="16"/>
                <w:b w:val="1"/>
                <w:bCs w:val="1"/>
                <w:color w:val="auto"/>
                <w:w w:val="94"/>
              </w:rPr>
              <w:t>Control Reported</w:t>
            </w:r>
          </w:p>
        </w:tc>
        <w:tc>
          <w:tcPr>
            <w:tcW w:w="0" w:type="dxa"/>
            <w:vAlign w:val="bottom"/>
          </w:tcPr>
          <w:p>
            <w:pPr>
              <w:spacing w:after="0"/>
              <w:rPr>
                <w:sz w:val="1"/>
                <w:szCs w:val="1"/>
                <w:color w:val="auto"/>
              </w:rPr>
            </w:pPr>
          </w:p>
        </w:tc>
      </w:tr>
      <w:tr>
        <w:trPr>
          <w:trHeight w:val="108"/>
        </w:trPr>
        <w:tc>
          <w:tcPr>
            <w:tcW w:w="4100" w:type="dxa"/>
            <w:vAlign w:val="bottom"/>
            <w:vMerge w:val="restart"/>
          </w:tcPr>
          <w:p>
            <w:pPr>
              <w:ind w:left="200"/>
              <w:spacing w:after="0"/>
              <w:rPr>
                <w:sz w:val="20"/>
                <w:szCs w:val="20"/>
                <w:color w:val="auto"/>
              </w:rPr>
            </w:pPr>
            <w:r>
              <w:rPr>
                <w:rFonts w:ascii="Arial" w:cs="Arial" w:eastAsia="Arial" w:hAnsi="Arial"/>
                <w:sz w:val="16"/>
                <w:szCs w:val="16"/>
                <w:b w:val="1"/>
                <w:bCs w:val="1"/>
                <w:i w:val="1"/>
                <w:iCs w:val="1"/>
                <w:color w:val="auto"/>
              </w:rPr>
              <w:t>U.S. dollars</w:t>
            </w:r>
            <w:r>
              <w:rPr>
                <w:rFonts w:ascii="Arial" w:cs="Arial" w:eastAsia="Arial" w:hAnsi="Arial"/>
                <w:sz w:val="16"/>
                <w:szCs w:val="16"/>
                <w:color w:val="auto"/>
              </w:rPr>
              <w:t>)</w:t>
            </w: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gridSpan w:val="3"/>
            <w:vMerge w:val="restart"/>
          </w:tcPr>
          <w:p>
            <w:pPr>
              <w:jc w:val="center"/>
              <w:ind w:right="239"/>
              <w:spacing w:after="0"/>
              <w:rPr>
                <w:sz w:val="20"/>
                <w:szCs w:val="20"/>
                <w:color w:val="auto"/>
              </w:rPr>
            </w:pPr>
            <w:r>
              <w:rPr>
                <w:rFonts w:ascii="Arial" w:cs="Arial" w:eastAsia="Arial" w:hAnsi="Arial"/>
                <w:sz w:val="16"/>
                <w:szCs w:val="16"/>
                <w:b w:val="1"/>
                <w:bCs w:val="1"/>
                <w:color w:val="auto"/>
                <w:w w:val="88"/>
              </w:rPr>
              <w:t>to GasLog</w:t>
            </w:r>
          </w:p>
        </w:tc>
        <w:tc>
          <w:tcPr>
            <w:tcW w:w="40" w:type="dxa"/>
            <w:vAlign w:val="bottom"/>
          </w:tcPr>
          <w:p>
            <w:pPr>
              <w:spacing w:after="0"/>
              <w:rPr>
                <w:sz w:val="9"/>
                <w:szCs w:val="9"/>
                <w:color w:val="auto"/>
              </w:rPr>
            </w:pPr>
          </w:p>
        </w:tc>
        <w:tc>
          <w:tcPr>
            <w:tcW w:w="1960" w:type="dxa"/>
            <w:vAlign w:val="bottom"/>
            <w:gridSpan w:val="3"/>
            <w:vMerge w:val="restart"/>
          </w:tcPr>
          <w:p>
            <w:pPr>
              <w:jc w:val="center"/>
              <w:ind w:right="279"/>
              <w:spacing w:after="0"/>
              <w:rPr>
                <w:sz w:val="20"/>
                <w:szCs w:val="20"/>
                <w:color w:val="auto"/>
              </w:rPr>
            </w:pPr>
            <w:r>
              <w:rPr>
                <w:rFonts w:ascii="Arial" w:cs="Arial" w:eastAsia="Arial" w:hAnsi="Arial"/>
                <w:sz w:val="16"/>
                <w:szCs w:val="16"/>
                <w:b w:val="1"/>
                <w:bCs w:val="1"/>
                <w:color w:val="auto"/>
                <w:w w:val="89"/>
              </w:rPr>
              <w:t>Performance Results</w:t>
            </w:r>
          </w:p>
        </w:tc>
        <w:tc>
          <w:tcPr>
            <w:tcW w:w="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0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gridSpan w:val="3"/>
            <w:vMerge w:val="restart"/>
          </w:tcPr>
          <w:p>
            <w:pPr>
              <w:jc w:val="center"/>
              <w:ind w:right="219"/>
              <w:spacing w:after="0"/>
              <w:rPr>
                <w:sz w:val="20"/>
                <w:szCs w:val="20"/>
                <w:color w:val="auto"/>
              </w:rPr>
            </w:pPr>
            <w:r>
              <w:rPr>
                <w:rFonts w:ascii="Arial" w:cs="Arial" w:eastAsia="Arial" w:hAnsi="Arial"/>
                <w:sz w:val="16"/>
                <w:szCs w:val="16"/>
                <w:b w:val="1"/>
                <w:bCs w:val="1"/>
                <w:color w:val="auto"/>
                <w:w w:val="89"/>
              </w:rPr>
              <w:t>Results</w:t>
            </w: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52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63,383</w:t>
            </w:r>
          </w:p>
        </w:tc>
        <w:tc>
          <w:tcPr>
            <w:tcW w:w="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192,852</w:t>
            </w:r>
          </w:p>
        </w:tc>
        <w:tc>
          <w:tcPr>
            <w:tcW w:w="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256,235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3480" w:type="dxa"/>
            <w:vAlign w:val="bottom"/>
            <w:gridSpan w:val="5"/>
          </w:tcPr>
          <w:p>
            <w:pPr>
              <w:jc w:val="right"/>
              <w:ind w:right="159"/>
              <w:spacing w:after="0"/>
              <w:rPr>
                <w:sz w:val="20"/>
                <w:szCs w:val="20"/>
                <w:color w:val="auto"/>
              </w:rPr>
            </w:pPr>
            <w:r>
              <w:rPr>
                <w:rFonts w:ascii="Arial" w:cs="Arial" w:eastAsia="Arial" w:hAnsi="Arial"/>
                <w:sz w:val="16"/>
                <w:szCs w:val="16"/>
                <w:color w:val="auto"/>
              </w:rPr>
              <w:t>(789)</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(2,420)</w:t>
            </w:r>
          </w:p>
        </w:tc>
        <w:tc>
          <w:tcPr>
            <w:tcW w:w="2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(3,209)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3480" w:type="dxa"/>
            <w:vAlign w:val="bottom"/>
            <w:gridSpan w:val="5"/>
            <w:shd w:val="clear" w:color="auto" w:fill="E5FFFF"/>
          </w:tcPr>
          <w:p>
            <w:pPr>
              <w:jc w:val="right"/>
              <w:ind w:right="159"/>
              <w:spacing w:after="0"/>
              <w:rPr>
                <w:sz w:val="20"/>
                <w:szCs w:val="20"/>
                <w:color w:val="auto"/>
              </w:rPr>
            </w:pPr>
            <w:r>
              <w:rPr>
                <w:rFonts w:ascii="Arial" w:cs="Arial" w:eastAsia="Arial" w:hAnsi="Arial"/>
                <w:sz w:val="16"/>
                <w:szCs w:val="16"/>
                <w:color w:val="auto"/>
              </w:rPr>
              <w:t>(8,070)</w:t>
            </w:r>
          </w:p>
        </w:tc>
        <w:tc>
          <w:tcPr>
            <w:tcW w:w="17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(39,523)</w:t>
            </w:r>
          </w:p>
        </w:tc>
        <w:tc>
          <w:tcPr>
            <w:tcW w:w="220" w:type="dxa"/>
            <w:vAlign w:val="bottom"/>
            <w:shd w:val="clear" w:color="auto" w:fill="E5FFFF"/>
          </w:tcPr>
          <w:p>
            <w:pPr>
              <w:spacing w:after="0"/>
              <w:rPr>
                <w:sz w:val="17"/>
                <w:szCs w:val="17"/>
                <w:color w:val="auto"/>
              </w:rPr>
            </w:pPr>
          </w:p>
        </w:tc>
        <w:tc>
          <w:tcPr>
            <w:tcW w:w="17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(47,593)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Depreciation</w:t>
            </w:r>
          </w:p>
        </w:tc>
        <w:tc>
          <w:tcPr>
            <w:tcW w:w="3480" w:type="dxa"/>
            <w:vAlign w:val="bottom"/>
            <w:gridSpan w:val="5"/>
          </w:tcPr>
          <w:p>
            <w:pPr>
              <w:jc w:val="right"/>
              <w:ind w:right="159"/>
              <w:spacing w:after="0"/>
              <w:rPr>
                <w:sz w:val="20"/>
                <w:szCs w:val="20"/>
                <w:color w:val="auto"/>
              </w:rPr>
            </w:pPr>
            <w:r>
              <w:rPr>
                <w:rFonts w:ascii="Arial" w:cs="Arial" w:eastAsia="Arial" w:hAnsi="Arial"/>
                <w:sz w:val="16"/>
                <w:szCs w:val="16"/>
                <w:color w:val="auto"/>
              </w:rPr>
              <w:t>(13,588)</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(41,408)</w:t>
            </w:r>
          </w:p>
        </w:tc>
        <w:tc>
          <w:tcPr>
            <w:tcW w:w="2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(54,996)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3480" w:type="dxa"/>
            <w:vAlign w:val="bottom"/>
            <w:gridSpan w:val="5"/>
            <w:shd w:val="clear" w:color="auto" w:fill="E5FFFF"/>
          </w:tcPr>
          <w:p>
            <w:pPr>
              <w:jc w:val="right"/>
              <w:ind w:right="159"/>
              <w:spacing w:after="0"/>
              <w:rPr>
                <w:sz w:val="20"/>
                <w:szCs w:val="20"/>
                <w:color w:val="auto"/>
              </w:rPr>
            </w:pPr>
            <w:r>
              <w:rPr>
                <w:rFonts w:ascii="Arial" w:cs="Arial" w:eastAsia="Arial" w:hAnsi="Arial"/>
                <w:sz w:val="16"/>
                <w:szCs w:val="16"/>
                <w:color w:val="auto"/>
              </w:rPr>
              <w:t>(933)</w:t>
            </w:r>
          </w:p>
        </w:tc>
        <w:tc>
          <w:tcPr>
            <w:tcW w:w="17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(10,134)</w:t>
            </w:r>
          </w:p>
        </w:tc>
        <w:tc>
          <w:tcPr>
            <w:tcW w:w="220" w:type="dxa"/>
            <w:vAlign w:val="bottom"/>
            <w:shd w:val="clear" w:color="auto" w:fill="E5FFFF"/>
          </w:tcPr>
          <w:p>
            <w:pPr>
              <w:spacing w:after="0"/>
              <w:rPr>
                <w:sz w:val="17"/>
                <w:szCs w:val="17"/>
                <w:color w:val="auto"/>
              </w:rPr>
            </w:pPr>
          </w:p>
        </w:tc>
        <w:tc>
          <w:tcPr>
            <w:tcW w:w="17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(11,067)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520" w:type="dxa"/>
            <w:vAlign w:val="bottom"/>
            <w:tcBorders>
              <w:bottom w:val="single" w:sz="8" w:color="E5FFFF"/>
            </w:tcBorders>
          </w:tcPr>
          <w:p>
            <w:pPr>
              <w:spacing w:after="0"/>
              <w:rPr>
                <w:sz w:val="17"/>
                <w:szCs w:val="17"/>
                <w:color w:val="auto"/>
              </w:rPr>
            </w:pP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40,003</w:t>
            </w:r>
          </w:p>
        </w:tc>
        <w:tc>
          <w:tcPr>
            <w:tcW w:w="4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1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99,367</w:t>
            </w:r>
          </w:p>
        </w:tc>
        <w:tc>
          <w:tcPr>
            <w:tcW w:w="6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139,370</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52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(12,727</w:t>
            </w:r>
          </w:p>
        </w:tc>
        <w:tc>
          <w:tcPr>
            <w:tcW w:w="30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w w:val="74"/>
              </w:rPr>
              <w:t>)</w:t>
            </w:r>
          </w:p>
        </w:tc>
        <w:tc>
          <w:tcPr>
            <w:tcW w:w="17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(31,359</w:t>
            </w:r>
          </w:p>
        </w:tc>
        <w:tc>
          <w:tcPr>
            <w:tcW w:w="6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E5FFFF"/>
          </w:tcPr>
          <w:p>
            <w:pPr>
              <w:spacing w:after="0"/>
              <w:rPr>
                <w:sz w:val="17"/>
                <w:szCs w:val="17"/>
                <w:color w:val="auto"/>
              </w:rPr>
            </w:pPr>
          </w:p>
        </w:tc>
        <w:tc>
          <w:tcPr>
            <w:tcW w:w="17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(44,086</w:t>
            </w:r>
          </w:p>
        </w:tc>
        <w:tc>
          <w:tcPr>
            <w:tcW w:w="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Financial income</w:t>
            </w:r>
          </w:p>
        </w:tc>
        <w:tc>
          <w:tcPr>
            <w:tcW w:w="3220" w:type="dxa"/>
            <w:vAlign w:val="bottom"/>
            <w:gridSpan w:val="4"/>
          </w:tcPr>
          <w:p>
            <w:pPr>
              <w:ind w:left="3020"/>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656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694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E5FFFF"/>
          </w:tcPr>
          <w:p>
            <w:pPr>
              <w:spacing w:after="0"/>
              <w:rPr>
                <w:sz w:val="20"/>
                <w:szCs w:val="20"/>
                <w:color w:val="auto"/>
              </w:rPr>
            </w:pPr>
            <w:r>
              <w:rPr>
                <w:rFonts w:ascii="Arial" w:cs="Arial" w:eastAsia="Arial" w:hAnsi="Arial"/>
                <w:sz w:val="16"/>
                <w:szCs w:val="16"/>
                <w:color w:val="auto"/>
              </w:rPr>
              <w:t>Loss on derivatives</w:t>
            </w:r>
          </w:p>
        </w:tc>
        <w:tc>
          <w:tcPr>
            <w:tcW w:w="15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940" w:type="dxa"/>
            <w:vAlign w:val="bottom"/>
            <w:gridSpan w:val="3"/>
            <w:shd w:val="clear" w:color="auto" w:fill="E5FFFF"/>
          </w:tcPr>
          <w:p>
            <w:pPr>
              <w:ind w:left="1480"/>
              <w:spacing w:after="0"/>
              <w:rPr>
                <w:sz w:val="20"/>
                <w:szCs w:val="20"/>
                <w:color w:val="auto"/>
              </w:rPr>
            </w:pPr>
            <w:r>
              <w:rPr>
                <w:rFonts w:ascii="Arial" w:cs="Arial" w:eastAsia="Arial" w:hAnsi="Arial"/>
                <w:sz w:val="16"/>
                <w:szCs w:val="16"/>
                <w:b w:val="1"/>
                <w:bCs w:val="1"/>
                <w:color w:val="auto"/>
              </w:rPr>
              <w:t>—</w:t>
            </w:r>
          </w:p>
        </w:tc>
        <w:tc>
          <w:tcPr>
            <w:tcW w:w="17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(2,985)</w:t>
            </w:r>
          </w:p>
        </w:tc>
        <w:tc>
          <w:tcPr>
            <w:tcW w:w="220" w:type="dxa"/>
            <w:vAlign w:val="bottom"/>
            <w:shd w:val="clear" w:color="auto" w:fill="E5FFFF"/>
          </w:tcPr>
          <w:p>
            <w:pPr>
              <w:spacing w:after="0"/>
              <w:rPr>
                <w:sz w:val="17"/>
                <w:szCs w:val="17"/>
                <w:color w:val="auto"/>
              </w:rPr>
            </w:pPr>
          </w:p>
        </w:tc>
        <w:tc>
          <w:tcPr>
            <w:tcW w:w="17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(2,985)</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520" w:type="dxa"/>
            <w:vAlign w:val="bottom"/>
            <w:tcBorders>
              <w:bottom w:val="single" w:sz="8" w:color="E5FFFF"/>
            </w:tcBorders>
          </w:tcPr>
          <w:p>
            <w:pPr>
              <w:spacing w:after="0"/>
              <w:rPr>
                <w:sz w:val="17"/>
                <w:szCs w:val="17"/>
                <w:color w:val="auto"/>
              </w:rPr>
            </w:pP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(12,689</w:t>
            </w:r>
          </w:p>
        </w:tc>
        <w:tc>
          <w:tcPr>
            <w:tcW w:w="300" w:type="dxa"/>
            <w:vAlign w:val="bottom"/>
            <w:tcBorders>
              <w:bottom w:val="single" w:sz="8" w:color="E5FFFF"/>
            </w:tcBorders>
            <w:gridSpan w:val="2"/>
          </w:tcPr>
          <w:p>
            <w:pPr>
              <w:jc w:val="right"/>
              <w:ind w:right="159"/>
              <w:spacing w:after="0"/>
              <w:rPr>
                <w:sz w:val="20"/>
                <w:szCs w:val="20"/>
                <w:color w:val="auto"/>
              </w:rPr>
            </w:pPr>
            <w:r>
              <w:rPr>
                <w:rFonts w:ascii="Arial" w:cs="Arial" w:eastAsia="Arial" w:hAnsi="Arial"/>
                <w:sz w:val="16"/>
                <w:szCs w:val="16"/>
                <w:b w:val="1"/>
                <w:bCs w:val="1"/>
                <w:color w:val="auto"/>
                <w:w w:val="74"/>
              </w:rPr>
              <w:t>)</w:t>
            </w:r>
          </w:p>
        </w:tc>
        <w:tc>
          <w:tcPr>
            <w:tcW w:w="1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(33,688</w:t>
            </w:r>
          </w:p>
        </w:tc>
        <w:tc>
          <w:tcPr>
            <w:tcW w:w="6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(46,377</w:t>
            </w:r>
          </w:p>
        </w:tc>
        <w:tc>
          <w:tcPr>
            <w:tcW w:w="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520" w:type="dxa"/>
            <w:vAlign w:val="bottom"/>
            <w:tcBorders>
              <w:bottom w:val="single" w:sz="8" w:color="E5FFFF"/>
            </w:tcBorders>
            <w:shd w:val="clear" w:color="auto" w:fill="E5FFFF"/>
          </w:tcPr>
          <w:p>
            <w:pPr>
              <w:spacing w:after="0"/>
              <w:rPr>
                <w:sz w:val="17"/>
                <w:szCs w:val="17"/>
                <w:color w:val="auto"/>
              </w:rPr>
            </w:pPr>
          </w:p>
        </w:tc>
        <w:tc>
          <w:tcPr>
            <w:tcW w:w="16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27,314</w:t>
            </w:r>
          </w:p>
        </w:tc>
        <w:tc>
          <w:tcPr>
            <w:tcW w:w="4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17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65,679</w:t>
            </w:r>
          </w:p>
        </w:tc>
        <w:tc>
          <w:tcPr>
            <w:tcW w:w="6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92,993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9"/>
        </w:trPr>
        <w:tc>
          <w:tcPr>
            <w:tcW w:w="4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11"/>
          </w:tcPr>
          <w:p>
            <w:pPr>
              <w:jc w:val="center"/>
              <w:ind w:right="99"/>
              <w:spacing w:after="0"/>
              <w:rPr>
                <w:sz w:val="20"/>
                <w:szCs w:val="20"/>
                <w:color w:val="auto"/>
              </w:rPr>
            </w:pPr>
            <w:r>
              <w:rPr>
                <w:rFonts w:ascii="Arial" w:cs="Arial" w:eastAsia="Arial" w:hAnsi="Arial"/>
                <w:sz w:val="16"/>
                <w:szCs w:val="16"/>
                <w:b w:val="1"/>
                <w:bCs w:val="1"/>
                <w:color w:val="auto"/>
                <w:w w:val="90"/>
              </w:rPr>
              <w:t>For the nine months ended September 30, 2018</w:t>
            </w:r>
          </w:p>
        </w:tc>
        <w:tc>
          <w:tcPr>
            <w:tcW w:w="0" w:type="dxa"/>
            <w:vAlign w:val="bottom"/>
          </w:tcPr>
          <w:p>
            <w:pPr>
              <w:spacing w:after="0"/>
              <w:rPr>
                <w:sz w:val="1"/>
                <w:szCs w:val="1"/>
                <w:color w:val="auto"/>
              </w:rPr>
            </w:pPr>
          </w:p>
        </w:tc>
      </w:tr>
      <w:tr>
        <w:trPr>
          <w:trHeight w:val="208"/>
        </w:trPr>
        <w:tc>
          <w:tcPr>
            <w:tcW w:w="410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gridSpan w:val="3"/>
            <w:vMerge w:val="restart"/>
          </w:tcPr>
          <w:p>
            <w:pPr>
              <w:jc w:val="right"/>
              <w:ind w:right="319"/>
              <w:spacing w:after="0"/>
              <w:rPr>
                <w:sz w:val="20"/>
                <w:szCs w:val="20"/>
                <w:color w:val="auto"/>
              </w:rPr>
            </w:pPr>
            <w:r>
              <w:rPr>
                <w:rFonts w:ascii="Arial" w:cs="Arial" w:eastAsia="Arial" w:hAnsi="Arial"/>
                <w:sz w:val="16"/>
                <w:szCs w:val="16"/>
                <w:b w:val="1"/>
                <w:bCs w:val="1"/>
                <w:color w:val="auto"/>
              </w:rPr>
              <w:t>Results attributable</w:t>
            </w:r>
          </w:p>
        </w:tc>
        <w:tc>
          <w:tcPr>
            <w:tcW w:w="40" w:type="dxa"/>
            <w:vAlign w:val="bottom"/>
          </w:tcPr>
          <w:p>
            <w:pPr>
              <w:spacing w:after="0"/>
              <w:rPr>
                <w:sz w:val="18"/>
                <w:szCs w:val="18"/>
                <w:color w:val="auto"/>
              </w:rPr>
            </w:pPr>
          </w:p>
        </w:tc>
        <w:tc>
          <w:tcPr>
            <w:tcW w:w="19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2"/>
              </w:rPr>
              <w:t>Partnership</w:t>
            </w:r>
          </w:p>
        </w:tc>
        <w:tc>
          <w:tcPr>
            <w:tcW w:w="60" w:type="dxa"/>
            <w:vAlign w:val="bottom"/>
          </w:tcPr>
          <w:p>
            <w:pPr>
              <w:spacing w:after="0"/>
              <w:rPr>
                <w:sz w:val="18"/>
                <w:szCs w:val="18"/>
                <w:color w:val="auto"/>
              </w:rPr>
            </w:pPr>
          </w:p>
        </w:tc>
        <w:tc>
          <w:tcPr>
            <w:tcW w:w="182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95"/>
        </w:trPr>
        <w:tc>
          <w:tcPr>
            <w:tcW w:w="410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gridSpan w:val="3"/>
            <w:vMerge w:val="restart"/>
          </w:tcPr>
          <w:p>
            <w:pPr>
              <w:jc w:val="center"/>
              <w:ind w:right="119"/>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108"/>
        </w:trPr>
        <w:tc>
          <w:tcPr>
            <w:tcW w:w="4100" w:type="dxa"/>
            <w:vAlign w:val="bottom"/>
            <w:vMerge w:val="restart"/>
          </w:tcPr>
          <w:p>
            <w:pPr>
              <w:ind w:left="200"/>
              <w:spacing w:after="0"/>
              <w:rPr>
                <w:sz w:val="20"/>
                <w:szCs w:val="20"/>
                <w:color w:val="auto"/>
              </w:rPr>
            </w:pPr>
            <w:r>
              <w:rPr>
                <w:rFonts w:ascii="Arial" w:cs="Arial" w:eastAsia="Arial" w:hAnsi="Arial"/>
                <w:sz w:val="16"/>
                <w:szCs w:val="16"/>
                <w:b w:val="1"/>
                <w:bCs w:val="1"/>
                <w:i w:val="1"/>
                <w:iCs w:val="1"/>
                <w:color w:val="auto"/>
              </w:rPr>
              <w:t>U.S. dollars</w:t>
            </w:r>
            <w:r>
              <w:rPr>
                <w:rFonts w:ascii="Arial" w:cs="Arial" w:eastAsia="Arial" w:hAnsi="Arial"/>
                <w:sz w:val="16"/>
                <w:szCs w:val="16"/>
                <w:color w:val="auto"/>
              </w:rPr>
              <w:t>)</w:t>
            </w: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gridSpan w:val="3"/>
            <w:vMerge w:val="restart"/>
          </w:tcPr>
          <w:p>
            <w:pPr>
              <w:jc w:val="right"/>
              <w:ind w:right="659"/>
              <w:spacing w:after="0"/>
              <w:rPr>
                <w:sz w:val="20"/>
                <w:szCs w:val="20"/>
                <w:color w:val="auto"/>
              </w:rPr>
            </w:pPr>
            <w:r>
              <w:rPr>
                <w:rFonts w:ascii="Arial" w:cs="Arial" w:eastAsia="Arial" w:hAnsi="Arial"/>
                <w:sz w:val="16"/>
                <w:szCs w:val="16"/>
                <w:b w:val="1"/>
                <w:bCs w:val="1"/>
                <w:color w:val="auto"/>
              </w:rPr>
              <w:t>to GasLog</w:t>
            </w:r>
          </w:p>
        </w:tc>
        <w:tc>
          <w:tcPr>
            <w:tcW w:w="40" w:type="dxa"/>
            <w:vAlign w:val="bottom"/>
          </w:tcPr>
          <w:p>
            <w:pPr>
              <w:spacing w:after="0"/>
              <w:rPr>
                <w:sz w:val="9"/>
                <w:szCs w:val="9"/>
                <w:color w:val="auto"/>
              </w:rPr>
            </w:pPr>
          </w:p>
        </w:tc>
        <w:tc>
          <w:tcPr>
            <w:tcW w:w="19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1"/>
              </w:rPr>
              <w:t>Performance Results</w:t>
            </w:r>
          </w:p>
        </w:tc>
        <w:tc>
          <w:tcPr>
            <w:tcW w:w="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0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gridSpan w:val="3"/>
            <w:vMerge w:val="restart"/>
          </w:tcPr>
          <w:p>
            <w:pPr>
              <w:jc w:val="center"/>
              <w:ind w:right="119"/>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540" w:type="dxa"/>
            <w:vAlign w:val="bottom"/>
            <w:tcBorders>
              <w:top w:val="single" w:sz="8" w:color="E5FFFF"/>
            </w:tcBorders>
            <w:gridSpan w:val="2"/>
            <w:shd w:val="clear" w:color="auto" w:fill="E5FFFF"/>
          </w:tcPr>
          <w:p>
            <w:pPr>
              <w:spacing w:after="0"/>
              <w:rPr>
                <w:sz w:val="17"/>
                <w:szCs w:val="17"/>
                <w:color w:val="auto"/>
              </w:rPr>
            </w:pPr>
          </w:p>
        </w:tc>
        <w:tc>
          <w:tcPr>
            <w:tcW w:w="16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9,315</w:t>
            </w:r>
          </w:p>
        </w:tc>
        <w:tc>
          <w:tcPr>
            <w:tcW w:w="26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233,857</w:t>
            </w:r>
          </w:p>
        </w:tc>
        <w:tc>
          <w:tcPr>
            <w:tcW w:w="22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243,172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Net pool allocation</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423</w:t>
            </w:r>
          </w:p>
        </w:tc>
        <w:tc>
          <w:tcPr>
            <w:tcW w:w="2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423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3480" w:type="dxa"/>
            <w:vAlign w:val="bottom"/>
            <w:gridSpan w:val="5"/>
            <w:shd w:val="clear" w:color="auto" w:fill="E5FFFF"/>
          </w:tcPr>
          <w:p>
            <w:pPr>
              <w:jc w:val="right"/>
              <w:ind w:right="119"/>
              <w:spacing w:after="0"/>
              <w:rPr>
                <w:sz w:val="20"/>
                <w:szCs w:val="20"/>
                <w:color w:val="auto"/>
              </w:rPr>
            </w:pPr>
            <w:r>
              <w:rPr>
                <w:rFonts w:ascii="Arial" w:cs="Arial" w:eastAsia="Arial" w:hAnsi="Arial"/>
                <w:sz w:val="16"/>
                <w:szCs w:val="16"/>
                <w:color w:val="auto"/>
              </w:rPr>
              <w:t>(117)</w:t>
            </w:r>
          </w:p>
        </w:tc>
        <w:tc>
          <w:tcPr>
            <w:tcW w:w="2000" w:type="dxa"/>
            <w:vAlign w:val="bottom"/>
            <w:gridSpan w:val="4"/>
            <w:shd w:val="clear" w:color="auto" w:fill="E5FFFF"/>
          </w:tcPr>
          <w:p>
            <w:pPr>
              <w:jc w:val="right"/>
              <w:ind w:right="139"/>
              <w:spacing w:after="0"/>
              <w:rPr>
                <w:sz w:val="20"/>
                <w:szCs w:val="20"/>
                <w:color w:val="auto"/>
              </w:rPr>
            </w:pPr>
            <w:r>
              <w:rPr>
                <w:rFonts w:ascii="Arial" w:cs="Arial" w:eastAsia="Arial" w:hAnsi="Arial"/>
                <w:sz w:val="16"/>
                <w:szCs w:val="16"/>
                <w:color w:val="auto"/>
              </w:rPr>
              <w:t>(5,925)</w:t>
            </w:r>
          </w:p>
        </w:tc>
        <w:tc>
          <w:tcPr>
            <w:tcW w:w="17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(6,042)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Vessel operating costs</w:t>
            </w:r>
          </w:p>
        </w:tc>
        <w:tc>
          <w:tcPr>
            <w:tcW w:w="3480" w:type="dxa"/>
            <w:vAlign w:val="bottom"/>
            <w:gridSpan w:val="5"/>
          </w:tcPr>
          <w:p>
            <w:pPr>
              <w:jc w:val="right"/>
              <w:ind w:right="119"/>
              <w:spacing w:after="0"/>
              <w:rPr>
                <w:sz w:val="20"/>
                <w:szCs w:val="20"/>
                <w:color w:val="auto"/>
              </w:rPr>
            </w:pPr>
            <w:r>
              <w:rPr>
                <w:rFonts w:ascii="Arial" w:cs="Arial" w:eastAsia="Arial" w:hAnsi="Arial"/>
                <w:sz w:val="16"/>
                <w:szCs w:val="16"/>
                <w:color w:val="auto"/>
              </w:rPr>
              <w:t>(1,712)</w:t>
            </w:r>
          </w:p>
        </w:tc>
        <w:tc>
          <w:tcPr>
            <w:tcW w:w="2000" w:type="dxa"/>
            <w:vAlign w:val="bottom"/>
            <w:gridSpan w:val="4"/>
          </w:tcPr>
          <w:p>
            <w:pPr>
              <w:jc w:val="right"/>
              <w:ind w:right="139"/>
              <w:spacing w:after="0"/>
              <w:rPr>
                <w:sz w:val="20"/>
                <w:szCs w:val="20"/>
                <w:color w:val="auto"/>
              </w:rPr>
            </w:pPr>
            <w:r>
              <w:rPr>
                <w:rFonts w:ascii="Arial" w:cs="Arial" w:eastAsia="Arial" w:hAnsi="Arial"/>
                <w:sz w:val="16"/>
                <w:szCs w:val="16"/>
                <w:color w:val="auto"/>
              </w:rPr>
              <w:t>(46,466)</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(48,178)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3480" w:type="dxa"/>
            <w:vAlign w:val="bottom"/>
            <w:gridSpan w:val="5"/>
            <w:shd w:val="clear" w:color="auto" w:fill="E5FFFF"/>
          </w:tcPr>
          <w:p>
            <w:pPr>
              <w:jc w:val="right"/>
              <w:ind w:right="119"/>
              <w:spacing w:after="0"/>
              <w:rPr>
                <w:sz w:val="20"/>
                <w:szCs w:val="20"/>
                <w:color w:val="auto"/>
              </w:rPr>
            </w:pPr>
            <w:r>
              <w:rPr>
                <w:rFonts w:ascii="Arial" w:cs="Arial" w:eastAsia="Arial" w:hAnsi="Arial"/>
                <w:sz w:val="16"/>
                <w:szCs w:val="16"/>
                <w:color w:val="auto"/>
              </w:rPr>
              <w:t>(1,844)</w:t>
            </w:r>
          </w:p>
        </w:tc>
        <w:tc>
          <w:tcPr>
            <w:tcW w:w="2000" w:type="dxa"/>
            <w:vAlign w:val="bottom"/>
            <w:gridSpan w:val="4"/>
            <w:shd w:val="clear" w:color="auto" w:fill="E5FFFF"/>
          </w:tcPr>
          <w:p>
            <w:pPr>
              <w:jc w:val="right"/>
              <w:ind w:right="139"/>
              <w:spacing w:after="0"/>
              <w:rPr>
                <w:sz w:val="20"/>
                <w:szCs w:val="20"/>
                <w:color w:val="auto"/>
              </w:rPr>
            </w:pPr>
            <w:r>
              <w:rPr>
                <w:rFonts w:ascii="Arial" w:cs="Arial" w:eastAsia="Arial" w:hAnsi="Arial"/>
                <w:sz w:val="16"/>
                <w:szCs w:val="16"/>
                <w:color w:val="auto"/>
              </w:rPr>
              <w:t>(53,470)</w:t>
            </w:r>
          </w:p>
        </w:tc>
        <w:tc>
          <w:tcPr>
            <w:tcW w:w="17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(55,314)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3480" w:type="dxa"/>
            <w:vAlign w:val="bottom"/>
            <w:gridSpan w:val="5"/>
          </w:tcPr>
          <w:p>
            <w:pPr>
              <w:jc w:val="right"/>
              <w:ind w:right="119"/>
              <w:spacing w:after="0"/>
              <w:rPr>
                <w:sz w:val="20"/>
                <w:szCs w:val="20"/>
                <w:color w:val="auto"/>
              </w:rPr>
            </w:pPr>
            <w:r>
              <w:rPr>
                <w:rFonts w:ascii="Arial" w:cs="Arial" w:eastAsia="Arial" w:hAnsi="Arial"/>
                <w:sz w:val="16"/>
                <w:szCs w:val="16"/>
                <w:color w:val="auto"/>
              </w:rPr>
              <w:t>(125)</w:t>
            </w:r>
          </w:p>
        </w:tc>
        <w:tc>
          <w:tcPr>
            <w:tcW w:w="2000" w:type="dxa"/>
            <w:vAlign w:val="bottom"/>
            <w:gridSpan w:val="4"/>
          </w:tcPr>
          <w:p>
            <w:pPr>
              <w:jc w:val="right"/>
              <w:ind w:right="139"/>
              <w:spacing w:after="0"/>
              <w:rPr>
                <w:sz w:val="20"/>
                <w:szCs w:val="20"/>
                <w:color w:val="auto"/>
              </w:rPr>
            </w:pPr>
            <w:r>
              <w:rPr>
                <w:rFonts w:ascii="Arial" w:cs="Arial" w:eastAsia="Arial" w:hAnsi="Arial"/>
                <w:sz w:val="16"/>
                <w:szCs w:val="16"/>
                <w:color w:val="auto"/>
              </w:rPr>
              <w:t>(13,949)</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(14,074)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540" w:type="dxa"/>
            <w:vAlign w:val="bottom"/>
            <w:tcBorders>
              <w:top w:val="single" w:sz="8" w:color="E5FFFF"/>
            </w:tcBorders>
            <w:gridSpan w:val="2"/>
            <w:shd w:val="clear" w:color="auto" w:fill="E5FFFF"/>
          </w:tcPr>
          <w:p>
            <w:pPr>
              <w:spacing w:after="0"/>
              <w:rPr>
                <w:sz w:val="17"/>
                <w:szCs w:val="17"/>
                <w:color w:val="auto"/>
              </w:rPr>
            </w:pPr>
          </w:p>
        </w:tc>
        <w:tc>
          <w:tcPr>
            <w:tcW w:w="1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5,517</w:t>
            </w:r>
          </w:p>
        </w:tc>
        <w:tc>
          <w:tcPr>
            <w:tcW w:w="26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114,470</w:t>
            </w:r>
          </w:p>
        </w:tc>
        <w:tc>
          <w:tcPr>
            <w:tcW w:w="22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119,987</w:t>
            </w:r>
          </w:p>
        </w:tc>
        <w:tc>
          <w:tcPr>
            <w:tcW w:w="140" w:type="dxa"/>
            <w:vAlign w:val="bottom"/>
            <w:vMerge w:val="restart"/>
          </w:tcPr>
          <w:p>
            <w:pPr>
              <w:jc w:val="right"/>
              <w:ind w:right="5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4100" w:type="dxa"/>
            <w:vAlign w:val="bottom"/>
          </w:tcPr>
          <w:p>
            <w:pPr>
              <w:spacing w:after="0"/>
              <w:rPr>
                <w:sz w:val="20"/>
                <w:szCs w:val="20"/>
                <w:color w:val="auto"/>
              </w:rPr>
            </w:pPr>
            <w:r>
              <w:rPr>
                <w:rFonts w:ascii="Arial" w:cs="Arial" w:eastAsia="Arial" w:hAnsi="Arial"/>
                <w:sz w:val="16"/>
                <w:szCs w:val="16"/>
                <w:color w:val="auto"/>
              </w:rPr>
              <w:t>Financial costs</w:t>
            </w:r>
          </w:p>
        </w:tc>
        <w:tc>
          <w:tcPr>
            <w:tcW w:w="1540" w:type="dxa"/>
            <w:vAlign w:val="bottom"/>
            <w:gridSpan w:val="2"/>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(1,853</w:t>
            </w:r>
          </w:p>
        </w:tc>
        <w:tc>
          <w:tcPr>
            <w:tcW w:w="260" w:type="dxa"/>
            <w:vAlign w:val="bottom"/>
          </w:tcPr>
          <w:p>
            <w:pPr>
              <w:jc w:val="right"/>
              <w:ind w:right="119"/>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(43,973</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(45,826</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322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9</w:t>
            </w:r>
          </w:p>
        </w:tc>
        <w:tc>
          <w:tcPr>
            <w:tcW w:w="260" w:type="dxa"/>
            <w:vAlign w:val="bottom"/>
            <w:shd w:val="clear" w:color="auto" w:fill="E5FFFF"/>
          </w:tcPr>
          <w:p>
            <w:pPr>
              <w:spacing w:after="0"/>
              <w:rPr>
                <w:sz w:val="17"/>
                <w:szCs w:val="17"/>
                <w:color w:val="auto"/>
              </w:rPr>
            </w:pPr>
          </w:p>
        </w:tc>
        <w:tc>
          <w:tcPr>
            <w:tcW w:w="17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1,679</w:t>
            </w:r>
          </w:p>
        </w:tc>
        <w:tc>
          <w:tcPr>
            <w:tcW w:w="220" w:type="dxa"/>
            <w:vAlign w:val="bottom"/>
            <w:shd w:val="clear" w:color="auto" w:fill="E5FFFF"/>
          </w:tcPr>
          <w:p>
            <w:pPr>
              <w:spacing w:after="0"/>
              <w:rPr>
                <w:sz w:val="17"/>
                <w:szCs w:val="17"/>
                <w:color w:val="auto"/>
              </w:rPr>
            </w:pPr>
          </w:p>
        </w:tc>
        <w:tc>
          <w:tcPr>
            <w:tcW w:w="17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1,688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Gain on derivatives</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9,997</w:t>
            </w:r>
          </w:p>
        </w:tc>
        <w:tc>
          <w:tcPr>
            <w:tcW w:w="2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9,997</w:t>
            </w:r>
          </w:p>
        </w:tc>
        <w:tc>
          <w:tcPr>
            <w:tcW w:w="140" w:type="dxa"/>
            <w:vAlign w:val="bottom"/>
            <w:vMerge w:val="restart"/>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4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540" w:type="dxa"/>
            <w:vAlign w:val="bottom"/>
            <w:tcBorders>
              <w:top w:val="single" w:sz="8" w:color="E5FFFF"/>
            </w:tcBorders>
            <w:gridSpan w:val="2"/>
            <w:shd w:val="clear" w:color="auto" w:fill="E5FFFF"/>
          </w:tcPr>
          <w:p>
            <w:pPr>
              <w:spacing w:after="0"/>
              <w:rPr>
                <w:sz w:val="17"/>
                <w:szCs w:val="17"/>
                <w:color w:val="auto"/>
              </w:rPr>
            </w:pPr>
          </w:p>
        </w:tc>
        <w:tc>
          <w:tcPr>
            <w:tcW w:w="1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(1,844</w:t>
            </w:r>
          </w:p>
        </w:tc>
        <w:tc>
          <w:tcPr>
            <w:tcW w:w="260" w:type="dxa"/>
            <w:vAlign w:val="bottom"/>
            <w:tcBorders>
              <w:top w:val="single" w:sz="8" w:color="E5FFFF"/>
            </w:tcBorders>
            <w:shd w:val="clear" w:color="auto" w:fill="E5FFFF"/>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(32,297</w:t>
            </w:r>
          </w:p>
        </w:tc>
        <w:tc>
          <w:tcPr>
            <w:tcW w:w="220" w:type="dxa"/>
            <w:vAlign w:val="bottom"/>
            <w:tcBorders>
              <w:top w:val="single" w:sz="8" w:color="E5FFFF"/>
            </w:tcBorders>
            <w:shd w:val="clear" w:color="auto" w:fill="E5FFFF"/>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(34,141</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540" w:type="dxa"/>
            <w:vAlign w:val="bottom"/>
            <w:gridSpan w:val="2"/>
          </w:tcPr>
          <w:p>
            <w:pPr>
              <w:spacing w:after="0"/>
              <w:rPr>
                <w:sz w:val="17"/>
                <w:szCs w:val="17"/>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3,673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82,173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85,846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100" w:type="dxa"/>
            <w:vAlign w:val="bottom"/>
          </w:tcPr>
          <w:p>
            <w:pPr>
              <w:spacing w:after="0"/>
              <w:rPr>
                <w:sz w:val="24"/>
                <w:szCs w:val="24"/>
                <w:color w:val="auto"/>
              </w:rPr>
            </w:pPr>
          </w:p>
        </w:tc>
        <w:tc>
          <w:tcPr>
            <w:tcW w:w="3480" w:type="dxa"/>
            <w:vAlign w:val="bottom"/>
            <w:gridSpan w:val="5"/>
          </w:tcPr>
          <w:p>
            <w:pPr>
              <w:jc w:val="right"/>
              <w:ind w:right="1639"/>
              <w:spacing w:after="0"/>
              <w:rPr>
                <w:sz w:val="20"/>
                <w:szCs w:val="20"/>
                <w:color w:val="auto"/>
              </w:rPr>
            </w:pPr>
            <w:r>
              <w:rPr>
                <w:rFonts w:ascii="Arial" w:cs="Arial" w:eastAsia="Arial" w:hAnsi="Arial"/>
                <w:sz w:val="18"/>
                <w:szCs w:val="18"/>
                <w:color w:val="auto"/>
              </w:rPr>
              <w:t>A-2</w:t>
            </w: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0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bullet"/>
      <w:start w:val="1"/>
    </w:lvl>
  </w:abstractNum>
  <w:abstractNum w:abstractNumId="10">
    <w:nsid w:val="7C83E458"/>
    <w:multiLevelType w:val="hybridMultilevel"/>
    <w:lvl w:ilvl="0">
      <w:lvlJc w:val="left"/>
      <w:lvlText w:val="2"/>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Roman"/>
      <w:start w:val="1"/>
    </w:lvl>
  </w:abstractNum>
  <w:abstractNum w:abstractNumId="21">
    <w:nsid w:val="8EDBDAB"/>
    <w:multiLevelType w:val="hybridMultilevel"/>
    <w:lvl w:ilvl="0">
      <w:lvlJc w:val="left"/>
      <w:lvlText w:val="%1"/>
      <w:numFmt w:val="decimal"/>
      <w:start w:val="1"/>
    </w:lvl>
    <w:lvl w:ilvl="1">
      <w:lvlJc w:val="left"/>
      <w:lvlText w:val="(%2)"/>
      <w:numFmt w:val="lowerRoman"/>
      <w:start w:val="3"/>
    </w:lvl>
  </w:abstractNum>
  <w:abstractNum w:abstractNumId="22">
    <w:nsid w:val="79838CB2"/>
    <w:multiLevelType w:val="hybridMultilevel"/>
    <w:lvl w:ilvl="0">
      <w:lvlJc w:val="left"/>
      <w:lvlText w:val="%1."/>
      <w:numFmt w:val="decimal"/>
      <w:start w:val="4"/>
    </w:lvl>
    <w:lvl w:ilvl="1">
      <w:lvlJc w:val="left"/>
      <w:lvlText w:val="%2"/>
      <w:numFmt w:val="lowerRoman"/>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2019-12-08T09:41:32Z</dcterms:created>
  <dcterms:modified xsi:type="dcterms:W3CDTF">2019-12-08T09:41:32Z</dcterms:modified>
</cp:coreProperties>
</file>