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340" w:right="4240" w:hanging="37"/>
        <w:spacing w:after="0" w:line="290" w:lineRule="auto"/>
        <w:tabs>
          <w:tab w:leader="none" w:pos="45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43"/>
          <w:szCs w:val="43"/>
          <w:u w:val="single" w:color="auto"/>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82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92" w:right="299" w:bottom="1440" w:gutter="0" w:footer="0" w:header="0"/>
        </w:sectPr>
      </w:pPr>
    </w:p>
    <w:bookmarkStart w:id="1" w:name="page2"/>
    <w:bookmarkEnd w:id="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6474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74460"/>
                    </a:xfrm>
                    <a:prstGeom prst="rect">
                      <a:avLst/>
                    </a:prstGeom>
                    <a:noFill/>
                  </pic:spPr>
                </pic:pic>
              </a:graphicData>
            </a:graphic>
          </wp:anchor>
        </w:drawing>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Capital Advisors, L.L.C.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color w:val="auto"/>
        </w:rPr>
        <w:t>(b) [x]</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156,225</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351"/>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2,488,958 (See Item 4)</w:t>
            </w:r>
          </w:p>
        </w:tc>
        <w:tc>
          <w:tcPr>
            <w:tcW w:w="0" w:type="dxa"/>
            <w:vAlign w:val="bottom"/>
          </w:tcPr>
          <w:p>
            <w:pPr>
              <w:spacing w:after="0"/>
              <w:rPr>
                <w:sz w:val="1"/>
                <w:szCs w:val="1"/>
                <w:color w:val="auto"/>
              </w:rPr>
            </w:pPr>
          </w:p>
        </w:tc>
      </w:tr>
      <w:tr>
        <w:trPr>
          <w:trHeight w:val="103"/>
        </w:trPr>
        <w:tc>
          <w:tcPr>
            <w:tcW w:w="2060" w:type="dxa"/>
            <w:vAlign w:val="bottom"/>
            <w:tcBorders>
              <w:right w:val="single" w:sz="8" w:color="auto"/>
            </w:tcBorders>
            <w:gridSpan w:val="2"/>
          </w:tcPr>
          <w:p>
            <w:pPr>
              <w:jc w:val="center"/>
              <w:spacing w:after="0" w:line="10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Borders>
              <w:right w:val="single" w:sz="8" w:color="auto"/>
            </w:tcBorders>
          </w:tcPr>
          <w:p>
            <w:pPr>
              <w:spacing w:after="0"/>
              <w:rPr>
                <w:sz w:val="8"/>
                <w:szCs w:val="8"/>
                <w:color w:val="auto"/>
              </w:rPr>
            </w:pPr>
          </w:p>
        </w:tc>
        <w:tc>
          <w:tcPr>
            <w:tcW w:w="8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60" w:type="dxa"/>
            <w:vAlign w:val="bottom"/>
            <w:tcBorders>
              <w:right w:val="single" w:sz="8" w:color="auto"/>
            </w:tcBorders>
            <w:gridSpan w:val="2"/>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400" w:type="dxa"/>
            <w:vAlign w:val="bottom"/>
          </w:tcPr>
          <w:p>
            <w:pPr>
              <w:jc w:val="center"/>
              <w:ind w:left="54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156,225</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2,488,958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Arial" w:cs="Arial" w:eastAsia="Arial" w:hAnsi="Arial"/>
                <w:sz w:val="18"/>
                <w:szCs w:val="18"/>
                <w:color w:val="auto"/>
              </w:rPr>
              <w:t>2,645,183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Not Applicable</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IA</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Gaslog Partners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GasLog LNG Services Ltd., 69 Akti Miaouli 18537, Piraeus, Greece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13G is being filed by Tortoise Capital Advisors, L.L.C., a Delaware limited liability company ("TCA").</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principal business address is 5100 W 115th Place, Leawood, KS 66211</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TCA is an investment adviser in accordance with Rule 13d-1(b)(1)(ii)(E).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TCA acts as an investment adviser to certain investment companies registered under the Investment Company Act of 1940. TCA, by virtue of investment advisory agreements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with these investment companies, has all investment and voting power over securities owned of record by these investment companies. However, despite their delegation of</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investment and voting power to TCA, these investment companies may be deemed to be the beneficial owners under Rule 13d-3 of the Act, of the securities they own of record</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because they have the right to acquire investment and voting power through termination of their investment advisory agreement with TCA. Thus, TCA has reported that it shares</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voting power and dispositive power over the securities owned of record by these investment companies. TCA may be deemed the beneficial owner of the securities covered by this statement under Rule 13d-3 of the Act that are held by its clients.</w:t>
      </w:r>
    </w:p>
    <w:p>
      <w:pPr>
        <w:spacing w:after="0" w:line="200" w:lineRule="exact"/>
        <w:rPr>
          <w:sz w:val="20"/>
          <w:szCs w:val="20"/>
          <w:color w:val="auto"/>
        </w:rPr>
      </w:pPr>
    </w:p>
    <w:p>
      <w:pPr>
        <w:spacing w:after="0" w:line="254" w:lineRule="exact"/>
        <w:rPr>
          <w:sz w:val="20"/>
          <w:szCs w:val="20"/>
          <w:color w:val="auto"/>
        </w:rPr>
      </w:pPr>
    </w:p>
    <w:p>
      <w:pPr>
        <w:ind w:left="1300" w:right="804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2,645,183</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92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156,225</w:t>
      </w:r>
    </w:p>
    <w:p>
      <w:pPr>
        <w:spacing w:after="0" w:line="197" w:lineRule="exact"/>
        <w:rPr>
          <w:rFonts w:ascii="Arial" w:cs="Arial" w:eastAsia="Arial" w:hAnsi="Arial"/>
          <w:sz w:val="18"/>
          <w:szCs w:val="18"/>
          <w:color w:val="auto"/>
        </w:rPr>
      </w:pPr>
    </w:p>
    <w:p>
      <w:pPr>
        <w:ind w:left="1620" w:right="674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2,488,958</w:t>
      </w:r>
    </w:p>
    <w:p>
      <w:pPr>
        <w:spacing w:after="0" w:line="197" w:lineRule="exact"/>
        <w:rPr>
          <w:rFonts w:ascii="Arial" w:cs="Arial" w:eastAsia="Arial" w:hAnsi="Arial"/>
          <w:sz w:val="18"/>
          <w:szCs w:val="18"/>
          <w:color w:val="auto"/>
        </w:rPr>
      </w:pPr>
    </w:p>
    <w:p>
      <w:pPr>
        <w:ind w:left="1620" w:right="600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156,225</w:t>
      </w:r>
    </w:p>
    <w:p>
      <w:pPr>
        <w:spacing w:after="0" w:line="197" w:lineRule="exact"/>
        <w:rPr>
          <w:rFonts w:ascii="Arial" w:cs="Arial" w:eastAsia="Arial" w:hAnsi="Arial"/>
          <w:sz w:val="18"/>
          <w:szCs w:val="18"/>
          <w:color w:val="auto"/>
        </w:rPr>
      </w:pPr>
    </w:p>
    <w:p>
      <w:pPr>
        <w:ind w:left="1620" w:right="582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2,488,958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person does not exceed 5% of the class of securities.</w:t>
      </w:r>
    </w:p>
    <w:p>
      <w:pPr>
        <w:spacing w:after="0" w:line="200" w:lineRule="exact"/>
        <w:rPr>
          <w:sz w:val="20"/>
          <w:szCs w:val="20"/>
          <w:color w:val="auto"/>
        </w:rPr>
      </w:pP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80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8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2020</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800"/>
      </w:cols>
      <w:pgMar w:left="240" w:top="11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lowerRoman"/>
      <w:start w:val="10"/>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2020-02-14T14:54:49Z</dcterms:created>
  <dcterms:modified xsi:type="dcterms:W3CDTF">2020-02-14T14:54:49Z</dcterms:modified>
</cp:coreProperties>
</file>