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Gildo Pastor Center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20" w:type="dxa"/>
            <w:vAlign w:val="bottom"/>
          </w:tcPr>
          <w:p>
            <w:pPr>
              <w:spacing w:after="0"/>
              <w:rPr>
                <w:sz w:val="20"/>
                <w:szCs w:val="20"/>
                <w:color w:val="auto"/>
              </w:rPr>
            </w:pPr>
          </w:p>
        </w:tc>
      </w:tr>
      <w:tr>
        <w:trPr>
          <w:trHeight w:val="452"/>
        </w:trPr>
        <w:tc>
          <w:tcPr>
            <w:tcW w:w="101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320" w:type="dxa"/>
            <w:vAlign w:val="bottom"/>
          </w:tcPr>
          <w:p>
            <w:pPr>
              <w:spacing w:after="0"/>
              <w:rPr>
                <w:sz w:val="24"/>
                <w:szCs w:val="24"/>
                <w:color w:val="auto"/>
              </w:rPr>
            </w:pPr>
          </w:p>
        </w:tc>
      </w:tr>
      <w:tr>
        <w:trPr>
          <w:trHeight w:val="41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20" w:type="dxa"/>
            <w:vAlign w:val="bottom"/>
          </w:tcPr>
          <w:p>
            <w:pPr>
              <w:ind w:left="1200"/>
              <w:spacing w:after="0"/>
              <w:rPr>
                <w:sz w:val="20"/>
                <w:szCs w:val="20"/>
                <w:color w:val="auto"/>
              </w:rPr>
            </w:pPr>
            <w:r>
              <w:rPr>
                <w:rFonts w:ascii="Arial" w:cs="Arial" w:eastAsia="Arial" w:hAnsi="Arial"/>
                <w:sz w:val="18"/>
                <w:szCs w:val="18"/>
                <w:color w:val="auto"/>
                <w:w w:val="99"/>
              </w:rPr>
              <w:t>o</w:t>
            </w: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20" w:type="dxa"/>
            <w:vAlign w:val="bottom"/>
          </w:tcPr>
          <w:p>
            <w:pPr>
              <w:ind w:left="1200"/>
              <w:spacing w:after="0"/>
              <w:rPr>
                <w:sz w:val="20"/>
                <w:szCs w:val="20"/>
                <w:color w:val="auto"/>
              </w:rPr>
            </w:pPr>
            <w:r>
              <w:rPr>
                <w:rFonts w:ascii="Arial" w:cs="Arial" w:eastAsia="Arial" w:hAnsi="Arial"/>
                <w:sz w:val="18"/>
                <w:szCs w:val="18"/>
                <w:color w:val="auto"/>
                <w:w w:val="99"/>
              </w:rPr>
              <w:t>o</w:t>
            </w:r>
          </w:p>
        </w:tc>
      </w:tr>
      <w:tr>
        <w:trPr>
          <w:trHeight w:val="348"/>
        </w:trPr>
        <w:tc>
          <w:tcPr>
            <w:tcW w:w="101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GasLog Ltd. and GasLog Partners LP Announce Agreement to Eliminate Incentive Distribution Rights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IDR Elimination</w:t>
      </w:r>
    </w:p>
    <w:p>
      <w:pPr>
        <w:spacing w:after="0" w:line="229" w:lineRule="exact"/>
        <w:rPr>
          <w:sz w:val="20"/>
          <w:szCs w:val="20"/>
          <w:color w:val="auto"/>
        </w:rPr>
      </w:pPr>
    </w:p>
    <w:p>
      <w:pPr>
        <w:jc w:val="both"/>
        <w:ind w:right="320"/>
        <w:spacing w:after="0" w:line="257" w:lineRule="auto"/>
        <w:rPr>
          <w:sz w:val="20"/>
          <w:szCs w:val="20"/>
          <w:color w:val="auto"/>
        </w:rPr>
      </w:pPr>
      <w:r>
        <w:rPr>
          <w:rFonts w:ascii="Arial" w:cs="Arial" w:eastAsia="Arial" w:hAnsi="Arial"/>
          <w:sz w:val="18"/>
          <w:szCs w:val="18"/>
          <w:color w:val="auto"/>
        </w:rPr>
        <w:t>GasLog Ltd. (“GasLog” or the “General Partner”) (NYSE:GLOG) and GasLog Partners LP (“GasLog Partners” or the “Partnership”) (NYSE: GLOP) announced today an agreement to eliminate the General Partner’s incentive distribution rights in the Partnership (“IDRs”) in exchange for newly issued limited partner units. In exchange for the IDRs, GasLog will receive (i) 2,532,911 common units (the “New Common Units”) and (ii) 415,000 Class B-1 units, 415,000 Class B-2 units, 415,000 Class B-3 units, 415,000 Class B-4 units, 415,000 Class B-5 units and 415,000 Class B-6 units (collectively, the “Class B Units”).</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exchange, the Fifth Amended and Restated Agreement of Limited Partnership of GLOP, dated as of November 27, 2018, will be amended and restated to, among other things, reflect the cancellation of the IDRs, the issuance of the New Common Units and the issuance of the Class B Units (as amended and restated, the “Revised Partnership Agreement”). The transaction is expected to close on June 30, 2019 and the Revised Partnership Agreement will become effective as of closing.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Units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Class B Units will be a new class of limited partnership interest and will not be entitled to receive any cash distributions until they convert into common units. The Class B Units also generally will not have voting rights until they convert into common units. The Class B Units will become eligible for conversion on a one-for-one basis into common units at the General Partner’s option in six tranches of 415,000 units per annum on July 1 of 2020 (in respect of the Class B-1 units), 2021 (in respect of the Class B-2 units), 2022 (in respect of the Class B-3 units), 2023 (in respect of the Class B-4 units), 2024 (in respect of the Class B-5 units) and 2025 (in respect of the Class B-6 units) (collectively, the “Class B Convertible Dates”). In addition, the Class B Units will automatically convert on a one-for-one basis into common units upon a change of control (as defined in the Revised Partnership Agreement) or immediately prior to an acquisition of the Partnership (other than by the General Partner or any of its affiliates).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Press Release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press release issued by GasLog and GasLog Partners on June 24, 2019 announcing the agreement to eliminate the Incentive Distribution Rights is attached hereto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statements in this Form 6-K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20" w:hanging="328"/>
        <w:spacing w:after="0" w:line="258"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9" w:lineRule="exact"/>
        <w:rPr>
          <w:rFonts w:ascii="Arial" w:cs="Arial" w:eastAsia="Arial" w:hAnsi="Arial"/>
          <w:sz w:val="18"/>
          <w:szCs w:val="18"/>
          <w:color w:val="auto"/>
        </w:rPr>
      </w:pPr>
    </w:p>
    <w:p>
      <w:pPr>
        <w:ind w:left="660" w:right="580" w:hanging="328"/>
        <w:spacing w:after="0" w:line="261"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2" w:name="page3"/>
    <w:bookmarkEnd w:id="2"/>
    <w:p>
      <w:pPr>
        <w:ind w:left="660"/>
        <w:spacing w:after="0"/>
        <w:rPr>
          <w:sz w:val="20"/>
          <w:szCs w:val="20"/>
          <w:color w:val="auto"/>
        </w:rPr>
      </w:pPr>
      <w:r>
        <w:rPr>
          <w:rFonts w:ascii="Arial" w:cs="Arial" w:eastAsia="Arial" w:hAnsi="Arial"/>
          <w:sz w:val="18"/>
          <w:szCs w:val="18"/>
          <w:color w:val="auto"/>
        </w:rPr>
        <w:t>such time which may impact the rate at which we can charter such vessels;</w:t>
      </w:r>
    </w:p>
    <w:p>
      <w:pPr>
        <w:spacing w:after="0" w:line="23"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exchange rates, especially the U.S. dollar and Euro;</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expand our portfolio by acquiring vessels through our drop-down pipeline with GasLog or by acquiring other assets from third parties;</w:t>
      </w:r>
    </w:p>
    <w:p>
      <w:pPr>
        <w:spacing w:after="0" w:line="32" w:lineRule="exact"/>
        <w:rPr>
          <w:rFonts w:ascii="Arial" w:cs="Arial" w:eastAsia="Arial" w:hAnsi="Arial"/>
          <w:sz w:val="16"/>
          <w:szCs w:val="16"/>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of GasLog to maintain long-term relationships with major energy companies and major LNG producers, marketers and consumers;</w:t>
      </w:r>
    </w:p>
    <w:p>
      <w:pPr>
        <w:spacing w:after="0" w:line="20" w:lineRule="exact"/>
        <w:rPr>
          <w:rFonts w:ascii="Arial" w:cs="Arial" w:eastAsia="Arial" w:hAnsi="Arial"/>
          <w:sz w:val="17"/>
          <w:szCs w:val="17"/>
          <w:color w:val="auto"/>
        </w:rPr>
      </w:pPr>
    </w:p>
    <w:p>
      <w:pPr>
        <w:ind w:left="660" w:hanging="328"/>
        <w:spacing w:after="0" w:line="250"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future, pending or recent acquisitions of ships or other assets, business strategy, areas of possible expansion and expected capital spending;</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w:t>
      </w:r>
    </w:p>
    <w:p>
      <w:pPr>
        <w:ind w:left="660" w:right="320" w:hanging="328"/>
        <w:spacing w:after="0" w:line="250"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liability from future litigation; and</w:t>
      </w:r>
    </w:p>
    <w:p>
      <w:pPr>
        <w:spacing w:after="0" w:line="9" w:lineRule="exact"/>
        <w:rPr>
          <w:rFonts w:ascii="Arial" w:cs="Arial" w:eastAsia="Arial" w:hAnsi="Arial"/>
          <w:sz w:val="18"/>
          <w:szCs w:val="18"/>
          <w:color w:val="auto"/>
        </w:rPr>
      </w:pPr>
    </w:p>
    <w:p>
      <w:pPr>
        <w:ind w:left="660" w:right="560" w:hanging="328"/>
        <w:spacing w:after="0" w:line="261"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Partnership’s Annual Report on Form 20-F filed with the SEC on February 26, 2019, available at </w:t>
      </w:r>
      <w:r>
        <w:rPr>
          <w:rFonts w:ascii="Arial" w:cs="Arial" w:eastAsia="Arial" w:hAnsi="Arial"/>
          <w:sz w:val="18"/>
          <w:szCs w:val="18"/>
          <w:u w:val="single" w:color="auto"/>
          <w:color w:val="0000FF"/>
        </w:rPr>
        <w:t>http://www.sec.gov</w:t>
      </w:r>
      <w:r>
        <w:rPr>
          <w:rFonts w:ascii="Arial" w:cs="Arial" w:eastAsia="Arial" w:hAnsi="Arial"/>
          <w:sz w:val="18"/>
          <w:szCs w:val="18"/>
          <w:color w:val="000000"/>
        </w:rPr>
        <w:t>.</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Form 6-K,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 on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24,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Date: June 24, 2019</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/s/ Andrew Orekar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8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6"/>
                <w:szCs w:val="16"/>
                <w:color w:val="auto"/>
              </w:rPr>
            </w:pPr>
          </w:p>
        </w:tc>
      </w:tr>
      <w:tr>
        <w:trPr>
          <w:trHeight w:val="230"/>
        </w:trPr>
        <w:tc>
          <w:tcPr>
            <w:tcW w:w="64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6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Ltd. and GasLog Partners LP Announce Agreement to Eliminate Incentive Distribution Rights</w:t>
      </w:r>
    </w:p>
    <w:p>
      <w:pPr>
        <w:spacing w:after="0" w:line="200" w:lineRule="exact"/>
        <w:rPr>
          <w:sz w:val="20"/>
          <w:szCs w:val="20"/>
          <w:color w:val="auto"/>
        </w:rPr>
      </w:pPr>
    </w:p>
    <w:p>
      <w:pPr>
        <w:spacing w:after="0" w:line="21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Monaco, June 24, 2019 </w:t>
      </w:r>
      <w:r>
        <w:rPr>
          <w:rFonts w:ascii="Arial" w:cs="Arial" w:eastAsia="Arial" w:hAnsi="Arial"/>
          <w:sz w:val="18"/>
          <w:szCs w:val="18"/>
          <w:color w:val="auto"/>
        </w:rPr>
        <w:t>– GasLog Ltd. (“GasLog”, the “General Partner” or the “GP”) (NYSE:GLOG) and GasLog Partners LP (“GasLog Partners”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(NYSE: GLOP) announced today an agreement to eliminate the GP’s incentive distribution rights (“IDRs”) in exchange for newly issued limited partner units. In exchange for the IDRs, GasLog will receive 2,532,911 common units and 2,490,000 Class B units. The transaction is expected to close on June 30, 2019.</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Class B units will be a new class of LP interest and will not be entitled to receive any cash distributions until they convert into common units. T</w:t>
      </w:r>
      <w:r>
        <w:rPr>
          <w:rFonts w:ascii="Arial" w:cs="Arial" w:eastAsia="Arial" w:hAnsi="Arial"/>
          <w:sz w:val="16"/>
          <w:szCs w:val="16"/>
          <w:color w:val="auto"/>
        </w:rPr>
        <w:t>he</w:t>
      </w:r>
      <w:r>
        <w:rPr>
          <w:rFonts w:ascii="Arial" w:cs="Arial" w:eastAsia="Arial" w:hAnsi="Arial"/>
          <w:sz w:val="17"/>
          <w:szCs w:val="17"/>
          <w:color w:val="auto"/>
        </w:rPr>
        <w:t xml:space="preserve"> </w:t>
      </w:r>
      <w:r>
        <w:rPr>
          <w:rFonts w:ascii="Arial" w:cs="Arial" w:eastAsia="Arial" w:hAnsi="Arial"/>
          <w:sz w:val="16"/>
          <w:szCs w:val="16"/>
          <w:color w:val="auto"/>
        </w:rPr>
        <w:t xml:space="preserve">Class B units also generally will not have voting rights until they convert into common units. The Class B units will become eligible for conversion on a one-for-one basis into common units at the GP’s option in six tranches of </w:t>
      </w:r>
      <w:r>
        <w:rPr>
          <w:rFonts w:ascii="Arial" w:cs="Arial" w:eastAsia="Arial" w:hAnsi="Arial"/>
          <w:sz w:val="17"/>
          <w:szCs w:val="17"/>
          <w:color w:val="auto"/>
        </w:rPr>
        <w:t>415,000 units per annum on July 1 of 2020, 2021, 2022, 2023, 2024 and 2025.</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Board of Directors of GasLog, the Board of Directors of GasLog Partners (the “Board”) and the Conflicts Committee of the Board have each approved the transaction described above. Evercore advised the Conflicts Committee of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highlights of the transaction are:</w:t>
      </w:r>
    </w:p>
    <w:p>
      <w:pPr>
        <w:spacing w:after="0" w:line="225"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Immediately accretive to the Partnership’s distributable cash flow per LP unit;</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neutral transaction based on current IDR distributions;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Enhances GasLog Partners’ ability to pursue growth opportunities by reducing its expected cost of capital;</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GasLog’s ownership in the Partnership, strengthening GP/LP alignment;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Reduces complexity in GasLog’s structure and simplifies the presentation of financial results;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Reiteration of GasLog Partners’ distribution growth guidance of 2% to 4% for 2019</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Andrew Orekar, Chief Executive Officer of GasLog Partners, stated, “As the first marine MLP to eliminate IDRs, GasLog Partners is poised to benefit from a differentiated corporate and financial structure. The transaction is expected to be immediately accretive to distributable cash flow per LP unit and to reduce our expected cost of capital, facilitating continued execution of our growth objectives. With no future IDR obligations, we reiterate our distribution growth guidance of 2% to 4% for 2019.”</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Paul Wogan, Chief Executive Officer of GasLog, stated, “Since its IPO in 2014, GasLog Partners has raised over $2.4 billion of capital and has been both a critical component of our growth and a key enabler in achieving our strategic goals. By removing the IDRs we aim not only to simplify GasLog’s structure but also to reduce the Partnership’s expected cost of capital. GasLog Partners remains our preferred equity funding source and we believe that this transaction will contribute to its continued growth and success.”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ir@gaslogmlp.com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34 LNG carriers and an additional LNG carrier which was sold to a subsidiary of Mitsui Co. Ltd. and leased back under a long-term bareboat charter. 20 of these vessels (12 ships on the water and eight on order) are owned by GasLog with the remaining 15 LNG carriers being owned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Company’s subsidiary, GasLog Partners. GasLog’s principal executive offices are at Gildo Pastor Center, 7 Rue du Gabian, MC 98000, Monaco.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Gildo Pastor Center, 7 Rue du Gabian, MC 98000, Monaco. Visit GasLog Partners’ website at </w:t>
      </w:r>
      <w:r>
        <w:rPr>
          <w:rFonts w:ascii="Arial" w:cs="Arial" w:eastAsia="Arial" w:hAnsi="Arial"/>
          <w:sz w:val="16"/>
          <w:szCs w:val="16"/>
          <w:u w:val="single" w:color="auto"/>
          <w:color w:val="0000FF"/>
        </w:rPr>
        <w:t>http://www.gaslogmlp.com</w:t>
      </w:r>
      <w:r>
        <w:rPr>
          <w:rFonts w:ascii="Arial" w:cs="Arial" w:eastAsia="Arial" w:hAnsi="Arial"/>
          <w:sz w:val="16"/>
          <w:szCs w:val="16"/>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GasLog and GasLog Partners expect, project, believe or anticipate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jc w:val="both"/>
        <w:ind w:left="660" w:right="580" w:hanging="328"/>
        <w:spacing w:after="0" w:line="256"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multi-year charter rates, ship values, factors affecting supply and demand of LNG and LNG shipping, technological advancements and opportunities for the profitable operations of LNG carriers;</w:t>
      </w: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spot and multi-year charter hire rates and vessel values;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long term relationships and enter into time charters with new and existing customers;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9" w:lineRule="exact"/>
        <w:rPr>
          <w:rFonts w:ascii="Arial" w:cs="Arial" w:eastAsia="Arial" w:hAnsi="Arial"/>
          <w:sz w:val="18"/>
          <w:szCs w:val="18"/>
          <w:color w:val="auto"/>
        </w:rPr>
      </w:pPr>
    </w:p>
    <w:p>
      <w:pPr>
        <w:ind w:left="660" w:right="90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20" w:hanging="28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pending or recent acquisitions of ships or other assets, business strategy, areas of possible expansion and expected capital spending;</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it may take to construct and deliver newbuildings and the useful lives of our ships;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labour,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ind w:left="660" w:right="140" w:hanging="328"/>
        <w:spacing w:after="0" w:line="258"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 w:lineRule="exact"/>
        <w:rPr>
          <w:rFonts w:ascii="Arial" w:cs="Arial" w:eastAsia="Arial" w:hAnsi="Arial"/>
          <w:sz w:val="18"/>
          <w:szCs w:val="18"/>
          <w:color w:val="auto"/>
        </w:rPr>
      </w:pPr>
    </w:p>
    <w:p>
      <w:pPr>
        <w:ind w:left="660" w:right="80" w:hanging="328"/>
        <w:spacing w:after="0" w:line="261"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GasLog’s Annual Report on Form 20-F filed with the SEC on March 5, 2019 and GasLog Partners’ Annual Report on Form 20-F filed with the SEC on February 26, 2019, available at </w:t>
      </w:r>
      <w:r>
        <w:rPr>
          <w:rFonts w:ascii="Arial" w:cs="Arial" w:eastAsia="Arial" w:hAnsi="Arial"/>
          <w:sz w:val="18"/>
          <w:szCs w:val="18"/>
          <w:u w:val="single" w:color="auto"/>
          <w:color w:val="0000FF"/>
        </w:rPr>
        <w:t>http://www.sec.gov</w:t>
      </w:r>
      <w:r>
        <w:rPr>
          <w:rFonts w:ascii="Arial" w:cs="Arial" w:eastAsia="Arial" w:hAnsi="Arial"/>
          <w:sz w:val="18"/>
          <w:szCs w:val="18"/>
          <w:color w:val="auto"/>
        </w:rPr>
        <w:t>.</w:t>
      </w:r>
    </w:p>
    <w:p>
      <w:pPr>
        <w:spacing w:after="0" w:line="18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GasLog and GasLog Partners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2019-12-01T12:45:27Z</dcterms:created>
  <dcterms:modified xsi:type="dcterms:W3CDTF">2019-12-01T12:45:27Z</dcterms:modified>
</cp:coreProperties>
</file>