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435" w:right="1440" w:bottom="1440" w:gutter="0" w:footer="0" w:header="0"/>
        </w:sectPr>
      </w:pPr>
    </w:p>
    <w:bookmarkStart w:id="1" w:name="page2"/>
    <w:bookmarkEnd w:id="1"/>
    <w:p>
      <w:pPr>
        <w:ind w:right="520"/>
        <w:spacing w:after="0" w:line="277" w:lineRule="auto"/>
        <w:rPr>
          <w:sz w:val="20"/>
          <w:szCs w:val="20"/>
          <w:color w:val="auto"/>
        </w:rPr>
      </w:pPr>
      <w:r>
        <w:rPr>
          <w:rFonts w:ascii="Arial" w:cs="Arial" w:eastAsia="Arial" w:hAnsi="Arial"/>
          <w:sz w:val="18"/>
          <w:szCs w:val="18"/>
          <w:color w:val="auto"/>
        </w:rPr>
        <w:t>The press release issued by GasLog Partners LP and GasLog Ltd. on June 6, 2019 announcing that GasLog Ltd. and GasLog Partners LP are to assume commercial control of LNG Carriers operating in the sport market is attached hereto as Exhibit 99.1.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2019</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142875</wp:posOffset>
            </wp:positionV>
            <wp:extent cx="3293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18" w:lineRule="exact"/>
        <w:rPr>
          <w:sz w:val="20"/>
          <w:szCs w:val="20"/>
          <w:color w:val="auto"/>
        </w:rPr>
      </w:pPr>
    </w:p>
    <w:p>
      <w:pPr>
        <w:ind w:left="6240"/>
        <w:spacing w:after="0"/>
        <w:tabs>
          <w:tab w:leader="none" w:pos="6880" w:val="left"/>
        </w:tabs>
        <w:rPr>
          <w:sz w:val="20"/>
          <w:szCs w:val="20"/>
          <w:color w:val="auto"/>
        </w:rPr>
      </w:pPr>
      <w:r>
        <w:rPr>
          <w:rFonts w:ascii="Arial" w:cs="Arial" w:eastAsia="Arial" w:hAnsi="Arial"/>
          <w:sz w:val="18"/>
          <w:szCs w:val="18"/>
          <w:color w:val="auto"/>
        </w:rPr>
        <w:t>Name:</w:t>
        <w:tab/>
        <w:t>Andrew Orekar</w:t>
      </w:r>
    </w:p>
    <w:p>
      <w:pPr>
        <w:spacing w:after="0" w:line="50" w:lineRule="exact"/>
        <w:rPr>
          <w:sz w:val="20"/>
          <w:szCs w:val="20"/>
          <w:color w:val="auto"/>
        </w:rPr>
      </w:pPr>
    </w:p>
    <w:p>
      <w:pPr>
        <w:ind w:left="624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337" w:right="87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7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GasLog Ltd. and GasLog Partners LP to Assume Commercial Control of LNG Carriers Operating in The Spot Market</w:t>
      </w:r>
    </w:p>
    <w:p>
      <w:pPr>
        <w:spacing w:after="0" w:line="200" w:lineRule="exact"/>
        <w:rPr>
          <w:sz w:val="20"/>
          <w:szCs w:val="20"/>
          <w:color w:val="auto"/>
        </w:rPr>
      </w:pPr>
    </w:p>
    <w:p>
      <w:pPr>
        <w:spacing w:after="0" w:line="250"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Monaco, June 6, 2019 </w:t>
      </w:r>
      <w:r>
        <w:rPr>
          <w:rFonts w:ascii="Arial" w:cs="Arial" w:eastAsia="Arial" w:hAnsi="Arial"/>
          <w:sz w:val="18"/>
          <w:szCs w:val="18"/>
          <w:color w:val="auto"/>
        </w:rPr>
        <w:t>- GasLog Ltd. (“GasLog” or the “Company”) (NYSE:GLOG) and GasLog Partners LP (GasLog Partners or the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(NYSE: GLOP) (together the “Group”) announced today a decision to assume commercial control of their vessels currently operating in the LNG carrier spot market through The Cool Pool.</w:t>
      </w:r>
    </w:p>
    <w:p>
      <w:pPr>
        <w:spacing w:after="0" w:line="2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Cool Pool is an LNG carrier pooling agreement between GasLog and Golar LNG Ltd. (“Golar”), focusing exclusively on spot fixtures of up to 12 months in duration.</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Golar’s declared intention to spin off its spot LNG vessels, coupled with the Group’s belief that robust LNG commodity supply and demand fundamentals will lead to a tightening LNG shipping market and increased multi-year charter opportunities, has led it to decide to withdraw its vessels from The Cool Pool. Assuming commercial control of these vessels will allow the Group greater flexibility and agility in pursuing longer-term time charter opportunities. This will enhance the Group’s ability to deliver on its strategic objective of optimizing fleet employment across spot and term markets and maximizing vessel utilization, earnings and value.</w:t>
      </w:r>
    </w:p>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It is anticipated that the five vessels owned by GasLog and the one vessel owned by GasLog Partners currently operating in the spot market will withdraw from The Cool Pool over coming months, based upon current commitments and charter opportunities.</w:t>
      </w:r>
    </w:p>
    <w:p>
      <w:pPr>
        <w:spacing w:after="0" w:line="19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Paul Wogan, Chief Executive Officer of GasLog, stated “I would like to thank our Cool Pool partners for their collaboration over the past four years. However, with Golar’s declared intention to spin off its LNG vessels and a tightening of the LNG carrier market now underway, we believe it is the right time to assume control of our vessel marketing as we seek to place more vessels on longer-term charters to optimize the earnings of our fleet through the cycle. This move is underpinned by increasing levels of customer enquiry in multi-month and multi-year charters.”</w:t>
      </w:r>
    </w:p>
    <w:p>
      <w:pPr>
        <w:spacing w:after="0" w:line="19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Andrew Orekar, Chief Executive Officer of GasLog Partners, stated “The Partnership remains focused on delivering cash flow visibility for our unitholders, and today’s decision to withdraw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from The Cool Pool will enhance our ability to secure an attractive term charter for this vessel.”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GasLog and GasLog Partners LNG carriers currently operating in The Cool Pool are: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42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Vessel</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6"/>
              </w:rPr>
              <w:t>Owner</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7"/>
              </w:rPr>
              <w:t>Propulsion</w:t>
            </w:r>
            <w:r>
              <w:rPr>
                <w:rFonts w:ascii="Arial" w:cs="Arial" w:eastAsia="Arial" w:hAnsi="Arial"/>
                <w:sz w:val="21"/>
                <w:szCs w:val="21"/>
                <w:b w:val="1"/>
                <w:bCs w:val="1"/>
                <w:color w:val="auto"/>
                <w:w w:val="87"/>
                <w:vertAlign w:val="superscript"/>
              </w:rPr>
              <w:t>(1)</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Year built</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Capacity (cubic</w:t>
            </w:r>
          </w:p>
        </w:tc>
        <w:tc>
          <w:tcPr>
            <w:tcW w:w="0" w:type="dxa"/>
            <w:vAlign w:val="bottom"/>
          </w:tcPr>
          <w:p>
            <w:pPr>
              <w:spacing w:after="0"/>
              <w:rPr>
                <w:sz w:val="1"/>
                <w:szCs w:val="1"/>
                <w:color w:val="auto"/>
              </w:rPr>
            </w:pPr>
          </w:p>
        </w:tc>
      </w:tr>
      <w:tr>
        <w:trPr>
          <w:trHeight w:val="162"/>
        </w:trPr>
        <w:tc>
          <w:tcPr>
            <w:tcW w:w="2420" w:type="dxa"/>
            <w:vAlign w:val="bottom"/>
            <w:tcBorders>
              <w:left w:val="single" w:sz="8" w:color="auto"/>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meters)</w:t>
            </w:r>
          </w:p>
        </w:tc>
        <w:tc>
          <w:tcPr>
            <w:tcW w:w="0" w:type="dxa"/>
            <w:vAlign w:val="bottom"/>
          </w:tcPr>
          <w:p>
            <w:pPr>
              <w:spacing w:after="0"/>
              <w:rPr>
                <w:sz w:val="1"/>
                <w:szCs w:val="1"/>
                <w:color w:val="auto"/>
              </w:rPr>
            </w:pPr>
          </w:p>
        </w:tc>
      </w:tr>
      <w:tr>
        <w:trPr>
          <w:trHeight w:val="51"/>
        </w:trPr>
        <w:tc>
          <w:tcPr>
            <w:tcW w:w="242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i w:val="1"/>
                <w:iCs w:val="1"/>
                <w:color w:val="auto"/>
              </w:rPr>
              <w:t>GasLog Singapore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2010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155,000</w:t>
            </w: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i w:val="1"/>
                <w:iCs w:val="1"/>
                <w:color w:val="auto"/>
              </w:rPr>
              <w:t>GasLog Chelsea</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2010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153,600</w:t>
            </w: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i w:val="1"/>
                <w:iCs w:val="1"/>
                <w:color w:val="auto"/>
              </w:rPr>
              <w:t>GasLog Savannah</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2010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155,000</w:t>
            </w: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i w:val="1"/>
                <w:iCs w:val="1"/>
                <w:color w:val="auto"/>
              </w:rPr>
              <w:t>GasLog Skagen</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2013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155,000</w:t>
            </w: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i w:val="1"/>
                <w:iCs w:val="1"/>
                <w:color w:val="auto"/>
              </w:rPr>
              <w:t>GasLog Shanghai</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GLOP</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2013</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155,000</w:t>
            </w: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6"/>
                <w:szCs w:val="16"/>
                <w:i w:val="1"/>
                <w:iCs w:val="1"/>
                <w:color w:val="auto"/>
              </w:rPr>
              <w:t>GasLog Salem</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GLOG</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TFDE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2015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155,000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TFDE = Tri-fuel diesel electric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34 LNG carriers and an additional LNG carrier which was sold to a subsidiary of Mitsui Co. Ltd. and leased back under a long-term bareboat charter. 20 of these vessels (12 ships on the water and eight on order) are owned by GasLog with the remaining 15 LNG carriers being owned by the Company’s subsidiary, GasLog Partners LP. GasLog’s principal executive offices are at Gildo Pastor Center, 7 Rue du Gabian, MC 98000, Monaco.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 LP</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http://www.gaslogmlp.com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52" w:lineRule="exact"/>
        <w:rPr>
          <w:sz w:val="20"/>
          <w:szCs w:val="20"/>
          <w:color w:val="auto"/>
        </w:rPr>
      </w:pPr>
    </w:p>
    <w:p>
      <w:pPr>
        <w:ind w:left="660" w:right="260" w:hanging="393"/>
        <w:spacing w:after="0" w:line="274"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660" w:right="260" w:hanging="393"/>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time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long term relationships and enter into time charters with new and existing customers;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860" w:hanging="393"/>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hanging="393"/>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0" w:lineRule="exact"/>
        <w:rPr>
          <w:rFonts w:ascii="Arial" w:cs="Arial" w:eastAsia="Arial" w:hAnsi="Arial"/>
          <w:sz w:val="17"/>
          <w:szCs w:val="17"/>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time it may take to construct and deliver newbuildings and the useful lives of our ships;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260" w:hanging="393"/>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hanging="39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possible cybersecurity breach; and</w:t>
      </w:r>
    </w:p>
    <w:p>
      <w:pPr>
        <w:spacing w:after="0" w:line="23" w:lineRule="exact"/>
        <w:rPr>
          <w:sz w:val="20"/>
          <w:szCs w:val="20"/>
          <w:color w:val="auto"/>
        </w:rPr>
      </w:pPr>
    </w:p>
    <w:p>
      <w:pPr>
        <w:ind w:left="660" w:right="600" w:hanging="393"/>
        <w:spacing w:after="0" w:line="26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GasLog’s Annual Report on Form 20-F filed with the SEC on March 5, 2019 and GasLog Partners’ Annual Report on Form 20-F filed with the SEC on February 26, 2019, available at </w:t>
      </w:r>
      <w:r>
        <w:rPr>
          <w:rFonts w:ascii="Arial" w:cs="Arial" w:eastAsia="Arial" w:hAnsi="Arial"/>
          <w:sz w:val="18"/>
          <w:szCs w:val="18"/>
          <w:u w:val="single" w:color="auto"/>
          <w:color w:val="0000FF"/>
        </w:rPr>
        <w:t>http://www.sec.gov</w:t>
      </w:r>
      <w:r>
        <w:rPr>
          <w:rFonts w:ascii="Arial" w:cs="Arial" w:eastAsia="Arial" w:hAnsi="Arial"/>
          <w:sz w:val="18"/>
          <w:szCs w:val="18"/>
          <w:color w:val="auto"/>
        </w:rPr>
        <w:t xml:space="preserve"> .</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GasLog and GasLog Partners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2019-12-01T23:14:33Z</dcterms:created>
  <dcterms:modified xsi:type="dcterms:W3CDTF">2019-12-01T23:14:33Z</dcterms:modified>
</cp:coreProperties>
</file>