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March 2018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340" w:firstLine="383"/>
        <w:spacing w:after="0" w:line="277" w:lineRule="auto"/>
        <w:rPr>
          <w:sz w:val="20"/>
          <w:szCs w:val="20"/>
          <w:color w:val="auto"/>
        </w:rPr>
      </w:pPr>
      <w:r>
        <w:rPr>
          <w:rFonts w:ascii="Arial" w:cs="Arial" w:eastAsia="Arial" w:hAnsi="Arial"/>
          <w:sz w:val="18"/>
          <w:szCs w:val="18"/>
          <w:color w:val="auto"/>
        </w:rPr>
        <w:t>The press release issued by GasLog Partners LP on March 23, 2018 announcing that it has entered into agreements with a new customer for two new charters plus options for an additional two charters is attached hereto as Exhibit 99.1.</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4"/>
          <w:szCs w:val="24"/>
          <w:color w:val="auto"/>
        </w:rPr>
      </w:pPr>
    </w:p>
    <w:p>
      <w:pPr>
        <w:ind w:right="60"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280" w:type="dxa"/>
            <w:vAlign w:val="bottom"/>
          </w:tcPr>
          <w:p>
            <w:pPr>
              <w:jc w:val="center"/>
              <w:ind w:right="4056"/>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ind w:left="340"/>
              <w:spacing w:after="0"/>
              <w:rPr>
                <w:rFonts w:ascii="Arial" w:cs="Arial" w:eastAsia="Arial" w:hAnsi="Arial"/>
                <w:sz w:val="18"/>
                <w:szCs w:val="18"/>
                <w:color w:val="0000EE"/>
              </w:rPr>
            </w:pPr>
            <w:hyperlink r:id="rId13">
              <w:r>
                <w:rPr>
                  <w:rFonts w:ascii="Arial" w:cs="Arial" w:eastAsia="Arial" w:hAnsi="Arial"/>
                  <w:sz w:val="18"/>
                  <w:szCs w:val="18"/>
                  <w:color w:val="0000EE"/>
                </w:rPr>
                <w:t>Press Release Dated March 23, 2018</w:t>
              </w:r>
            </w:hyperlink>
          </w:p>
        </w:tc>
        <w:tc>
          <w:tcPr>
            <w:tcW w:w="40" w:type="dxa"/>
            <w:vAlign w:val="bottom"/>
          </w:tcPr>
          <w:p>
            <w:pPr>
              <w:spacing w:after="0"/>
              <w:rPr>
                <w:sz w:val="24"/>
                <w:szCs w:val="24"/>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Borders>
              <w:top w:val="single" w:sz="8" w:color="0000EE"/>
            </w:tcBorders>
          </w:tcPr>
          <w:p>
            <w:pPr>
              <w:spacing w:after="0"/>
              <w:rPr>
                <w:sz w:val="24"/>
                <w:szCs w:val="24"/>
                <w:color w:val="auto"/>
              </w:rPr>
            </w:pPr>
          </w:p>
        </w:tc>
        <w:tc>
          <w:tcPr>
            <w:tcW w:w="7280" w:type="dxa"/>
            <w:vAlign w:val="bottom"/>
          </w:tcPr>
          <w:p>
            <w:pPr>
              <w:jc w:val="right"/>
              <w:ind w:right="557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7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March 23, 2018</w:t>
      </w:r>
    </w:p>
    <w:p>
      <w:pPr>
        <w:spacing w:after="0" w:line="225" w:lineRule="exact"/>
        <w:rPr>
          <w:sz w:val="24"/>
          <w:szCs w:val="24"/>
          <w:color w:val="auto"/>
        </w:rPr>
      </w:pPr>
    </w:p>
    <w:p>
      <w:pPr>
        <w:ind w:left="5820"/>
        <w:spacing w:after="0"/>
        <w:rPr>
          <w:sz w:val="20"/>
          <w:szCs w:val="20"/>
          <w:color w:val="auto"/>
        </w:rPr>
      </w:pPr>
      <w:r>
        <w:rPr>
          <w:rFonts w:ascii="Arial" w:cs="Arial" w:eastAsia="Arial" w:hAnsi="Arial"/>
          <w:sz w:val="18"/>
          <w:szCs w:val="18"/>
          <w:color w:val="auto"/>
        </w:rPr>
        <w:t>GASLOG PARTNERS LP</w:t>
      </w:r>
    </w:p>
    <w:p>
      <w:pPr>
        <w:spacing w:after="0" w:line="225" w:lineRule="exact"/>
        <w:rPr>
          <w:sz w:val="24"/>
          <w:szCs w:val="24"/>
          <w:color w:val="auto"/>
        </w:rPr>
      </w:pPr>
    </w:p>
    <w:tbl>
      <w:tblPr>
        <w:tblLayout w:type="fixed"/>
        <w:tblInd w:w="61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Orekar</w:t>
            </w:r>
          </w:p>
        </w:tc>
      </w:tr>
      <w:tr>
        <w:trPr>
          <w:trHeight w:val="195"/>
        </w:trPr>
        <w:tc>
          <w:tcPr>
            <w:tcW w:w="5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20" w:type="dxa"/>
            <w:vAlign w:val="bottom"/>
          </w:tcPr>
          <w:p>
            <w:pPr>
              <w:ind w:left="140"/>
              <w:spacing w:after="0" w:line="195" w:lineRule="exact"/>
              <w:rPr>
                <w:sz w:val="20"/>
                <w:szCs w:val="20"/>
                <w:color w:val="auto"/>
              </w:rPr>
            </w:pPr>
            <w:r>
              <w:rPr>
                <w:rFonts w:ascii="Arial" w:cs="Arial" w:eastAsia="Arial" w:hAnsi="Arial"/>
                <w:sz w:val="18"/>
                <w:szCs w:val="18"/>
                <w:color w:val="auto"/>
              </w:rPr>
              <w:t>Andrew Orekar</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1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154"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Multiple New Charter Agreements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MONACO — March 23, 2018 — </w:t>
      </w:r>
      <w:r>
        <w:rPr>
          <w:rFonts w:ascii="Arial" w:cs="Arial" w:eastAsia="Arial" w:hAnsi="Arial"/>
          <w:sz w:val="18"/>
          <w:szCs w:val="18"/>
          <w:color w:val="auto"/>
        </w:rPr>
        <w:t>GasLog Partners LP (NYSE:GLOP) (“GasLog Partners” or the “Partnership”) announced today that it has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agreements with a new customer for two new charters plus options for an additional two charters. The agreements include an approximately three and a half year charter for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commencing in the third quarter of 2018 and a one year charter for a GasLog Partners 145,000 cubic meter (“cbm”) steam vessel (either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or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as nominated by the Partnership) commencing in the fourth quarter of 2019. The charterer has options to extend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charter for up to an additional seven years and the steam vessel charter for up to an additional four years, both at escalating rates.</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GasLog Santiago </w:t>
      </w:r>
      <w:r>
        <w:rPr>
          <w:rFonts w:ascii="Arial" w:cs="Arial" w:eastAsia="Arial" w:hAnsi="Arial"/>
          <w:sz w:val="18"/>
          <w:szCs w:val="18"/>
          <w:color w:val="auto"/>
        </w:rPr>
        <w:t>is a 155,000 cbm tri-fuel diesel electric liquefied natural gas (“LNG”) carrier built in 2013 and currently on a multi-year time charter with a</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owned subsidiary of Royal Dutch Shell plc (“Shell”) through July 2018. The vessel will undergo a scheduled drydocking during the second quarter of 2018, at which time the Partnership intends to enhance the vessel’s future marketability through the installation of a reliquefaction module ahead of commencing its new charter.</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Methane Jane Elizabeth </w:t>
      </w:r>
      <w:r>
        <w:rPr>
          <w:rFonts w:ascii="Arial" w:cs="Arial" w:eastAsia="Arial" w:hAnsi="Arial"/>
          <w:sz w:val="18"/>
          <w:szCs w:val="18"/>
          <w:color w:val="auto"/>
        </w:rPr>
        <w:t>is a 145,000 cbm modern steam propulsion LNG carrier built in 2006. The vessel is currently on a multi-year time charter with a</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owned subsidiary of Shell, which concludes in October 2019.</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Methane Alison Victoria </w:t>
      </w:r>
      <w:r>
        <w:rPr>
          <w:rFonts w:ascii="Arial" w:cs="Arial" w:eastAsia="Arial" w:hAnsi="Arial"/>
          <w:sz w:val="18"/>
          <w:szCs w:val="18"/>
          <w:color w:val="auto"/>
        </w:rPr>
        <w:t>is a 145,000 cbm modern steam propulsion LNG carrier built in 2007. The vessel is currently on a multi-year time charter with a</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owned subsidiary of Shell, which concludes in December 2019.</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Andy Orekar, Chief Executive Officer of GasLog Partners, stated, “I am very pleased to announce the signing of these charter agreements with a new, high-quality counterparty. These charters will provide continuous employment for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either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or </w:t>
      </w:r>
      <w:r>
        <w:rPr>
          <w:rFonts w:ascii="Arial" w:cs="Arial" w:eastAsia="Arial" w:hAnsi="Arial"/>
          <w:sz w:val="18"/>
          <w:szCs w:val="18"/>
          <w:i w:val="1"/>
          <w:iCs w:val="1"/>
          <w:color w:val="auto"/>
        </w:rPr>
        <w:t>Methane Alison</w:t>
      </w:r>
      <w:r>
        <w:rPr>
          <w:rFonts w:ascii="Arial" w:cs="Arial" w:eastAsia="Arial" w:hAnsi="Arial"/>
          <w:sz w:val="18"/>
          <w:szCs w:val="18"/>
          <w:color w:val="auto"/>
        </w:rPr>
        <w:t xml:space="preserve"> </w:t>
      </w:r>
      <w:r>
        <w:rPr>
          <w:rFonts w:ascii="Arial" w:cs="Arial" w:eastAsia="Arial" w:hAnsi="Arial"/>
          <w:sz w:val="18"/>
          <w:szCs w:val="18"/>
          <w:i w:val="1"/>
          <w:iCs w:val="1"/>
          <w:color w:val="auto"/>
        </w:rPr>
        <w:t>Victoria</w:t>
      </w:r>
      <w:r>
        <w:rPr>
          <w:rFonts w:ascii="Arial" w:cs="Arial" w:eastAsia="Arial" w:hAnsi="Arial"/>
          <w:sz w:val="18"/>
          <w:szCs w:val="18"/>
          <w:color w:val="auto"/>
        </w:rPr>
        <w:t>, increase the Partnership’s contracted revenue visibility, diversify our customer base and support our year-on-year distribution growth guidance of</w:t>
      </w:r>
      <w:r>
        <w:rPr>
          <w:rFonts w:ascii="Arial" w:cs="Arial" w:eastAsia="Arial" w:hAnsi="Arial"/>
          <w:sz w:val="18"/>
          <w:szCs w:val="18"/>
          <w:i w:val="1"/>
          <w:iCs w:val="1"/>
          <w:color w:val="auto"/>
        </w:rPr>
        <w:t xml:space="preserve"> </w:t>
      </w:r>
      <w:r>
        <w:rPr>
          <w:rFonts w:ascii="Arial" w:cs="Arial" w:eastAsia="Arial" w:hAnsi="Arial"/>
          <w:sz w:val="18"/>
          <w:szCs w:val="18"/>
          <w:color w:val="auto"/>
        </w:rPr>
        <w:t>5% to 7% in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GasLog Partners is a growth-oriented master limited partnership focused on owning, operating and acquiring LNG carriers under multi-year charters. Upon closing of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acquisition, GasLog Partners’ fleet will consist of 13 LNG carriers with an average carrying capacity of approximately 156,000 cbm. GasLog Partners’ principal executive office is located at Gildo Pastor Center, 7 Rue du Gabian, MC 98000, Monaco.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980" w:right="40" w:hanging="324"/>
        <w:spacing w:after="0" w:line="308" w:lineRule="auto"/>
        <w:tabs>
          <w:tab w:leader="none" w:pos="944"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5" w:lineRule="exact"/>
        <w:rPr>
          <w:rFonts w:ascii="Arial" w:cs="Arial" w:eastAsia="Arial" w:hAnsi="Arial"/>
          <w:sz w:val="18"/>
          <w:szCs w:val="18"/>
          <w:color w:val="auto"/>
        </w:rPr>
      </w:pPr>
    </w:p>
    <w:p>
      <w:pPr>
        <w:ind w:left="980" w:right="180" w:hanging="324"/>
        <w:spacing w:after="0" w:line="264"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ectPr>
          <w:pgSz w:w="11900" w:h="16838" w:orient="portrait"/>
          <w:cols w:equalWidth="0" w:num="1">
            <w:col w:w="11420"/>
          </w:cols>
          <w:pgMar w:left="240" w:top="121" w:right="239" w:bottom="0" w:gutter="0" w:footer="0" w:header="0"/>
        </w:sectPr>
      </w:pPr>
    </w:p>
    <w:bookmarkStart w:id="2" w:name="page3"/>
    <w:bookmarkEnd w:id="2"/>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225" w:lineRule="exact"/>
        <w:rPr>
          <w:rFonts w:ascii="Arial" w:cs="Arial" w:eastAsia="Arial" w:hAnsi="Arial"/>
          <w:sz w:val="18"/>
          <w:szCs w:val="18"/>
          <w:color w:val="auto"/>
        </w:rPr>
      </w:pPr>
    </w:p>
    <w:p>
      <w:pPr>
        <w:ind w:left="980" w:right="140" w:hanging="324"/>
        <w:spacing w:after="0" w:line="264"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Sponsor Credit Facility (as defined below) and our ability to meet our restrictive covenants and other obligations under our credit facilities;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3" w:lineRule="exact"/>
        <w:rPr>
          <w:rFonts w:ascii="Arial" w:cs="Arial" w:eastAsia="Arial" w:hAnsi="Arial"/>
          <w:sz w:val="16"/>
          <w:szCs w:val="16"/>
          <w:color w:val="auto"/>
        </w:rPr>
      </w:pPr>
    </w:p>
    <w:p>
      <w:pPr>
        <w:ind w:left="980" w:right="100" w:hanging="324"/>
        <w:spacing w:after="0" w:line="264"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25" w:lineRule="exact"/>
        <w:rPr>
          <w:rFonts w:ascii="Arial" w:cs="Arial" w:eastAsia="Arial" w:hAnsi="Arial"/>
          <w:sz w:val="18"/>
          <w:szCs w:val="18"/>
          <w:color w:val="auto"/>
        </w:rPr>
      </w:pPr>
    </w:p>
    <w:p>
      <w:pPr>
        <w:ind w:left="980" w:right="78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-3151505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3" Type="http://schemas.openxmlformats.org/officeDocument/2006/relationships/hyperlink" Target="file:///data/convert/a18-8543_3ex99d1.htm#Exhibit99_1_0517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2019-12-08T10:31:13Z</dcterms:created>
  <dcterms:modified xsi:type="dcterms:W3CDTF">2019-12-08T10:31:13Z</dcterms:modified>
</cp:coreProperties>
</file>