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22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3" w:lineRule="exact"/>
        <w:rPr>
          <w:sz w:val="24"/>
          <w:szCs w:val="24"/>
          <w:color w:val="auto"/>
        </w:rPr>
      </w:pPr>
    </w:p>
    <w:p>
      <w:pPr>
        <w:jc w:val="center"/>
        <w:ind w:right="-1220"/>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1220"/>
        <w:spacing w:after="0"/>
        <w:rPr>
          <w:sz w:val="20"/>
          <w:szCs w:val="20"/>
          <w:color w:val="auto"/>
        </w:rPr>
      </w:pPr>
      <w:r>
        <w:rPr>
          <w:rFonts w:ascii="Arial" w:cs="Arial" w:eastAsia="Arial" w:hAnsi="Arial"/>
          <w:sz w:val="32"/>
          <w:szCs w:val="32"/>
          <w:b w:val="1"/>
          <w:bCs w:val="1"/>
          <w:color w:val="auto"/>
        </w:rPr>
        <w:t>FORM 6-K</w:t>
      </w:r>
    </w:p>
    <w:p>
      <w:pPr>
        <w:spacing w:after="0" w:line="226" w:lineRule="exact"/>
        <w:rPr>
          <w:sz w:val="24"/>
          <w:szCs w:val="24"/>
          <w:color w:val="auto"/>
        </w:rPr>
      </w:pPr>
    </w:p>
    <w:p>
      <w:pPr>
        <w:jc w:val="center"/>
        <w:ind w:left="1500"/>
        <w:spacing w:after="0" w:line="256" w:lineRule="auto"/>
        <w:rPr>
          <w:sz w:val="20"/>
          <w:szCs w:val="20"/>
          <w:color w:val="auto"/>
        </w:rPr>
      </w:pPr>
      <w:r>
        <w:rPr>
          <w:rFonts w:ascii="Arial" w:cs="Arial" w:eastAsia="Arial" w:hAnsi="Arial"/>
          <w:sz w:val="22"/>
          <w:szCs w:val="22"/>
          <w:b w:val="1"/>
          <w:bCs w:val="1"/>
          <w:color w:val="auto"/>
        </w:rPr>
        <w:t>REPORT OF FOREIGN PRIVATE ISSUER PURSUANT TO RULE 13a-16 OR 15d-16 UNDER THE SECURITIES EXCHANGE ACT OF 1934</w:t>
      </w:r>
    </w:p>
    <w:p>
      <w:pPr>
        <w:spacing w:after="0" w:line="172"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For the month of November, 2018</w:t>
      </w:r>
    </w:p>
    <w:p>
      <w:pPr>
        <w:spacing w:after="0" w:line="225"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Commission File Number: 001-36433</w:t>
      </w:r>
    </w:p>
    <w:p>
      <w:pPr>
        <w:spacing w:after="0" w:line="202" w:lineRule="exact"/>
        <w:rPr>
          <w:sz w:val="24"/>
          <w:szCs w:val="24"/>
          <w:color w:val="auto"/>
        </w:rPr>
      </w:pPr>
    </w:p>
    <w:p>
      <w:pPr>
        <w:jc w:val="center"/>
        <w:ind w:right="-1220"/>
        <w:spacing w:after="0"/>
        <w:rPr>
          <w:sz w:val="20"/>
          <w:szCs w:val="20"/>
          <w:color w:val="auto"/>
        </w:rPr>
      </w:pPr>
      <w:r>
        <w:rPr>
          <w:rFonts w:ascii="Arial" w:cs="Arial" w:eastAsia="Arial" w:hAnsi="Arial"/>
          <w:sz w:val="32"/>
          <w:szCs w:val="32"/>
          <w:b w:val="1"/>
          <w:bCs w:val="1"/>
          <w:color w:val="auto"/>
        </w:rPr>
        <w:t>GasLog Partners LP</w:t>
      </w:r>
    </w:p>
    <w:p>
      <w:pPr>
        <w:spacing w:after="0" w:line="40" w:lineRule="exact"/>
        <w:rPr>
          <w:sz w:val="24"/>
          <w:szCs w:val="24"/>
          <w:color w:val="auto"/>
        </w:rPr>
      </w:pPr>
    </w:p>
    <w:p>
      <w:pPr>
        <w:jc w:val="center"/>
        <w:ind w:right="-1220"/>
        <w:spacing w:after="0"/>
        <w:rPr>
          <w:sz w:val="20"/>
          <w:szCs w:val="20"/>
          <w:color w:val="auto"/>
        </w:rPr>
      </w:pPr>
      <w:r>
        <w:rPr>
          <w:rFonts w:ascii="Arial" w:cs="Arial" w:eastAsia="Arial" w:hAnsi="Arial"/>
          <w:sz w:val="18"/>
          <w:szCs w:val="18"/>
          <w:color w:val="auto"/>
        </w:rPr>
        <w:t>(Translation of registrant’s name into English)</w:t>
      </w:r>
    </w:p>
    <w:p>
      <w:pPr>
        <w:spacing w:after="0" w:line="205"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c/o GasLog Monaco S.A.M.</w:t>
      </w:r>
    </w:p>
    <w:p>
      <w:pPr>
        <w:spacing w:after="0" w:line="27"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Gildo Pastor Center</w:t>
      </w:r>
    </w:p>
    <w:p>
      <w:pPr>
        <w:spacing w:after="0" w:line="9"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7 Rue du Gabian</w:t>
      </w:r>
    </w:p>
    <w:p>
      <w:pPr>
        <w:spacing w:after="0" w:line="9"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MC 98000, Monaco</w:t>
      </w:r>
    </w:p>
    <w:p>
      <w:pPr>
        <w:spacing w:after="0" w:line="9" w:lineRule="exact"/>
        <w:rPr>
          <w:sz w:val="24"/>
          <w:szCs w:val="24"/>
          <w:color w:val="auto"/>
        </w:rPr>
      </w:pPr>
    </w:p>
    <w:p>
      <w:pPr>
        <w:jc w:val="center"/>
        <w:ind w:right="-1220"/>
        <w:spacing w:after="0"/>
        <w:rPr>
          <w:sz w:val="20"/>
          <w:szCs w:val="20"/>
          <w:color w:val="auto"/>
        </w:rPr>
      </w:pPr>
      <w:r>
        <w:rPr>
          <w:rFonts w:ascii="Arial" w:cs="Arial" w:eastAsia="Arial" w:hAnsi="Arial"/>
          <w:sz w:val="18"/>
          <w:szCs w:val="18"/>
          <w:color w:val="auto"/>
        </w:rPr>
        <w:t>(Address of principal executive office)</w:t>
      </w:r>
    </w:p>
    <w:p>
      <w:pPr>
        <w:spacing w:after="0" w:line="211" w:lineRule="exact"/>
        <w:rPr>
          <w:sz w:val="24"/>
          <w:szCs w:val="24"/>
          <w:color w:val="auto"/>
        </w:rPr>
      </w:pPr>
    </w:p>
    <w:p>
      <w:pPr>
        <w:ind w:right="1719"/>
        <w:spacing w:after="0" w:line="501" w:lineRule="auto"/>
        <w:rPr>
          <w:sz w:val="20"/>
          <w:szCs w:val="20"/>
          <w:color w:val="auto"/>
        </w:rPr>
      </w:pPr>
      <w:r>
        <w:rPr>
          <w:rFonts w:ascii="Arial" w:cs="Arial" w:eastAsia="Arial" w:hAnsi="Arial"/>
          <w:sz w:val="18"/>
          <w:szCs w:val="18"/>
          <w:color w:val="auto"/>
        </w:rPr>
        <w:t>Indicate by check mark whether the registrant files or will file annual reports under cover of Form 20-F or Form 40-F. Form 20-F x Form 40-F o</w:t>
      </w:r>
    </w:p>
    <w:p>
      <w:pPr>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 S-T Rule 101(b)(1): o</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 S-T Rule 101(b)(7): 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194945</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433070</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219"/>
          </w:cols>
          <w:pgMar w:left="240" w:top="544" w:right="1440" w:bottom="1440" w:gutter="0" w:footer="0" w:header="0"/>
        </w:sectPr>
      </w:pPr>
    </w:p>
    <w:bookmarkStart w:id="1" w:name="page2"/>
    <w:bookmarkEnd w:id="1"/>
    <w:p>
      <w:pPr>
        <w:jc w:val="center"/>
        <w:ind w:right="40"/>
        <w:spacing w:after="0"/>
        <w:rPr>
          <w:sz w:val="20"/>
          <w:szCs w:val="20"/>
          <w:color w:val="auto"/>
        </w:rPr>
      </w:pPr>
      <w:r>
        <w:rPr>
          <w:rFonts w:ascii="Arial" w:cs="Arial" w:eastAsia="Arial" w:hAnsi="Arial"/>
          <w:sz w:val="18"/>
          <w:szCs w:val="18"/>
          <w:b w:val="1"/>
          <w:bCs w:val="1"/>
          <w:color w:val="auto"/>
        </w:rPr>
        <w:t>INFORMATION CONTAINED IN THIS FORM 6-K REPORT</w:t>
      </w:r>
    </w:p>
    <w:p>
      <w:pPr>
        <w:spacing w:after="0" w:line="229" w:lineRule="exact"/>
        <w:rPr>
          <w:sz w:val="20"/>
          <w:szCs w:val="20"/>
          <w:color w:val="auto"/>
        </w:rPr>
      </w:pPr>
    </w:p>
    <w:p>
      <w:pPr>
        <w:ind w:right="720" w:firstLine="648"/>
        <w:spacing w:after="0" w:line="308" w:lineRule="auto"/>
        <w:rPr>
          <w:sz w:val="20"/>
          <w:szCs w:val="20"/>
          <w:color w:val="auto"/>
        </w:rPr>
      </w:pPr>
      <w:r>
        <w:rPr>
          <w:rFonts w:ascii="Arial" w:cs="Arial" w:eastAsia="Arial" w:hAnsi="Arial"/>
          <w:sz w:val="17"/>
          <w:szCs w:val="17"/>
          <w:color w:val="auto"/>
        </w:rPr>
        <w:t>The press release issued by GasLog Partners LP on November 7, 2018 announcing a public offering of its Series C Cumulative Redeemable Perpetual Fixed to Floating Rate Preference Units is included as Exhibit 99.1 and is incorporated herein by reference.</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60" w:type="dxa"/>
            <w:vAlign w:val="bottom"/>
            <w:gridSpan w:val="2"/>
          </w:tcPr>
          <w:p>
            <w:pPr>
              <w:jc w:val="right"/>
              <w:ind w:right="610"/>
              <w:spacing w:after="0"/>
              <w:rPr>
                <w:sz w:val="20"/>
                <w:szCs w:val="20"/>
                <w:color w:val="auto"/>
              </w:rPr>
            </w:pPr>
            <w:r>
              <w:rPr>
                <w:rFonts w:ascii="Arial" w:cs="Arial" w:eastAsia="Arial" w:hAnsi="Arial"/>
                <w:sz w:val="14"/>
                <w:szCs w:val="14"/>
                <w:b w:val="1"/>
                <w:bCs w:val="1"/>
                <w:color w:val="auto"/>
                <w:w w:val="94"/>
              </w:rPr>
              <w:t>Exhibit</w:t>
            </w:r>
          </w:p>
        </w:tc>
        <w:tc>
          <w:tcPr>
            <w:tcW w:w="340" w:type="dxa"/>
            <w:vAlign w:val="bottom"/>
          </w:tcPr>
          <w:p>
            <w:pPr>
              <w:spacing w:after="0"/>
              <w:rPr>
                <w:sz w:val="14"/>
                <w:szCs w:val="14"/>
                <w:color w:val="auto"/>
              </w:rPr>
            </w:pPr>
          </w:p>
        </w:tc>
        <w:tc>
          <w:tcPr>
            <w:tcW w:w="9920" w:type="dxa"/>
            <w:vAlign w:val="bottom"/>
          </w:tcPr>
          <w:p>
            <w:pPr>
              <w:jc w:val="right"/>
              <w:ind w:right="4519"/>
              <w:spacing w:after="0"/>
              <w:rPr>
                <w:sz w:val="20"/>
                <w:szCs w:val="20"/>
                <w:color w:val="auto"/>
              </w:rPr>
            </w:pPr>
            <w:r>
              <w:rPr>
                <w:rFonts w:ascii="Arial" w:cs="Arial" w:eastAsia="Arial" w:hAnsi="Arial"/>
                <w:sz w:val="14"/>
                <w:szCs w:val="14"/>
                <w:b w:val="1"/>
                <w:bCs w:val="1"/>
                <w:color w:val="auto"/>
              </w:rPr>
              <w:t>Description</w:t>
            </w:r>
          </w:p>
        </w:tc>
        <w:tc>
          <w:tcPr>
            <w:tcW w:w="40" w:type="dxa"/>
            <w:vAlign w:val="bottom"/>
          </w:tcPr>
          <w:p>
            <w:pPr>
              <w:spacing w:after="0"/>
              <w:rPr>
                <w:sz w:val="14"/>
                <w:szCs w:val="14"/>
                <w:color w:val="auto"/>
              </w:rPr>
            </w:pPr>
          </w:p>
        </w:tc>
      </w:tr>
      <w:tr>
        <w:trPr>
          <w:trHeight w:val="224"/>
        </w:trPr>
        <w:tc>
          <w:tcPr>
            <w:tcW w:w="20" w:type="dxa"/>
            <w:vAlign w:val="bottom"/>
          </w:tcPr>
          <w:p>
            <w:pPr>
              <w:spacing w:after="0"/>
              <w:rPr>
                <w:sz w:val="19"/>
                <w:szCs w:val="19"/>
                <w:color w:val="auto"/>
              </w:rPr>
            </w:pPr>
          </w:p>
        </w:tc>
        <w:tc>
          <w:tcPr>
            <w:tcW w:w="114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color w:val="auto"/>
              </w:rPr>
              <w:t>99.1</w:t>
            </w:r>
          </w:p>
        </w:tc>
        <w:tc>
          <w:tcPr>
            <w:tcW w:w="340" w:type="dxa"/>
            <w:vAlign w:val="bottom"/>
          </w:tcPr>
          <w:p>
            <w:pPr>
              <w:spacing w:after="0"/>
              <w:rPr>
                <w:sz w:val="19"/>
                <w:szCs w:val="19"/>
                <w:color w:val="auto"/>
              </w:rPr>
            </w:pPr>
          </w:p>
        </w:tc>
        <w:tc>
          <w:tcPr>
            <w:tcW w:w="9920" w:type="dxa"/>
            <w:vAlign w:val="bottom"/>
            <w:tcBorders>
              <w:top w:val="single" w:sz="8" w:color="auto"/>
            </w:tcBorders>
          </w:tcPr>
          <w:p>
            <w:pPr>
              <w:jc w:val="right"/>
              <w:ind w:right="7039"/>
              <w:spacing w:after="0"/>
              <w:rPr>
                <w:sz w:val="20"/>
                <w:szCs w:val="20"/>
                <w:color w:val="auto"/>
              </w:rPr>
            </w:pPr>
            <w:r>
              <w:rPr>
                <w:rFonts w:ascii="Arial" w:cs="Arial" w:eastAsia="Arial" w:hAnsi="Arial"/>
                <w:sz w:val="18"/>
                <w:szCs w:val="18"/>
                <w:color w:val="auto"/>
                <w:w w:val="86"/>
              </w:rPr>
              <w:t>Press Release dated November 7, 2018</w:t>
            </w:r>
          </w:p>
        </w:tc>
        <w:tc>
          <w:tcPr>
            <w:tcW w:w="40" w:type="dxa"/>
            <w:vAlign w:val="bottom"/>
          </w:tcPr>
          <w:p>
            <w:pPr>
              <w:spacing w:after="0"/>
              <w:rPr>
                <w:sz w:val="19"/>
                <w:szCs w:val="19"/>
                <w:color w:val="auto"/>
              </w:rPr>
            </w:pPr>
          </w:p>
        </w:tc>
      </w:tr>
      <w:tr>
        <w:trPr>
          <w:trHeight w:val="418"/>
        </w:trPr>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260" w:type="dxa"/>
            <w:vAlign w:val="bottom"/>
            <w:gridSpan w:val="2"/>
          </w:tcPr>
          <w:p>
            <w:pPr>
              <w:jc w:val="right"/>
              <w:ind w:right="5579"/>
              <w:spacing w:after="0"/>
              <w:rPr>
                <w:sz w:val="20"/>
                <w:szCs w:val="20"/>
                <w:color w:val="auto"/>
              </w:rPr>
            </w:pPr>
            <w:r>
              <w:rPr>
                <w:rFonts w:ascii="Arial" w:cs="Arial" w:eastAsia="Arial" w:hAnsi="Arial"/>
                <w:sz w:val="18"/>
                <w:szCs w:val="18"/>
                <w:color w:val="auto"/>
              </w:rPr>
              <w:t>2</w:t>
            </w:r>
          </w:p>
        </w:tc>
        <w:tc>
          <w:tcPr>
            <w:tcW w:w="40" w:type="dxa"/>
            <w:vAlign w:val="bottom"/>
          </w:tcPr>
          <w:p>
            <w:pPr>
              <w:spacing w:after="0"/>
              <w:rPr>
                <w:sz w:val="24"/>
                <w:szCs w:val="24"/>
                <w:color w:val="auto"/>
              </w:rPr>
            </w:pPr>
          </w:p>
        </w:tc>
      </w:tr>
      <w:tr>
        <w:trPr>
          <w:trHeight w:val="132"/>
        </w:trPr>
        <w:tc>
          <w:tcPr>
            <w:tcW w:w="20" w:type="dxa"/>
            <w:vAlign w:val="bottom"/>
            <w:tcBorders>
              <w:bottom w:val="single" w:sz="8" w:color="808080"/>
            </w:tcBorders>
          </w:tcPr>
          <w:p>
            <w:pPr>
              <w:spacing w:after="0"/>
              <w:rPr>
                <w:sz w:val="11"/>
                <w:szCs w:val="11"/>
                <w:color w:val="auto"/>
              </w:rPr>
            </w:pPr>
          </w:p>
        </w:tc>
        <w:tc>
          <w:tcPr>
            <w:tcW w:w="114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99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37" w:right="19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November 7, 2018</w:t>
      </w:r>
    </w:p>
    <w:p>
      <w:pPr>
        <w:spacing w:after="0" w:line="221"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GASLOG PARTNERS LP</w:t>
      </w:r>
    </w:p>
    <w:p>
      <w:pPr>
        <w:spacing w:after="0" w:line="229" w:lineRule="exact"/>
        <w:rPr>
          <w:sz w:val="20"/>
          <w:szCs w:val="20"/>
          <w:color w:val="auto"/>
        </w:rPr>
      </w:pPr>
    </w:p>
    <w:p>
      <w:pPr>
        <w:ind w:left="5720"/>
        <w:spacing w:after="0"/>
        <w:tabs>
          <w:tab w:leader="none" w:pos="6140" w:val="left"/>
        </w:tabs>
        <w:rPr>
          <w:sz w:val="20"/>
          <w:szCs w:val="20"/>
          <w:color w:val="auto"/>
        </w:rPr>
      </w:pPr>
      <w:r>
        <w:rPr>
          <w:rFonts w:ascii="Arial" w:cs="Arial" w:eastAsia="Arial" w:hAnsi="Arial"/>
          <w:sz w:val="18"/>
          <w:szCs w:val="18"/>
          <w:color w:val="auto"/>
        </w:rPr>
        <w:t>by:</w:t>
        <w:tab/>
        <w:t>/s/ Andrew J. Orekar</w:t>
      </w:r>
    </w:p>
    <w:p>
      <w:pPr>
        <w:spacing w:after="0" w:line="23"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Name: Andrew J. Orekar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3915410</wp:posOffset>
            </wp:positionH>
            <wp:positionV relativeFrom="paragraph">
              <wp:posOffset>-130810</wp:posOffset>
            </wp:positionV>
            <wp:extent cx="333629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36290" cy="8890"/>
                    </a:xfrm>
                    <a:prstGeom prst="rect">
                      <a:avLst/>
                    </a:prstGeom>
                    <a:noFill/>
                  </pic:spPr>
                </pic:pic>
              </a:graphicData>
            </a:graphic>
          </wp:anchor>
        </w:drawing>
      </w:r>
    </w:p>
    <w:p>
      <w:pPr>
        <w:spacing w:after="0" w:line="3"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Title: Chief Executive Officer</w:t>
      </w:r>
    </w:p>
    <w:p>
      <w:pPr>
        <w:spacing w:after="0" w:line="21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260"/>
          </w:cols>
          <w:pgMar w:left="240" w:top="337" w:right="399" w:bottom="1440" w:gutter="0" w:footer="0" w:header="0"/>
        </w:sectPr>
      </w:pPr>
    </w:p>
    <w:bookmarkStart w:id="3" w:name="page4"/>
    <w:bookmarkEnd w:id="3"/>
    <w:p>
      <w:pPr>
        <w:ind w:left="10480"/>
        <w:spacing w:after="0"/>
        <w:rPr>
          <w:sz w:val="20"/>
          <w:szCs w:val="20"/>
          <w:color w:val="auto"/>
        </w:rPr>
      </w:pPr>
      <w:r>
        <w:rPr>
          <w:rFonts w:ascii="Arial" w:cs="Arial" w:eastAsia="Arial" w:hAnsi="Arial"/>
          <w:sz w:val="16"/>
          <w:szCs w:val="16"/>
          <w:b w:val="1"/>
          <w:bCs w:val="1"/>
          <w:color w:val="auto"/>
        </w:rPr>
        <w:t>Exhibit 99.1</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GasLog Partners LP Announces Public Offering of Series C Cumulative Redeemable Perpetual Fixed to Floating Rate Preference Units</w:t>
      </w:r>
    </w:p>
    <w:p>
      <w:pPr>
        <w:spacing w:after="0" w:line="24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MONACO, November 7, 2018 — GasLog Partners LP (“GasLog Partners”, the “Partnership” or “we”) (NYSE: GLOP) announced today that it plans to offer its Series C Cumulative Redeemable Perpetual Fixed to Floating Rate Preference Units, liquidation preference $25.00 per unit (the “Series C Preference Units”) in a public offering under its effective shelf registration statement. The Partnership intends to grant the underwriters a 30-day option to purchase additional Series C Preference Units from the Partnership. The Partnership intends to file an application to list the Series C Preference Units on the New York Stock Exchange.</w:t>
      </w:r>
    </w:p>
    <w:p>
      <w:pPr>
        <w:spacing w:after="0" w:line="188"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The Partnership plans to use the net proceeds from the public offering for general partnership purposes, which may include future acquisitions, debt repayment, capital expenditures and additions to working capital. We currently expect that this will include future acquisitions from GasLog Ltd., our parent (“GasLog”).</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UBS Investment Bank, Morgan Stanley, Stifel, Citigroup and Credit Suisse are acting as joint book-runners for the offering..</w:t>
      </w:r>
    </w:p>
    <w:p>
      <w:pPr>
        <w:spacing w:after="0" w:line="225" w:lineRule="exact"/>
        <w:rPr>
          <w:sz w:val="20"/>
          <w:szCs w:val="20"/>
          <w:color w:val="auto"/>
        </w:rPr>
      </w:pPr>
    </w:p>
    <w:p>
      <w:pPr>
        <w:ind w:right="60"/>
        <w:spacing w:after="0" w:line="285" w:lineRule="auto"/>
        <w:rPr>
          <w:sz w:val="20"/>
          <w:szCs w:val="20"/>
          <w:color w:val="auto"/>
        </w:rPr>
      </w:pPr>
      <w:r>
        <w:rPr>
          <w:rFonts w:ascii="Arial" w:cs="Arial" w:eastAsia="Arial" w:hAnsi="Arial"/>
          <w:sz w:val="16"/>
          <w:szCs w:val="16"/>
          <w:color w:val="auto"/>
        </w:rPr>
        <w:t>The offering is being made only by means of a prospectus. A copy of the preliminary prospectus relating to the offering may be obtained from UBS Securities LLC, Attention: Prospectus Specialist, 1285 Avenue of the Americas, New York, New York 10019, telephone: (888) 827-7275, Morgan Stanley &amp; Co. LLC, Attention: Prospectus Department, 180 Varick Street, 2nd Floor, New York, New York 10014, telephone: 1-866-718-1649, Stifel, Nicolaus &amp; Company, Incorporated, Attention: Syndicate Department, One South Street, 15th Floor, Baltimore, MD 21202, telephone: (855) 300-7136, email: syndprospectus@stifel.com, Citigroup Global Markets Inc., c/o Broadridge Financial Solutions, 1155 Long Island Avenue, Edgewood, NY 11717, telephone:</w:t>
      </w:r>
    </w:p>
    <w:p>
      <w:pPr>
        <w:spacing w:after="0" w:line="2" w:lineRule="exact"/>
        <w:rPr>
          <w:sz w:val="20"/>
          <w:szCs w:val="20"/>
          <w:color w:val="auto"/>
        </w:rPr>
      </w:pPr>
    </w:p>
    <w:p>
      <w:pPr>
        <w:ind w:left="440" w:hanging="432"/>
        <w:spacing w:after="0"/>
        <w:tabs>
          <w:tab w:leader="none" w:pos="440" w:val="left"/>
        </w:tabs>
        <w:numPr>
          <w:ilvl w:val="0"/>
          <w:numId w:val="1"/>
        </w:numPr>
        <w:rPr>
          <w:rFonts w:ascii="Arial" w:cs="Arial" w:eastAsia="Arial" w:hAnsi="Arial"/>
          <w:sz w:val="16"/>
          <w:szCs w:val="16"/>
          <w:color w:val="auto"/>
        </w:rPr>
      </w:pPr>
      <w:r>
        <w:rPr>
          <w:rFonts w:ascii="Arial" w:cs="Arial" w:eastAsia="Arial" w:hAnsi="Arial"/>
          <w:sz w:val="16"/>
          <w:szCs w:val="16"/>
          <w:color w:val="auto"/>
        </w:rPr>
        <w:t>831-9146 and Credit Suisse Securities (USA) LLC, Attention: Prospectus Department, One Madison Avenue, New York, New York 10010, telephone:</w:t>
      </w:r>
    </w:p>
    <w:p>
      <w:pPr>
        <w:spacing w:after="0" w:line="32" w:lineRule="exact"/>
        <w:rPr>
          <w:rFonts w:ascii="Arial" w:cs="Arial" w:eastAsia="Arial" w:hAnsi="Arial"/>
          <w:sz w:val="16"/>
          <w:szCs w:val="16"/>
          <w:color w:val="auto"/>
        </w:rPr>
      </w:pPr>
    </w:p>
    <w:p>
      <w:pPr>
        <w:ind w:left="440" w:hanging="432"/>
        <w:spacing w:after="0"/>
        <w:tabs>
          <w:tab w:leader="none" w:pos="440" w:val="left"/>
        </w:tabs>
        <w:numPr>
          <w:ilvl w:val="0"/>
          <w:numId w:val="2"/>
        </w:numPr>
        <w:rPr>
          <w:rFonts w:ascii="Arial" w:cs="Arial" w:eastAsia="Arial" w:hAnsi="Arial"/>
          <w:sz w:val="18"/>
          <w:szCs w:val="18"/>
          <w:color w:val="auto"/>
        </w:rPr>
      </w:pPr>
      <w:r>
        <w:rPr>
          <w:rFonts w:ascii="Arial" w:cs="Arial" w:eastAsia="Arial" w:hAnsi="Arial"/>
          <w:sz w:val="18"/>
          <w:szCs w:val="18"/>
          <w:color w:val="auto"/>
        </w:rPr>
        <w:t>221-1307, email: newyork.prospectus@credit-suisse.com.</w:t>
      </w:r>
    </w:p>
    <w:p>
      <w:pPr>
        <w:spacing w:after="0" w:line="211" w:lineRule="exact"/>
        <w:rPr>
          <w:sz w:val="20"/>
          <w:szCs w:val="20"/>
          <w:color w:val="auto"/>
        </w:rPr>
      </w:pPr>
    </w:p>
    <w:p>
      <w:pPr>
        <w:ind w:right="100"/>
        <w:spacing w:after="0" w:line="312" w:lineRule="auto"/>
        <w:rPr>
          <w:sz w:val="20"/>
          <w:szCs w:val="20"/>
          <w:color w:val="auto"/>
        </w:rPr>
      </w:pPr>
      <w:r>
        <w:rPr>
          <w:rFonts w:ascii="Arial" w:cs="Arial" w:eastAsia="Arial" w:hAnsi="Arial"/>
          <w:sz w:val="16"/>
          <w:szCs w:val="16"/>
          <w:color w:val="auto"/>
        </w:rPr>
        <w:t>A registration statement relating to these securities was declared effective by the U.S. Securities and Exchange Commission on October 10, 2017. This press release does not constitute an offer to sell or the solicitation of an offer to buy securities, and shall not constitute an offer, solicitation or sale in any jurisdiction in which such offer, solicitation or sale would be unlawful prior to registration or qualification under the securities laws of that jurisdiction.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About GasLog Partners</w:t>
      </w:r>
    </w:p>
    <w:p>
      <w:pPr>
        <w:spacing w:after="0" w:line="229" w:lineRule="exact"/>
        <w:rPr>
          <w:sz w:val="20"/>
          <w:szCs w:val="20"/>
          <w:color w:val="auto"/>
        </w:rPr>
      </w:pPr>
    </w:p>
    <w:p>
      <w:pPr>
        <w:ind w:right="220"/>
        <w:spacing w:after="0" w:line="312" w:lineRule="auto"/>
        <w:rPr>
          <w:sz w:val="20"/>
          <w:szCs w:val="20"/>
          <w:color w:val="auto"/>
        </w:rPr>
      </w:pPr>
      <w:r>
        <w:rPr>
          <w:rFonts w:ascii="Arial" w:cs="Arial" w:eastAsia="Arial" w:hAnsi="Arial"/>
          <w:sz w:val="16"/>
          <w:szCs w:val="16"/>
          <w:color w:val="auto"/>
        </w:rPr>
        <w:t xml:space="preserve">GasLog Partners is a growth-oriented master limited partnership focused on owning, operating and acquiring LNG carriers under multi-year charters. Upon closing of the acquisition of the </w:t>
      </w:r>
      <w:r>
        <w:rPr>
          <w:rFonts w:ascii="Arial" w:cs="Arial" w:eastAsia="Arial" w:hAnsi="Arial"/>
          <w:sz w:val="16"/>
          <w:szCs w:val="16"/>
          <w:i w:val="1"/>
          <w:iCs w:val="1"/>
          <w:color w:val="auto"/>
        </w:rPr>
        <w:t>Methane Becki Anne</w:t>
      </w:r>
      <w:r>
        <w:rPr>
          <w:rFonts w:ascii="Arial" w:cs="Arial" w:eastAsia="Arial" w:hAnsi="Arial"/>
          <w:sz w:val="16"/>
          <w:szCs w:val="16"/>
          <w:color w:val="auto"/>
        </w:rPr>
        <w:t>, GasLog Partners’ fleet will consist of 14 LNG carriers with an average carrying capacity of approximately 157,000 cbm. GasLog Partners’ principal executive offices are located at Gildo Pastor Center, 7 Rue du Gabian, MC 98000, Monaco.</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Forward-Looking Statements</w:t>
      </w:r>
    </w:p>
    <w:p>
      <w:pPr>
        <w:spacing w:after="0" w:line="229" w:lineRule="exact"/>
        <w:rPr>
          <w:sz w:val="20"/>
          <w:szCs w:val="20"/>
          <w:color w:val="auto"/>
        </w:rPr>
      </w:pPr>
    </w:p>
    <w:p>
      <w:pPr>
        <w:ind w:right="20" w:firstLine="324"/>
        <w:spacing w:after="0" w:line="290" w:lineRule="auto"/>
        <w:rPr>
          <w:sz w:val="20"/>
          <w:szCs w:val="20"/>
          <w:color w:val="auto"/>
        </w:rPr>
      </w:pPr>
      <w:r>
        <w:rPr>
          <w:rFonts w:ascii="Arial" w:cs="Arial" w:eastAsia="Arial" w:hAnsi="Arial"/>
          <w:sz w:val="16"/>
          <w:szCs w:val="16"/>
          <w:color w:val="auto"/>
        </w:rPr>
        <w:t>All statements in this press release that are not statements of historical fact are “forward-looking statements” within the meaning of the U.S. Private Securities Litigation Reform Act of 1995. Forward-looking statements include statements that address activities, events or developments that the Partnership expects, projects, believes or anticipates will or may occur in the future, particularly in relation to our operations, cash flows, financial position, liquidity and cash available for dividends or distributions, plans, strategies, business prospects and changes and trends in our business and the markets in which we operate. In some cases, predictive, future-tense or forward-looking words such as “believe”, “intend”, “anticipate”, “estimate”, “project”, “forecast”, “plan”, “potential”, “may”, “should”, “could” and “expect” and similar expressions are intended to identify forward-looking statements, but are not the exclusive means of identifying such statements. In addition, we and our representatives may from time to time make other oral or written statements which are forward-looking statements, including in our periodic reports that we file with the Securities and Exchange Commission, or the “SEC”, other information sent to our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180975</wp:posOffset>
            </wp:positionV>
            <wp:extent cx="7267575"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 w:name="page5"/>
    <w:bookmarkEnd w:id="4"/>
    <w:p>
      <w:pPr>
        <w:spacing w:after="0" w:line="259" w:lineRule="auto"/>
        <w:rPr>
          <w:sz w:val="20"/>
          <w:szCs w:val="20"/>
          <w:color w:val="auto"/>
        </w:rPr>
      </w:pPr>
      <w:r>
        <w:rPr>
          <w:rFonts w:ascii="Arial" w:cs="Arial" w:eastAsia="Arial" w:hAnsi="Arial"/>
          <w:sz w:val="18"/>
          <w:szCs w:val="18"/>
          <w:color w:val="auto"/>
        </w:rPr>
        <w:t>security holders, and other written materials. We caution that these forward-looking statements represent our estimates and assumptions only as of the date of this press release, about factors that are beyond our ability to control or predict, and are not intended to give any assurance as to future results. Any of these factors or a combination of these factors could materially affect future results of operations and the ultimate accuracy of the forward-looking statements. Accordingly, you should not unduly rely on any forward-looking statements.</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Factors that might cause future results and outcomes to differ include, but are not limited to, the following:</w:t>
      </w:r>
    </w:p>
    <w:p>
      <w:pPr>
        <w:spacing w:after="0" w:line="225" w:lineRule="exact"/>
        <w:rPr>
          <w:sz w:val="20"/>
          <w:szCs w:val="20"/>
          <w:color w:val="auto"/>
        </w:rPr>
      </w:pPr>
    </w:p>
    <w:p>
      <w:pPr>
        <w:jc w:val="both"/>
        <w:ind w:left="660" w:right="520" w:hanging="328"/>
        <w:spacing w:after="0" w:line="264" w:lineRule="auto"/>
        <w:tabs>
          <w:tab w:leader="none" w:pos="624" w:val="left"/>
        </w:tabs>
        <w:numPr>
          <w:ilvl w:val="0"/>
          <w:numId w:val="3"/>
        </w:numPr>
        <w:rPr>
          <w:rFonts w:ascii="Arial" w:cs="Arial" w:eastAsia="Arial" w:hAnsi="Arial"/>
          <w:sz w:val="18"/>
          <w:szCs w:val="18"/>
          <w:color w:val="auto"/>
        </w:rPr>
      </w:pPr>
      <w:r>
        <w:rPr>
          <w:rFonts w:ascii="Arial" w:cs="Arial" w:eastAsia="Arial" w:hAnsi="Arial"/>
          <w:sz w:val="18"/>
          <w:szCs w:val="18"/>
          <w:color w:val="auto"/>
        </w:rPr>
        <w:t>general liquefied natural gas (“LNG”) shipping market conditions and trends, including spot and multi-year charter rates, ship values, factors affecting supply and demand of LNG and LNG shipping, technological advancements and opportunities for the profitable operations of LNG carriers;</w:t>
      </w:r>
    </w:p>
    <w:p>
      <w:pPr>
        <w:spacing w:after="0" w:line="181" w:lineRule="exact"/>
        <w:rPr>
          <w:rFonts w:ascii="Arial" w:cs="Arial" w:eastAsia="Arial" w:hAnsi="Arial"/>
          <w:sz w:val="18"/>
          <w:szCs w:val="18"/>
          <w:color w:val="auto"/>
        </w:rPr>
      </w:pPr>
    </w:p>
    <w:p>
      <w:pPr>
        <w:ind w:left="620" w:hanging="288"/>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fluctuations in charter hire rates and vessel values;</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our operating expenses, including crew wages, maintenance, dry-docking and insurance costs and bunker prices;</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0"/>
          <w:numId w:val="3"/>
        </w:numPr>
        <w:rPr>
          <w:rFonts w:ascii="Arial" w:cs="Arial" w:eastAsia="Arial" w:hAnsi="Arial"/>
          <w:sz w:val="17"/>
          <w:szCs w:val="17"/>
          <w:color w:val="auto"/>
        </w:rPr>
      </w:pPr>
      <w:r>
        <w:rPr>
          <w:rFonts w:ascii="Arial" w:cs="Arial" w:eastAsia="Arial" w:hAnsi="Arial"/>
          <w:sz w:val="17"/>
          <w:szCs w:val="17"/>
          <w:color w:val="auto"/>
        </w:rPr>
        <w:t>number of off-hire days and dry-docking requirements including our ability to complete scheduled dry-dockings on time and within budget;</w:t>
      </w:r>
    </w:p>
    <w:p>
      <w:pPr>
        <w:spacing w:after="0" w:line="236" w:lineRule="exact"/>
        <w:rPr>
          <w:rFonts w:ascii="Arial" w:cs="Arial" w:eastAsia="Arial" w:hAnsi="Arial"/>
          <w:sz w:val="17"/>
          <w:szCs w:val="17"/>
          <w:color w:val="auto"/>
        </w:rPr>
      </w:pPr>
    </w:p>
    <w:p>
      <w:pPr>
        <w:ind w:left="620" w:hanging="288"/>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planned capital expenditures and availability of capital resources to fund capital expenditures;</w:t>
      </w:r>
    </w:p>
    <w:p>
      <w:pPr>
        <w:spacing w:after="0" w:line="225" w:lineRule="exact"/>
        <w:rPr>
          <w:rFonts w:ascii="Arial" w:cs="Arial" w:eastAsia="Arial" w:hAnsi="Arial"/>
          <w:sz w:val="18"/>
          <w:szCs w:val="18"/>
          <w:color w:val="auto"/>
        </w:rPr>
      </w:pPr>
    </w:p>
    <w:p>
      <w:pPr>
        <w:ind w:left="660" w:right="420" w:hanging="328"/>
        <w:spacing w:after="0" w:line="264" w:lineRule="auto"/>
        <w:tabs>
          <w:tab w:leader="none" w:pos="624"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maximize the use of our vessels, including the re-deployment or disposition of vessels which are not under multi-year charters, including the risk that certain of our vessels may no longer have the latest technology at such time, which may impact the rate at which we can charter such vessels;</w:t>
      </w:r>
    </w:p>
    <w:p>
      <w:pPr>
        <w:spacing w:after="0" w:line="181" w:lineRule="exact"/>
        <w:rPr>
          <w:rFonts w:ascii="Arial" w:cs="Arial" w:eastAsia="Arial" w:hAnsi="Arial"/>
          <w:sz w:val="18"/>
          <w:szCs w:val="18"/>
          <w:color w:val="auto"/>
        </w:rPr>
      </w:pPr>
    </w:p>
    <w:p>
      <w:pPr>
        <w:ind w:left="620" w:hanging="288"/>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secure new multi-year charters at economically attractive rates;</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fluctuations in prices for crude oil, petroleum products and natural gas;</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expand our fleet by acquiring vessels through our drop-down pipeline with GasLog;</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leverage GasLog’s relationships and reputation in the shipping industry;</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ability of GasLog to maintain long-term relationships with major energy companies;</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the ownership of our charterers;</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customers’ performance of their obligations under our time charters and other contracts;</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future operating performance, financial condition, liquidity and cash available for distributions;</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acquire assets in the future, including vessels from GasLog;</w:t>
      </w:r>
    </w:p>
    <w:p>
      <w:pPr>
        <w:spacing w:after="0" w:line="225" w:lineRule="exact"/>
        <w:rPr>
          <w:rFonts w:ascii="Arial" w:cs="Arial" w:eastAsia="Arial" w:hAnsi="Arial"/>
          <w:sz w:val="18"/>
          <w:szCs w:val="18"/>
          <w:color w:val="auto"/>
        </w:rPr>
      </w:pPr>
    </w:p>
    <w:p>
      <w:pPr>
        <w:ind w:left="660" w:right="120" w:hanging="328"/>
        <w:spacing w:after="0" w:line="264" w:lineRule="auto"/>
        <w:tabs>
          <w:tab w:leader="none" w:pos="624"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obtain financing to fund capital expenditures, acquisitions and other corporate activities, funding by banks of their financial commitments, funding by GasLog of the revolving credit facility with GasLog entered into on April 3, 2017, and our ability to meet our restrictive covenants and other obligations under our credit facilities;</w:t>
      </w:r>
    </w:p>
    <w:p>
      <w:pPr>
        <w:spacing w:after="0" w:line="181" w:lineRule="exact"/>
        <w:rPr>
          <w:rFonts w:ascii="Arial" w:cs="Arial" w:eastAsia="Arial" w:hAnsi="Arial"/>
          <w:sz w:val="18"/>
          <w:szCs w:val="18"/>
          <w:color w:val="auto"/>
        </w:rPr>
      </w:pPr>
    </w:p>
    <w:p>
      <w:pPr>
        <w:ind w:left="620" w:hanging="288"/>
        <w:spacing w:after="0"/>
        <w:tabs>
          <w:tab w:leader="none" w:pos="620" w:val="left"/>
        </w:tabs>
        <w:numPr>
          <w:ilvl w:val="0"/>
          <w:numId w:val="3"/>
        </w:numPr>
        <w:rPr>
          <w:rFonts w:ascii="Arial" w:cs="Arial" w:eastAsia="Arial" w:hAnsi="Arial"/>
          <w:sz w:val="17"/>
          <w:szCs w:val="17"/>
          <w:color w:val="auto"/>
        </w:rPr>
      </w:pPr>
      <w:r>
        <w:rPr>
          <w:rFonts w:ascii="Arial" w:cs="Arial" w:eastAsia="Arial" w:hAnsi="Arial"/>
          <w:sz w:val="17"/>
          <w:szCs w:val="17"/>
          <w:color w:val="auto"/>
        </w:rPr>
        <w:t>future, pending or recent acquisitions of ships or other assets, business strategy, areas of possible expansion and expected capital spending;</w:t>
      </w:r>
    </w:p>
    <w:p>
      <w:pPr>
        <w:spacing w:after="0" w:line="236" w:lineRule="exact"/>
        <w:rPr>
          <w:rFonts w:ascii="Arial" w:cs="Arial" w:eastAsia="Arial" w:hAnsi="Arial"/>
          <w:sz w:val="17"/>
          <w:szCs w:val="17"/>
          <w:color w:val="auto"/>
        </w:rPr>
      </w:pPr>
    </w:p>
    <w:p>
      <w:pPr>
        <w:ind w:left="660" w:right="240" w:hanging="328"/>
        <w:spacing w:after="0" w:line="264" w:lineRule="auto"/>
        <w:tabs>
          <w:tab w:leader="none" w:pos="624"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expected cost of and our ability to comply with environmental and regulatory conditions, including changes in laws and regulations or actions taken by regulatory authorities, governmental organizations, classification societies and standards imposed by our charterers applicable to our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190500</wp:posOffset>
            </wp:positionV>
            <wp:extent cx="7267575"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40"/>
          </w:cols>
          <w:pgMar w:left="240" w:top="341" w:right="319" w:bottom="1440" w:gutter="0" w:footer="0" w:header="0"/>
        </w:sectPr>
      </w:pPr>
    </w:p>
    <w:bookmarkStart w:id="5" w:name="page6"/>
    <w:bookmarkEnd w:id="5"/>
    <w:p>
      <w:pPr>
        <w:ind w:left="620" w:hanging="288"/>
        <w:spacing w:after="0"/>
        <w:tabs>
          <w:tab w:leader="none" w:pos="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risks inherent in ship operation, including the discharge of pollutants;</w:t>
      </w:r>
    </w:p>
    <w:p>
      <w:pPr>
        <w:spacing w:after="0" w:line="225" w:lineRule="exact"/>
        <w:rPr>
          <w:rFonts w:ascii="Arial" w:cs="Arial" w:eastAsia="Arial" w:hAnsi="Arial"/>
          <w:sz w:val="18"/>
          <w:szCs w:val="18"/>
          <w:color w:val="auto"/>
        </w:rPr>
      </w:pPr>
    </w:p>
    <w:p>
      <w:pPr>
        <w:ind w:left="660" w:hanging="328"/>
        <w:spacing w:after="0" w:line="277" w:lineRule="auto"/>
        <w:tabs>
          <w:tab w:leader="none" w:pos="624" w:val="left"/>
        </w:tabs>
        <w:numPr>
          <w:ilvl w:val="0"/>
          <w:numId w:val="4"/>
        </w:numPr>
        <w:rPr>
          <w:rFonts w:ascii="Arial" w:cs="Arial" w:eastAsia="Arial" w:hAnsi="Arial"/>
          <w:sz w:val="18"/>
          <w:szCs w:val="18"/>
          <w:color w:val="auto"/>
        </w:rPr>
      </w:pPr>
      <w:r>
        <w:rPr>
          <w:rFonts w:ascii="Arial" w:cs="Arial" w:eastAsia="Arial" w:hAnsi="Arial"/>
          <w:sz w:val="18"/>
          <w:szCs w:val="18"/>
          <w:color w:val="auto"/>
        </w:rPr>
        <w:t>GasLog’s relationships with its employees and ship crews, its ability to retain key employees and provide services to us, and the availability of skilled labor, ship crews and management;</w:t>
      </w:r>
    </w:p>
    <w:p>
      <w:pPr>
        <w:spacing w:after="0" w:line="170" w:lineRule="exact"/>
        <w:rPr>
          <w:rFonts w:ascii="Arial" w:cs="Arial" w:eastAsia="Arial" w:hAnsi="Arial"/>
          <w:sz w:val="18"/>
          <w:szCs w:val="18"/>
          <w:color w:val="auto"/>
        </w:rPr>
      </w:pPr>
    </w:p>
    <w:p>
      <w:pPr>
        <w:ind w:left="620" w:hanging="288"/>
        <w:spacing w:after="0"/>
        <w:tabs>
          <w:tab w:leader="none" w:pos="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potential disruption of shipping routes due to accidents, political events, piracy or acts by terrorists;</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potential liability from future litigation;</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business strategy and other plans and objectives for future operations;</w:t>
      </w:r>
    </w:p>
    <w:p>
      <w:pPr>
        <w:spacing w:after="0" w:line="225" w:lineRule="exact"/>
        <w:rPr>
          <w:rFonts w:ascii="Arial" w:cs="Arial" w:eastAsia="Arial" w:hAnsi="Arial"/>
          <w:sz w:val="18"/>
          <w:szCs w:val="18"/>
          <w:color w:val="auto"/>
        </w:rPr>
      </w:pPr>
    </w:p>
    <w:p>
      <w:pPr>
        <w:ind w:left="660" w:right="140" w:hanging="328"/>
        <w:spacing w:after="0" w:line="277" w:lineRule="auto"/>
        <w:tabs>
          <w:tab w:leader="none" w:pos="624" w:val="left"/>
        </w:tabs>
        <w:numPr>
          <w:ilvl w:val="0"/>
          <w:numId w:val="4"/>
        </w:numPr>
        <w:rPr>
          <w:rFonts w:ascii="Arial" w:cs="Arial" w:eastAsia="Arial" w:hAnsi="Arial"/>
          <w:sz w:val="18"/>
          <w:szCs w:val="18"/>
          <w:color w:val="auto"/>
        </w:rPr>
      </w:pPr>
      <w:r>
        <w:rPr>
          <w:rFonts w:ascii="Arial" w:cs="Arial" w:eastAsia="Arial" w:hAnsi="Arial"/>
          <w:sz w:val="18"/>
          <w:szCs w:val="18"/>
          <w:color w:val="auto"/>
        </w:rPr>
        <w:t>any malfunction or disruption of information technology systems and networks that our operations rely on or any impact of a possible cybersecurity breach; and</w:t>
      </w:r>
    </w:p>
    <w:p>
      <w:pPr>
        <w:spacing w:after="0" w:line="170" w:lineRule="exact"/>
        <w:rPr>
          <w:rFonts w:ascii="Arial" w:cs="Arial" w:eastAsia="Arial" w:hAnsi="Arial"/>
          <w:sz w:val="18"/>
          <w:szCs w:val="18"/>
          <w:color w:val="auto"/>
        </w:rPr>
      </w:pPr>
    </w:p>
    <w:p>
      <w:pPr>
        <w:ind w:left="660" w:right="560" w:hanging="328"/>
        <w:spacing w:after="0" w:line="277" w:lineRule="auto"/>
        <w:tabs>
          <w:tab w:leader="none" w:pos="624" w:val="left"/>
        </w:tabs>
        <w:numPr>
          <w:ilvl w:val="0"/>
          <w:numId w:val="4"/>
        </w:numPr>
        <w:rPr>
          <w:rFonts w:ascii="Arial" w:cs="Arial" w:eastAsia="Arial" w:hAnsi="Arial"/>
          <w:sz w:val="18"/>
          <w:szCs w:val="18"/>
          <w:color w:val="auto"/>
        </w:rPr>
      </w:pPr>
      <w:r>
        <w:rPr>
          <w:rFonts w:ascii="Arial" w:cs="Arial" w:eastAsia="Arial" w:hAnsi="Arial"/>
          <w:sz w:val="18"/>
          <w:szCs w:val="18"/>
          <w:color w:val="auto"/>
        </w:rPr>
        <w:t>other risks and uncertainties described in the Partnership’s Annual Report on Form 20-F filed with the SEC on February 12, 2018, available at http://www.sec.gov.</w:t>
      </w:r>
    </w:p>
    <w:p>
      <w:pPr>
        <w:spacing w:after="0" w:line="170"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We undertake no obligation to update or revise any forward-looking statements contained in this press release, whether as a result of new information, future events, a change in our views or expectations or otherwise. New factors emerge from time to time, and it is not possible for us to predict all of these factors. Further, we cannot assess the impact of each such factor on our business or the extent to which any factor, or combination of factors, may cause actual results to be materially different from those contained in any forward-looking statement.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Alastair Maxwell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Phone: +44-203-388-3100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Phil Corbett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Head of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Phone: +44-203-388-3116</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Joseph Nelson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Deputy Head of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Phone: +1-212-223-0643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ir@gaslogmlp.com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34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800"/>
    </w:lvl>
  </w:abstractNum>
  <w:abstractNum w:abstractNumId="1">
    <w:nsid w:val="19495CFF"/>
    <w:multiLevelType w:val="hybridMultilevel"/>
    <w:lvl w:ilvl="0">
      <w:lvlJc w:val="left"/>
      <w:lvlText w:val="(%1)"/>
      <w:numFmt w:val="decimal"/>
      <w:start w:val="800"/>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2019-12-08T10:49:27Z</dcterms:created>
  <dcterms:modified xsi:type="dcterms:W3CDTF">2019-12-08T10:49:27Z</dcterms:modified>
</cp:coreProperties>
</file>