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For the month of May 2021</w:t>
            </w:r>
          </w:p>
        </w:tc>
        <w:tc>
          <w:tcPr>
            <w:tcW w:w="2100" w:type="dxa"/>
            <w:vAlign w:val="bottom"/>
          </w:tcPr>
          <w:p>
            <w:pPr>
              <w:spacing w:after="0"/>
              <w:rPr>
                <w:sz w:val="20"/>
                <w:szCs w:val="20"/>
                <w:color w:val="auto"/>
              </w:rPr>
            </w:pPr>
          </w:p>
        </w:tc>
      </w:tr>
      <w:tr>
        <w:trPr>
          <w:trHeight w:val="432"/>
        </w:trPr>
        <w:tc>
          <w:tcPr>
            <w:tcW w:w="9140" w:type="dxa"/>
            <w:vAlign w:val="bottom"/>
          </w:tcPr>
          <w:p>
            <w:pPr>
              <w:spacing w:after="0"/>
              <w:rPr>
                <w:sz w:val="20"/>
                <w:szCs w:val="20"/>
                <w:color w:val="auto"/>
              </w:rPr>
            </w:pPr>
            <w:r>
              <w:rPr>
                <w:rFonts w:ascii="Arial" w:cs="Arial" w:eastAsia="Arial" w:hAnsi="Arial"/>
                <w:sz w:val="18"/>
                <w:szCs w:val="18"/>
                <w:color w:val="auto"/>
              </w:rPr>
              <w:t>Commission File Number 001-36433</w:t>
            </w:r>
          </w:p>
        </w:tc>
        <w:tc>
          <w:tcPr>
            <w:tcW w:w="2100" w:type="dxa"/>
            <w:vAlign w:val="bottom"/>
          </w:tcPr>
          <w:p>
            <w:pPr>
              <w:spacing w:after="0"/>
              <w:rPr>
                <w:sz w:val="24"/>
                <w:szCs w:val="24"/>
                <w:color w:val="auto"/>
              </w:rPr>
            </w:pPr>
          </w:p>
        </w:tc>
      </w:tr>
      <w:tr>
        <w:trPr>
          <w:trHeight w:val="418"/>
        </w:trPr>
        <w:tc>
          <w:tcPr>
            <w:tcW w:w="9140" w:type="dxa"/>
            <w:vAlign w:val="bottom"/>
          </w:tcPr>
          <w:p>
            <w:pPr>
              <w:jc w:val="center"/>
              <w:ind w:left="1990"/>
              <w:spacing w:after="0"/>
              <w:rPr>
                <w:sz w:val="20"/>
                <w:szCs w:val="20"/>
                <w:color w:val="auto"/>
              </w:rPr>
            </w:pPr>
            <w:r>
              <w:rPr>
                <w:rFonts w:ascii="Arial" w:cs="Arial" w:eastAsia="Arial" w:hAnsi="Arial"/>
                <w:sz w:val="18"/>
                <w:szCs w:val="18"/>
                <w:b w:val="1"/>
                <w:bCs w:val="1"/>
                <w:color w:val="auto"/>
                <w:w w:val="91"/>
              </w:rPr>
              <w:t>GasLog Partners LP</w:t>
            </w:r>
          </w:p>
        </w:tc>
        <w:tc>
          <w:tcPr>
            <w:tcW w:w="2100" w:type="dxa"/>
            <w:vAlign w:val="bottom"/>
          </w:tcPr>
          <w:p>
            <w:pPr>
              <w:spacing w:after="0"/>
              <w:rPr>
                <w:sz w:val="24"/>
                <w:szCs w:val="24"/>
                <w:color w:val="auto"/>
              </w:rPr>
            </w:pPr>
          </w:p>
        </w:tc>
      </w:tr>
      <w:tr>
        <w:trPr>
          <w:trHeight w:val="230"/>
        </w:trPr>
        <w:tc>
          <w:tcPr>
            <w:tcW w:w="9140" w:type="dxa"/>
            <w:vAlign w:val="bottom"/>
          </w:tcPr>
          <w:p>
            <w:pPr>
              <w:jc w:val="center"/>
              <w:ind w:left="2010"/>
              <w:spacing w:after="0"/>
              <w:rPr>
                <w:sz w:val="20"/>
                <w:szCs w:val="20"/>
                <w:color w:val="auto"/>
              </w:rPr>
            </w:pPr>
            <w:r>
              <w:rPr>
                <w:rFonts w:ascii="Arial" w:cs="Arial" w:eastAsia="Arial" w:hAnsi="Arial"/>
                <w:sz w:val="18"/>
                <w:szCs w:val="18"/>
                <w:color w:val="auto"/>
                <w:w w:val="91"/>
              </w:rPr>
              <w:t>(Translation of registrant’s name into English)</w:t>
            </w:r>
          </w:p>
        </w:tc>
        <w:tc>
          <w:tcPr>
            <w:tcW w:w="2100" w:type="dxa"/>
            <w:vAlign w:val="bottom"/>
          </w:tcPr>
          <w:p>
            <w:pPr>
              <w:spacing w:after="0"/>
              <w:rPr>
                <w:sz w:val="20"/>
                <w:szCs w:val="20"/>
                <w:color w:val="auto"/>
              </w:rPr>
            </w:pPr>
          </w:p>
        </w:tc>
      </w:tr>
      <w:tr>
        <w:trPr>
          <w:trHeight w:val="418"/>
        </w:trPr>
        <w:tc>
          <w:tcPr>
            <w:tcW w:w="9140" w:type="dxa"/>
            <w:vAlign w:val="bottom"/>
          </w:tcPr>
          <w:p>
            <w:pPr>
              <w:jc w:val="center"/>
              <w:ind w:left="1970"/>
              <w:spacing w:after="0"/>
              <w:rPr>
                <w:sz w:val="20"/>
                <w:szCs w:val="20"/>
                <w:color w:val="auto"/>
              </w:rPr>
            </w:pPr>
            <w:r>
              <w:rPr>
                <w:rFonts w:ascii="Arial" w:cs="Arial" w:eastAsia="Arial" w:hAnsi="Arial"/>
                <w:sz w:val="18"/>
                <w:szCs w:val="18"/>
                <w:color w:val="auto"/>
                <w:w w:val="92"/>
              </w:rPr>
              <w:t>c/o GasLog LNG Services Ltd.</w:t>
            </w:r>
          </w:p>
        </w:tc>
        <w:tc>
          <w:tcPr>
            <w:tcW w:w="2100" w:type="dxa"/>
            <w:vAlign w:val="bottom"/>
          </w:tcPr>
          <w:p>
            <w:pPr>
              <w:spacing w:after="0"/>
              <w:rPr>
                <w:sz w:val="24"/>
                <w:szCs w:val="24"/>
                <w:color w:val="auto"/>
              </w:rPr>
            </w:pPr>
          </w:p>
        </w:tc>
      </w:tr>
      <w:tr>
        <w:trPr>
          <w:trHeight w:val="216"/>
        </w:trPr>
        <w:tc>
          <w:tcPr>
            <w:tcW w:w="9140" w:type="dxa"/>
            <w:vAlign w:val="bottom"/>
          </w:tcPr>
          <w:p>
            <w:pPr>
              <w:jc w:val="center"/>
              <w:ind w:left="1990"/>
              <w:spacing w:after="0"/>
              <w:rPr>
                <w:sz w:val="20"/>
                <w:szCs w:val="20"/>
                <w:color w:val="auto"/>
              </w:rPr>
            </w:pPr>
            <w:r>
              <w:rPr>
                <w:rFonts w:ascii="Arial" w:cs="Arial" w:eastAsia="Arial" w:hAnsi="Arial"/>
                <w:sz w:val="18"/>
                <w:szCs w:val="18"/>
                <w:color w:val="auto"/>
                <w:w w:val="95"/>
              </w:rPr>
              <w:t>69 Akti Miaouli, 18537</w:t>
            </w:r>
          </w:p>
        </w:tc>
        <w:tc>
          <w:tcPr>
            <w:tcW w:w="2100" w:type="dxa"/>
            <w:vAlign w:val="bottom"/>
          </w:tcPr>
          <w:p>
            <w:pPr>
              <w:spacing w:after="0"/>
              <w:rPr>
                <w:sz w:val="18"/>
                <w:szCs w:val="18"/>
                <w:color w:val="auto"/>
              </w:rPr>
            </w:pPr>
          </w:p>
        </w:tc>
      </w:tr>
      <w:tr>
        <w:trPr>
          <w:trHeight w:val="216"/>
        </w:trPr>
        <w:tc>
          <w:tcPr>
            <w:tcW w:w="9140" w:type="dxa"/>
            <w:vAlign w:val="bottom"/>
          </w:tcPr>
          <w:p>
            <w:pPr>
              <w:jc w:val="center"/>
              <w:ind w:left="1970"/>
              <w:spacing w:after="0"/>
              <w:rPr>
                <w:sz w:val="20"/>
                <w:szCs w:val="20"/>
                <w:color w:val="auto"/>
              </w:rPr>
            </w:pPr>
            <w:r>
              <w:rPr>
                <w:rFonts w:ascii="Arial" w:cs="Arial" w:eastAsia="Arial" w:hAnsi="Arial"/>
                <w:sz w:val="18"/>
                <w:szCs w:val="18"/>
                <w:color w:val="auto"/>
                <w:w w:val="86"/>
              </w:rPr>
              <w:t>Piraeus, Greece</w:t>
            </w:r>
          </w:p>
        </w:tc>
        <w:tc>
          <w:tcPr>
            <w:tcW w:w="2100" w:type="dxa"/>
            <w:vAlign w:val="bottom"/>
          </w:tcPr>
          <w:p>
            <w:pPr>
              <w:spacing w:after="0"/>
              <w:rPr>
                <w:sz w:val="18"/>
                <w:szCs w:val="18"/>
                <w:color w:val="auto"/>
              </w:rPr>
            </w:pPr>
          </w:p>
        </w:tc>
      </w:tr>
      <w:tr>
        <w:trPr>
          <w:trHeight w:val="230"/>
        </w:trPr>
        <w:tc>
          <w:tcPr>
            <w:tcW w:w="9140" w:type="dxa"/>
            <w:vAlign w:val="bottom"/>
          </w:tcPr>
          <w:p>
            <w:pPr>
              <w:jc w:val="center"/>
              <w:ind w:left="2030"/>
              <w:spacing w:after="0"/>
              <w:rPr>
                <w:sz w:val="20"/>
                <w:szCs w:val="20"/>
                <w:color w:val="auto"/>
              </w:rPr>
            </w:pPr>
            <w:r>
              <w:rPr>
                <w:rFonts w:ascii="Arial" w:cs="Arial" w:eastAsia="Arial" w:hAnsi="Arial"/>
                <w:sz w:val="18"/>
                <w:szCs w:val="18"/>
                <w:color w:val="auto"/>
                <w:w w:val="92"/>
              </w:rPr>
              <w:t>(Address of principal executive office)</w:t>
            </w:r>
          </w:p>
        </w:tc>
        <w:tc>
          <w:tcPr>
            <w:tcW w:w="2100" w:type="dxa"/>
            <w:vAlign w:val="bottom"/>
          </w:tcPr>
          <w:p>
            <w:pPr>
              <w:spacing w:after="0"/>
              <w:rPr>
                <w:sz w:val="20"/>
                <w:szCs w:val="20"/>
                <w:color w:val="auto"/>
              </w:rPr>
            </w:pPr>
          </w:p>
        </w:tc>
      </w:tr>
      <w:tr>
        <w:trPr>
          <w:trHeight w:val="432"/>
        </w:trPr>
        <w:tc>
          <w:tcPr>
            <w:tcW w:w="9140" w:type="dxa"/>
            <w:vAlign w:val="bottom"/>
          </w:tcPr>
          <w:p>
            <w:pPr>
              <w:spacing w:after="0"/>
              <w:rPr>
                <w:sz w:val="20"/>
                <w:szCs w:val="20"/>
                <w:color w:val="auto"/>
              </w:rPr>
            </w:pPr>
            <w:r>
              <w:rPr>
                <w:rFonts w:ascii="Arial" w:cs="Arial" w:eastAsia="Arial" w:hAnsi="Arial"/>
                <w:sz w:val="18"/>
                <w:szCs w:val="18"/>
                <w:color w:val="auto"/>
                <w:w w:val="98"/>
              </w:rPr>
              <w:t>Indicate by check mark whether the registrant files or will file annual reports under cover of Form 20-F or Form 40-F.</w:t>
            </w:r>
          </w:p>
        </w:tc>
        <w:tc>
          <w:tcPr>
            <w:tcW w:w="2100" w:type="dxa"/>
            <w:vAlign w:val="bottom"/>
          </w:tcPr>
          <w:p>
            <w:pPr>
              <w:spacing w:after="0"/>
              <w:rPr>
                <w:sz w:val="24"/>
                <w:szCs w:val="24"/>
                <w:color w:val="auto"/>
              </w:rPr>
            </w:pPr>
          </w:p>
        </w:tc>
      </w:tr>
      <w:tr>
        <w:trPr>
          <w:trHeight w:val="432"/>
        </w:trPr>
        <w:tc>
          <w:tcPr>
            <w:tcW w:w="9140" w:type="dxa"/>
            <w:vAlign w:val="bottom"/>
          </w:tcPr>
          <w:p>
            <w:pPr>
              <w:spacing w:after="0"/>
              <w:rPr>
                <w:sz w:val="20"/>
                <w:szCs w:val="20"/>
                <w:color w:val="auto"/>
              </w:rPr>
            </w:pPr>
            <w:r>
              <w:rPr>
                <w:rFonts w:ascii="Arial" w:cs="Arial" w:eastAsia="Arial" w:hAnsi="Arial"/>
                <w:sz w:val="18"/>
                <w:szCs w:val="18"/>
                <w:color w:val="auto"/>
              </w:rPr>
              <w:t>Form 20-F þ   Form 40-F o</w:t>
            </w:r>
          </w:p>
        </w:tc>
        <w:tc>
          <w:tcPr>
            <w:tcW w:w="2100" w:type="dxa"/>
            <w:vAlign w:val="bottom"/>
          </w:tcPr>
          <w:p>
            <w:pPr>
              <w:spacing w:after="0"/>
              <w:rPr>
                <w:sz w:val="24"/>
                <w:szCs w:val="24"/>
                <w:color w:val="auto"/>
              </w:rPr>
            </w:pPr>
          </w:p>
        </w:tc>
      </w:tr>
      <w:tr>
        <w:trPr>
          <w:trHeight w:val="452"/>
        </w:trPr>
        <w:tc>
          <w:tcPr>
            <w:tcW w:w="9140" w:type="dxa"/>
            <w:vAlign w:val="bottom"/>
          </w:tcPr>
          <w:p>
            <w:pPr>
              <w:spacing w:after="0"/>
              <w:rPr>
                <w:sz w:val="20"/>
                <w:szCs w:val="20"/>
                <w:color w:val="auto"/>
              </w:rPr>
            </w:pPr>
            <w:r>
              <w:rPr>
                <w:rFonts w:ascii="Arial" w:cs="Arial" w:eastAsia="Arial" w:hAnsi="Arial"/>
                <w:sz w:val="18"/>
                <w:szCs w:val="18"/>
                <w:color w:val="auto"/>
                <w:w w:val="93"/>
              </w:rPr>
              <w:t>Indicate by check mark if the registrant is submitting the Form 6-K in paper as permitted by Regulation S-T Rule 101(b)(1):</w:t>
            </w:r>
          </w:p>
        </w:tc>
        <w:tc>
          <w:tcPr>
            <w:tcW w:w="21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140" w:type="dxa"/>
            <w:vAlign w:val="bottom"/>
          </w:tcPr>
          <w:p>
            <w:pPr>
              <w:spacing w:after="0"/>
              <w:rPr>
                <w:sz w:val="20"/>
                <w:szCs w:val="20"/>
                <w:color w:val="auto"/>
              </w:rPr>
            </w:pPr>
            <w:r>
              <w:rPr>
                <w:rFonts w:ascii="Arial" w:cs="Arial" w:eastAsia="Arial" w:hAnsi="Arial"/>
                <w:sz w:val="18"/>
                <w:szCs w:val="18"/>
                <w:color w:val="auto"/>
                <w:w w:val="93"/>
              </w:rPr>
              <w:t>Indicate by check mark if the registrant is submitting the Form 6-K in paper as permitted by Regulation S-T Rule 101(b)(7):</w:t>
            </w:r>
          </w:p>
        </w:tc>
        <w:tc>
          <w:tcPr>
            <w:tcW w:w="21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412"/>
        </w:trPr>
        <w:tc>
          <w:tcPr>
            <w:tcW w:w="9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1" w:name="page2"/>
    <w:bookmarkEnd w:id="1"/>
    <w:p>
      <w:pPr>
        <w:ind w:firstLine="324"/>
        <w:spacing w:after="0" w:line="293" w:lineRule="auto"/>
        <w:rPr>
          <w:sz w:val="20"/>
          <w:szCs w:val="20"/>
          <w:color w:val="auto"/>
        </w:rPr>
      </w:pPr>
      <w:r>
        <w:rPr>
          <w:rFonts w:ascii="Arial" w:cs="Arial" w:eastAsia="Arial" w:hAnsi="Arial"/>
          <w:sz w:val="16"/>
          <w:szCs w:val="16"/>
          <w:color w:val="auto"/>
        </w:rPr>
        <w:t>The press release issued by GasLog Partners LP on May 6, 2021 relating to its results for the three-month period ended March 31, 2021 and the related financial report are attached hereto as Exhibits 99.1 and 99.2, respectively.</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INCORPORATION BY REFERENCE</w:t>
      </w:r>
    </w:p>
    <w:p>
      <w:pPr>
        <w:spacing w:after="0" w:line="235" w:lineRule="exact"/>
        <w:rPr>
          <w:sz w:val="20"/>
          <w:szCs w:val="20"/>
          <w:color w:val="auto"/>
        </w:rPr>
      </w:pPr>
    </w:p>
    <w:p>
      <w:pPr>
        <w:ind w:firstLine="324"/>
        <w:spacing w:after="0" w:line="297" w:lineRule="auto"/>
        <w:rPr>
          <w:sz w:val="20"/>
          <w:szCs w:val="20"/>
          <w:color w:val="auto"/>
        </w:rPr>
      </w:pPr>
      <w:r>
        <w:rPr>
          <w:rFonts w:ascii="Arial" w:cs="Arial" w:eastAsia="Arial" w:hAnsi="Arial"/>
          <w:sz w:val="15"/>
          <w:szCs w:val="15"/>
          <w:color w:val="auto"/>
        </w:rPr>
        <w:t>Exhibit 99.2 to this Report on Form 6-K shall be incorporated by reference into our registration statement on Form F-3 (File No. 333-249399), filed with the Securities and Exchange Commission (the “SEC”) on October 9, 2020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620" w:type="dxa"/>
            <w:vAlign w:val="bottom"/>
            <w:gridSpan w:val="2"/>
          </w:tcPr>
          <w:p>
            <w:pPr>
              <w:ind w:left="1840"/>
              <w:spacing w:after="0"/>
              <w:rPr>
                <w:sz w:val="20"/>
                <w:szCs w:val="20"/>
                <w:color w:val="auto"/>
              </w:rPr>
            </w:pPr>
            <w:r>
              <w:rPr>
                <w:rFonts w:ascii="Arial" w:cs="Arial" w:eastAsia="Arial" w:hAnsi="Arial"/>
                <w:sz w:val="16"/>
                <w:szCs w:val="16"/>
                <w:color w:val="auto"/>
              </w:rPr>
              <w:t>EXHIBIT LIST</w:t>
            </w:r>
          </w:p>
        </w:tc>
      </w:tr>
      <w:tr>
        <w:trPr>
          <w:trHeight w:val="418"/>
        </w:trPr>
        <w:tc>
          <w:tcPr>
            <w:tcW w:w="1140" w:type="dxa"/>
            <w:vAlign w:val="bottom"/>
            <w:gridSpan w:val="2"/>
          </w:tcPr>
          <w:p>
            <w:pPr>
              <w:spacing w:after="0"/>
              <w:rPr>
                <w:sz w:val="20"/>
                <w:szCs w:val="20"/>
                <w:color w:val="auto"/>
              </w:rPr>
            </w:pPr>
            <w:r>
              <w:rPr>
                <w:rFonts w:ascii="Arial" w:cs="Arial" w:eastAsia="Arial" w:hAnsi="Arial"/>
                <w:sz w:val="16"/>
                <w:szCs w:val="16"/>
                <w:color w:val="auto"/>
              </w:rPr>
              <w:t>Exhibit</w:t>
            </w:r>
          </w:p>
        </w:tc>
        <w:tc>
          <w:tcPr>
            <w:tcW w:w="5760" w:type="dxa"/>
            <w:vAlign w:val="bottom"/>
            <w:gridSpan w:val="3"/>
          </w:tcPr>
          <w:p>
            <w:pPr>
              <w:spacing w:after="0"/>
              <w:rPr>
                <w:sz w:val="20"/>
                <w:szCs w:val="20"/>
                <w:color w:val="auto"/>
              </w:rPr>
            </w:pPr>
            <w:r>
              <w:rPr>
                <w:rFonts w:ascii="Arial" w:cs="Arial" w:eastAsia="Arial" w:hAnsi="Arial"/>
                <w:sz w:val="16"/>
                <w:szCs w:val="16"/>
                <w:color w:val="auto"/>
              </w:rPr>
              <w:t>Description</w:t>
            </w:r>
          </w:p>
        </w:tc>
      </w:tr>
      <w:tr>
        <w:trPr>
          <w:trHeight w:val="397"/>
        </w:trPr>
        <w:tc>
          <w:tcPr>
            <w:tcW w:w="300" w:type="dxa"/>
            <w:vAlign w:val="bottom"/>
          </w:tcPr>
          <w:p>
            <w:pPr>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99.</w:t>
              </w:r>
              <w:r>
                <w:rPr>
                  <w:rFonts w:ascii="Arial" w:cs="Arial" w:eastAsia="Arial" w:hAnsi="Arial"/>
                  <w:sz w:val="16"/>
                  <w:szCs w:val="16"/>
                  <w:u w:val="single" w:color="auto"/>
                  <w:color w:val="0000EE"/>
                  <w:w w:val="89"/>
                </w:rPr>
                <w:t>1</w:t>
              </w:r>
            </w:hyperlink>
          </w:p>
        </w:tc>
        <w:tc>
          <w:tcPr>
            <w:tcW w:w="840" w:type="dxa"/>
            <w:vAlign w:val="bottom"/>
          </w:tcPr>
          <w:p>
            <w:pPr>
              <w:spacing w:after="0"/>
              <w:rPr>
                <w:sz w:val="24"/>
                <w:szCs w:val="24"/>
                <w:color w:val="auto"/>
              </w:rPr>
            </w:pPr>
          </w:p>
        </w:tc>
        <w:tc>
          <w:tcPr>
            <w:tcW w:w="5760" w:type="dxa"/>
            <w:vAlign w:val="bottom"/>
            <w:gridSpan w:val="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Press Release dated May 6, 2021</w:t>
              </w:r>
            </w:hyperlink>
          </w:p>
        </w:tc>
      </w:tr>
      <w:tr>
        <w:trPr>
          <w:trHeight w:val="20"/>
        </w:trPr>
        <w:tc>
          <w:tcPr>
            <w:tcW w:w="3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300" w:type="dxa"/>
            <w:vAlign w:val="bottom"/>
            <w:tcBorders>
              <w:bottom w:val="single" w:sz="8" w:color="0000EE"/>
            </w:tcBorders>
          </w:tcPr>
          <w:p>
            <w:pPr>
              <w:spacing w:after="0"/>
              <w:rPr>
                <w:rFonts w:ascii="Arial" w:cs="Arial" w:eastAsia="Arial" w:hAnsi="Arial"/>
                <w:sz w:val="16"/>
                <w:szCs w:val="16"/>
                <w:color w:val="0000EE"/>
                <w:w w:val="89"/>
              </w:rPr>
            </w:pPr>
            <w:hyperlink w:anchor="page14">
              <w:r>
                <w:rPr>
                  <w:rFonts w:ascii="Arial" w:cs="Arial" w:eastAsia="Arial" w:hAnsi="Arial"/>
                  <w:sz w:val="16"/>
                  <w:szCs w:val="16"/>
                  <w:color w:val="0000EE"/>
                  <w:w w:val="89"/>
                </w:rPr>
                <w:t>99.</w:t>
              </w:r>
              <w:r>
                <w:rPr>
                  <w:rFonts w:ascii="Arial" w:cs="Arial" w:eastAsia="Arial" w:hAnsi="Arial"/>
                  <w:sz w:val="16"/>
                  <w:szCs w:val="16"/>
                  <w:u w:val="single" w:color="auto"/>
                  <w:color w:val="0000EE"/>
                  <w:w w:val="89"/>
                </w:rPr>
                <w:t>2</w:t>
              </w:r>
            </w:hyperlink>
          </w:p>
        </w:tc>
        <w:tc>
          <w:tcPr>
            <w:tcW w:w="840" w:type="dxa"/>
            <w:vAlign w:val="bottom"/>
          </w:tcPr>
          <w:p>
            <w:pPr>
              <w:spacing w:after="0"/>
              <w:rPr>
                <w:sz w:val="24"/>
                <w:szCs w:val="24"/>
                <w:color w:val="auto"/>
              </w:rPr>
            </w:pPr>
          </w:p>
        </w:tc>
        <w:tc>
          <w:tcPr>
            <w:tcW w:w="4040" w:type="dxa"/>
            <w:vAlign w:val="bottom"/>
            <w:tcBorders>
              <w:bottom w:val="single" w:sz="8" w:color="0000EE"/>
            </w:tcBorders>
            <w:gridSpan w:val="2"/>
          </w:tcPr>
          <w:p>
            <w:pPr>
              <w:spacing w:after="0"/>
              <w:rPr>
                <w:rFonts w:ascii="Arial" w:cs="Arial" w:eastAsia="Arial" w:hAnsi="Arial"/>
                <w:sz w:val="16"/>
                <w:szCs w:val="16"/>
                <w:color w:val="0000EE"/>
                <w:w w:val="92"/>
              </w:rPr>
            </w:pPr>
            <w:hyperlink w:anchor="page14">
              <w:r>
                <w:rPr>
                  <w:rFonts w:ascii="Arial" w:cs="Arial" w:eastAsia="Arial" w:hAnsi="Arial"/>
                  <w:sz w:val="16"/>
                  <w:szCs w:val="16"/>
                  <w:color w:val="0000EE"/>
                  <w:w w:val="92"/>
                </w:rPr>
                <w:t>Financial Report for the Three Months Ended March 31, 2021</w:t>
              </w:r>
            </w:hyperlink>
          </w:p>
        </w:tc>
        <w:tc>
          <w:tcPr>
            <w:tcW w:w="1720" w:type="dxa"/>
            <w:vAlign w:val="bottom"/>
          </w:tcPr>
          <w:p>
            <w:pPr>
              <w:spacing w:after="0"/>
              <w:rPr>
                <w:sz w:val="24"/>
                <w:szCs w:val="24"/>
                <w:color w:val="auto"/>
              </w:rPr>
            </w:pPr>
          </w:p>
        </w:tc>
      </w:tr>
      <w:tr>
        <w:trPr>
          <w:trHeight w:val="447"/>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60" w:type="dxa"/>
            <w:vAlign w:val="bottom"/>
            <w:gridSpan w:val="3"/>
          </w:tcPr>
          <w:p>
            <w:pPr>
              <w:spacing w:after="0"/>
              <w:rPr>
                <w:sz w:val="20"/>
                <w:szCs w:val="20"/>
                <w:color w:val="auto"/>
              </w:rPr>
            </w:pPr>
            <w:r>
              <w:rPr>
                <w:rFonts w:ascii="Arial" w:cs="Arial" w:eastAsia="Arial" w:hAnsi="Arial"/>
                <w:sz w:val="16"/>
                <w:szCs w:val="16"/>
                <w:color w:val="auto"/>
                <w:w w:val="92"/>
              </w:rPr>
              <w:t>Management’s Discussion and Analysis of Financial Condition and Results of Operation</w:t>
            </w:r>
          </w:p>
        </w:tc>
      </w:tr>
      <w:tr>
        <w:trPr>
          <w:trHeight w:val="432"/>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60" w:type="dxa"/>
            <w:vAlign w:val="bottom"/>
            <w:gridSpan w:val="3"/>
          </w:tcPr>
          <w:p>
            <w:pPr>
              <w:spacing w:after="0"/>
              <w:rPr>
                <w:sz w:val="20"/>
                <w:szCs w:val="20"/>
                <w:color w:val="auto"/>
              </w:rPr>
            </w:pPr>
            <w:r>
              <w:rPr>
                <w:rFonts w:ascii="Arial" w:cs="Arial" w:eastAsia="Arial" w:hAnsi="Arial"/>
                <w:sz w:val="16"/>
                <w:szCs w:val="16"/>
                <w:color w:val="auto"/>
              </w:rPr>
              <w:t>Unaudited Condensed Consolidated Financial Statements</w:t>
            </w:r>
          </w:p>
        </w:tc>
      </w:tr>
    </w:tbl>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13" w:right="4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6"/>
          <w:szCs w:val="16"/>
          <w:color w:val="auto"/>
        </w:rPr>
        <w:t>SIGNATURES</w:t>
      </w:r>
    </w:p>
    <w:p>
      <w:pPr>
        <w:spacing w:after="0" w:line="23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May 6, 2021</w:t>
      </w:r>
    </w:p>
    <w:p>
      <w:pPr>
        <w:spacing w:after="0" w:line="248"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GASLOG PARTNERS LP</w:t>
      </w:r>
    </w:p>
    <w:p>
      <w:pPr>
        <w:spacing w:after="0" w:line="248" w:lineRule="exact"/>
        <w:rPr>
          <w:sz w:val="20"/>
          <w:szCs w:val="20"/>
          <w:color w:val="auto"/>
        </w:rPr>
      </w:pPr>
    </w:p>
    <w:p>
      <w:pPr>
        <w:ind w:left="6420"/>
        <w:spacing w:after="0"/>
        <w:tabs>
          <w:tab w:leader="none" w:pos="6740" w:val="left"/>
        </w:tabs>
        <w:rPr>
          <w:sz w:val="20"/>
          <w:szCs w:val="20"/>
          <w:color w:val="auto"/>
        </w:rPr>
      </w:pPr>
      <w:r>
        <w:rPr>
          <w:rFonts w:ascii="Arial" w:cs="Arial" w:eastAsia="Arial" w:hAnsi="Arial"/>
          <w:sz w:val="16"/>
          <w:szCs w:val="16"/>
          <w:color w:val="auto"/>
        </w:rPr>
        <w:t>by</w:t>
        <w:tab/>
        <w:t>/s/ Paul Wogan</w:t>
      </w:r>
    </w:p>
    <w:p>
      <w:pPr>
        <w:spacing w:after="0" w:line="22" w:lineRule="exact"/>
        <w:rPr>
          <w:sz w:val="20"/>
          <w:szCs w:val="20"/>
          <w:color w:val="auto"/>
        </w:rPr>
      </w:pPr>
    </w:p>
    <w:tbl>
      <w:tblPr>
        <w:tblLayout w:type="fixed"/>
        <w:tblInd w:w="6760" w:type="dxa"/>
        <w:tblCellMar>
          <w:top w:w="0" w:type="dxa"/>
          <w:left w:w="0" w:type="dxa"/>
          <w:bottom w:w="0" w:type="dxa"/>
          <w:right w:w="0" w:type="dxa"/>
        </w:tblCellMar>
      </w:tblPr>
      <w:tr>
        <w:trPr>
          <w:trHeight w:val="206"/>
        </w:trPr>
        <w:tc>
          <w:tcPr>
            <w:tcW w:w="5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Name:</w:t>
            </w:r>
          </w:p>
        </w:tc>
        <w:tc>
          <w:tcPr>
            <w:tcW w:w="330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Paul Wogan</w:t>
            </w:r>
          </w:p>
        </w:tc>
      </w:tr>
      <w:tr>
        <w:trPr>
          <w:trHeight w:val="206"/>
        </w:trPr>
        <w:tc>
          <w:tcPr>
            <w:tcW w:w="520" w:type="dxa"/>
            <w:vAlign w:val="bottom"/>
          </w:tcPr>
          <w:p>
            <w:pPr>
              <w:spacing w:after="0"/>
              <w:rPr>
                <w:sz w:val="20"/>
                <w:szCs w:val="20"/>
                <w:color w:val="auto"/>
              </w:rPr>
            </w:pPr>
            <w:r>
              <w:rPr>
                <w:rFonts w:ascii="Arial" w:cs="Arial" w:eastAsia="Arial" w:hAnsi="Arial"/>
                <w:sz w:val="16"/>
                <w:szCs w:val="16"/>
                <w:color w:val="auto"/>
              </w:rPr>
              <w:t>Title:</w:t>
            </w:r>
          </w:p>
        </w:tc>
        <w:tc>
          <w:tcPr>
            <w:tcW w:w="3300" w:type="dxa"/>
            <w:vAlign w:val="bottom"/>
          </w:tcPr>
          <w:p>
            <w:pPr>
              <w:ind w:left="100"/>
              <w:spacing w:after="0"/>
              <w:rPr>
                <w:sz w:val="20"/>
                <w:szCs w:val="20"/>
                <w:color w:val="auto"/>
              </w:rPr>
            </w:pPr>
            <w:r>
              <w:rPr>
                <w:rFonts w:ascii="Arial" w:cs="Arial" w:eastAsia="Arial" w:hAnsi="Arial"/>
                <w:sz w:val="16"/>
                <w:szCs w:val="16"/>
                <w:color w:val="auto"/>
              </w:rPr>
              <w:t>Chief Executive Officer</w:t>
            </w:r>
          </w:p>
        </w:tc>
      </w:tr>
    </w:tbl>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13" w:right="4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Press Release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Partners LP Reports Financial Results for the Three-Month Period Ended March 31, 2021</w:t>
      </w:r>
    </w:p>
    <w:p>
      <w:pPr>
        <w:spacing w:after="0" w:line="235"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b w:val="1"/>
          <w:bCs w:val="1"/>
          <w:color w:val="auto"/>
        </w:rPr>
        <w:t xml:space="preserve">Piraeus, Greece, May 6, 2021, GasLog Partners LP (“GasLog Partners” or the “Partnership”) (NYSE: GLOP), </w:t>
      </w:r>
      <w:r>
        <w:rPr>
          <w:rFonts w:ascii="Arial" w:cs="Arial" w:eastAsia="Arial" w:hAnsi="Arial"/>
          <w:sz w:val="16"/>
          <w:szCs w:val="16"/>
          <w:color w:val="auto"/>
        </w:rPr>
        <w:t>an international owner and operator of liquefied</w:t>
      </w:r>
      <w:r>
        <w:rPr>
          <w:rFonts w:ascii="Arial" w:cs="Arial" w:eastAsia="Arial" w:hAnsi="Arial"/>
          <w:sz w:val="16"/>
          <w:szCs w:val="16"/>
          <w:b w:val="1"/>
          <w:bCs w:val="1"/>
          <w:color w:val="auto"/>
        </w:rPr>
        <w:t xml:space="preserve"> </w:t>
      </w:r>
      <w:r>
        <w:rPr>
          <w:rFonts w:ascii="Arial" w:cs="Arial" w:eastAsia="Arial" w:hAnsi="Arial"/>
          <w:sz w:val="16"/>
          <w:szCs w:val="16"/>
          <w:color w:val="auto"/>
        </w:rPr>
        <w:t>natural gas (“LNG”) carriers, today reported its financial results for the three-month period ended March 31, 2021.</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Highlights</w:t>
      </w:r>
    </w:p>
    <w:p>
      <w:pPr>
        <w:spacing w:after="0" w:line="239"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Repaid $36.0 million of debt during the first quarter of 2021.</w:t>
      </w:r>
    </w:p>
    <w:p>
      <w:pPr>
        <w:spacing w:after="0" w:line="22" w:lineRule="exact"/>
        <w:rPr>
          <w:rFonts w:ascii="Arial" w:cs="Arial" w:eastAsia="Arial" w:hAnsi="Arial"/>
          <w:sz w:val="16"/>
          <w:szCs w:val="16"/>
          <w:color w:val="auto"/>
        </w:rPr>
      </w:pPr>
    </w:p>
    <w:p>
      <w:pPr>
        <w:ind w:left="340" w:hanging="332"/>
        <w:spacing w:after="0" w:line="191" w:lineRule="auto"/>
        <w:tabs>
          <w:tab w:leader="none" w:pos="340" w:val="left"/>
        </w:tabs>
        <w:numPr>
          <w:ilvl w:val="0"/>
          <w:numId w:val="1"/>
        </w:numPr>
        <w:rPr>
          <w:rFonts w:ascii="Arial" w:cs="Arial" w:eastAsia="Arial" w:hAnsi="Arial"/>
          <w:sz w:val="32"/>
          <w:szCs w:val="32"/>
          <w:color w:val="auto"/>
          <w:vertAlign w:val="superscript"/>
        </w:rPr>
      </w:pPr>
      <w:r>
        <w:rPr>
          <w:rFonts w:ascii="Arial" w:cs="Arial" w:eastAsia="Arial" w:hAnsi="Arial"/>
          <w:sz w:val="16"/>
          <w:szCs w:val="16"/>
          <w:color w:val="auto"/>
        </w:rPr>
        <w:t>Quarterly Revenues, Profit, Adjusted Profit</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and Adjusted EBITDA</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of $87.1 million, $35.4 million, $31.8 million and $64.1 million, respectively.</w:t>
      </w:r>
    </w:p>
    <w:p>
      <w:pPr>
        <w:ind w:left="340" w:hanging="332"/>
        <w:spacing w:after="0" w:line="183" w:lineRule="auto"/>
        <w:tabs>
          <w:tab w:leader="none" w:pos="34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Quarterly Earnings per unit (“EPU”) of $0.57 and Adjusted EPU</w:t>
      </w:r>
      <w:r>
        <w:rPr>
          <w:rFonts w:ascii="Arial" w:cs="Arial" w:eastAsia="Arial" w:hAnsi="Arial"/>
          <w:sz w:val="19"/>
          <w:szCs w:val="19"/>
          <w:color w:val="auto"/>
          <w:vertAlign w:val="superscript"/>
        </w:rPr>
        <w:t>(1)</w:t>
      </w:r>
      <w:r>
        <w:rPr>
          <w:rFonts w:ascii="Arial" w:cs="Arial" w:eastAsia="Arial" w:hAnsi="Arial"/>
          <w:sz w:val="13"/>
          <w:szCs w:val="13"/>
          <w:color w:val="auto"/>
        </w:rPr>
        <w:t xml:space="preserve"> of $0.50.</w:t>
      </w: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Declared cash distribution of $0.01 per common unit for the first quarter of 2021.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CEO Statement</w:t>
      </w:r>
    </w:p>
    <w:p>
      <w:pPr>
        <w:spacing w:after="0" w:line="239" w:lineRule="exact"/>
        <w:rPr>
          <w:sz w:val="20"/>
          <w:szCs w:val="20"/>
          <w:color w:val="auto"/>
        </w:rPr>
      </w:pPr>
    </w:p>
    <w:p>
      <w:pPr>
        <w:ind w:right="40"/>
        <w:spacing w:after="0" w:line="335" w:lineRule="auto"/>
        <w:rPr>
          <w:sz w:val="20"/>
          <w:szCs w:val="20"/>
          <w:color w:val="auto"/>
        </w:rPr>
      </w:pPr>
      <w:r>
        <w:rPr>
          <w:rFonts w:ascii="Arial" w:cs="Arial" w:eastAsia="Arial" w:hAnsi="Arial"/>
          <w:sz w:val="14"/>
          <w:szCs w:val="14"/>
          <w:color w:val="auto"/>
        </w:rPr>
        <w:t>Paul Wogan, Chief Executive Officer, commented: “I am pleased to report another strong operational quarter for the Partnership with fleet uptime of 100%. A robust spot market for LNG carriers during the 2020/21 Northern Hemisphere winter, combined with our focus on cost reductions and lower interest expense bolstered the Partnership’s financial results in the first quarter of 2021, largely offsetting the impact from the expiration of three initial multi-year steam turbine propulsion (“Steam”) vessel charters.</w:t>
      </w:r>
    </w:p>
    <w:p>
      <w:pPr>
        <w:spacing w:after="0" w:line="149" w:lineRule="exact"/>
        <w:rPr>
          <w:sz w:val="20"/>
          <w:szCs w:val="20"/>
          <w:color w:val="auto"/>
        </w:rPr>
      </w:pPr>
    </w:p>
    <w:p>
      <w:pPr>
        <w:jc w:val="both"/>
        <w:ind w:right="60"/>
        <w:spacing w:after="0" w:line="278" w:lineRule="auto"/>
        <w:rPr>
          <w:sz w:val="20"/>
          <w:szCs w:val="20"/>
          <w:color w:val="auto"/>
        </w:rPr>
      </w:pPr>
      <w:r>
        <w:rPr>
          <w:rFonts w:ascii="Arial" w:cs="Arial" w:eastAsia="Arial" w:hAnsi="Arial"/>
          <w:sz w:val="16"/>
          <w:szCs w:val="16"/>
          <w:color w:val="auto"/>
        </w:rPr>
        <w:t>During the first quarter, we improved our charter coverage to 75% for the remainder of 2021. This fixed charter coverage, along with the Adjusted EBITDA delivered in the first quarter, more than covers all the Partnership’s operating, overhead and debt service requirements as well as expenses related to our five dry-dockings scheduled for this year.</w:t>
      </w:r>
    </w:p>
    <w:p>
      <w:pPr>
        <w:spacing w:after="0" w:line="18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Although the Partnership has covered its fixed expenses for the year, we still retain a meaningful exposure to any recovery in LNG shipping spot rates during the second half of 2021. We anticipate that our capital allocation in 2021 will continue to focus on debt repayment with repayments of $36.0 million in the quarter, we continue to reduce the fleet’s breakeven levels and improve its free cash flow capacity over time.”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gridSpan w:val="3"/>
          </w:tcPr>
          <w:p>
            <w:pPr>
              <w:spacing w:after="0"/>
              <w:rPr>
                <w:sz w:val="20"/>
                <w:szCs w:val="20"/>
                <w:color w:val="auto"/>
              </w:rPr>
            </w:pPr>
            <w:r>
              <w:rPr>
                <w:rFonts w:ascii="Arial" w:cs="Arial" w:eastAsia="Arial" w:hAnsi="Arial"/>
                <w:sz w:val="16"/>
                <w:szCs w:val="16"/>
                <w:b w:val="1"/>
                <w:bCs w:val="1"/>
                <w:color w:val="auto"/>
              </w:rPr>
              <w:t>Financial Summary</w:t>
            </w: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840" w:type="dxa"/>
            <w:vAlign w:val="bottom"/>
            <w:gridSpan w:val="3"/>
            <w:vMerge w:val="restart"/>
          </w:tcPr>
          <w:p>
            <w:pPr>
              <w:jc w:val="right"/>
              <w:ind w:right="879"/>
              <w:spacing w:after="0"/>
              <w:rPr>
                <w:sz w:val="20"/>
                <w:szCs w:val="20"/>
                <w:color w:val="auto"/>
              </w:rPr>
            </w:pPr>
            <w:r>
              <w:rPr>
                <w:rFonts w:ascii="Arial" w:cs="Arial" w:eastAsia="Arial" w:hAnsi="Arial"/>
                <w:sz w:val="16"/>
                <w:szCs w:val="16"/>
                <w:b w:val="1"/>
                <w:bCs w:val="1"/>
                <w:color w:val="auto"/>
              </w:rPr>
              <w:t>For the three months ended</w:t>
            </w: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80" w:type="dxa"/>
            <w:vAlign w:val="bottom"/>
          </w:tcPr>
          <w:p>
            <w:pPr>
              <w:spacing w:after="0"/>
              <w:rPr>
                <w:sz w:val="24"/>
                <w:szCs w:val="24"/>
                <w:color w:val="auto"/>
              </w:rPr>
            </w:pPr>
          </w:p>
        </w:tc>
        <w:tc>
          <w:tcPr>
            <w:tcW w:w="4860" w:type="dxa"/>
            <w:vAlign w:val="bottom"/>
            <w:gridSpan w:val="2"/>
            <w:vMerge w:val="restart"/>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p>
        </w:tc>
        <w:tc>
          <w:tcPr>
            <w:tcW w:w="38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4860" w:type="dxa"/>
            <w:vAlign w:val="bottom"/>
            <w:gridSpan w:val="2"/>
            <w:vMerge w:val="continue"/>
          </w:tcPr>
          <w:p>
            <w:pPr>
              <w:spacing w:after="0"/>
              <w:rPr>
                <w:sz w:val="17"/>
                <w:szCs w:val="17"/>
                <w:color w:val="auto"/>
              </w:rPr>
            </w:pPr>
          </w:p>
        </w:tc>
        <w:tc>
          <w:tcPr>
            <w:tcW w:w="2040" w:type="dxa"/>
            <w:vAlign w:val="bottom"/>
            <w:gridSpan w:val="2"/>
            <w:vMerge w:val="restart"/>
          </w:tcPr>
          <w:p>
            <w:pPr>
              <w:ind w:left="420"/>
              <w:spacing w:after="0"/>
              <w:rPr>
                <w:sz w:val="20"/>
                <w:szCs w:val="20"/>
                <w:color w:val="auto"/>
              </w:rPr>
            </w:pPr>
            <w:r>
              <w:rPr>
                <w:rFonts w:ascii="Arial" w:cs="Arial" w:eastAsia="Arial" w:hAnsi="Arial"/>
                <w:sz w:val="16"/>
                <w:szCs w:val="16"/>
                <w:b w:val="1"/>
                <w:bCs w:val="1"/>
                <w:color w:val="auto"/>
              </w:rPr>
              <w:t>March 31, 2020</w:t>
            </w:r>
          </w:p>
        </w:tc>
        <w:tc>
          <w:tcPr>
            <w:tcW w:w="180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March 31, 2021</w:t>
            </w:r>
          </w:p>
        </w:tc>
        <w:tc>
          <w:tcPr>
            <w:tcW w:w="100" w:type="dxa"/>
            <w:vAlign w:val="bottom"/>
          </w:tcPr>
          <w:p>
            <w:pPr>
              <w:spacing w:after="0"/>
              <w:rPr>
                <w:sz w:val="17"/>
                <w:szCs w:val="17"/>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except per unit amounts</w:t>
            </w:r>
            <w:r>
              <w:rPr>
                <w:rFonts w:ascii="Arial" w:cs="Arial" w:eastAsia="Arial" w:hAnsi="Arial"/>
                <w:sz w:val="16"/>
                <w:szCs w:val="16"/>
                <w:color w:val="auto"/>
              </w:rPr>
              <w:t>)</w:t>
            </w:r>
          </w:p>
        </w:tc>
        <w:tc>
          <w:tcPr>
            <w:tcW w:w="2040" w:type="dxa"/>
            <w:vAlign w:val="bottom"/>
            <w:gridSpan w:val="2"/>
            <w:vMerge w:val="continue"/>
          </w:tcPr>
          <w:p>
            <w:pPr>
              <w:spacing w:after="0"/>
              <w:rPr>
                <w:sz w:val="18"/>
                <w:szCs w:val="18"/>
                <w:color w:val="auto"/>
              </w:rPr>
            </w:pPr>
          </w:p>
        </w:tc>
        <w:tc>
          <w:tcPr>
            <w:tcW w:w="1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486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Revenues</w:t>
            </w:r>
          </w:p>
        </w:tc>
        <w:tc>
          <w:tcPr>
            <w:tcW w:w="19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91,353</w:t>
            </w:r>
          </w:p>
        </w:tc>
        <w:tc>
          <w:tcPr>
            <w:tcW w:w="120" w:type="dxa"/>
            <w:vAlign w:val="bottom"/>
            <w:tcBorders>
              <w:top w:val="single" w:sz="8" w:color="E5FFFF"/>
            </w:tcBorders>
            <w:shd w:val="clear" w:color="auto" w:fill="E5FFFF"/>
          </w:tcPr>
          <w:p>
            <w:pPr>
              <w:spacing w:after="0"/>
              <w:rPr>
                <w:sz w:val="17"/>
                <w:szCs w:val="17"/>
                <w:color w:val="auto"/>
              </w:rPr>
            </w:pPr>
          </w:p>
        </w:tc>
        <w:tc>
          <w:tcPr>
            <w:tcW w:w="18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87,088</w:t>
            </w:r>
          </w:p>
        </w:tc>
        <w:tc>
          <w:tcPr>
            <w:tcW w:w="100" w:type="dxa"/>
            <w:vAlign w:val="bottom"/>
            <w:tcBorders>
              <w:top w:val="single" w:sz="8" w:color="E5FFFF"/>
            </w:tcBorders>
            <w:shd w:val="clear" w:color="auto" w:fill="E5FFFF"/>
          </w:tcPr>
          <w:p>
            <w:pPr>
              <w:spacing w:after="0"/>
              <w:rPr>
                <w:sz w:val="17"/>
                <w:szCs w:val="17"/>
                <w:color w:val="auto"/>
              </w:rPr>
            </w:pPr>
          </w:p>
        </w:tc>
        <w:tc>
          <w:tcPr>
            <w:tcW w:w="12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Profit</w:t>
            </w:r>
          </w:p>
        </w:tc>
        <w:tc>
          <w:tcPr>
            <w:tcW w:w="1920" w:type="dxa"/>
            <w:vAlign w:val="bottom"/>
          </w:tcPr>
          <w:p>
            <w:pPr>
              <w:jc w:val="right"/>
              <w:spacing w:after="0"/>
              <w:rPr>
                <w:sz w:val="20"/>
                <w:szCs w:val="20"/>
                <w:color w:val="auto"/>
              </w:rPr>
            </w:pPr>
            <w:r>
              <w:rPr>
                <w:rFonts w:ascii="Arial" w:cs="Arial" w:eastAsia="Arial" w:hAnsi="Arial"/>
                <w:sz w:val="16"/>
                <w:szCs w:val="16"/>
                <w:color w:val="auto"/>
              </w:rPr>
              <w:t>14,169</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35,360</w:t>
            </w: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48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EPU, common (basic)</w:t>
            </w:r>
          </w:p>
        </w:tc>
        <w:tc>
          <w:tcPr>
            <w:tcW w:w="1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E5FFFF"/>
          </w:tcPr>
          <w:p>
            <w:pPr>
              <w:spacing w:after="0"/>
              <w:rPr>
                <w:sz w:val="19"/>
                <w:szCs w:val="19"/>
                <w:color w:val="auto"/>
              </w:rPr>
            </w:pPr>
          </w:p>
        </w:tc>
        <w:tc>
          <w:tcPr>
            <w:tcW w:w="1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0.57</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60" w:type="dxa"/>
            <w:vAlign w:val="bottom"/>
            <w:gridSpan w:val="2"/>
          </w:tcPr>
          <w:p>
            <w:pPr>
              <w:spacing w:after="0" w:line="243" w:lineRule="exact"/>
              <w:rPr>
                <w:sz w:val="20"/>
                <w:szCs w:val="20"/>
                <w:color w:val="auto"/>
              </w:rPr>
            </w:pPr>
            <w:r>
              <w:rPr>
                <w:rFonts w:ascii="Arial" w:cs="Arial" w:eastAsia="Arial" w:hAnsi="Arial"/>
                <w:sz w:val="16"/>
                <w:szCs w:val="16"/>
                <w:color w:val="auto"/>
              </w:rPr>
              <w:t>Adjusted Profit</w:t>
            </w:r>
            <w:r>
              <w:rPr>
                <w:rFonts w:ascii="Arial" w:cs="Arial" w:eastAsia="Arial" w:hAnsi="Arial"/>
                <w:sz w:val="26"/>
                <w:szCs w:val="26"/>
                <w:color w:val="auto"/>
                <w:vertAlign w:val="superscript"/>
              </w:rPr>
              <w:t>(1)</w:t>
            </w:r>
          </w:p>
        </w:tc>
        <w:tc>
          <w:tcPr>
            <w:tcW w:w="1920" w:type="dxa"/>
            <w:vAlign w:val="bottom"/>
          </w:tcPr>
          <w:p>
            <w:pPr>
              <w:jc w:val="right"/>
              <w:spacing w:after="0"/>
              <w:rPr>
                <w:sz w:val="20"/>
                <w:szCs w:val="20"/>
                <w:color w:val="auto"/>
              </w:rPr>
            </w:pPr>
            <w:r>
              <w:rPr>
                <w:rFonts w:ascii="Arial" w:cs="Arial" w:eastAsia="Arial" w:hAnsi="Arial"/>
                <w:sz w:val="16"/>
                <w:szCs w:val="16"/>
                <w:color w:val="auto"/>
              </w:rPr>
              <w:t>27,821</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31,753</w:t>
            </w: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60" w:type="dxa"/>
            <w:vAlign w:val="bottom"/>
            <w:gridSpan w:val="2"/>
            <w:shd w:val="clear" w:color="auto" w:fill="E5FFFF"/>
          </w:tcPr>
          <w:p>
            <w:pPr>
              <w:spacing w:after="0" w:line="243" w:lineRule="exact"/>
              <w:rPr>
                <w:sz w:val="20"/>
                <w:szCs w:val="20"/>
                <w:color w:val="auto"/>
              </w:rPr>
            </w:pPr>
            <w:r>
              <w:rPr>
                <w:rFonts w:ascii="Arial" w:cs="Arial" w:eastAsia="Arial" w:hAnsi="Arial"/>
                <w:sz w:val="16"/>
                <w:szCs w:val="16"/>
                <w:color w:val="auto"/>
              </w:rPr>
              <w:t>Adjusted EBITDA</w:t>
            </w:r>
            <w:r>
              <w:rPr>
                <w:rFonts w:ascii="Arial" w:cs="Arial" w:eastAsia="Arial" w:hAnsi="Arial"/>
                <w:sz w:val="26"/>
                <w:szCs w:val="26"/>
                <w:color w:val="auto"/>
                <w:vertAlign w:val="superscript"/>
              </w:rPr>
              <w:t>(1)</w:t>
            </w:r>
          </w:p>
        </w:tc>
        <w:tc>
          <w:tcPr>
            <w:tcW w:w="1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64,201</w:t>
            </w:r>
          </w:p>
        </w:tc>
        <w:tc>
          <w:tcPr>
            <w:tcW w:w="120" w:type="dxa"/>
            <w:vAlign w:val="bottom"/>
            <w:shd w:val="clear" w:color="auto" w:fill="E5FFFF"/>
          </w:tcPr>
          <w:p>
            <w:pPr>
              <w:spacing w:after="0"/>
              <w:rPr>
                <w:sz w:val="21"/>
                <w:szCs w:val="21"/>
                <w:color w:val="auto"/>
              </w:rPr>
            </w:pPr>
          </w:p>
        </w:tc>
        <w:tc>
          <w:tcPr>
            <w:tcW w:w="1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64,131</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60" w:type="dxa"/>
            <w:vAlign w:val="bottom"/>
            <w:gridSpan w:val="2"/>
          </w:tcPr>
          <w:p>
            <w:pPr>
              <w:spacing w:after="0" w:line="243" w:lineRule="exact"/>
              <w:rPr>
                <w:sz w:val="20"/>
                <w:szCs w:val="20"/>
                <w:color w:val="auto"/>
              </w:rPr>
            </w:pPr>
            <w:r>
              <w:rPr>
                <w:rFonts w:ascii="Arial" w:cs="Arial" w:eastAsia="Arial" w:hAnsi="Arial"/>
                <w:sz w:val="16"/>
                <w:szCs w:val="16"/>
                <w:color w:val="auto"/>
              </w:rPr>
              <w:t>Adjusted EPU, common (basic)</w:t>
            </w:r>
            <w:r>
              <w:rPr>
                <w:rFonts w:ascii="Arial" w:cs="Arial" w:eastAsia="Arial" w:hAnsi="Arial"/>
                <w:sz w:val="26"/>
                <w:szCs w:val="26"/>
                <w:color w:val="auto"/>
                <w:vertAlign w:val="superscript"/>
              </w:rPr>
              <w:t>(1)</w:t>
            </w:r>
          </w:p>
        </w:tc>
        <w:tc>
          <w:tcPr>
            <w:tcW w:w="1920" w:type="dxa"/>
            <w:vAlign w:val="bottom"/>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0.50</w:t>
            </w: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Cash distributions declared</w:t>
            </w:r>
          </w:p>
        </w:tc>
        <w:tc>
          <w:tcPr>
            <w:tcW w:w="1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5,967</w:t>
            </w:r>
          </w:p>
        </w:tc>
        <w:tc>
          <w:tcPr>
            <w:tcW w:w="120" w:type="dxa"/>
            <w:vAlign w:val="bottom"/>
            <w:shd w:val="clear" w:color="auto" w:fill="E5FFFF"/>
          </w:tcPr>
          <w:p>
            <w:pPr>
              <w:spacing w:after="0"/>
              <w:rPr>
                <w:sz w:val="18"/>
                <w:szCs w:val="18"/>
                <w:color w:val="auto"/>
              </w:rPr>
            </w:pPr>
          </w:p>
        </w:tc>
        <w:tc>
          <w:tcPr>
            <w:tcW w:w="1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485</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right="220"/>
        <w:spacing w:after="0" w:line="278" w:lineRule="auto"/>
        <w:rPr>
          <w:sz w:val="20"/>
          <w:szCs w:val="20"/>
          <w:color w:val="auto"/>
        </w:rPr>
      </w:pPr>
      <w:r>
        <w:rPr>
          <w:rFonts w:ascii="Arial" w:cs="Arial" w:eastAsia="Arial" w:hAnsi="Arial"/>
          <w:sz w:val="16"/>
          <w:szCs w:val="16"/>
          <w:color w:val="auto"/>
        </w:rPr>
        <w:t>There were 1,311 revenue operating days for the three months ended March 31, 2021, as compared to 1,273 revenue operating days for the three months ended March 31, 2020. The year-over-year increase in revenue operating days is attributable to the increased utilization of our spot fleet, as defined below, and decreased off-hire days for scheduled dry-dockings.</w:t>
      </w:r>
    </w:p>
    <w:p>
      <w:pPr>
        <w:spacing w:after="0" w:line="18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Management classifies the Partnership’s vessels from a commercial point of view into two categories: (a) spot fleet and (b) long-term fleet. The spot fleet includes all vessels under charter party agreements with an initial duration of less than (or equal to) five years (excluding optional periods), while the long-term fleet comprises all vessels with charter party agreements of an initial duration of more than five years (excluding optional periods).</w:t>
      </w:r>
    </w:p>
    <w:p>
      <w:pPr>
        <w:spacing w:after="0" w:line="18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For the three months ended March 31, 2020 and 2021, an analysis of available days, revenue operating days, revenues and voyage expenses and commissions per category is presented below:</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2820" w:type="dxa"/>
            <w:vAlign w:val="bottom"/>
            <w:gridSpan w:val="4"/>
          </w:tcPr>
          <w:p>
            <w:pPr>
              <w:jc w:val="right"/>
              <w:ind w:right="560"/>
              <w:spacing w:after="0"/>
              <w:rPr>
                <w:sz w:val="20"/>
                <w:szCs w:val="20"/>
                <w:color w:val="auto"/>
              </w:rPr>
            </w:pPr>
            <w:r>
              <w:rPr>
                <w:rFonts w:ascii="Arial" w:cs="Arial" w:eastAsia="Arial" w:hAnsi="Arial"/>
                <w:sz w:val="16"/>
                <w:szCs w:val="16"/>
                <w:b w:val="1"/>
                <w:bCs w:val="1"/>
                <w:color w:val="auto"/>
              </w:rPr>
              <w:t>For the three months ended</w:t>
            </w:r>
          </w:p>
        </w:tc>
        <w:tc>
          <w:tcPr>
            <w:tcW w:w="2620" w:type="dxa"/>
            <w:vAlign w:val="bottom"/>
            <w:gridSpan w:val="4"/>
          </w:tcPr>
          <w:p>
            <w:pPr>
              <w:jc w:val="right"/>
              <w:ind w:right="420"/>
              <w:spacing w:after="0"/>
              <w:rPr>
                <w:sz w:val="20"/>
                <w:szCs w:val="20"/>
                <w:color w:val="auto"/>
              </w:rPr>
            </w:pPr>
            <w:r>
              <w:rPr>
                <w:rFonts w:ascii="Arial" w:cs="Arial" w:eastAsia="Arial" w:hAnsi="Arial"/>
                <w:sz w:val="16"/>
                <w:szCs w:val="16"/>
                <w:b w:val="1"/>
                <w:bCs w:val="1"/>
                <w:color w:val="auto"/>
              </w:rPr>
              <w:t>For the three months ended</w:t>
            </w:r>
          </w:p>
        </w:tc>
      </w:tr>
      <w:tr>
        <w:trPr>
          <w:trHeight w:val="210"/>
        </w:trPr>
        <w:tc>
          <w:tcPr>
            <w:tcW w:w="5220" w:type="dxa"/>
            <w:vAlign w:val="bottom"/>
          </w:tcPr>
          <w:p>
            <w:pPr>
              <w:spacing w:after="0"/>
              <w:rPr>
                <w:sz w:val="18"/>
                <w:szCs w:val="18"/>
                <w:color w:val="auto"/>
              </w:rPr>
            </w:pPr>
          </w:p>
        </w:tc>
        <w:tc>
          <w:tcPr>
            <w:tcW w:w="2820" w:type="dxa"/>
            <w:vAlign w:val="bottom"/>
            <w:gridSpan w:val="4"/>
          </w:tcPr>
          <w:p>
            <w:pPr>
              <w:jc w:val="right"/>
              <w:ind w:right="980"/>
              <w:spacing w:after="0"/>
              <w:rPr>
                <w:sz w:val="20"/>
                <w:szCs w:val="20"/>
                <w:color w:val="auto"/>
              </w:rPr>
            </w:pPr>
            <w:r>
              <w:rPr>
                <w:rFonts w:ascii="Arial" w:cs="Arial" w:eastAsia="Arial" w:hAnsi="Arial"/>
                <w:sz w:val="16"/>
                <w:szCs w:val="16"/>
                <w:b w:val="1"/>
                <w:bCs w:val="1"/>
                <w:color w:val="auto"/>
              </w:rPr>
              <w:t>March 31, 2020</w:t>
            </w:r>
          </w:p>
        </w:tc>
        <w:tc>
          <w:tcPr>
            <w:tcW w:w="2620" w:type="dxa"/>
            <w:vAlign w:val="bottom"/>
            <w:gridSpan w:val="4"/>
          </w:tcPr>
          <w:p>
            <w:pPr>
              <w:jc w:val="right"/>
              <w:ind w:right="820"/>
              <w:spacing w:after="0"/>
              <w:rPr>
                <w:sz w:val="20"/>
                <w:szCs w:val="20"/>
                <w:color w:val="auto"/>
              </w:rPr>
            </w:pPr>
            <w:r>
              <w:rPr>
                <w:rFonts w:ascii="Arial" w:cs="Arial" w:eastAsia="Arial" w:hAnsi="Arial"/>
                <w:sz w:val="16"/>
                <w:szCs w:val="16"/>
                <w:b w:val="1"/>
                <w:bCs w:val="1"/>
                <w:color w:val="auto"/>
              </w:rPr>
              <w:t>March 31, 2021</w:t>
            </w:r>
          </w:p>
        </w:tc>
      </w:tr>
      <w:tr>
        <w:trPr>
          <w:trHeight w:val="210"/>
        </w:trPr>
        <w:tc>
          <w:tcPr>
            <w:tcW w:w="52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2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Spot fleet</w:t>
            </w:r>
          </w:p>
        </w:tc>
        <w:tc>
          <w:tcPr>
            <w:tcW w:w="220" w:type="dxa"/>
            <w:vAlign w:val="bottom"/>
            <w:tcBorders>
              <w:top w:val="single" w:sz="8" w:color="auto"/>
              <w:bottom w:val="single" w:sz="8" w:color="E5FF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Long-term fleet</w:t>
            </w:r>
          </w:p>
        </w:tc>
        <w:tc>
          <w:tcPr>
            <w:tcW w:w="220" w:type="dxa"/>
            <w:vAlign w:val="bottom"/>
            <w:tcBorders>
              <w:bottom w:val="single" w:sz="8" w:color="E5FF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Spot fleet</w:t>
            </w:r>
          </w:p>
        </w:tc>
        <w:tc>
          <w:tcPr>
            <w:tcW w:w="180" w:type="dxa"/>
            <w:vAlign w:val="bottom"/>
            <w:tcBorders>
              <w:top w:val="single" w:sz="8" w:color="auto"/>
              <w:bottom w:val="single" w:sz="8" w:color="E5FF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Long-term fleet</w:t>
            </w:r>
          </w:p>
        </w:tc>
        <w:tc>
          <w:tcPr>
            <w:tcW w:w="100" w:type="dxa"/>
            <w:vAlign w:val="bottom"/>
            <w:tcBorders>
              <w:bottom w:val="single" w:sz="8" w:color="E5FFFF"/>
            </w:tcBorders>
          </w:tcPr>
          <w:p>
            <w:pPr>
              <w:spacing w:after="0"/>
              <w:rPr>
                <w:sz w:val="18"/>
                <w:szCs w:val="18"/>
                <w:color w:val="auto"/>
              </w:rPr>
            </w:pPr>
          </w:p>
        </w:tc>
      </w:tr>
      <w:tr>
        <w:trPr>
          <w:trHeight w:val="229"/>
        </w:trPr>
        <w:tc>
          <w:tcPr>
            <w:tcW w:w="5220" w:type="dxa"/>
            <w:vAlign w:val="bottom"/>
            <w:shd w:val="clear" w:color="auto" w:fill="E5FFFF"/>
          </w:tcPr>
          <w:p>
            <w:pPr>
              <w:spacing w:after="0" w:line="228" w:lineRule="exact"/>
              <w:rPr>
                <w:sz w:val="20"/>
                <w:szCs w:val="20"/>
                <w:color w:val="auto"/>
              </w:rPr>
            </w:pPr>
            <w:r>
              <w:rPr>
                <w:rFonts w:ascii="Arial" w:cs="Arial" w:eastAsia="Arial" w:hAnsi="Arial"/>
                <w:sz w:val="16"/>
                <w:szCs w:val="16"/>
                <w:color w:val="auto"/>
              </w:rPr>
              <w:t xml:space="preserve">Available days </w:t>
            </w:r>
            <w:r>
              <w:rPr>
                <w:rFonts w:ascii="Arial" w:cs="Arial" w:eastAsia="Arial" w:hAnsi="Arial"/>
                <w:sz w:val="26"/>
                <w:szCs w:val="26"/>
                <w:color w:val="auto"/>
                <w:vertAlign w:val="superscript"/>
              </w:rPr>
              <w:t>(*)</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453</w:t>
            </w:r>
          </w:p>
        </w:tc>
        <w:tc>
          <w:tcPr>
            <w:tcW w:w="220" w:type="dxa"/>
            <w:vAlign w:val="bottom"/>
            <w:shd w:val="clear" w:color="auto" w:fill="E5FFFF"/>
          </w:tcPr>
          <w:p>
            <w:pPr>
              <w:spacing w:after="0"/>
              <w:rPr>
                <w:sz w:val="19"/>
                <w:szCs w:val="19"/>
                <w:color w:val="auto"/>
              </w:rPr>
            </w:pPr>
          </w:p>
        </w:tc>
        <w:tc>
          <w:tcPr>
            <w:tcW w:w="11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887</w:t>
            </w:r>
          </w:p>
        </w:tc>
        <w:tc>
          <w:tcPr>
            <w:tcW w:w="220" w:type="dxa"/>
            <w:vAlign w:val="bottom"/>
            <w:shd w:val="clear" w:color="auto" w:fill="E5FFFF"/>
          </w:tcPr>
          <w:p>
            <w:pPr>
              <w:spacing w:after="0"/>
              <w:rPr>
                <w:sz w:val="19"/>
                <w:szCs w:val="19"/>
                <w:color w:val="auto"/>
              </w:rPr>
            </w:pPr>
          </w:p>
        </w:tc>
        <w:tc>
          <w:tcPr>
            <w:tcW w:w="136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698</w:t>
            </w:r>
          </w:p>
        </w:tc>
        <w:tc>
          <w:tcPr>
            <w:tcW w:w="12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638</w:t>
            </w:r>
          </w:p>
        </w:tc>
      </w:tr>
      <w:tr>
        <w:trPr>
          <w:trHeight w:val="243"/>
        </w:trPr>
        <w:tc>
          <w:tcPr>
            <w:tcW w:w="5220" w:type="dxa"/>
            <w:vAlign w:val="bottom"/>
          </w:tcPr>
          <w:p>
            <w:pPr>
              <w:spacing w:after="0" w:line="243" w:lineRule="exact"/>
              <w:rPr>
                <w:sz w:val="20"/>
                <w:szCs w:val="20"/>
                <w:color w:val="auto"/>
              </w:rPr>
            </w:pPr>
            <w:r>
              <w:rPr>
                <w:rFonts w:ascii="Arial" w:cs="Arial" w:eastAsia="Arial" w:hAnsi="Arial"/>
                <w:sz w:val="16"/>
                <w:szCs w:val="16"/>
                <w:color w:val="auto"/>
              </w:rPr>
              <w:t xml:space="preserve">Revenue operating days </w:t>
            </w:r>
            <w:r>
              <w:rPr>
                <w:rFonts w:ascii="Arial" w:cs="Arial" w:eastAsia="Arial" w:hAnsi="Arial"/>
                <w:sz w:val="26"/>
                <w:szCs w:val="26"/>
                <w:color w:val="auto"/>
                <w:vertAlign w:val="superscript"/>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386</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887</w:t>
            </w: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673</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638</w:t>
            </w:r>
          </w:p>
        </w:tc>
      </w:tr>
      <w:tr>
        <w:trPr>
          <w:trHeight w:val="203"/>
        </w:trPr>
        <w:tc>
          <w:tcPr>
            <w:tcW w:w="522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23,708</w:t>
            </w:r>
          </w:p>
        </w:tc>
        <w:tc>
          <w:tcPr>
            <w:tcW w:w="220" w:type="dxa"/>
            <w:vAlign w:val="bottom"/>
            <w:shd w:val="clear" w:color="auto" w:fill="E5FFFF"/>
          </w:tcPr>
          <w:p>
            <w:pPr>
              <w:spacing w:after="0"/>
              <w:rPr>
                <w:sz w:val="17"/>
                <w:szCs w:val="17"/>
                <w:color w:val="auto"/>
              </w:rPr>
            </w:pPr>
          </w:p>
        </w:tc>
        <w:tc>
          <w:tcPr>
            <w:tcW w:w="11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67,645</w:t>
            </w:r>
          </w:p>
        </w:tc>
        <w:tc>
          <w:tcPr>
            <w:tcW w:w="22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37,054</w:t>
            </w:r>
          </w:p>
        </w:tc>
        <w:tc>
          <w:tcPr>
            <w:tcW w:w="12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50,034</w:t>
            </w:r>
          </w:p>
        </w:tc>
      </w:tr>
      <w:tr>
        <w:trPr>
          <w:trHeight w:val="206"/>
        </w:trPr>
        <w:tc>
          <w:tcPr>
            <w:tcW w:w="522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(2,389)</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(1,499)</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(1,248)</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(831)</w:t>
            </w:r>
          </w:p>
        </w:tc>
      </w:tr>
    </w:tbl>
    <w:p>
      <w:pPr>
        <w:spacing w:after="0" w:line="200" w:lineRule="exact"/>
        <w:rPr>
          <w:sz w:val="20"/>
          <w:szCs w:val="20"/>
          <w:color w:val="auto"/>
        </w:rPr>
      </w:pPr>
    </w:p>
    <w:p>
      <w:pPr>
        <w:sectPr>
          <w:pgSz w:w="11900" w:h="16838" w:orient="portrait"/>
          <w:cols w:equalWidth="0" w:num="1">
            <w:col w:w="11240"/>
          </w:cols>
          <w:pgMar w:left="320" w:top="112" w:right="3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 w:name="page5"/>
    <w:bookmarkEnd w:id="4"/>
    <w:p>
      <w:pPr>
        <w:ind w:right="120" w:firstLine="8"/>
        <w:spacing w:after="0" w:line="213" w:lineRule="auto"/>
        <w:tabs>
          <w:tab w:leader="none" w:pos="189" w:val="left"/>
        </w:tabs>
        <w:numPr>
          <w:ilvl w:val="0"/>
          <w:numId w:val="2"/>
        </w:numPr>
        <w:rPr>
          <w:rFonts w:ascii="Arial" w:cs="Arial" w:eastAsia="Arial" w:hAnsi="Arial"/>
          <w:sz w:val="25"/>
          <w:szCs w:val="25"/>
          <w:color w:val="auto"/>
          <w:vertAlign w:val="superscript"/>
        </w:rPr>
      </w:pPr>
      <w:r>
        <w:rPr>
          <w:rFonts w:ascii="Arial" w:cs="Arial" w:eastAsia="Arial" w:hAnsi="Arial"/>
          <w:sz w:val="15"/>
          <w:szCs w:val="15"/>
          <w:color w:val="auto"/>
        </w:rPr>
        <w:t>Available days represent total calendar days in the period after deducting off-hire days where vessels are undergoing dry-dockings and unavailable days (i.e. days before and after a dry-docking where the vessel has limited practical ability for chartering opportunities).</w:t>
      </w:r>
    </w:p>
    <w:p>
      <w:pPr>
        <w:spacing w:after="0"/>
        <w:rPr>
          <w:rFonts w:ascii="Arial" w:cs="Arial" w:eastAsia="Arial" w:hAnsi="Arial"/>
          <w:sz w:val="25"/>
          <w:szCs w:val="25"/>
          <w:color w:val="auto"/>
          <w:vertAlign w:val="superscript"/>
        </w:rPr>
      </w:pPr>
      <w:r>
        <w:rPr>
          <w:rFonts w:ascii="Arial" w:cs="Arial" w:eastAsia="Arial" w:hAnsi="Arial"/>
          <w:sz w:val="26"/>
          <w:szCs w:val="26"/>
          <w:color w:val="auto"/>
          <w:vertAlign w:val="superscript"/>
        </w:rPr>
        <w:t>(**)</w:t>
      </w:r>
      <w:r>
        <w:rPr>
          <w:rFonts w:ascii="Arial" w:cs="Arial" w:eastAsia="Arial" w:hAnsi="Arial"/>
          <w:sz w:val="16"/>
          <w:szCs w:val="16"/>
          <w:color w:val="auto"/>
        </w:rPr>
        <w:t xml:space="preserve"> Revenue operating days represent total available days after deducting off-charter days and unscheduled off-hire days.</w:t>
      </w:r>
    </w:p>
    <w:p>
      <w:pPr>
        <w:spacing w:after="0" w:line="156"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 xml:space="preserve">Revenues decreased by $4.3 million, from $91.4 million for the quarter ended March 31, 2020, to $87.1 million for the same period in 2021. The decrease in revenues is mainly attributable to the expirations of the initial multi-year time charters of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with a subsidiary of Royal Dutch Shell (“Shell”) in 2020, at rates higher than their current contracted rates, partially offset by increased revenues from the operation of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in the spot market after the expiration of its initial multi-year charter with Shell in January 2021, and a net increase in revenues due to decreased off-hire days for scheduled dry-dockings.</w:t>
      </w:r>
    </w:p>
    <w:p>
      <w:pPr>
        <w:spacing w:after="0" w:line="190"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 xml:space="preserve">Vessel operating costs decreased by $1.3 million, from $19.1 million for the quarter ended March 31, 2020, to $17.8 million for the same period in 2021. The decrease in vessel operating costs is mainly attributable to increased technical maintenance expenses incurred in the first three months of 2020 in connection with the dry-docking of the </w:t>
      </w:r>
      <w:r>
        <w:rPr>
          <w:rFonts w:ascii="Arial" w:cs="Arial" w:eastAsia="Arial" w:hAnsi="Arial"/>
          <w:sz w:val="16"/>
          <w:szCs w:val="16"/>
          <w:i w:val="1"/>
          <w:iCs w:val="1"/>
          <w:color w:val="auto"/>
        </w:rPr>
        <w:t xml:space="preserve">Methane Shirley Elisabeth </w:t>
      </w:r>
      <w:r>
        <w:rPr>
          <w:rFonts w:ascii="Arial" w:cs="Arial" w:eastAsia="Arial" w:hAnsi="Arial"/>
          <w:sz w:val="16"/>
          <w:szCs w:val="16"/>
          <w:color w:val="auto"/>
        </w:rPr>
        <w:t>completed in the same period. As a result, daily operating costs per vessel (after excluding calendar days for the</w:t>
      </w:r>
      <w:r>
        <w:rPr>
          <w:rFonts w:ascii="Arial" w:cs="Arial" w:eastAsia="Arial" w:hAnsi="Arial"/>
          <w:sz w:val="16"/>
          <w:szCs w:val="16"/>
          <w:i w:val="1"/>
          <w:iCs w:val="1"/>
          <w:color w:val="auto"/>
        </w:rPr>
        <w:t xml:space="preserve"> Solaris</w:t>
      </w:r>
      <w:r>
        <w:rPr>
          <w:rFonts w:ascii="Arial" w:cs="Arial" w:eastAsia="Arial" w:hAnsi="Arial"/>
          <w:sz w:val="16"/>
          <w:szCs w:val="16"/>
          <w:color w:val="auto"/>
        </w:rPr>
        <w:t>, the operating costs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are covered by the charterers) decreased from $14,987 per day for the three-month period ended March 31, 2020 to $14,132 per day for the three-month period ended March 31, 2021.</w:t>
      </w:r>
    </w:p>
    <w:p>
      <w:pPr>
        <w:spacing w:after="0" w:line="190"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 xml:space="preserve">Voyage expenses and commissions decreased by $1.8 million, from $3.9 million for the quarter ended March 31, 2020, to $2.1 million for the quarter ended March 31, 2021. The decrease in voyage expenses and commissions is mainly attributable to a decrease in bunker consumption costs due to the increased utilization of the </w:t>
      </w:r>
      <w:r>
        <w:rPr>
          <w:rFonts w:ascii="Arial" w:cs="Arial" w:eastAsia="Arial" w:hAnsi="Arial"/>
          <w:sz w:val="16"/>
          <w:szCs w:val="16"/>
          <w:i w:val="1"/>
          <w:iCs w:val="1"/>
          <w:color w:val="auto"/>
        </w:rPr>
        <w:t>Methane Alison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Victoria </w:t>
      </w:r>
      <w:r>
        <w:rPr>
          <w:rFonts w:ascii="Arial" w:cs="Arial" w:eastAsia="Arial" w:hAnsi="Arial"/>
          <w:sz w:val="16"/>
          <w:szCs w:val="16"/>
          <w:color w:val="auto"/>
        </w:rPr>
        <w:t>in the first three months of 2021, as compared to the same period in 2020.</w:t>
      </w:r>
    </w:p>
    <w:p>
      <w:pPr>
        <w:spacing w:after="0" w:line="184"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General and administrative expenses decreased by $1.1 million, from $4.2 million for the three-month period ended March 31, 2020, to $3.1 million for the same period in 2021. The decrease in general and administrative expenses is mainly attributable to a decrease of $0.8 million in administrative services fees, in connection with the decrease of the annual fee payable to GasLog in 2021 by approximately $0.2 million per vessel per year. As a result, daily general and administrative expenses decreased from $3,056 per vessel ownership day for the quarter ended March 31, 2020, to $2,275 per vessel ownership day for the quarter ended March 31, 2021.</w:t>
      </w:r>
    </w:p>
    <w:p>
      <w:pPr>
        <w:spacing w:after="0" w:line="172"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The decrease in Adjusted EBITDA of $0.1 million, from $64.2 million in the first quarter of 2020 as compared to $64.1 million in the same period in 2021, is attributable to the decrease in revenues of $4.3 million, as described above, which was almost entirely offset by an aggregate increase of $4.2 million from savings in operating, voyage and general and administrative expenses.</w:t>
      </w:r>
    </w:p>
    <w:p>
      <w:pPr>
        <w:spacing w:after="0" w:line="184"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Financial costs decreased by $6.1 million, from $15.5 million for the quarter ended March 31, 2020, to $9.4 million for the same period in 2021. The decrease in financial costs is attributable to a decrease of $5.6 million in interest expense on loans, primarily due to the lower London Interbank Offered Rate (“LIBOR”) rates in the first three months of 2021 as compared to the same period in 2020. During the three-month period ended March 31, 2020, we had an average of $1,352.2 million of outstanding indebtedness with a weighted average interest rate of 3.9%, compared to an average of $1,287.8 million of outstanding indebtedness with a weighted average interest rate of 2.4% during the three-month period ended March 31, 2021.</w:t>
      </w:r>
    </w:p>
    <w:p>
      <w:pPr>
        <w:spacing w:after="0" w:line="190"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Loss on derivatives decreased by $15.4 million, from a loss of $14.1 million for the quarter ended March 31, 2020, to a gain of $1.3 million for the same period in 2021. The decrease is attributable to a $17.3 million decrease in unrealized loss from the mark-to-market valuation of derivatives held for trading (in 2021, interest rate swaps only) which were carried at fair value through profit or loss, partially offset by a net increase of $1.9 million in realized loss on derivatives held for trading.</w:t>
      </w:r>
    </w:p>
    <w:p>
      <w:pPr>
        <w:spacing w:after="0" w:line="166"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The increase in profit of $21.2 million from $14.2 million in the first quarter of 2020 to $35.4 million in the first quarter of 2021 is mainly attributable to the decrease of $6.1 million in financial costs and the decrease of $15.4 million in loss/(gain) on derivatives analyzed above.</w:t>
      </w:r>
    </w:p>
    <w:p>
      <w:pPr>
        <w:spacing w:after="0" w:line="172" w:lineRule="exact"/>
        <w:rPr>
          <w:sz w:val="20"/>
          <w:szCs w:val="20"/>
          <w:color w:val="auto"/>
        </w:rPr>
      </w:pPr>
    </w:p>
    <w:p>
      <w:pPr>
        <w:ind w:right="200"/>
        <w:spacing w:after="0" w:line="369" w:lineRule="auto"/>
        <w:rPr>
          <w:sz w:val="20"/>
          <w:szCs w:val="20"/>
          <w:color w:val="auto"/>
        </w:rPr>
      </w:pPr>
      <w:r>
        <w:rPr>
          <w:rFonts w:ascii="Arial" w:cs="Arial" w:eastAsia="Arial" w:hAnsi="Arial"/>
          <w:sz w:val="14"/>
          <w:szCs w:val="14"/>
          <w:color w:val="auto"/>
        </w:rPr>
        <w:t>The increase in Adjusted Profit of $4.0 million, from $27.8 million in the first quarter of 2020 to $31.8 million in the first quarter of 2021, is mainly attributable to the decrease in interest expense on loans of $5.6 million, partially offset by a net increase in realized loss on derivatives held for trading of $1.9 million, also discussed above.</w:t>
      </w:r>
    </w:p>
    <w:p>
      <w:pPr>
        <w:spacing w:after="0" w:line="126" w:lineRule="exact"/>
        <w:rPr>
          <w:sz w:val="20"/>
          <w:szCs w:val="20"/>
          <w:color w:val="auto"/>
        </w:rPr>
      </w:pPr>
    </w:p>
    <w:p>
      <w:pPr>
        <w:ind w:right="460"/>
        <w:spacing w:after="0" w:line="293" w:lineRule="auto"/>
        <w:rPr>
          <w:sz w:val="20"/>
          <w:szCs w:val="20"/>
          <w:color w:val="auto"/>
        </w:rPr>
      </w:pPr>
      <w:r>
        <w:rPr>
          <w:rFonts w:ascii="Arial" w:cs="Arial" w:eastAsia="Arial" w:hAnsi="Arial"/>
          <w:sz w:val="16"/>
          <w:szCs w:val="16"/>
          <w:color w:val="auto"/>
        </w:rPr>
        <w:t>As of March 31, 2021, we had $95.1 million of cash and cash equivalents, out of which $43.2 million was held in current accounts and $51.9 million was held in time deposits with an original duration of less than three months.</w:t>
      </w:r>
    </w:p>
    <w:p>
      <w:pPr>
        <w:spacing w:after="0" w:line="172" w:lineRule="exact"/>
        <w:rPr>
          <w:sz w:val="20"/>
          <w:szCs w:val="20"/>
          <w:color w:val="auto"/>
        </w:rPr>
      </w:pPr>
    </w:p>
    <w:p>
      <w:pPr>
        <w:ind w:right="340"/>
        <w:spacing w:after="0" w:line="328" w:lineRule="auto"/>
        <w:rPr>
          <w:sz w:val="20"/>
          <w:szCs w:val="20"/>
          <w:color w:val="auto"/>
        </w:rPr>
      </w:pPr>
      <w:r>
        <w:rPr>
          <w:rFonts w:ascii="Arial" w:cs="Arial" w:eastAsia="Arial" w:hAnsi="Arial"/>
          <w:sz w:val="15"/>
          <w:szCs w:val="15"/>
          <w:color w:val="auto"/>
        </w:rPr>
        <w:t>As of March 31, 2021, we had an aggregate of $1,250.8 million of borrowings outstanding under our credit facilities, of which $105.0 million was repayable within one year. In addition, as of March 31, 2021, we had unused availability under our revolving credit facility with GasLog of $30.0 million, which matures in March 2022.</w:t>
      </w:r>
    </w:p>
    <w:p>
      <w:pPr>
        <w:spacing w:after="0" w:line="150"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auto"/>
        </w:rPr>
        <w:t>As of March 31, 2021, our current assets totaled $118.2 million and current liabilities totaled $170.2 million, resulting in a negative working capital position of $52.0 million. Current liabilities include $19.8 million of unearned revenue in relation to hires received in advance (which represents a non-cash liability that will be recognized as revenues after March 31, 2021 as the services are rendered). Management monitors the Partnership’s liquidity position throughout the year to ensure that it has access to sufficient funds to meet its forecast cash requirements, including debt service commitments, and to monitor compliance with the financial covenants within its loan facilities. Considering the volatile commercial and financial market conditions experienced over the last twelve months, we anticipate that our primary sources of funds for at least twelve months from the date of this report will be available cash, cash from operations and existing debt facilities. We believe that these anticipated sources of funds, as well as our decision in 2020 to decrease the common unit distributions and preserve liquidity, will be sufficient to meet our liquidity needs and to comply with our banking covenants for at least twelve months from the date of this report. Our long-term ability to repay our debts and maintain compliance with our debt covenants for at least twelve months from the date of this report without reliance on additional sources of finance is also dependent on a sustainable longer-term recovery in the LNG charter market from the market disruption observed in 2020 as a result of the COVID-19 outbreak.</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bookmarkStart w:id="5" w:name="page6"/>
    <w:bookmarkEnd w:id="5"/>
    <w:p>
      <w:pPr>
        <w:ind w:left="340" w:right="400" w:hanging="332"/>
        <w:spacing w:after="0" w:line="238"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Adjusted Profit, Adjusted EBITDA and Adjusted EPU are non-GAAP financial measures and should not be used in isolation or as substitutes for GasLog Partners’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Preference Unit Distributions</w:t>
      </w:r>
    </w:p>
    <w:p>
      <w:pPr>
        <w:spacing w:after="0" w:line="239"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On February 19, 2021, the board of directors of GasLog Partners approved and declared a distribution on the 8.625% Series A Cumulative Redeemable Perpetual Fixed to Floating Rate Preference Units (the “Series A Preference Units”) of $0.5390625 per preference unit, a distribution on the 8.200% Series B Cumulative Redeemable Perpetual Fixed to Floating Rate Preference Units (the “Series B Preference Units”) of $0.5125 per preference unit and a distribution on the 8.500% Series C Cumulative Redeemable Perpetual Fixed to Floating Rate Preference Units (the “Series C Preference Units”) of $0.53125 per preference unit. The cash distributions were paid on March 15, 2021 to all unitholders of record as of March 8, 2021.</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Common Unit Distribution</w:t>
      </w:r>
    </w:p>
    <w:p>
      <w:pPr>
        <w:spacing w:after="0" w:line="23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April 28, 2021, the board of directors of GasLog Partners approved and declared a quarterly cash distribution of $0.01 per common unit for the quarter ended March 31, 2021. The cash distribution is payable on May 13, 2021 to all unitholders of record as of May 10, 2021.</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LNG Market Update and Outlook</w:t>
      </w:r>
    </w:p>
    <w:p>
      <w:pPr>
        <w:spacing w:after="0" w:line="239" w:lineRule="exact"/>
        <w:rPr>
          <w:sz w:val="20"/>
          <w:szCs w:val="20"/>
          <w:color w:val="auto"/>
        </w:rPr>
      </w:pPr>
    </w:p>
    <w:p>
      <w:pPr>
        <w:ind w:right="100"/>
        <w:spacing w:after="0" w:line="324" w:lineRule="auto"/>
        <w:rPr>
          <w:sz w:val="20"/>
          <w:szCs w:val="20"/>
          <w:color w:val="auto"/>
        </w:rPr>
      </w:pPr>
      <w:r>
        <w:rPr>
          <w:rFonts w:ascii="Arial" w:cs="Arial" w:eastAsia="Arial" w:hAnsi="Arial"/>
          <w:sz w:val="14"/>
          <w:szCs w:val="14"/>
          <w:color w:val="auto"/>
        </w:rPr>
        <w:t>Poten estimates LNG demand of 99 million tonnes (“mt”) in the first quarter of 2021 compared to 98 mt in the first quarter of 2020, an increase of approximately 1%. Demand growth varied considerably between the major consuming regions of Europe and Asia. For example, demand from China, Japan and South Korea grew by approximately 5 mt, 2 mt and 1 mt (or 34%, 9% and 8%) year-over-year, respectively, primarily due to a cold winter. In contrast, European demand declined by 28% (or approximately 6 mt) as the region entered the winter with higher-than-average storage levels of natural gas and ended the winter with stocks well below the 5-year average.</w:t>
      </w:r>
    </w:p>
    <w:p>
      <w:pPr>
        <w:spacing w:after="0" w:line="157" w:lineRule="exact"/>
        <w:rPr>
          <w:sz w:val="20"/>
          <w:szCs w:val="20"/>
          <w:color w:val="auto"/>
        </w:rPr>
      </w:pPr>
    </w:p>
    <w:p>
      <w:pPr>
        <w:ind w:right="160"/>
        <w:spacing w:after="0" w:line="293" w:lineRule="auto"/>
        <w:rPr>
          <w:sz w:val="20"/>
          <w:szCs w:val="20"/>
          <w:color w:val="auto"/>
        </w:rPr>
      </w:pPr>
      <w:r>
        <w:rPr>
          <w:rFonts w:ascii="Arial" w:cs="Arial" w:eastAsia="Arial" w:hAnsi="Arial"/>
          <w:sz w:val="15"/>
          <w:szCs w:val="15"/>
          <w:color w:val="auto"/>
        </w:rPr>
        <w:t>According to Poten, global LNG supply was approximately 100 mt in the first quarter of 2021, approximately in line with the first quarter of 2020; however, there were regional differences in output between the two periods. Supply from the United States (“U.S.”) increased by approximately 3 mt or 20%, following the start-up of the third trains at Cameron and Freeport as well as Elba Island during 2020. Supply from the Middle East also grew by approximately 2 mt, primarily due to a ramp-up in exports from Egypt. This growth was offset by declines from Trinidad, Australia and Norway where Hammerfest LNG remains offline following a fire. Looking ahead, approximately 133 mt of new LNG capacity is currently under construction and scheduled to come online between 2021 and 2026.</w:t>
      </w:r>
    </w:p>
    <w:p>
      <w:pPr>
        <w:spacing w:after="0" w:line="176"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In the LNG shipping spot market, Clarksons’ tri-fuel diesel electric (“TFDE”) headline rates averaged $79,000 per day in the first quarter of 2021, a 44% increase over the $55,000 per day average in the first quarter of 2020. Headline spot rates for Steam vessels averaged $60,000 per day in the first quarter of 2021, 50% higher than the average of $40,000 per day in the first quarter of 2020. Headline spot rates in the first quarter were bolstered by a combination of demand growth from Asia and supply growth in the U.S. as detailed above as well as delays at the Panama Canal.</w:t>
      </w:r>
    </w:p>
    <w:p>
      <w:pPr>
        <w:spacing w:after="0" w:line="189"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As of April 30, 2021, Clarksons assesses headline spot rates for TFDE and Steam LNG carriers at $69,000 per day and $57,000 per day, respectively. In addition, forward assessments for LNG carrier spot rates indicate rising levels through the remainder of the year. However, the magnitude and pace of any sustained upward movement in spot rates will depend on the pace of any recovery in global economic activity following the COVID-19 outbreak as well as the forecasted growth of the global LNG carrier fleet. Together, these factors have the potential to create volatility in the spot and short-term markets over the near- and medium-term.</w:t>
      </w:r>
    </w:p>
    <w:p>
      <w:pPr>
        <w:spacing w:after="0" w:line="172" w:lineRule="exact"/>
        <w:rPr>
          <w:sz w:val="20"/>
          <w:szCs w:val="20"/>
          <w:color w:val="auto"/>
        </w:rPr>
      </w:pPr>
    </w:p>
    <w:p>
      <w:pPr>
        <w:ind w:right="60"/>
        <w:spacing w:after="0" w:line="328" w:lineRule="auto"/>
        <w:rPr>
          <w:sz w:val="20"/>
          <w:szCs w:val="20"/>
          <w:color w:val="auto"/>
        </w:rPr>
      </w:pPr>
      <w:r>
        <w:rPr>
          <w:rFonts w:ascii="Arial" w:cs="Arial" w:eastAsia="Arial" w:hAnsi="Arial"/>
          <w:sz w:val="15"/>
          <w:szCs w:val="15"/>
          <w:color w:val="auto"/>
        </w:rPr>
        <w:t>As of May 5, 2021, Poten estimates that the orderbook totals 104 dedicated LNG carriers (&gt;100,000 cubic meters, or “cbm”), representing 18% of the on-the-water fleet. Of these, 90 vessels (or 87%) have multi-year charters. Only 4 LNG carriers have been ordered in 2021 as of May 5, 2021 compared with 34 for all of 2020.</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239" w:lineRule="exact"/>
        <w:rPr>
          <w:sz w:val="20"/>
          <w:szCs w:val="20"/>
          <w:color w:val="auto"/>
        </w:rPr>
      </w:pPr>
    </w:p>
    <w:p>
      <w:pPr>
        <w:ind w:right="400"/>
        <w:spacing w:after="0" w:line="369" w:lineRule="auto"/>
        <w:rPr>
          <w:sz w:val="20"/>
          <w:szCs w:val="20"/>
          <w:color w:val="auto"/>
        </w:rPr>
      </w:pPr>
      <w:r>
        <w:rPr>
          <w:rFonts w:ascii="Arial" w:cs="Arial" w:eastAsia="Arial" w:hAnsi="Arial"/>
          <w:sz w:val="14"/>
          <w:szCs w:val="14"/>
          <w:color w:val="auto"/>
        </w:rPr>
        <w:t>GasLog Partners will host a conference call to discuss its results for the first quarter of 2021 at 8.30 a.m. EDT (3.30 p.m. EEST) on Thursday, May 6, 2021. The Partnership’s senior management will review the operational and financial performance for the period. Management’s presentation will be followed by a Q&amp;A session.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dial-in numbers for the conference call are as follows: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+1 888 771 4371 (USA)</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+44 20 3147 4818 (United Kingdom)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+33 1 72 25 34 66 (France)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+852 800 933 544 (Hong Kong)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+47 800 15463 (Oslo)</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Conference ID: 50150595</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A live webcast of the conference call will be available on the Investor Relations page of the GasLog Partners website (http://www.gaslogmlp.com/investors).</w:t>
      </w:r>
    </w:p>
    <w:p>
      <w:pPr>
        <w:spacing w:after="0" w:line="235" w:lineRule="exact"/>
        <w:rPr>
          <w:sz w:val="20"/>
          <w:szCs w:val="20"/>
          <w:color w:val="auto"/>
        </w:rPr>
      </w:pPr>
    </w:p>
    <w:p>
      <w:pPr>
        <w:ind w:right="1060"/>
        <w:spacing w:after="0" w:line="293" w:lineRule="auto"/>
        <w:rPr>
          <w:sz w:val="20"/>
          <w:szCs w:val="20"/>
          <w:color w:val="auto"/>
        </w:rPr>
      </w:pPr>
      <w:r>
        <w:rPr>
          <w:rFonts w:ascii="Arial" w:cs="Arial" w:eastAsia="Arial" w:hAnsi="Arial"/>
          <w:sz w:val="16"/>
          <w:szCs w:val="16"/>
          <w:color w:val="auto"/>
        </w:rPr>
        <w:t>For those unable to participate in the conference call, a replay of the webcast will be available on the Investor Relations page of the GasLog Partners website (http://www.gaslogmlp.com/investors).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GasLog Partners</w:t>
      </w:r>
    </w:p>
    <w:p>
      <w:pPr>
        <w:spacing w:after="0" w:line="239"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GasLog Partners is a growth-oriented owner, operator and acquirer of LNG carriers. The Partnership’s fleet consists of 15 LNG carriers with an average carrying capacity of approximately 158,000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The Partnership’s principal executive offices are located at 69 Akti Miaouli, 18537, Piraeus, Greece. Visit GasLog Partners’ website at http://www.gaslogmlp.com.</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39" w:lineRule="exact"/>
        <w:rPr>
          <w:sz w:val="20"/>
          <w:szCs w:val="20"/>
          <w:color w:val="auto"/>
        </w:rPr>
      </w:pPr>
    </w:p>
    <w:p>
      <w:pPr>
        <w:ind w:right="20"/>
        <w:spacing w:after="0" w:line="313" w:lineRule="auto"/>
        <w:rPr>
          <w:sz w:val="20"/>
          <w:szCs w:val="20"/>
          <w:color w:val="auto"/>
        </w:rPr>
      </w:pPr>
      <w:r>
        <w:rPr>
          <w:rFonts w:ascii="Arial" w:cs="Arial" w:eastAsia="Arial" w:hAnsi="Arial"/>
          <w:sz w:val="14"/>
          <w:szCs w:val="14"/>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distributions, and the impact of changes to cash distributions on the Partnership’s business and growth prospects, plans, strategies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35" w:lineRule="exact"/>
        <w:rPr>
          <w:sz w:val="20"/>
          <w:szCs w:val="20"/>
          <w:color w:val="auto"/>
        </w:rPr>
      </w:pPr>
    </w:p>
    <w:p>
      <w:pPr>
        <w:ind w:left="660" w:right="320" w:hanging="328"/>
        <w:spacing w:after="0" w:line="284" w:lineRule="auto"/>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charter hire rates, vessel utilization and vessel values;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secure new multi-year charters at economically attractive rates;</w:t>
      </w:r>
    </w:p>
    <w:p>
      <w:pPr>
        <w:spacing w:after="0" w:line="18" w:lineRule="exact"/>
        <w:rPr>
          <w:rFonts w:ascii="Arial" w:cs="Arial" w:eastAsia="Arial" w:hAnsi="Arial"/>
          <w:sz w:val="16"/>
          <w:szCs w:val="16"/>
          <w:color w:val="auto"/>
        </w:rPr>
      </w:pPr>
    </w:p>
    <w:p>
      <w:pPr>
        <w:jc w:val="both"/>
        <w:ind w:left="660" w:right="180" w:hanging="328"/>
        <w:spacing w:after="0" w:line="26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planned capital expenditures and availability of capital resources to fund capital expenditures;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disruption to the LNG, LNG shipping and financial markets caused by the global shutdown as a result of the COVID-19 pandemic;</w:t>
      </w:r>
    </w:p>
    <w:p>
      <w:pPr>
        <w:spacing w:after="0" w:line="18" w:lineRule="exact"/>
        <w:rPr>
          <w:rFonts w:ascii="Arial" w:cs="Arial" w:eastAsia="Arial" w:hAnsi="Arial"/>
          <w:sz w:val="16"/>
          <w:szCs w:val="16"/>
          <w:color w:val="auto"/>
        </w:rPr>
      </w:pPr>
    </w:p>
    <w:p>
      <w:pPr>
        <w:ind w:left="660" w:right="40" w:hanging="328"/>
        <w:spacing w:after="0" w:line="26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business disruptions resulting from measures taken to reduce the spread of COVID-19, including possible delays due to the quarantine of vessels and crew, as well as government-imposed shutdowns;</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prices for crude oil, petroleum products and natural gas, including LNG;</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exchange rates, especially the U.S. dollar and the Euro;</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expand our portfolio by acquiring vessels through our drop-down pipeline with GasLog or by acquiring other assets from third parties;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leverage GasLog’s relationships and reputation in the shipping industry;</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ability of GasLog to maintain long-term relationships with major energy companies and major LNG producers, marketers and consumers;</w:t>
      </w:r>
    </w:p>
    <w:p>
      <w:pPr>
        <w:spacing w:after="0" w:line="18" w:lineRule="exact"/>
        <w:rPr>
          <w:rFonts w:ascii="Arial" w:cs="Arial" w:eastAsia="Arial" w:hAnsi="Arial"/>
          <w:sz w:val="16"/>
          <w:szCs w:val="16"/>
          <w:color w:val="auto"/>
        </w:rPr>
      </w:pPr>
    </w:p>
    <w:p>
      <w:pPr>
        <w:ind w:left="660" w:right="160" w:hanging="328"/>
        <w:spacing w:after="0" w:line="26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GasLog’s relationships with its employees and ship crews, its ability to retain key employees and provide services to us, and the availability of skilled labor, ship crews and management;</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the ownership of our charterers;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customers’ performance of their obligations under our time charters and other contracts;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future operating performance, financial condition, liquidity and cash available for distributions;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distribution policy and our ability to make cash distributions on our units or the impact of cash distribution reductions on our financial position;</w:t>
      </w:r>
    </w:p>
    <w:p>
      <w:pPr>
        <w:spacing w:after="0" w:line="18" w:lineRule="exact"/>
        <w:rPr>
          <w:rFonts w:ascii="Arial" w:cs="Arial" w:eastAsia="Arial" w:hAnsi="Arial"/>
          <w:sz w:val="16"/>
          <w:szCs w:val="16"/>
          <w:color w:val="auto"/>
        </w:rPr>
      </w:pPr>
    </w:p>
    <w:p>
      <w:pPr>
        <w:ind w:left="660" w:right="220" w:hanging="328"/>
        <w:spacing w:after="0" w:line="26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obtain debt and equity financing on acceptable terms to fund capital expenditures, acquisitions and other corporate activities, funding by banks of their financial commitments, funding by GasLog of the revolving credit facility and our ability to meet our restrictive covenants and other obligations under our credit facilities;</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inherent in ship operation, including the discharge of pollutants;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on us and the shipping industry of environmental concerns, including climate change;</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7" w:name="page8"/>
    <w:bookmarkEnd w:id="7"/>
    <w:p>
      <w:pPr>
        <w:ind w:left="660" w:right="480" w:hanging="328"/>
        <w:spacing w:after="0" w:line="265"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requirements,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disruption of shipping routes due to accidents, diseases, pandemics, political events, piracy or acts by terrorists;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liability from future litigation; and</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other risks and uncertainties described in the Partnership’s Annual Report on Form 20-F filed with the SEC on March 2, 2021, available at http://www.sec.gov.</w:t>
      </w:r>
    </w:p>
    <w:p>
      <w:pPr>
        <w:spacing w:after="0" w:line="24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9" w:lineRule="exact"/>
        <w:rPr>
          <w:sz w:val="20"/>
          <w:szCs w:val="20"/>
          <w:color w:val="auto"/>
        </w:rPr>
      </w:pPr>
    </w:p>
    <w:p>
      <w:pPr>
        <w:ind w:right="120"/>
        <w:spacing w:after="0" w:line="369" w:lineRule="auto"/>
        <w:rPr>
          <w:sz w:val="20"/>
          <w:szCs w:val="20"/>
          <w:color w:val="auto"/>
        </w:rPr>
      </w:pPr>
      <w:r>
        <w:rPr>
          <w:rFonts w:ascii="Arial" w:cs="Arial" w:eastAsia="Arial" w:hAnsi="Arial"/>
          <w:sz w:val="14"/>
          <w:szCs w:val="14"/>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Joseph Nelson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+1-212-223-0643</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E-mail: ir@gaslogmlp.com</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20"/>
                <w:szCs w:val="20"/>
                <w:color w:val="auto"/>
              </w:rPr>
            </w:pPr>
            <w:r>
              <w:rPr>
                <w:rFonts w:ascii="Arial" w:cs="Arial" w:eastAsia="Arial" w:hAnsi="Arial"/>
                <w:sz w:val="16"/>
                <w:szCs w:val="16"/>
                <w:b w:val="1"/>
                <w:bCs w:val="1"/>
                <w:color w:val="auto"/>
              </w:rPr>
              <w:t>EXHIBIT I – Unaudited Interim Financial Information</w:t>
            </w: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11"/>
        </w:trPr>
        <w:tc>
          <w:tcPr>
            <w:tcW w:w="778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b w:val="1"/>
                <w:bCs w:val="1"/>
                <w:color w:val="auto"/>
              </w:rPr>
              <w:t>As of December 31, 2020 and March 31, 2021</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0"/>
        </w:trPr>
        <w:tc>
          <w:tcPr>
            <w:tcW w:w="778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11"/>
        </w:trPr>
        <w:tc>
          <w:tcPr>
            <w:tcW w:w="7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December 31,</w:t>
            </w:r>
          </w:p>
        </w:tc>
        <w:tc>
          <w:tcPr>
            <w:tcW w:w="1340" w:type="dxa"/>
            <w:vAlign w:val="bottom"/>
          </w:tcPr>
          <w:p>
            <w:pPr>
              <w:jc w:val="right"/>
              <w:ind w:right="239"/>
              <w:spacing w:after="0"/>
              <w:rPr>
                <w:sz w:val="20"/>
                <w:szCs w:val="20"/>
                <w:color w:val="auto"/>
              </w:rPr>
            </w:pPr>
            <w:r>
              <w:rPr>
                <w:rFonts w:ascii="Arial" w:cs="Arial" w:eastAsia="Arial" w:hAnsi="Arial"/>
                <w:sz w:val="16"/>
                <w:szCs w:val="16"/>
                <w:b w:val="1"/>
                <w:bCs w:val="1"/>
                <w:color w:val="auto"/>
              </w:rPr>
              <w:t>March 31,</w:t>
            </w:r>
          </w:p>
        </w:tc>
      </w:tr>
      <w:tr>
        <w:trPr>
          <w:trHeight w:val="213"/>
        </w:trPr>
        <w:tc>
          <w:tcPr>
            <w:tcW w:w="7780" w:type="dxa"/>
            <w:vAlign w:val="bottom"/>
          </w:tcPr>
          <w:p>
            <w:pPr>
              <w:spacing w:after="0"/>
              <w:rPr>
                <w:sz w:val="18"/>
                <w:szCs w:val="18"/>
                <w:color w:val="auto"/>
              </w:rPr>
            </w:pPr>
          </w:p>
        </w:tc>
        <w:tc>
          <w:tcPr>
            <w:tcW w:w="190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13"/>
        </w:trPr>
        <w:tc>
          <w:tcPr>
            <w:tcW w:w="7780" w:type="dxa"/>
            <w:vAlign w:val="bottom"/>
            <w:tcBorders>
              <w:top w:val="single" w:sz="8" w:color="E9FFFF"/>
            </w:tcBorders>
            <w:shd w:val="clear" w:color="auto" w:fill="E9FFFF"/>
          </w:tcPr>
          <w:p>
            <w:pPr>
              <w:spacing w:after="0"/>
              <w:rPr>
                <w:sz w:val="20"/>
                <w:szCs w:val="20"/>
                <w:color w:val="auto"/>
              </w:rPr>
            </w:pPr>
            <w:r>
              <w:rPr>
                <w:rFonts w:ascii="Arial" w:cs="Arial" w:eastAsia="Arial" w:hAnsi="Arial"/>
                <w:sz w:val="16"/>
                <w:szCs w:val="16"/>
                <w:b w:val="1"/>
                <w:bCs w:val="1"/>
                <w:color w:val="auto"/>
              </w:rPr>
              <w:t>Assets</w:t>
            </w:r>
          </w:p>
        </w:tc>
        <w:tc>
          <w:tcPr>
            <w:tcW w:w="58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spacing w:after="0"/>
              <w:rPr>
                <w:sz w:val="18"/>
                <w:szCs w:val="18"/>
                <w:color w:val="auto"/>
              </w:rPr>
            </w:pPr>
          </w:p>
        </w:tc>
      </w:tr>
      <w:tr>
        <w:trPr>
          <w:trHeight w:val="213"/>
        </w:trPr>
        <w:tc>
          <w:tcPr>
            <w:tcW w:w="778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assets</w:t>
            </w: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273</w:t>
            </w:r>
          </w:p>
        </w:tc>
      </w:tr>
      <w:tr>
        <w:trPr>
          <w:trHeight w:val="213"/>
        </w:trPr>
        <w:tc>
          <w:tcPr>
            <w:tcW w:w="7780" w:type="dxa"/>
            <w:vAlign w:val="bottom"/>
          </w:tcPr>
          <w:p>
            <w:pPr>
              <w:spacing w:after="0"/>
              <w:rPr>
                <w:sz w:val="20"/>
                <w:szCs w:val="20"/>
                <w:color w:val="auto"/>
              </w:rPr>
            </w:pPr>
            <w:r>
              <w:rPr>
                <w:rFonts w:ascii="Arial" w:cs="Arial" w:eastAsia="Arial" w:hAnsi="Arial"/>
                <w:sz w:val="16"/>
                <w:szCs w:val="16"/>
                <w:color w:val="auto"/>
              </w:rPr>
              <w:t>Tangible fixed assets</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2,206,618</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2,188,109</w:t>
            </w:r>
          </w:p>
        </w:tc>
      </w:tr>
      <w:tr>
        <w:trPr>
          <w:trHeight w:val="219"/>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Right-of-use assets</w:t>
            </w: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516</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380</w:t>
            </w:r>
          </w:p>
        </w:tc>
      </w:tr>
      <w:tr>
        <w:trPr>
          <w:trHeight w:val="196"/>
        </w:trPr>
        <w:tc>
          <w:tcPr>
            <w:tcW w:w="77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non-current assets</w:t>
            </w:r>
          </w:p>
        </w:tc>
        <w:tc>
          <w:tcPr>
            <w:tcW w:w="58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2,207,320</w:t>
            </w:r>
          </w:p>
        </w:tc>
        <w:tc>
          <w:tcPr>
            <w:tcW w:w="12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2,188,762</w:t>
            </w:r>
          </w:p>
        </w:tc>
      </w:tr>
      <w:tr>
        <w:trPr>
          <w:trHeight w:val="209"/>
        </w:trPr>
        <w:tc>
          <w:tcPr>
            <w:tcW w:w="77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Current assets</w:t>
            </w:r>
          </w:p>
        </w:tc>
        <w:tc>
          <w:tcPr>
            <w:tcW w:w="580" w:type="dxa"/>
            <w:vAlign w:val="bottom"/>
            <w:shd w:val="clear" w:color="auto" w:fill="E5FFFF"/>
          </w:tcPr>
          <w:p>
            <w:pPr>
              <w:spacing w:after="0"/>
              <w:rPr>
                <w:sz w:val="18"/>
                <w:szCs w:val="18"/>
                <w:color w:val="auto"/>
              </w:rPr>
            </w:pPr>
          </w:p>
        </w:tc>
        <w:tc>
          <w:tcPr>
            <w:tcW w:w="1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r>
      <w:tr>
        <w:trPr>
          <w:trHeight w:val="213"/>
        </w:trPr>
        <w:tc>
          <w:tcPr>
            <w:tcW w:w="7780" w:type="dxa"/>
            <w:vAlign w:val="bottom"/>
          </w:tcPr>
          <w:p>
            <w:pPr>
              <w:spacing w:after="0"/>
              <w:rPr>
                <w:sz w:val="20"/>
                <w:szCs w:val="20"/>
                <w:color w:val="auto"/>
              </w:rPr>
            </w:pPr>
            <w:r>
              <w:rPr>
                <w:rFonts w:ascii="Arial" w:cs="Arial" w:eastAsia="Arial" w:hAnsi="Arial"/>
                <w:sz w:val="16"/>
                <w:szCs w:val="16"/>
                <w:color w:val="auto"/>
              </w:rPr>
              <w:t>Trade and other receivables</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16,265</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15,837</w:t>
            </w:r>
          </w:p>
        </w:tc>
      </w:tr>
      <w:tr>
        <w:trPr>
          <w:trHeight w:val="219"/>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Inventories</w:t>
            </w: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3,036</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4,246</w:t>
            </w:r>
          </w:p>
        </w:tc>
      </w:tr>
      <w:tr>
        <w:trPr>
          <w:trHeight w:val="213"/>
        </w:trPr>
        <w:tc>
          <w:tcPr>
            <w:tcW w:w="7780" w:type="dxa"/>
            <w:vAlign w:val="bottom"/>
          </w:tcPr>
          <w:p>
            <w:pPr>
              <w:spacing w:after="0"/>
              <w:rPr>
                <w:sz w:val="20"/>
                <w:szCs w:val="20"/>
                <w:color w:val="auto"/>
              </w:rPr>
            </w:pPr>
            <w:r>
              <w:rPr>
                <w:rFonts w:ascii="Arial" w:cs="Arial" w:eastAsia="Arial" w:hAnsi="Arial"/>
                <w:sz w:val="16"/>
                <w:szCs w:val="16"/>
                <w:color w:val="auto"/>
              </w:rPr>
              <w:t>Due from related parties</w:t>
            </w:r>
          </w:p>
        </w:tc>
        <w:tc>
          <w:tcPr>
            <w:tcW w:w="5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571</w:t>
            </w:r>
          </w:p>
        </w:tc>
      </w:tr>
      <w:tr>
        <w:trPr>
          <w:trHeight w:val="219"/>
        </w:trPr>
        <w:tc>
          <w:tcPr>
            <w:tcW w:w="7780" w:type="dxa"/>
            <w:vAlign w:val="bottom"/>
            <w:shd w:val="clear" w:color="auto" w:fill="E9FFFF"/>
          </w:tcPr>
          <w:p>
            <w:pPr>
              <w:spacing w:after="0"/>
              <w:rPr>
                <w:sz w:val="20"/>
                <w:szCs w:val="20"/>
                <w:color w:val="auto"/>
              </w:rPr>
            </w:pPr>
            <w:r>
              <w:rPr>
                <w:rFonts w:ascii="Arial" w:cs="Arial" w:eastAsia="Arial" w:hAnsi="Arial"/>
                <w:sz w:val="16"/>
                <w:szCs w:val="16"/>
                <w:color w:val="auto"/>
              </w:rPr>
              <w:t>Prepayments and other current assets</w:t>
            </w:r>
          </w:p>
        </w:tc>
        <w:tc>
          <w:tcPr>
            <w:tcW w:w="1900" w:type="dxa"/>
            <w:vAlign w:val="bottom"/>
            <w:gridSpan w:val="2"/>
            <w:shd w:val="clear" w:color="auto" w:fill="E9FFFF"/>
          </w:tcPr>
          <w:p>
            <w:pPr>
              <w:jc w:val="right"/>
              <w:spacing w:after="0"/>
              <w:rPr>
                <w:sz w:val="20"/>
                <w:szCs w:val="20"/>
                <w:color w:val="auto"/>
              </w:rPr>
            </w:pPr>
            <w:r>
              <w:rPr>
                <w:rFonts w:ascii="Arial" w:cs="Arial" w:eastAsia="Arial" w:hAnsi="Arial"/>
                <w:sz w:val="16"/>
                <w:szCs w:val="16"/>
                <w:color w:val="auto"/>
              </w:rPr>
              <w:t>2,691</w:t>
            </w:r>
          </w:p>
        </w:tc>
        <w:tc>
          <w:tcPr>
            <w:tcW w:w="120" w:type="dxa"/>
            <w:vAlign w:val="bottom"/>
            <w:shd w:val="clear" w:color="auto" w:fill="E9FFFF"/>
          </w:tcPr>
          <w:p>
            <w:pPr>
              <w:spacing w:after="0"/>
              <w:rPr>
                <w:sz w:val="19"/>
                <w:szCs w:val="19"/>
                <w:color w:val="auto"/>
              </w:rPr>
            </w:pPr>
          </w:p>
        </w:tc>
        <w:tc>
          <w:tcPr>
            <w:tcW w:w="1340" w:type="dxa"/>
            <w:vAlign w:val="bottom"/>
            <w:shd w:val="clear" w:color="auto" w:fill="E9FFFF"/>
          </w:tcPr>
          <w:p>
            <w:pPr>
              <w:jc w:val="right"/>
              <w:spacing w:after="0"/>
              <w:rPr>
                <w:sz w:val="20"/>
                <w:szCs w:val="20"/>
                <w:color w:val="auto"/>
              </w:rPr>
            </w:pPr>
            <w:r>
              <w:rPr>
                <w:rFonts w:ascii="Arial" w:cs="Arial" w:eastAsia="Arial" w:hAnsi="Arial"/>
                <w:sz w:val="16"/>
                <w:szCs w:val="16"/>
                <w:color w:val="auto"/>
              </w:rPr>
              <w:t>2,429</w:t>
            </w:r>
          </w:p>
        </w:tc>
      </w:tr>
      <w:tr>
        <w:trPr>
          <w:trHeight w:val="210"/>
        </w:trPr>
        <w:tc>
          <w:tcPr>
            <w:tcW w:w="77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103,736</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95,094</w:t>
            </w:r>
          </w:p>
        </w:tc>
      </w:tr>
      <w:tr>
        <w:trPr>
          <w:trHeight w:val="202"/>
        </w:trPr>
        <w:tc>
          <w:tcPr>
            <w:tcW w:w="77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current assets</w:t>
            </w:r>
          </w:p>
        </w:tc>
        <w:tc>
          <w:tcPr>
            <w:tcW w:w="5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125,728</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118,177</w:t>
            </w:r>
          </w:p>
        </w:tc>
      </w:tr>
      <w:tr>
        <w:trPr>
          <w:trHeight w:val="236"/>
        </w:trPr>
        <w:tc>
          <w:tcPr>
            <w:tcW w:w="77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assets</w:t>
            </w:r>
          </w:p>
        </w:tc>
        <w:tc>
          <w:tcPr>
            <w:tcW w:w="580" w:type="dxa"/>
            <w:vAlign w:val="bottom"/>
            <w:tcBorders>
              <w:bottom w:val="single" w:sz="8" w:color="E5FF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2,333,048</w:t>
            </w:r>
          </w:p>
        </w:tc>
        <w:tc>
          <w:tcPr>
            <w:tcW w:w="120" w:type="dxa"/>
            <w:vAlign w:val="bottom"/>
            <w:tcBorders>
              <w:bottom w:val="single" w:sz="8" w:color="E5FF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2,306,939</w:t>
            </w:r>
          </w:p>
        </w:tc>
      </w:tr>
      <w:tr>
        <w:trPr>
          <w:trHeight w:val="197"/>
        </w:trPr>
        <w:tc>
          <w:tcPr>
            <w:tcW w:w="77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Partners’ equity and liabilities</w:t>
            </w:r>
          </w:p>
        </w:tc>
        <w:tc>
          <w:tcPr>
            <w:tcW w:w="58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r>
      <w:tr>
        <w:trPr>
          <w:trHeight w:val="213"/>
        </w:trPr>
        <w:tc>
          <w:tcPr>
            <w:tcW w:w="7780" w:type="dxa"/>
            <w:vAlign w:val="bottom"/>
          </w:tcPr>
          <w:p>
            <w:pPr>
              <w:spacing w:after="0"/>
              <w:rPr>
                <w:sz w:val="20"/>
                <w:szCs w:val="20"/>
                <w:color w:val="auto"/>
              </w:rPr>
            </w:pPr>
            <w:r>
              <w:rPr>
                <w:rFonts w:ascii="Arial" w:cs="Arial" w:eastAsia="Arial" w:hAnsi="Arial"/>
                <w:sz w:val="16"/>
                <w:szCs w:val="16"/>
                <w:b w:val="1"/>
                <w:bCs w:val="1"/>
                <w:color w:val="auto"/>
              </w:rPr>
              <w:t>Partners’ equity</w:t>
            </w: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w w:val="99"/>
              </w:rPr>
              <w:t>Common unitholders (47,517,824 units issued and outstanding as of December 31, 2020 and March 31, 2021)</w:t>
            </w: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594,901</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621,690</w:t>
            </w:r>
          </w:p>
        </w:tc>
      </w:tr>
      <w:tr>
        <w:trPr>
          <w:trHeight w:val="213"/>
        </w:trPr>
        <w:tc>
          <w:tcPr>
            <w:tcW w:w="7780" w:type="dxa"/>
            <w:vAlign w:val="bottom"/>
          </w:tcPr>
          <w:p>
            <w:pPr>
              <w:spacing w:after="0"/>
              <w:rPr>
                <w:sz w:val="20"/>
                <w:szCs w:val="20"/>
                <w:color w:val="auto"/>
              </w:rPr>
            </w:pPr>
            <w:r>
              <w:rPr>
                <w:rFonts w:ascii="Arial" w:cs="Arial" w:eastAsia="Arial" w:hAnsi="Arial"/>
                <w:sz w:val="16"/>
                <w:szCs w:val="16"/>
                <w:color w:val="auto"/>
              </w:rPr>
              <w:t>General partner (1,021,336 units issued and outstanding as of December 31, 2020 and March 31, 2021)</w:t>
            </w:r>
          </w:p>
        </w:tc>
        <w:tc>
          <w:tcPr>
            <w:tcW w:w="2020" w:type="dxa"/>
            <w:vAlign w:val="bottom"/>
            <w:gridSpan w:val="3"/>
          </w:tcPr>
          <w:p>
            <w:pPr>
              <w:jc w:val="right"/>
              <w:ind w:right="120"/>
              <w:spacing w:after="0"/>
              <w:rPr>
                <w:sz w:val="20"/>
                <w:szCs w:val="20"/>
                <w:color w:val="auto"/>
              </w:rPr>
            </w:pPr>
            <w:r>
              <w:rPr>
                <w:rFonts w:ascii="Arial" w:cs="Arial" w:eastAsia="Arial" w:hAnsi="Arial"/>
                <w:sz w:val="16"/>
                <w:szCs w:val="16"/>
                <w:color w:val="auto"/>
              </w:rPr>
              <w:t>11,028</w:t>
            </w:r>
          </w:p>
        </w:tc>
        <w:tc>
          <w:tcPr>
            <w:tcW w:w="1340" w:type="dxa"/>
            <w:vAlign w:val="bottom"/>
          </w:tcPr>
          <w:p>
            <w:pPr>
              <w:jc w:val="right"/>
              <w:spacing w:after="0"/>
              <w:rPr>
                <w:sz w:val="20"/>
                <w:szCs w:val="20"/>
                <w:color w:val="auto"/>
              </w:rPr>
            </w:pPr>
            <w:r>
              <w:rPr>
                <w:rFonts w:ascii="Arial" w:cs="Arial" w:eastAsia="Arial" w:hAnsi="Arial"/>
                <w:sz w:val="16"/>
                <w:szCs w:val="16"/>
                <w:color w:val="auto"/>
              </w:rPr>
              <w:t>11,604</w:t>
            </w:r>
          </w:p>
        </w:tc>
      </w:tr>
      <w:tr>
        <w:trPr>
          <w:trHeight w:val="196"/>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w w:val="96"/>
              </w:rPr>
              <w:t>Preference unitholders (5,750,000 Series A Preference Units, 4,600,000 Series B Preference Units and 4,000,000</w:t>
            </w:r>
          </w:p>
        </w:tc>
        <w:tc>
          <w:tcPr>
            <w:tcW w:w="58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r>
      <w:tr>
        <w:trPr>
          <w:trHeight w:val="212"/>
        </w:trPr>
        <w:tc>
          <w:tcPr>
            <w:tcW w:w="7780" w:type="dxa"/>
            <w:vAlign w:val="bottom"/>
            <w:shd w:val="clear" w:color="auto" w:fill="E5FFFF"/>
          </w:tcPr>
          <w:p>
            <w:pPr>
              <w:ind w:left="160"/>
              <w:spacing w:after="0"/>
              <w:rPr>
                <w:sz w:val="20"/>
                <w:szCs w:val="20"/>
                <w:color w:val="auto"/>
              </w:rPr>
            </w:pPr>
            <w:r>
              <w:rPr>
                <w:rFonts w:ascii="Arial" w:cs="Arial" w:eastAsia="Arial" w:hAnsi="Arial"/>
                <w:sz w:val="16"/>
                <w:szCs w:val="16"/>
                <w:color w:val="auto"/>
              </w:rPr>
              <w:t>Series C Preference Units issued and outstanding as of December 31, 2020 and March 31, 2021)</w:t>
            </w: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347,889</w:t>
            </w: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347,889</w:t>
            </w:r>
          </w:p>
        </w:tc>
      </w:tr>
      <w:tr>
        <w:trPr>
          <w:trHeight w:val="196"/>
        </w:trPr>
        <w:tc>
          <w:tcPr>
            <w:tcW w:w="77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partners’ equity</w:t>
            </w:r>
          </w:p>
        </w:tc>
        <w:tc>
          <w:tcPr>
            <w:tcW w:w="58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953,818</w:t>
            </w:r>
          </w:p>
        </w:tc>
        <w:tc>
          <w:tcPr>
            <w:tcW w:w="12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981,183</w:t>
            </w:r>
          </w:p>
        </w:tc>
      </w:tr>
      <w:tr>
        <w:trPr>
          <w:trHeight w:val="210"/>
        </w:trPr>
        <w:tc>
          <w:tcPr>
            <w:tcW w:w="77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Current liabilities</w:t>
            </w:r>
          </w:p>
        </w:tc>
        <w:tc>
          <w:tcPr>
            <w:tcW w:w="580" w:type="dxa"/>
            <w:vAlign w:val="bottom"/>
            <w:shd w:val="clear" w:color="auto" w:fill="E5FFFF"/>
          </w:tcPr>
          <w:p>
            <w:pPr>
              <w:spacing w:after="0"/>
              <w:rPr>
                <w:sz w:val="18"/>
                <w:szCs w:val="18"/>
                <w:color w:val="auto"/>
              </w:rPr>
            </w:pPr>
          </w:p>
        </w:tc>
        <w:tc>
          <w:tcPr>
            <w:tcW w:w="1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r>
      <w:tr>
        <w:trPr>
          <w:trHeight w:val="213"/>
        </w:trPr>
        <w:tc>
          <w:tcPr>
            <w:tcW w:w="7780" w:type="dxa"/>
            <w:vAlign w:val="bottom"/>
          </w:tcPr>
          <w:p>
            <w:pPr>
              <w:spacing w:after="0"/>
              <w:rPr>
                <w:sz w:val="20"/>
                <w:szCs w:val="20"/>
                <w:color w:val="auto"/>
              </w:rPr>
            </w:pPr>
            <w:r>
              <w:rPr>
                <w:rFonts w:ascii="Arial" w:cs="Arial" w:eastAsia="Arial" w:hAnsi="Arial"/>
                <w:sz w:val="16"/>
                <w:szCs w:val="16"/>
                <w:color w:val="auto"/>
              </w:rPr>
              <w:t>Trade accounts payable</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13,578</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11,825</w:t>
            </w:r>
          </w:p>
        </w:tc>
      </w:tr>
      <w:tr>
        <w:trPr>
          <w:trHeight w:val="219"/>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Due to related parties</w:t>
            </w: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7,525</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2,181</w:t>
            </w:r>
          </w:p>
        </w:tc>
      </w:tr>
      <w:tr>
        <w:trPr>
          <w:trHeight w:val="213"/>
        </w:trPr>
        <w:tc>
          <w:tcPr>
            <w:tcW w:w="7780" w:type="dxa"/>
            <w:vAlign w:val="bottom"/>
          </w:tcPr>
          <w:p>
            <w:pPr>
              <w:spacing w:after="0"/>
              <w:rPr>
                <w:sz w:val="20"/>
                <w:szCs w:val="20"/>
                <w:color w:val="auto"/>
              </w:rPr>
            </w:pPr>
            <w:r>
              <w:rPr>
                <w:rFonts w:ascii="Arial" w:cs="Arial" w:eastAsia="Arial" w:hAnsi="Arial"/>
                <w:sz w:val="16"/>
                <w:szCs w:val="16"/>
                <w:color w:val="auto"/>
              </w:rPr>
              <w:t>Derivative financial instruments—current portion</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8,185</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8,031</w:t>
            </w:r>
          </w:p>
        </w:tc>
      </w:tr>
      <w:tr>
        <w:trPr>
          <w:trHeight w:val="219"/>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Other payables and accruals</w:t>
            </w: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50,679</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42,939</w:t>
            </w:r>
          </w:p>
        </w:tc>
      </w:tr>
      <w:tr>
        <w:trPr>
          <w:trHeight w:val="213"/>
        </w:trPr>
        <w:tc>
          <w:tcPr>
            <w:tcW w:w="7780" w:type="dxa"/>
            <w:vAlign w:val="bottom"/>
          </w:tcPr>
          <w:p>
            <w:pPr>
              <w:spacing w:after="0"/>
              <w:rPr>
                <w:sz w:val="20"/>
                <w:szCs w:val="20"/>
                <w:color w:val="auto"/>
              </w:rPr>
            </w:pPr>
            <w:r>
              <w:rPr>
                <w:rFonts w:ascii="Arial" w:cs="Arial" w:eastAsia="Arial" w:hAnsi="Arial"/>
                <w:sz w:val="16"/>
                <w:szCs w:val="16"/>
                <w:color w:val="auto"/>
              </w:rPr>
              <w:t>Borrowings—current portion</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104,908</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104,987</w:t>
            </w:r>
          </w:p>
        </w:tc>
      </w:tr>
      <w:tr>
        <w:trPr>
          <w:trHeight w:val="219"/>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Lease liabilities—current portion</w:t>
            </w: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332</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265</w:t>
            </w:r>
          </w:p>
        </w:tc>
      </w:tr>
      <w:tr>
        <w:trPr>
          <w:trHeight w:val="196"/>
        </w:trPr>
        <w:tc>
          <w:tcPr>
            <w:tcW w:w="77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liabilities</w:t>
            </w:r>
          </w:p>
        </w:tc>
        <w:tc>
          <w:tcPr>
            <w:tcW w:w="58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185,207</w:t>
            </w:r>
          </w:p>
        </w:tc>
        <w:tc>
          <w:tcPr>
            <w:tcW w:w="12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170,228</w:t>
            </w:r>
          </w:p>
        </w:tc>
      </w:tr>
      <w:tr>
        <w:trPr>
          <w:trHeight w:val="209"/>
        </w:trPr>
        <w:tc>
          <w:tcPr>
            <w:tcW w:w="77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Non-current liabilities</w:t>
            </w:r>
          </w:p>
        </w:tc>
        <w:tc>
          <w:tcPr>
            <w:tcW w:w="580" w:type="dxa"/>
            <w:vAlign w:val="bottom"/>
            <w:shd w:val="clear" w:color="auto" w:fill="E5FFFF"/>
          </w:tcPr>
          <w:p>
            <w:pPr>
              <w:spacing w:after="0"/>
              <w:rPr>
                <w:sz w:val="18"/>
                <w:szCs w:val="18"/>
                <w:color w:val="auto"/>
              </w:rPr>
            </w:pPr>
          </w:p>
        </w:tc>
        <w:tc>
          <w:tcPr>
            <w:tcW w:w="1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r>
      <w:tr>
        <w:trPr>
          <w:trHeight w:val="213"/>
        </w:trPr>
        <w:tc>
          <w:tcPr>
            <w:tcW w:w="7780" w:type="dxa"/>
            <w:vAlign w:val="bottom"/>
          </w:tcPr>
          <w:p>
            <w:pPr>
              <w:spacing w:after="0"/>
              <w:rPr>
                <w:sz w:val="20"/>
                <w:szCs w:val="20"/>
                <w:color w:val="auto"/>
              </w:rPr>
            </w:pPr>
            <w:r>
              <w:rPr>
                <w:rFonts w:ascii="Arial" w:cs="Arial" w:eastAsia="Arial" w:hAnsi="Arial"/>
                <w:sz w:val="16"/>
                <w:szCs w:val="16"/>
                <w:color w:val="auto"/>
              </w:rPr>
              <w:t>Derivative financial instruments—non-current portion</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12,152</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8,699</w:t>
            </w:r>
          </w:p>
        </w:tc>
      </w:tr>
      <w:tr>
        <w:trPr>
          <w:trHeight w:val="219"/>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Borrowings—non-current portion</w:t>
            </w: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1,180,635</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1,145,763</w:t>
            </w:r>
          </w:p>
        </w:tc>
      </w:tr>
      <w:tr>
        <w:trPr>
          <w:trHeight w:val="213"/>
        </w:trPr>
        <w:tc>
          <w:tcPr>
            <w:tcW w:w="7780" w:type="dxa"/>
            <w:vAlign w:val="bottom"/>
          </w:tcPr>
          <w:p>
            <w:pPr>
              <w:spacing w:after="0"/>
              <w:rPr>
                <w:sz w:val="20"/>
                <w:szCs w:val="20"/>
                <w:color w:val="auto"/>
              </w:rPr>
            </w:pPr>
            <w:r>
              <w:rPr>
                <w:rFonts w:ascii="Arial" w:cs="Arial" w:eastAsia="Arial" w:hAnsi="Arial"/>
                <w:sz w:val="16"/>
                <w:szCs w:val="16"/>
                <w:color w:val="auto"/>
              </w:rPr>
              <w:t>Lease liabilities—non-current portion</w:t>
            </w:r>
          </w:p>
        </w:tc>
        <w:tc>
          <w:tcPr>
            <w:tcW w:w="2020" w:type="dxa"/>
            <w:vAlign w:val="bottom"/>
            <w:gridSpan w:val="3"/>
          </w:tcPr>
          <w:p>
            <w:pPr>
              <w:jc w:val="right"/>
              <w:ind w:right="120"/>
              <w:spacing w:after="0"/>
              <w:rPr>
                <w:sz w:val="20"/>
                <w:szCs w:val="20"/>
                <w:color w:val="auto"/>
              </w:rPr>
            </w:pPr>
            <w:r>
              <w:rPr>
                <w:rFonts w:ascii="Arial" w:cs="Arial" w:eastAsia="Arial" w:hAnsi="Arial"/>
                <w:sz w:val="16"/>
                <w:szCs w:val="16"/>
                <w:color w:val="auto"/>
              </w:rPr>
              <w:t>112</w:t>
            </w:r>
          </w:p>
        </w:tc>
        <w:tc>
          <w:tcPr>
            <w:tcW w:w="134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9"/>
        </w:trPr>
        <w:tc>
          <w:tcPr>
            <w:tcW w:w="778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liabilities</w:t>
            </w: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1,124</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1,010</w:t>
            </w:r>
          </w:p>
        </w:tc>
      </w:tr>
      <w:tr>
        <w:trPr>
          <w:trHeight w:val="196"/>
        </w:trPr>
        <w:tc>
          <w:tcPr>
            <w:tcW w:w="77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non-current liabilities</w:t>
            </w:r>
          </w:p>
        </w:tc>
        <w:tc>
          <w:tcPr>
            <w:tcW w:w="58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1,194,023</w:t>
            </w:r>
          </w:p>
        </w:tc>
        <w:tc>
          <w:tcPr>
            <w:tcW w:w="12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1,155,528</w:t>
            </w:r>
          </w:p>
        </w:tc>
      </w:tr>
      <w:tr>
        <w:trPr>
          <w:trHeight w:val="196"/>
        </w:trPr>
        <w:tc>
          <w:tcPr>
            <w:tcW w:w="77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partners’ equity and liabilities</w:t>
            </w:r>
          </w:p>
        </w:tc>
        <w:tc>
          <w:tcPr>
            <w:tcW w:w="580" w:type="dxa"/>
            <w:vAlign w:val="bottom"/>
            <w:tcBorders>
              <w:bottom w:val="single" w:sz="8" w:color="E5FFFF"/>
            </w:tcBorders>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2,333,048</w:t>
            </w:r>
          </w:p>
        </w:tc>
        <w:tc>
          <w:tcPr>
            <w:tcW w:w="12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2,306,939</w:t>
            </w:r>
          </w:p>
        </w:tc>
      </w:tr>
      <w:tr>
        <w:trPr>
          <w:trHeight w:val="20"/>
        </w:trPr>
        <w:tc>
          <w:tcPr>
            <w:tcW w:w="7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9" w:right="439" w:bottom="1440" w:gutter="0" w:footer="0" w:header="0"/>
        </w:sectPr>
      </w:pPr>
    </w:p>
    <w:bookmarkStart w:id="9" w:name="page10"/>
    <w:bookmarkEnd w:id="9"/>
    <w:p>
      <w:pPr>
        <w:ind w:right="3540"/>
        <w:spacing w:after="0" w:line="287" w:lineRule="auto"/>
        <w:rPr>
          <w:sz w:val="20"/>
          <w:szCs w:val="20"/>
          <w:color w:val="auto"/>
        </w:rPr>
      </w:pPr>
      <w:r>
        <w:rPr>
          <w:rFonts w:ascii="Arial" w:cs="Arial" w:eastAsia="Arial" w:hAnsi="Arial"/>
          <w:sz w:val="15"/>
          <w:szCs w:val="15"/>
          <w:b w:val="1"/>
          <w:bCs w:val="1"/>
          <w:color w:val="auto"/>
        </w:rPr>
        <w:t>Unaudited condensed consolidated statements of profit or loss For the three months ended March 31, 2020 and 2021</w:t>
      </w:r>
    </w:p>
    <w:p>
      <w:pPr>
        <w:spacing w:after="0"/>
        <w:rPr>
          <w:sz w:val="20"/>
          <w:szCs w:val="20"/>
          <w:color w:val="auto"/>
        </w:rPr>
      </w:pPr>
      <w:r>
        <w:rPr>
          <w:rFonts w:ascii="Arial" w:cs="Arial" w:eastAsia="Arial" w:hAnsi="Arial"/>
          <w:sz w:val="16"/>
          <w:szCs w:val="16"/>
          <w:b w:val="1"/>
          <w:bCs w:val="1"/>
          <w:color w:val="auto"/>
        </w:rPr>
        <w:t>(All amounts expressed in thousands of U.S. Dollars, except per unit data)</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699516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Voyage expenses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99516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Vessel operating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Depreciation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699516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from operations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Financial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699516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Financial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(Loss)/gain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699516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other expenses,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and total comprehensive income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699516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unit,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699516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Common unit, basic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unit,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69951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 unit</w:t>
      </w:r>
    </w:p>
    <w:p>
      <w:pPr>
        <w:spacing w:after="0" w:line="200" w:lineRule="exact"/>
        <w:rPr>
          <w:sz w:val="20"/>
          <w:szCs w:val="20"/>
          <w:color w:val="auto"/>
        </w:rPr>
      </w:pPr>
    </w:p>
    <w:p>
      <w:pPr>
        <w:spacing w:after="0" w:line="260" w:lineRule="exact"/>
        <w:rPr>
          <w:sz w:val="20"/>
          <w:szCs w:val="20"/>
          <w:color w:val="auto"/>
        </w:rPr>
      </w:pPr>
    </w:p>
    <w:p>
      <w:pPr>
        <w:jc w:val="right"/>
        <w:ind w:right="21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For the three months ended</w:t>
      </w:r>
    </w:p>
    <w:p>
      <w:pPr>
        <w:spacing w:after="0" w:line="32" w:lineRule="exact"/>
        <w:rPr>
          <w:sz w:val="20"/>
          <w:szCs w:val="20"/>
          <w:color w:val="auto"/>
        </w:rPr>
      </w:pPr>
    </w:p>
    <w:p>
      <w:pPr>
        <w:jc w:val="center"/>
        <w:ind w:right="140"/>
        <w:spacing w:after="0"/>
        <w:tabs>
          <w:tab w:leader="none" w:pos="260" w:val="left"/>
        </w:tabs>
        <w:rPr>
          <w:sz w:val="20"/>
          <w:szCs w:val="20"/>
          <w:color w:val="auto"/>
        </w:rPr>
      </w:pPr>
      <w:r>
        <w:rPr>
          <w:rFonts w:ascii="Arial" w:cs="Arial" w:eastAsia="Arial" w:hAnsi="Arial"/>
          <w:sz w:val="16"/>
          <w:szCs w:val="16"/>
          <w:b w:val="1"/>
          <w:bCs w:val="1"/>
          <w:color w:val="auto"/>
        </w:rPr>
        <w:t>March 31, 2020</w:t>
      </w:r>
      <w:r>
        <w:rPr>
          <w:sz w:val="20"/>
          <w:szCs w:val="20"/>
          <w:color w:val="auto"/>
        </w:rPr>
        <w:tab/>
      </w:r>
      <w:r>
        <w:rPr>
          <w:rFonts w:ascii="Arial" w:cs="Arial" w:eastAsia="Arial" w:hAnsi="Arial"/>
          <w:sz w:val="14"/>
          <w:szCs w:val="14"/>
          <w:b w:val="1"/>
          <w:bCs w:val="1"/>
          <w:color w:val="auto"/>
        </w:rPr>
        <w:t>March 31, 2021</w:t>
      </w:r>
    </w:p>
    <w:p>
      <w:pPr>
        <w:spacing w:after="0" w:line="36"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14"/>
          <w:szCs w:val="14"/>
          <w:color w:val="auto"/>
        </w:rPr>
        <w:t>91,353</w:t>
      </w:r>
      <w:r>
        <w:rPr>
          <w:sz w:val="20"/>
          <w:szCs w:val="20"/>
          <w:color w:val="auto"/>
        </w:rPr>
        <w:tab/>
      </w:r>
      <w:r>
        <w:rPr>
          <w:rFonts w:ascii="Arial" w:cs="Arial" w:eastAsia="Arial" w:hAnsi="Arial"/>
          <w:sz w:val="14"/>
          <w:szCs w:val="14"/>
          <w:color w:val="auto"/>
        </w:rPr>
        <w:t>87,088</w:t>
      </w:r>
    </w:p>
    <w:p>
      <w:pPr>
        <w:spacing w:after="0" w:line="45"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6"/>
          <w:szCs w:val="16"/>
          <w:color w:val="auto"/>
        </w:rPr>
        <w:t>(3,888)</w:t>
      </w:r>
      <w:r>
        <w:rPr>
          <w:sz w:val="20"/>
          <w:szCs w:val="20"/>
          <w:color w:val="auto"/>
        </w:rPr>
        <w:tab/>
      </w:r>
      <w:r>
        <w:rPr>
          <w:rFonts w:ascii="Arial" w:cs="Arial" w:eastAsia="Arial" w:hAnsi="Arial"/>
          <w:sz w:val="15"/>
          <w:szCs w:val="15"/>
          <w:color w:val="auto"/>
        </w:rPr>
        <w:t>(2,079)</w:t>
      </w:r>
    </w:p>
    <w:p>
      <w:pPr>
        <w:spacing w:after="0" w:line="32"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6"/>
          <w:szCs w:val="16"/>
          <w:color w:val="auto"/>
        </w:rPr>
        <w:t>(19,093)</w:t>
      </w:r>
      <w:r>
        <w:rPr>
          <w:sz w:val="20"/>
          <w:szCs w:val="20"/>
          <w:color w:val="auto"/>
        </w:rPr>
        <w:tab/>
      </w:r>
      <w:r>
        <w:rPr>
          <w:rFonts w:ascii="Arial" w:cs="Arial" w:eastAsia="Arial" w:hAnsi="Arial"/>
          <w:sz w:val="15"/>
          <w:szCs w:val="15"/>
          <w:color w:val="auto"/>
        </w:rPr>
        <w:t>(17,807)</w:t>
      </w:r>
    </w:p>
    <w:p>
      <w:pPr>
        <w:spacing w:after="0" w:line="32"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6"/>
          <w:szCs w:val="16"/>
          <w:color w:val="auto"/>
        </w:rPr>
        <w:t>(20,598)</w:t>
      </w:r>
      <w:r>
        <w:rPr>
          <w:sz w:val="20"/>
          <w:szCs w:val="20"/>
          <w:color w:val="auto"/>
        </w:rPr>
        <w:tab/>
      </w:r>
      <w:r>
        <w:rPr>
          <w:rFonts w:ascii="Arial" w:cs="Arial" w:eastAsia="Arial" w:hAnsi="Arial"/>
          <w:sz w:val="15"/>
          <w:szCs w:val="15"/>
          <w:color w:val="auto"/>
        </w:rPr>
        <w:t>(20,686)</w:t>
      </w:r>
    </w:p>
    <w:p>
      <w:pPr>
        <w:spacing w:after="0" w:line="32"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6"/>
          <w:szCs w:val="16"/>
          <w:color w:val="auto"/>
        </w:rPr>
        <w:t>(4,171)</w:t>
      </w:r>
      <w:r>
        <w:rPr>
          <w:sz w:val="20"/>
          <w:szCs w:val="20"/>
          <w:color w:val="auto"/>
        </w:rPr>
        <w:tab/>
      </w:r>
      <w:r>
        <w:rPr>
          <w:rFonts w:ascii="Arial" w:cs="Arial" w:eastAsia="Arial" w:hAnsi="Arial"/>
          <w:sz w:val="15"/>
          <w:szCs w:val="15"/>
          <w:color w:val="auto"/>
        </w:rPr>
        <w:t>(3,071)</w:t>
      </w:r>
    </w:p>
    <w:p>
      <w:pPr>
        <w:spacing w:after="0" w:line="38"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16"/>
          <w:szCs w:val="16"/>
          <w:b w:val="1"/>
          <w:bCs w:val="1"/>
          <w:color w:val="auto"/>
        </w:rPr>
        <w:t>43,603</w:t>
      </w:r>
      <w:r>
        <w:rPr>
          <w:sz w:val="20"/>
          <w:szCs w:val="20"/>
          <w:color w:val="auto"/>
        </w:rPr>
        <w:tab/>
      </w:r>
      <w:r>
        <w:rPr>
          <w:rFonts w:ascii="Arial" w:cs="Arial" w:eastAsia="Arial" w:hAnsi="Arial"/>
          <w:sz w:val="16"/>
          <w:szCs w:val="16"/>
          <w:b w:val="1"/>
          <w:bCs w:val="1"/>
          <w:color w:val="auto"/>
        </w:rPr>
        <w:t>43,445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-116205</wp:posOffset>
            </wp:positionV>
            <wp:extent cx="16287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6"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6"/>
          <w:szCs w:val="16"/>
          <w:color w:val="auto"/>
        </w:rPr>
        <w:t>(15,513)</w:t>
      </w:r>
      <w:r>
        <w:rPr>
          <w:sz w:val="20"/>
          <w:szCs w:val="20"/>
          <w:color w:val="auto"/>
        </w:rPr>
        <w:tab/>
      </w:r>
      <w:r>
        <w:rPr>
          <w:rFonts w:ascii="Arial" w:cs="Arial" w:eastAsia="Arial" w:hAnsi="Arial"/>
          <w:sz w:val="15"/>
          <w:szCs w:val="15"/>
          <w:color w:val="auto"/>
        </w:rPr>
        <w:t>(9,416)</w:t>
      </w:r>
    </w:p>
    <w:p>
      <w:pPr>
        <w:spacing w:after="0" w:line="42" w:lineRule="exact"/>
        <w:rPr>
          <w:sz w:val="20"/>
          <w:szCs w:val="20"/>
          <w:color w:val="auto"/>
        </w:rPr>
      </w:pPr>
    </w:p>
    <w:p>
      <w:pPr>
        <w:ind w:left="2320" w:hanging="1416"/>
        <w:spacing w:after="0"/>
        <w:tabs>
          <w:tab w:leader="none" w:pos="2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12</w:t>
      </w:r>
    </w:p>
    <w:p>
      <w:pPr>
        <w:spacing w:after="0" w:line="3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(14,120)</w:t>
      </w:r>
      <w:r>
        <w:rPr>
          <w:rFonts w:ascii="Arial" w:cs="Arial" w:eastAsia="Arial" w:hAnsi="Arial"/>
          <w:sz w:val="14"/>
          <w:szCs w:val="14"/>
          <w:color w:val="auto"/>
        </w:rPr>
        <w:t>1,319</w:t>
      </w:r>
    </w:p>
    <w:p>
      <w:pPr>
        <w:spacing w:after="0" w:line="2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b w:val="1"/>
          <w:bCs w:val="1"/>
          <w:color w:val="auto"/>
        </w:rPr>
        <w:t>(29,434)</w:t>
      </w:r>
      <w:r>
        <w:rPr>
          <w:rFonts w:ascii="Arial" w:cs="Arial" w:eastAsia="Arial" w:hAnsi="Arial"/>
          <w:sz w:val="15"/>
          <w:szCs w:val="15"/>
          <w:b w:val="1"/>
          <w:bCs w:val="1"/>
          <w:color w:val="auto"/>
        </w:rPr>
        <w:t>(8,085</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-112395</wp:posOffset>
            </wp:positionV>
            <wp:extent cx="16287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8"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16"/>
          <w:szCs w:val="16"/>
          <w:b w:val="1"/>
          <w:bCs w:val="1"/>
          <w:color w:val="auto"/>
        </w:rPr>
        <w:t>14,169</w:t>
      </w:r>
      <w:r>
        <w:rPr>
          <w:sz w:val="20"/>
          <w:szCs w:val="20"/>
          <w:color w:val="auto"/>
        </w:rPr>
        <w:tab/>
      </w:r>
      <w:r>
        <w:rPr>
          <w:rFonts w:ascii="Arial" w:cs="Arial" w:eastAsia="Arial" w:hAnsi="Arial"/>
          <w:sz w:val="16"/>
          <w:szCs w:val="16"/>
          <w:b w:val="1"/>
          <w:bCs w:val="1"/>
          <w:color w:val="auto"/>
        </w:rPr>
        <w:t>35,360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37465</wp:posOffset>
            </wp:positionV>
            <wp:extent cx="16287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860" w:type="dxa"/>
        <w:tblCellMar>
          <w:top w:w="0" w:type="dxa"/>
          <w:left w:w="0" w:type="dxa"/>
          <w:bottom w:w="0" w:type="dxa"/>
          <w:right w:w="0" w:type="dxa"/>
        </w:tblCellMar>
      </w:tblPr>
      <w:tr>
        <w:trPr>
          <w:trHeight w:val="206"/>
        </w:trPr>
        <w:tc>
          <w:tcPr>
            <w:tcW w:w="820" w:type="dxa"/>
            <w:vAlign w:val="bottom"/>
          </w:tcPr>
          <w:p>
            <w:pPr>
              <w:jc w:val="right"/>
              <w:ind w:right="459"/>
              <w:spacing w:after="0"/>
              <w:rPr>
                <w:sz w:val="20"/>
                <w:szCs w:val="20"/>
                <w:color w:val="auto"/>
              </w:rPr>
            </w:pPr>
            <w:r>
              <w:rPr>
                <w:rFonts w:ascii="Arial" w:cs="Arial" w:eastAsia="Arial" w:hAnsi="Arial"/>
                <w:sz w:val="16"/>
                <w:szCs w:val="16"/>
                <w:color w:val="auto"/>
                <w:w w:val="83"/>
              </w:rPr>
              <w:t>0.14</w:t>
            </w:r>
          </w:p>
        </w:tc>
        <w:tc>
          <w:tcPr>
            <w:tcW w:w="800" w:type="dxa"/>
            <w:vAlign w:val="bottom"/>
          </w:tcPr>
          <w:p>
            <w:pPr>
              <w:jc w:val="right"/>
              <w:spacing w:after="0"/>
              <w:rPr>
                <w:sz w:val="20"/>
                <w:szCs w:val="20"/>
                <w:color w:val="auto"/>
              </w:rPr>
            </w:pPr>
            <w:r>
              <w:rPr>
                <w:rFonts w:ascii="Arial" w:cs="Arial" w:eastAsia="Arial" w:hAnsi="Arial"/>
                <w:sz w:val="16"/>
                <w:szCs w:val="16"/>
                <w:color w:val="auto"/>
              </w:rPr>
              <w:t>0.57</w:t>
            </w:r>
          </w:p>
        </w:tc>
      </w:tr>
      <w:tr>
        <w:trPr>
          <w:trHeight w:val="216"/>
        </w:trPr>
        <w:tc>
          <w:tcPr>
            <w:tcW w:w="820" w:type="dxa"/>
            <w:vAlign w:val="bottom"/>
          </w:tcPr>
          <w:p>
            <w:pPr>
              <w:jc w:val="right"/>
              <w:ind w:right="459"/>
              <w:spacing w:after="0"/>
              <w:rPr>
                <w:sz w:val="20"/>
                <w:szCs w:val="20"/>
                <w:color w:val="auto"/>
              </w:rPr>
            </w:pPr>
            <w:r>
              <w:rPr>
                <w:rFonts w:ascii="Arial" w:cs="Arial" w:eastAsia="Arial" w:hAnsi="Arial"/>
                <w:sz w:val="16"/>
                <w:szCs w:val="16"/>
                <w:color w:val="auto"/>
                <w:w w:val="83"/>
              </w:rPr>
              <w:t>0.13</w:t>
            </w:r>
          </w:p>
        </w:tc>
        <w:tc>
          <w:tcPr>
            <w:tcW w:w="800" w:type="dxa"/>
            <w:vAlign w:val="bottom"/>
          </w:tcPr>
          <w:p>
            <w:pPr>
              <w:jc w:val="right"/>
              <w:spacing w:after="0"/>
              <w:rPr>
                <w:sz w:val="20"/>
                <w:szCs w:val="20"/>
                <w:color w:val="auto"/>
              </w:rPr>
            </w:pPr>
            <w:r>
              <w:rPr>
                <w:rFonts w:ascii="Arial" w:cs="Arial" w:eastAsia="Arial" w:hAnsi="Arial"/>
                <w:sz w:val="16"/>
                <w:szCs w:val="16"/>
                <w:color w:val="auto"/>
              </w:rPr>
              <w:t>0.55</w:t>
            </w:r>
          </w:p>
        </w:tc>
      </w:tr>
      <w:tr>
        <w:trPr>
          <w:trHeight w:val="216"/>
        </w:trPr>
        <w:tc>
          <w:tcPr>
            <w:tcW w:w="820" w:type="dxa"/>
            <w:vAlign w:val="bottom"/>
          </w:tcPr>
          <w:p>
            <w:pPr>
              <w:jc w:val="right"/>
              <w:ind w:right="459"/>
              <w:spacing w:after="0"/>
              <w:rPr>
                <w:sz w:val="20"/>
                <w:szCs w:val="20"/>
                <w:color w:val="auto"/>
              </w:rPr>
            </w:pPr>
            <w:r>
              <w:rPr>
                <w:rFonts w:ascii="Arial" w:cs="Arial" w:eastAsia="Arial" w:hAnsi="Arial"/>
                <w:sz w:val="16"/>
                <w:szCs w:val="16"/>
                <w:color w:val="auto"/>
                <w:w w:val="83"/>
              </w:rPr>
              <w:t>0.14</w:t>
            </w:r>
          </w:p>
        </w:tc>
        <w:tc>
          <w:tcPr>
            <w:tcW w:w="800" w:type="dxa"/>
            <w:vAlign w:val="bottom"/>
          </w:tcPr>
          <w:p>
            <w:pPr>
              <w:jc w:val="right"/>
              <w:spacing w:after="0"/>
              <w:rPr>
                <w:sz w:val="20"/>
                <w:szCs w:val="20"/>
                <w:color w:val="auto"/>
              </w:rPr>
            </w:pPr>
            <w:r>
              <w:rPr>
                <w:rFonts w:ascii="Arial" w:cs="Arial" w:eastAsia="Arial" w:hAnsi="Arial"/>
                <w:sz w:val="16"/>
                <w:szCs w:val="16"/>
                <w:color w:val="auto"/>
              </w:rPr>
              <w:t>0.57</w:t>
            </w:r>
          </w:p>
        </w:tc>
      </w:tr>
    </w:tbl>
    <w:p>
      <w:pPr>
        <w:sectPr>
          <w:pgSz w:w="11900" w:h="16838" w:orient="portrait"/>
          <w:cols w:equalWidth="0" w:num="2">
            <w:col w:w="7820" w:space="720"/>
            <w:col w:w="2540"/>
          </w:cols>
          <w:pgMar w:left="320" w:top="909" w:right="49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2020 and 2021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00" w:type="dxa"/>
            <w:vAlign w:val="bottom"/>
          </w:tcPr>
          <w:p>
            <w:pPr>
              <w:spacing w:after="0"/>
              <w:rPr>
                <w:sz w:val="17"/>
                <w:szCs w:val="17"/>
                <w:color w:val="auto"/>
              </w:rPr>
            </w:pPr>
          </w:p>
        </w:tc>
        <w:tc>
          <w:tcPr>
            <w:tcW w:w="3140" w:type="dxa"/>
            <w:vAlign w:val="bottom"/>
            <w:gridSpan w:val="4"/>
          </w:tcPr>
          <w:p>
            <w:pPr>
              <w:jc w:val="right"/>
              <w:ind w:right="620"/>
              <w:spacing w:after="0"/>
              <w:rPr>
                <w:sz w:val="20"/>
                <w:szCs w:val="20"/>
                <w:color w:val="auto"/>
              </w:rPr>
            </w:pPr>
            <w:r>
              <w:rPr>
                <w:rFonts w:ascii="Arial" w:cs="Arial" w:eastAsia="Arial" w:hAnsi="Arial"/>
                <w:sz w:val="16"/>
                <w:szCs w:val="16"/>
                <w:b w:val="1"/>
                <w:bCs w:val="1"/>
                <w:color w:val="auto"/>
              </w:rPr>
              <w:t>For the three months ended</w:t>
            </w:r>
          </w:p>
        </w:tc>
      </w:tr>
      <w:tr>
        <w:trPr>
          <w:trHeight w:val="203"/>
        </w:trPr>
        <w:tc>
          <w:tcPr>
            <w:tcW w:w="8100" w:type="dxa"/>
            <w:vAlign w:val="bottom"/>
          </w:tcPr>
          <w:p>
            <w:pPr>
              <w:spacing w:after="0"/>
              <w:rPr>
                <w:sz w:val="17"/>
                <w:szCs w:val="17"/>
                <w:color w:val="auto"/>
              </w:rPr>
            </w:pPr>
          </w:p>
        </w:tc>
        <w:tc>
          <w:tcPr>
            <w:tcW w:w="170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March 31,</w:t>
            </w:r>
          </w:p>
        </w:tc>
        <w:tc>
          <w:tcPr>
            <w:tcW w:w="14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March 31,</w:t>
            </w:r>
          </w:p>
        </w:tc>
      </w:tr>
      <w:tr>
        <w:trPr>
          <w:trHeight w:val="213"/>
        </w:trPr>
        <w:tc>
          <w:tcPr>
            <w:tcW w:w="810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5FFFF"/>
            </w:tcBorders>
          </w:tcPr>
          <w:p>
            <w:pPr>
              <w:spacing w:after="0"/>
              <w:rPr>
                <w:sz w:val="18"/>
                <w:szCs w:val="18"/>
                <w:color w:val="auto"/>
              </w:rPr>
            </w:pPr>
          </w:p>
        </w:tc>
      </w:tr>
      <w:tr>
        <w:trPr>
          <w:trHeight w:val="213"/>
        </w:trPr>
        <w:tc>
          <w:tcPr>
            <w:tcW w:w="81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3"/>
        </w:trPr>
        <w:tc>
          <w:tcPr>
            <w:tcW w:w="8100" w:type="dxa"/>
            <w:vAlign w:val="bottom"/>
          </w:tcPr>
          <w:p>
            <w:pPr>
              <w:spacing w:after="0"/>
              <w:rPr>
                <w:sz w:val="20"/>
                <w:szCs w:val="20"/>
                <w:color w:val="auto"/>
              </w:rPr>
            </w:pPr>
            <w:r>
              <w:rPr>
                <w:rFonts w:ascii="Arial" w:cs="Arial" w:eastAsia="Arial" w:hAnsi="Arial"/>
                <w:sz w:val="16"/>
                <w:szCs w:val="16"/>
                <w:color w:val="auto"/>
              </w:rPr>
              <w:t>Profit for the period</w:t>
            </w:r>
          </w:p>
        </w:tc>
        <w:tc>
          <w:tcPr>
            <w:tcW w:w="1700" w:type="dxa"/>
            <w:vAlign w:val="bottom"/>
            <w:gridSpan w:val="2"/>
          </w:tcPr>
          <w:p>
            <w:pPr>
              <w:jc w:val="right"/>
              <w:ind w:right="259"/>
              <w:spacing w:after="0"/>
              <w:rPr>
                <w:sz w:val="20"/>
                <w:szCs w:val="20"/>
                <w:color w:val="auto"/>
              </w:rPr>
            </w:pPr>
            <w:r>
              <w:rPr>
                <w:rFonts w:ascii="Arial" w:cs="Arial" w:eastAsia="Arial" w:hAnsi="Arial"/>
                <w:sz w:val="16"/>
                <w:szCs w:val="16"/>
                <w:color w:val="auto"/>
              </w:rPr>
              <w:t>14,169</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35,360</w:t>
            </w:r>
          </w:p>
        </w:tc>
      </w:tr>
      <w:tr>
        <w:trPr>
          <w:trHeight w:val="219"/>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rPr>
              <w:t>Adjustments for:</w:t>
            </w:r>
          </w:p>
        </w:tc>
        <w:tc>
          <w:tcPr>
            <w:tcW w:w="136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34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r>
      <w:tr>
        <w:trPr>
          <w:trHeight w:val="213"/>
        </w:trPr>
        <w:tc>
          <w:tcPr>
            <w:tcW w:w="8100" w:type="dxa"/>
            <w:vAlign w:val="bottom"/>
          </w:tcPr>
          <w:p>
            <w:pPr>
              <w:spacing w:after="0"/>
              <w:rPr>
                <w:sz w:val="20"/>
                <w:szCs w:val="20"/>
                <w:color w:val="auto"/>
              </w:rPr>
            </w:pPr>
            <w:r>
              <w:rPr>
                <w:rFonts w:ascii="Arial" w:cs="Arial" w:eastAsia="Arial" w:hAnsi="Arial"/>
                <w:sz w:val="16"/>
                <w:szCs w:val="16"/>
                <w:color w:val="auto"/>
              </w:rPr>
              <w:t>Depreciation</w:t>
            </w:r>
          </w:p>
        </w:tc>
        <w:tc>
          <w:tcPr>
            <w:tcW w:w="1700" w:type="dxa"/>
            <w:vAlign w:val="bottom"/>
            <w:gridSpan w:val="2"/>
          </w:tcPr>
          <w:p>
            <w:pPr>
              <w:jc w:val="right"/>
              <w:ind w:right="259"/>
              <w:spacing w:after="0"/>
              <w:rPr>
                <w:sz w:val="20"/>
                <w:szCs w:val="20"/>
                <w:color w:val="auto"/>
              </w:rPr>
            </w:pPr>
            <w:r>
              <w:rPr>
                <w:rFonts w:ascii="Arial" w:cs="Arial" w:eastAsia="Arial" w:hAnsi="Arial"/>
                <w:sz w:val="16"/>
                <w:szCs w:val="16"/>
                <w:color w:val="auto"/>
              </w:rPr>
              <w:t>20,598</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20,686</w:t>
            </w:r>
          </w:p>
        </w:tc>
      </w:tr>
      <w:tr>
        <w:trPr>
          <w:trHeight w:val="219"/>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700" w:type="dxa"/>
            <w:vAlign w:val="bottom"/>
            <w:gridSpan w:val="2"/>
            <w:shd w:val="clear" w:color="auto" w:fill="E5FFFF"/>
          </w:tcPr>
          <w:p>
            <w:pPr>
              <w:jc w:val="right"/>
              <w:ind w:right="259"/>
              <w:spacing w:after="0"/>
              <w:rPr>
                <w:sz w:val="20"/>
                <w:szCs w:val="20"/>
                <w:color w:val="auto"/>
              </w:rPr>
            </w:pPr>
            <w:r>
              <w:rPr>
                <w:rFonts w:ascii="Arial" w:cs="Arial" w:eastAsia="Arial" w:hAnsi="Arial"/>
                <w:sz w:val="16"/>
                <w:szCs w:val="16"/>
                <w:color w:val="auto"/>
              </w:rPr>
              <w:t>15,513</w:t>
            </w: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9,416</w:t>
            </w:r>
          </w:p>
        </w:tc>
      </w:tr>
      <w:tr>
        <w:trPr>
          <w:trHeight w:val="213"/>
        </w:trPr>
        <w:tc>
          <w:tcPr>
            <w:tcW w:w="8100" w:type="dxa"/>
            <w:vAlign w:val="bottom"/>
          </w:tcPr>
          <w:p>
            <w:pPr>
              <w:spacing w:after="0"/>
              <w:rPr>
                <w:sz w:val="20"/>
                <w:szCs w:val="20"/>
                <w:color w:val="auto"/>
              </w:rPr>
            </w:pPr>
            <w:r>
              <w:rPr>
                <w:rFonts w:ascii="Arial" w:cs="Arial" w:eastAsia="Arial" w:hAnsi="Arial"/>
                <w:sz w:val="16"/>
                <w:szCs w:val="16"/>
                <w:color w:val="auto"/>
              </w:rPr>
              <w:t>Financial income</w:t>
            </w:r>
          </w:p>
        </w:tc>
        <w:tc>
          <w:tcPr>
            <w:tcW w:w="1700" w:type="dxa"/>
            <w:vAlign w:val="bottom"/>
            <w:gridSpan w:val="2"/>
          </w:tcPr>
          <w:p>
            <w:pPr>
              <w:jc w:val="right"/>
              <w:ind w:right="199"/>
              <w:spacing w:after="0"/>
              <w:rPr>
                <w:sz w:val="20"/>
                <w:szCs w:val="20"/>
                <w:color w:val="auto"/>
              </w:rPr>
            </w:pPr>
            <w:r>
              <w:rPr>
                <w:rFonts w:ascii="Arial" w:cs="Arial" w:eastAsia="Arial" w:hAnsi="Arial"/>
                <w:sz w:val="16"/>
                <w:szCs w:val="16"/>
                <w:color w:val="auto"/>
              </w:rPr>
              <w:t>(199)</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r>
      <w:tr>
        <w:trPr>
          <w:trHeight w:val="196"/>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rPr>
              <w:t>Loss/(gain) on derivatives (excluding realized loss on forward foreign exchange contracts held for</w:t>
            </w:r>
          </w:p>
        </w:tc>
        <w:tc>
          <w:tcPr>
            <w:tcW w:w="13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12"/>
        </w:trPr>
        <w:tc>
          <w:tcPr>
            <w:tcW w:w="8100" w:type="dxa"/>
            <w:vAlign w:val="bottom"/>
            <w:shd w:val="clear" w:color="auto" w:fill="E5FFFF"/>
          </w:tcPr>
          <w:p>
            <w:pPr>
              <w:ind w:left="160"/>
              <w:spacing w:after="0"/>
              <w:rPr>
                <w:sz w:val="20"/>
                <w:szCs w:val="20"/>
                <w:color w:val="auto"/>
              </w:rPr>
            </w:pPr>
            <w:r>
              <w:rPr>
                <w:rFonts w:ascii="Arial" w:cs="Arial" w:eastAsia="Arial" w:hAnsi="Arial"/>
                <w:sz w:val="16"/>
                <w:szCs w:val="16"/>
                <w:color w:val="auto"/>
              </w:rPr>
              <w:t>trading)</w:t>
            </w:r>
          </w:p>
        </w:tc>
        <w:tc>
          <w:tcPr>
            <w:tcW w:w="1700" w:type="dxa"/>
            <w:vAlign w:val="bottom"/>
            <w:gridSpan w:val="2"/>
            <w:shd w:val="clear" w:color="auto" w:fill="E5FFFF"/>
          </w:tcPr>
          <w:p>
            <w:pPr>
              <w:jc w:val="right"/>
              <w:ind w:right="259"/>
              <w:spacing w:after="0"/>
              <w:rPr>
                <w:sz w:val="20"/>
                <w:szCs w:val="20"/>
                <w:color w:val="auto"/>
              </w:rPr>
            </w:pPr>
            <w:r>
              <w:rPr>
                <w:rFonts w:ascii="Arial" w:cs="Arial" w:eastAsia="Arial" w:hAnsi="Arial"/>
                <w:sz w:val="16"/>
                <w:szCs w:val="16"/>
                <w:color w:val="auto"/>
              </w:rPr>
              <w:t>13,945</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(1,319)</w:t>
            </w:r>
          </w:p>
        </w:tc>
      </w:tr>
      <w:tr>
        <w:trPr>
          <w:trHeight w:val="213"/>
        </w:trPr>
        <w:tc>
          <w:tcPr>
            <w:tcW w:w="810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700" w:type="dxa"/>
            <w:vAlign w:val="bottom"/>
            <w:gridSpan w:val="2"/>
          </w:tcPr>
          <w:p>
            <w:pPr>
              <w:jc w:val="right"/>
              <w:ind w:right="259"/>
              <w:spacing w:after="0"/>
              <w:rPr>
                <w:sz w:val="20"/>
                <w:szCs w:val="20"/>
                <w:color w:val="auto"/>
              </w:rPr>
            </w:pPr>
            <w:r>
              <w:rPr>
                <w:rFonts w:ascii="Arial" w:cs="Arial" w:eastAsia="Arial" w:hAnsi="Arial"/>
                <w:sz w:val="16"/>
                <w:szCs w:val="16"/>
                <w:color w:val="auto"/>
              </w:rPr>
              <w:t>297</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73</w:t>
            </w:r>
          </w:p>
        </w:tc>
      </w:tr>
      <w:tr>
        <w:trPr>
          <w:trHeight w:val="199"/>
        </w:trPr>
        <w:tc>
          <w:tcPr>
            <w:tcW w:w="810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64,323</w:t>
            </w:r>
          </w:p>
        </w:tc>
        <w:tc>
          <w:tcPr>
            <w:tcW w:w="34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64,204</w:t>
            </w:r>
          </w:p>
        </w:tc>
        <w:tc>
          <w:tcPr>
            <w:tcW w:w="100" w:type="dxa"/>
            <w:vAlign w:val="bottom"/>
            <w:tcBorders>
              <w:top w:val="single" w:sz="8" w:color="E5FFFF"/>
            </w:tcBorders>
            <w:shd w:val="clear" w:color="auto" w:fill="E5FFFF"/>
          </w:tcPr>
          <w:p>
            <w:pPr>
              <w:spacing w:after="0"/>
              <w:rPr>
                <w:sz w:val="17"/>
                <w:szCs w:val="17"/>
                <w:color w:val="auto"/>
              </w:rPr>
            </w:pPr>
          </w:p>
        </w:tc>
      </w:tr>
      <w:tr>
        <w:trPr>
          <w:trHeight w:val="213"/>
        </w:trPr>
        <w:tc>
          <w:tcPr>
            <w:tcW w:w="8100" w:type="dxa"/>
            <w:vAlign w:val="bottom"/>
          </w:tcPr>
          <w:p>
            <w:pPr>
              <w:spacing w:after="0"/>
              <w:rPr>
                <w:sz w:val="20"/>
                <w:szCs w:val="20"/>
                <w:color w:val="auto"/>
              </w:rPr>
            </w:pPr>
            <w:r>
              <w:rPr>
                <w:rFonts w:ascii="Arial" w:cs="Arial" w:eastAsia="Arial" w:hAnsi="Arial"/>
                <w:sz w:val="16"/>
                <w:szCs w:val="16"/>
                <w:color w:val="auto"/>
              </w:rPr>
              <w:t>Movements in working capital</w:t>
            </w:r>
          </w:p>
        </w:tc>
        <w:tc>
          <w:tcPr>
            <w:tcW w:w="1700" w:type="dxa"/>
            <w:vAlign w:val="bottom"/>
            <w:gridSpan w:val="2"/>
          </w:tcPr>
          <w:p>
            <w:pPr>
              <w:jc w:val="right"/>
              <w:ind w:right="199"/>
              <w:spacing w:after="0"/>
              <w:rPr>
                <w:sz w:val="20"/>
                <w:szCs w:val="20"/>
                <w:color w:val="auto"/>
              </w:rPr>
            </w:pPr>
            <w:r>
              <w:rPr>
                <w:rFonts w:ascii="Arial" w:cs="Arial" w:eastAsia="Arial" w:hAnsi="Arial"/>
                <w:sz w:val="16"/>
                <w:szCs w:val="16"/>
                <w:color w:val="auto"/>
              </w:rPr>
              <w:t>(20,019)</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(8,778)</w:t>
            </w:r>
          </w:p>
        </w:tc>
      </w:tr>
      <w:tr>
        <w:trPr>
          <w:trHeight w:val="199"/>
        </w:trPr>
        <w:tc>
          <w:tcPr>
            <w:tcW w:w="81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44,304</w:t>
            </w:r>
          </w:p>
        </w:tc>
        <w:tc>
          <w:tcPr>
            <w:tcW w:w="34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55,426</w:t>
            </w:r>
          </w:p>
        </w:tc>
        <w:tc>
          <w:tcPr>
            <w:tcW w:w="100" w:type="dxa"/>
            <w:vAlign w:val="bottom"/>
            <w:tcBorders>
              <w:top w:val="single" w:sz="8" w:color="E5FFFF"/>
            </w:tcBorders>
            <w:shd w:val="clear" w:color="auto" w:fill="E5FFFF"/>
          </w:tcPr>
          <w:p>
            <w:pPr>
              <w:spacing w:after="0"/>
              <w:rPr>
                <w:sz w:val="17"/>
                <w:szCs w:val="17"/>
                <w:color w:val="auto"/>
              </w:rPr>
            </w:pPr>
          </w:p>
        </w:tc>
      </w:tr>
      <w:tr>
        <w:trPr>
          <w:trHeight w:val="207"/>
        </w:trPr>
        <w:tc>
          <w:tcPr>
            <w:tcW w:w="81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rPr>
              <w:t>Payments for tangible fixed assets additions</w:t>
            </w:r>
          </w:p>
        </w:tc>
        <w:tc>
          <w:tcPr>
            <w:tcW w:w="170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(5,466)</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(5,685)</w:t>
            </w:r>
          </w:p>
        </w:tc>
      </w:tr>
      <w:tr>
        <w:trPr>
          <w:trHeight w:val="213"/>
        </w:trPr>
        <w:tc>
          <w:tcPr>
            <w:tcW w:w="8100" w:type="dxa"/>
            <w:vAlign w:val="bottom"/>
          </w:tcPr>
          <w:p>
            <w:pPr>
              <w:spacing w:after="0"/>
              <w:rPr>
                <w:sz w:val="20"/>
                <w:szCs w:val="20"/>
                <w:color w:val="auto"/>
              </w:rPr>
            </w:pPr>
            <w:r>
              <w:rPr>
                <w:rFonts w:ascii="Arial" w:cs="Arial" w:eastAsia="Arial" w:hAnsi="Arial"/>
                <w:sz w:val="16"/>
                <w:szCs w:val="16"/>
                <w:color w:val="auto"/>
              </w:rPr>
              <w:t>Financial income received</w:t>
            </w:r>
          </w:p>
        </w:tc>
        <w:tc>
          <w:tcPr>
            <w:tcW w:w="1700" w:type="dxa"/>
            <w:vAlign w:val="bottom"/>
            <w:gridSpan w:val="2"/>
          </w:tcPr>
          <w:p>
            <w:pPr>
              <w:jc w:val="right"/>
              <w:ind w:right="259"/>
              <w:spacing w:after="0"/>
              <w:rPr>
                <w:sz w:val="20"/>
                <w:szCs w:val="20"/>
                <w:color w:val="auto"/>
              </w:rPr>
            </w:pPr>
            <w:r>
              <w:rPr>
                <w:rFonts w:ascii="Arial" w:cs="Arial" w:eastAsia="Arial" w:hAnsi="Arial"/>
                <w:sz w:val="16"/>
                <w:szCs w:val="16"/>
                <w:color w:val="auto"/>
              </w:rPr>
              <w:t>217</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r>
      <w:tr>
        <w:trPr>
          <w:trHeight w:val="199"/>
        </w:trPr>
        <w:tc>
          <w:tcPr>
            <w:tcW w:w="81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(5,249</w:t>
            </w:r>
          </w:p>
        </w:tc>
        <w:tc>
          <w:tcPr>
            <w:tcW w:w="340" w:type="dxa"/>
            <w:vAlign w:val="bottom"/>
            <w:tcBorders>
              <w:top w:val="single" w:sz="8" w:color="E5FFFF"/>
            </w:tcBorders>
            <w:shd w:val="clear" w:color="auto" w:fill="E5FFFF"/>
          </w:tcPr>
          <w:p>
            <w:pPr>
              <w:jc w:val="right"/>
              <w:ind w:right="199"/>
              <w:spacing w:after="0"/>
              <w:rPr>
                <w:sz w:val="20"/>
                <w:szCs w:val="20"/>
                <w:color w:val="auto"/>
              </w:rPr>
            </w:pPr>
            <w:r>
              <w:rPr>
                <w:rFonts w:ascii="Arial" w:cs="Arial" w:eastAsia="Arial" w:hAnsi="Arial"/>
                <w:sz w:val="16"/>
                <w:szCs w:val="16"/>
                <w:b w:val="1"/>
                <w:bCs w:val="1"/>
                <w:color w:val="auto"/>
                <w:w w:val="74"/>
              </w:rPr>
              <w:t>)</w:t>
            </w: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(5,673</w:t>
            </w:r>
          </w:p>
        </w:tc>
        <w:tc>
          <w:tcPr>
            <w:tcW w:w="100" w:type="dxa"/>
            <w:vAlign w:val="bottom"/>
            <w:tcBorders>
              <w:top w:val="single" w:sz="8" w:color="E5FFFF"/>
            </w:tcBorders>
            <w:shd w:val="clear" w:color="auto" w:fill="E5FFFF"/>
          </w:tcPr>
          <w:p>
            <w:pPr>
              <w:jc w:val="right"/>
              <w:ind w:right="20"/>
              <w:spacing w:after="0"/>
              <w:rPr>
                <w:sz w:val="20"/>
                <w:szCs w:val="20"/>
                <w:color w:val="auto"/>
              </w:rPr>
            </w:pPr>
            <w:r>
              <w:rPr>
                <w:rFonts w:ascii="Arial" w:cs="Arial" w:eastAsia="Arial" w:hAnsi="Arial"/>
                <w:sz w:val="8"/>
                <w:szCs w:val="8"/>
                <w:b w:val="1"/>
                <w:bCs w:val="1"/>
                <w:color w:val="auto"/>
                <w:w w:val="73"/>
              </w:rPr>
              <w:t>)</w:t>
            </w:r>
          </w:p>
        </w:tc>
      </w:tr>
      <w:tr>
        <w:trPr>
          <w:trHeight w:val="207"/>
        </w:trPr>
        <w:tc>
          <w:tcPr>
            <w:tcW w:w="81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rPr>
              <w:t>Borrowings drawdowns</w:t>
            </w:r>
          </w:p>
        </w:tc>
        <w:tc>
          <w:tcPr>
            <w:tcW w:w="1700" w:type="dxa"/>
            <w:vAlign w:val="bottom"/>
            <w:gridSpan w:val="2"/>
            <w:shd w:val="clear" w:color="auto" w:fill="E5FFFF"/>
          </w:tcPr>
          <w:p>
            <w:pPr>
              <w:jc w:val="right"/>
              <w:ind w:right="259"/>
              <w:spacing w:after="0"/>
              <w:rPr>
                <w:sz w:val="20"/>
                <w:szCs w:val="20"/>
                <w:color w:val="auto"/>
              </w:rPr>
            </w:pPr>
            <w:r>
              <w:rPr>
                <w:rFonts w:ascii="Arial" w:cs="Arial" w:eastAsia="Arial" w:hAnsi="Arial"/>
                <w:sz w:val="16"/>
                <w:szCs w:val="16"/>
                <w:color w:val="auto"/>
              </w:rPr>
              <w:t>25,940</w:t>
            </w: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w:t>
            </w:r>
          </w:p>
        </w:tc>
      </w:tr>
      <w:tr>
        <w:trPr>
          <w:trHeight w:val="213"/>
        </w:trPr>
        <w:tc>
          <w:tcPr>
            <w:tcW w:w="8100" w:type="dxa"/>
            <w:vAlign w:val="bottom"/>
          </w:tcPr>
          <w:p>
            <w:pPr>
              <w:spacing w:after="0"/>
              <w:rPr>
                <w:sz w:val="20"/>
                <w:szCs w:val="20"/>
                <w:color w:val="auto"/>
              </w:rPr>
            </w:pPr>
            <w:r>
              <w:rPr>
                <w:rFonts w:ascii="Arial" w:cs="Arial" w:eastAsia="Arial" w:hAnsi="Arial"/>
                <w:sz w:val="16"/>
                <w:szCs w:val="16"/>
                <w:color w:val="auto"/>
              </w:rPr>
              <w:t>Borrowings repayments</w:t>
            </w:r>
          </w:p>
        </w:tc>
        <w:tc>
          <w:tcPr>
            <w:tcW w:w="1700" w:type="dxa"/>
            <w:vAlign w:val="bottom"/>
            <w:gridSpan w:val="2"/>
          </w:tcPr>
          <w:p>
            <w:pPr>
              <w:jc w:val="right"/>
              <w:ind w:right="199"/>
              <w:spacing w:after="0"/>
              <w:rPr>
                <w:sz w:val="20"/>
                <w:szCs w:val="20"/>
                <w:color w:val="auto"/>
              </w:rPr>
            </w:pPr>
            <w:r>
              <w:rPr>
                <w:rFonts w:ascii="Arial" w:cs="Arial" w:eastAsia="Arial" w:hAnsi="Arial"/>
                <w:sz w:val="16"/>
                <w:szCs w:val="16"/>
                <w:color w:val="auto"/>
              </w:rPr>
              <w:t>(32,675)</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(36,017)</w:t>
            </w:r>
          </w:p>
        </w:tc>
      </w:tr>
      <w:tr>
        <w:trPr>
          <w:trHeight w:val="219"/>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rPr>
              <w:t>Interest paid</w:t>
            </w:r>
          </w:p>
        </w:tc>
        <w:tc>
          <w:tcPr>
            <w:tcW w:w="170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(17,247)</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(14,468)</w:t>
            </w:r>
          </w:p>
        </w:tc>
      </w:tr>
      <w:tr>
        <w:trPr>
          <w:trHeight w:val="216"/>
        </w:trPr>
        <w:tc>
          <w:tcPr>
            <w:tcW w:w="8100" w:type="dxa"/>
            <w:vAlign w:val="bottom"/>
          </w:tcPr>
          <w:p>
            <w:pPr>
              <w:spacing w:after="0"/>
              <w:rPr>
                <w:sz w:val="20"/>
                <w:szCs w:val="20"/>
                <w:color w:val="auto"/>
              </w:rPr>
            </w:pPr>
            <w:r>
              <w:rPr>
                <w:rFonts w:ascii="Arial" w:cs="Arial" w:eastAsia="Arial" w:hAnsi="Arial"/>
                <w:sz w:val="16"/>
                <w:szCs w:val="16"/>
                <w:color w:val="auto"/>
              </w:rPr>
              <w:t>Payments of cash collateral for interest rate swaps</w:t>
            </w:r>
          </w:p>
        </w:tc>
        <w:tc>
          <w:tcPr>
            <w:tcW w:w="1700" w:type="dxa"/>
            <w:vAlign w:val="bottom"/>
            <w:gridSpan w:val="2"/>
          </w:tcPr>
          <w:p>
            <w:pPr>
              <w:jc w:val="right"/>
              <w:ind w:right="199"/>
              <w:spacing w:after="0"/>
              <w:rPr>
                <w:sz w:val="20"/>
                <w:szCs w:val="20"/>
                <w:color w:val="auto"/>
              </w:rPr>
            </w:pPr>
            <w:r>
              <w:rPr>
                <w:rFonts w:ascii="Arial" w:cs="Arial" w:eastAsia="Arial" w:hAnsi="Arial"/>
                <w:sz w:val="16"/>
                <w:szCs w:val="16"/>
                <w:color w:val="auto"/>
              </w:rPr>
              <w:t>(15,000)</w:t>
            </w: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16"/>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rPr>
              <w:t>Release of cash collateral for interest rate swaps</w:t>
            </w:r>
          </w:p>
        </w:tc>
        <w:tc>
          <w:tcPr>
            <w:tcW w:w="1700" w:type="dxa"/>
            <w:vAlign w:val="bottom"/>
            <w:gridSpan w:val="2"/>
            <w:shd w:val="clear" w:color="auto" w:fill="E5FFFF"/>
          </w:tcPr>
          <w:p>
            <w:pPr>
              <w:jc w:val="right"/>
              <w:ind w:right="259"/>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280</w:t>
            </w:r>
          </w:p>
        </w:tc>
      </w:tr>
      <w:tr>
        <w:trPr>
          <w:trHeight w:val="216"/>
        </w:trPr>
        <w:tc>
          <w:tcPr>
            <w:tcW w:w="8100" w:type="dxa"/>
            <w:vAlign w:val="bottom"/>
          </w:tcPr>
          <w:p>
            <w:pPr>
              <w:spacing w:after="0"/>
              <w:rPr>
                <w:sz w:val="20"/>
                <w:szCs w:val="20"/>
                <w:color w:val="auto"/>
              </w:rPr>
            </w:pPr>
            <w:r>
              <w:rPr>
                <w:rFonts w:ascii="Arial" w:cs="Arial" w:eastAsia="Arial" w:hAnsi="Arial"/>
                <w:sz w:val="16"/>
                <w:szCs w:val="16"/>
                <w:color w:val="auto"/>
              </w:rPr>
              <w:t>Payment of loan issuance costs</w:t>
            </w:r>
          </w:p>
        </w:tc>
        <w:tc>
          <w:tcPr>
            <w:tcW w:w="1700" w:type="dxa"/>
            <w:vAlign w:val="bottom"/>
            <w:gridSpan w:val="2"/>
          </w:tcPr>
          <w:p>
            <w:pPr>
              <w:jc w:val="right"/>
              <w:ind w:right="199"/>
              <w:spacing w:after="0"/>
              <w:rPr>
                <w:sz w:val="20"/>
                <w:szCs w:val="20"/>
                <w:color w:val="auto"/>
              </w:rPr>
            </w:pPr>
            <w:r>
              <w:rPr>
                <w:rFonts w:ascii="Arial" w:cs="Arial" w:eastAsia="Arial" w:hAnsi="Arial"/>
                <w:sz w:val="16"/>
                <w:szCs w:val="16"/>
                <w:color w:val="auto"/>
              </w:rPr>
              <w:t>(156)</w:t>
            </w: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16"/>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rPr>
              <w:t>Repurchases of common units</w:t>
            </w:r>
          </w:p>
        </w:tc>
        <w:tc>
          <w:tcPr>
            <w:tcW w:w="170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(996)</w:t>
            </w: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w:t>
            </w:r>
          </w:p>
        </w:tc>
      </w:tr>
      <w:tr>
        <w:trPr>
          <w:trHeight w:val="213"/>
        </w:trPr>
        <w:tc>
          <w:tcPr>
            <w:tcW w:w="8100" w:type="dxa"/>
            <w:vAlign w:val="bottom"/>
          </w:tcPr>
          <w:p>
            <w:pPr>
              <w:spacing w:after="0"/>
              <w:rPr>
                <w:sz w:val="20"/>
                <w:szCs w:val="20"/>
                <w:color w:val="auto"/>
              </w:rPr>
            </w:pPr>
            <w:r>
              <w:rPr>
                <w:rFonts w:ascii="Arial" w:cs="Arial" w:eastAsia="Arial" w:hAnsi="Arial"/>
                <w:sz w:val="16"/>
                <w:szCs w:val="16"/>
                <w:color w:val="auto"/>
              </w:rPr>
              <w:t>Distributions paid</w:t>
            </w:r>
          </w:p>
        </w:tc>
        <w:tc>
          <w:tcPr>
            <w:tcW w:w="1700" w:type="dxa"/>
            <w:vAlign w:val="bottom"/>
            <w:gridSpan w:val="2"/>
          </w:tcPr>
          <w:p>
            <w:pPr>
              <w:jc w:val="right"/>
              <w:ind w:right="199"/>
              <w:spacing w:after="0"/>
              <w:rPr>
                <w:sz w:val="20"/>
                <w:szCs w:val="20"/>
                <w:color w:val="auto"/>
              </w:rPr>
            </w:pPr>
            <w:r>
              <w:rPr>
                <w:rFonts w:ascii="Arial" w:cs="Arial" w:eastAsia="Arial" w:hAnsi="Arial"/>
                <w:sz w:val="16"/>
                <w:szCs w:val="16"/>
                <w:color w:val="auto"/>
              </w:rPr>
              <w:t>(34,336)</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(8,067)</w:t>
            </w:r>
          </w:p>
        </w:tc>
      </w:tr>
      <w:tr>
        <w:trPr>
          <w:trHeight w:val="219"/>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rPr>
              <w:t>Payments for lease liabilities</w:t>
            </w:r>
          </w:p>
        </w:tc>
        <w:tc>
          <w:tcPr>
            <w:tcW w:w="170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(107)</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(123)</w:t>
            </w:r>
          </w:p>
        </w:tc>
      </w:tr>
      <w:tr>
        <w:trPr>
          <w:trHeight w:val="196"/>
        </w:trPr>
        <w:tc>
          <w:tcPr>
            <w:tcW w:w="81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(74,577)</w:t>
            </w:r>
          </w:p>
        </w:tc>
        <w:tc>
          <w:tcPr>
            <w:tcW w:w="34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(58,395</w:t>
            </w:r>
          </w:p>
        </w:tc>
        <w:tc>
          <w:tcPr>
            <w:tcW w:w="100" w:type="dxa"/>
            <w:vAlign w:val="bottom"/>
            <w:tcBorders>
              <w:bottom w:val="single" w:sz="8" w:color="E5FFFF"/>
            </w:tcBorders>
          </w:tcPr>
          <w:p>
            <w:pPr>
              <w:jc w:val="right"/>
              <w:ind w:right="20"/>
              <w:spacing w:after="0"/>
              <w:rPr>
                <w:sz w:val="20"/>
                <w:szCs w:val="20"/>
                <w:color w:val="auto"/>
              </w:rPr>
            </w:pPr>
            <w:r>
              <w:rPr>
                <w:rFonts w:ascii="Arial" w:cs="Arial" w:eastAsia="Arial" w:hAnsi="Arial"/>
                <w:sz w:val="8"/>
                <w:szCs w:val="8"/>
                <w:b w:val="1"/>
                <w:bCs w:val="1"/>
                <w:color w:val="auto"/>
                <w:w w:val="73"/>
              </w:rPr>
              <w:t>)</w:t>
            </w:r>
          </w:p>
        </w:tc>
      </w:tr>
      <w:tr>
        <w:trPr>
          <w:trHeight w:val="196"/>
        </w:trPr>
        <w:tc>
          <w:tcPr>
            <w:tcW w:w="81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(35,522)</w:t>
            </w:r>
          </w:p>
        </w:tc>
        <w:tc>
          <w:tcPr>
            <w:tcW w:w="34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(8,642</w:t>
            </w:r>
          </w:p>
        </w:tc>
        <w:tc>
          <w:tcPr>
            <w:tcW w:w="100" w:type="dxa"/>
            <w:vAlign w:val="bottom"/>
            <w:shd w:val="clear" w:color="auto" w:fill="E5FFFF"/>
          </w:tcPr>
          <w:p>
            <w:pPr>
              <w:jc w:val="right"/>
              <w:ind w:right="20"/>
              <w:spacing w:after="0"/>
              <w:rPr>
                <w:sz w:val="20"/>
                <w:szCs w:val="20"/>
                <w:color w:val="auto"/>
              </w:rPr>
            </w:pPr>
            <w:r>
              <w:rPr>
                <w:rFonts w:ascii="Arial" w:cs="Arial" w:eastAsia="Arial" w:hAnsi="Arial"/>
                <w:sz w:val="8"/>
                <w:szCs w:val="8"/>
                <w:b w:val="1"/>
                <w:bCs w:val="1"/>
                <w:color w:val="auto"/>
                <w:w w:val="73"/>
              </w:rPr>
              <w:t>)</w:t>
            </w:r>
          </w:p>
        </w:tc>
      </w:tr>
      <w:tr>
        <w:trPr>
          <w:trHeight w:val="196"/>
        </w:trPr>
        <w:tc>
          <w:tcPr>
            <w:tcW w:w="810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Cash and cash equivalents, beginning of the period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96,884</w:t>
            </w:r>
          </w:p>
        </w:tc>
        <w:tc>
          <w:tcPr>
            <w:tcW w:w="34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103,736</w:t>
            </w:r>
          </w:p>
        </w:tc>
        <w:tc>
          <w:tcPr>
            <w:tcW w:w="100" w:type="dxa"/>
            <w:vAlign w:val="bottom"/>
            <w:tcBorders>
              <w:bottom w:val="single" w:sz="8" w:color="E5FFFF"/>
            </w:tcBorders>
          </w:tcPr>
          <w:p>
            <w:pPr>
              <w:spacing w:after="0"/>
              <w:rPr>
                <w:sz w:val="17"/>
                <w:szCs w:val="17"/>
                <w:color w:val="auto"/>
              </w:rPr>
            </w:pPr>
          </w:p>
        </w:tc>
      </w:tr>
      <w:tr>
        <w:trPr>
          <w:trHeight w:val="196"/>
        </w:trPr>
        <w:tc>
          <w:tcPr>
            <w:tcW w:w="81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61,362</w:t>
            </w:r>
          </w:p>
        </w:tc>
        <w:tc>
          <w:tcPr>
            <w:tcW w:w="34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95,094</w:t>
            </w:r>
          </w:p>
        </w:tc>
        <w:tc>
          <w:tcPr>
            <w:tcW w:w="100" w:type="dxa"/>
            <w:vAlign w:val="bottom"/>
            <w:tcBorders>
              <w:bottom w:val="single" w:sz="8" w:color="E5FFFF"/>
            </w:tcBorders>
            <w:shd w:val="clear" w:color="auto" w:fill="E5FFFF"/>
          </w:tcPr>
          <w:p>
            <w:pPr>
              <w:spacing w:after="0"/>
              <w:rPr>
                <w:sz w:val="17"/>
                <w:szCs w:val="17"/>
                <w:color w:val="auto"/>
              </w:rPr>
            </w:pPr>
          </w:p>
        </w:tc>
      </w:tr>
      <w:tr>
        <w:trPr>
          <w:trHeight w:val="20"/>
        </w:trPr>
        <w:tc>
          <w:tcPr>
            <w:tcW w:w="8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EXHIBIT 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39"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EBITDA is defined as earnings before financial income and costs, gain/loss on derivatives, taxes, depreciation and amortization. Adjusted EBITDA is defined as EBITDA before impairment loss on vessels and restructuring costs. Adjusted Profit represents earnings before (a) non-cash gain/loss on derivatives that includes unrealized gain/loss on derivatives held for trading, (b) write-off and accelerated amortization of unamortized loan fees, (c) impairment loss on vessels and (d) restructuring costs. Adjusted EPU, represents earnings attributable to unitholders before (a) non-cash gain/loss on derivatives that includes unrealized gain/loss on derivatives held for trading, (b) write-off and accelerated amortization of unamortized loan fees, (c) impairment loss on vessels and (d) restructuring costs. EBITDA, Adjusted EBITDA, Adjusted Profit and Adjusted EPU, which are non-GAAP financial measures, are used as supplemental financial measures by management and external users of financial statements, such as investors, to assess our financial and operating performance. The Partnership believes that these non-GAAP financial measures assist our management and investors by increasing the comparability of our performance from period to period. The Partnership believes that including EBITDA, Adjusted EBITDA, Adjusted Profit and Adjusted EPU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in the case of EBITDA and Adjusted EBITDA, financial costs, gain/loss on derivatives, taxes, depreciation and amortization; in the case of Adjusted EBITDA, impairment loss on vessels and restructuring costs and, in the case of Adjusted Profit and Adjusted EPU, non-cash gain/loss on derivatives, write-off and accelerated amortization of unamortized loan fees, impairment loss on vessels and restructuring costs, which items are affected by various and possibly changing financing methods, financial market conditions, general shipping market conditions, capital structure and historical cost basis and which items may significantly affect results of operations between periods. Restructuring costs are excluded from Adjusted EBITDA, Adjusted Profit and Adjusted EPU because restructuring costs represent charges reflecting specific actions taken by management to improve the Partnership’s future profitability and therefore are not considered representative of the underlying operations of the Partnership. Impairment loss is excluded from Adjusted EBITDA, Adjusted Profit and Adjusted EPU because impairment loss on vessels represents the excess of their carrying amount over the amount that is expected to be recovered from them in the future and therefore is not considered representative of the underlying operations of the Partnership.</w:t>
      </w:r>
    </w:p>
    <w:p>
      <w:pPr>
        <w:spacing w:after="0" w:line="381"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auto"/>
        </w:rPr>
        <w:t>EBITDA, Adjusted EBITDA, Adjusted Profit and Adjusted EPU have limitations as analytical tools and should not be considered as alternatives to, or as substitutes for, or superior to, profit, profit from operations, earnings per unit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and Adjusted EBITDA do not reflect any cash requirements for such replacements. EBITDA, Adjusted EBITDA, Adjusted Profit and Adjusted EPU are not adjusted for all non-cash income or expense items that are reflected in our statement of cash flows and other companies in our industry may calculate these measures differently to how we do, limiting their usefulness as comparative measures. EBITDA, Adjusted EBITDA, Adjusted Profit and Adjusted EPU exclude some, but not all, items that affect profit or loss and these measures may vary among other companies. Therefore, EBITDA, Adjusted EBITDA, Adjusted Profit and Adjusted EPU as presented herein may not be comparable to similarly titled measures of other companies. The following tables reconcile EBITDA, Adjusted EBITDA, Adjusted Profit and Adjusted EPU to Profit, the most directly comparable IFRS financial measure, for the periods presented.</w:t>
      </w:r>
    </w:p>
    <w:p>
      <w:pPr>
        <w:spacing w:after="0" w:line="183"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In evaluating EBITDA, Adjusted EBITDA, Adjusted Profit and Adjusted EPU you should be aware that in the future we may incur expenses that are the same as or similar to some of the adjustments in this presentation. Our presentation of EBITDA, Adjusted EBITDA, Adjusted Profit and Adjusted EPU should not be construed as an inference that our future results will be unaffected by the excluded items.</w:t>
      </w:r>
    </w:p>
    <w:p>
      <w:pPr>
        <w:sectPr>
          <w:pgSz w:w="11900" w:h="16838" w:orient="portrait"/>
          <w:cols w:equalWidth="0" w:num="1">
            <w:col w:w="11240"/>
          </w:cols>
          <w:pgMar w:left="320" w:top="909" w:right="3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Reconciliation of Profit to EBITDA and Adjusted EBITDA:</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Profit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06374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Depreciation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0637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Financial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Loss/(gain)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06374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EBITDA and Adjusted EBITDA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For the three months ended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March 31, 2020</w:t>
            </w:r>
          </w:p>
        </w:tc>
        <w:tc>
          <w:tcPr>
            <w:tcW w:w="138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March 31, 2021</w:t>
            </w:r>
          </w:p>
        </w:tc>
      </w:tr>
      <w:tr>
        <w:trPr>
          <w:trHeight w:val="203"/>
        </w:trPr>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14,169</w:t>
            </w:r>
          </w:p>
        </w:tc>
        <w:tc>
          <w:tcPr>
            <w:tcW w:w="12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35,360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1320" w:type="dxa"/>
            <w:vAlign w:val="bottom"/>
          </w:tcPr>
          <w:p>
            <w:pPr>
              <w:jc w:val="right"/>
              <w:spacing w:after="0"/>
              <w:rPr>
                <w:sz w:val="20"/>
                <w:szCs w:val="20"/>
                <w:color w:val="auto"/>
              </w:rPr>
            </w:pPr>
            <w:r>
              <w:rPr>
                <w:rFonts w:ascii="Arial" w:cs="Arial" w:eastAsia="Arial" w:hAnsi="Arial"/>
                <w:sz w:val="16"/>
                <w:szCs w:val="16"/>
                <w:color w:val="auto"/>
              </w:rPr>
              <w:t>20,598</w:t>
            </w:r>
          </w:p>
        </w:tc>
        <w:tc>
          <w:tcPr>
            <w:tcW w:w="12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20,686</w:t>
            </w:r>
          </w:p>
        </w:tc>
        <w:tc>
          <w:tcPr>
            <w:tcW w:w="20" w:type="dxa"/>
            <w:vAlign w:val="bottom"/>
          </w:tcPr>
          <w:p>
            <w:pPr>
              <w:spacing w:after="0"/>
              <w:rPr>
                <w:sz w:val="17"/>
                <w:szCs w:val="17"/>
                <w:color w:val="auto"/>
              </w:rPr>
            </w:pPr>
          </w:p>
        </w:tc>
      </w:tr>
      <w:tr>
        <w:trPr>
          <w:trHeight w:val="216"/>
        </w:trPr>
        <w:tc>
          <w:tcPr>
            <w:tcW w:w="1320" w:type="dxa"/>
            <w:vAlign w:val="bottom"/>
          </w:tcPr>
          <w:p>
            <w:pPr>
              <w:jc w:val="right"/>
              <w:spacing w:after="0"/>
              <w:rPr>
                <w:sz w:val="20"/>
                <w:szCs w:val="20"/>
                <w:color w:val="auto"/>
              </w:rPr>
            </w:pPr>
            <w:r>
              <w:rPr>
                <w:rFonts w:ascii="Arial" w:cs="Arial" w:eastAsia="Arial" w:hAnsi="Arial"/>
                <w:sz w:val="16"/>
                <w:szCs w:val="16"/>
                <w:color w:val="auto"/>
              </w:rPr>
              <w:t>15,513</w:t>
            </w: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9,416</w:t>
            </w:r>
          </w:p>
        </w:tc>
        <w:tc>
          <w:tcPr>
            <w:tcW w:w="20" w:type="dxa"/>
            <w:vAlign w:val="bottom"/>
          </w:tcPr>
          <w:p>
            <w:pPr>
              <w:spacing w:after="0"/>
              <w:rPr>
                <w:sz w:val="18"/>
                <w:szCs w:val="18"/>
                <w:color w:val="auto"/>
              </w:rPr>
            </w:pPr>
          </w:p>
        </w:tc>
      </w:tr>
      <w:tr>
        <w:trPr>
          <w:trHeight w:val="216"/>
        </w:trPr>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(199)</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1320" w:type="dxa"/>
            <w:vAlign w:val="bottom"/>
          </w:tcPr>
          <w:p>
            <w:pPr>
              <w:jc w:val="right"/>
              <w:spacing w:after="0"/>
              <w:rPr>
                <w:sz w:val="20"/>
                <w:szCs w:val="20"/>
                <w:color w:val="auto"/>
              </w:rPr>
            </w:pPr>
            <w:r>
              <w:rPr>
                <w:rFonts w:ascii="Arial" w:cs="Arial" w:eastAsia="Arial" w:hAnsi="Arial"/>
                <w:sz w:val="16"/>
                <w:szCs w:val="16"/>
                <w:color w:val="auto"/>
              </w:rPr>
              <w:t>14,120</w:t>
            </w:r>
          </w:p>
        </w:tc>
        <w:tc>
          <w:tcPr>
            <w:tcW w:w="12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(1,319)</w:t>
            </w:r>
          </w:p>
        </w:tc>
      </w:tr>
      <w:tr>
        <w:trPr>
          <w:trHeight w:val="199"/>
        </w:trPr>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64,201</w:t>
            </w:r>
          </w:p>
        </w:tc>
        <w:tc>
          <w:tcPr>
            <w:tcW w:w="120" w:type="dxa"/>
            <w:vAlign w:val="bottom"/>
          </w:tcPr>
          <w:p>
            <w:pPr>
              <w:spacing w:after="0"/>
              <w:rPr>
                <w:sz w:val="17"/>
                <w:szCs w:val="17"/>
                <w:color w:val="auto"/>
              </w:rPr>
            </w:pP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64,131</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2">
            <w:col w:w="7640" w:space="720"/>
            <w:col w:w="2880"/>
          </w:cols>
          <w:pgMar w:left="320" w:top="909" w:right="3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Reconciliation of Profit to Adjusted Profit:</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(Amounts expressed in thousands of U.S. Dollars)</w:t>
      </w:r>
    </w:p>
    <w:p>
      <w:pPr>
        <w:sectPr>
          <w:pgSz w:w="11900" w:h="16838" w:orient="portrait"/>
          <w:cols w:equalWidth="0" w:num="1">
            <w:col w:w="11180"/>
          </w:cols>
          <w:pgMar w:left="320" w:top="90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Profit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06374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Non-cash loss/(gain) on derivatives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6374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63740" cy="14541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Reconciliation of Profit to EPU and Adjusted EPU:</w:t>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(Amounts expressed in thousands of U.S. Dollars)</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For the 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2020</w:t>
            </w:r>
          </w:p>
        </w:tc>
        <w:tc>
          <w:tcPr>
            <w:tcW w:w="138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March 31, 2021</w:t>
            </w:r>
          </w:p>
        </w:tc>
      </w:tr>
      <w:tr>
        <w:trPr>
          <w:trHeight w:val="205"/>
        </w:trPr>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14,169</w:t>
            </w:r>
          </w:p>
        </w:tc>
        <w:tc>
          <w:tcPr>
            <w:tcW w:w="12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35,360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1320" w:type="dxa"/>
            <w:vAlign w:val="bottom"/>
          </w:tcPr>
          <w:p>
            <w:pPr>
              <w:jc w:val="right"/>
              <w:spacing w:after="0"/>
              <w:rPr>
                <w:sz w:val="20"/>
                <w:szCs w:val="20"/>
                <w:color w:val="auto"/>
              </w:rPr>
            </w:pPr>
            <w:r>
              <w:rPr>
                <w:rFonts w:ascii="Arial" w:cs="Arial" w:eastAsia="Arial" w:hAnsi="Arial"/>
                <w:sz w:val="16"/>
                <w:szCs w:val="16"/>
                <w:color w:val="auto"/>
              </w:rPr>
              <w:t>13,652</w:t>
            </w:r>
          </w:p>
        </w:tc>
        <w:tc>
          <w:tcPr>
            <w:tcW w:w="1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(3,607)</w:t>
            </w:r>
          </w:p>
        </w:tc>
      </w:tr>
      <w:tr>
        <w:trPr>
          <w:trHeight w:val="199"/>
        </w:trPr>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27,821</w:t>
            </w:r>
          </w:p>
        </w:tc>
        <w:tc>
          <w:tcPr>
            <w:tcW w:w="120" w:type="dxa"/>
            <w:vAlign w:val="bottom"/>
          </w:tcPr>
          <w:p>
            <w:pPr>
              <w:spacing w:after="0"/>
              <w:rPr>
                <w:sz w:val="17"/>
                <w:szCs w:val="17"/>
                <w:color w:val="auto"/>
              </w:rPr>
            </w:pP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31,753</w:t>
            </w:r>
          </w:p>
        </w:tc>
        <w:tc>
          <w:tcPr>
            <w:tcW w:w="20" w:type="dxa"/>
            <w:vAlign w:val="bottom"/>
          </w:tcPr>
          <w:p>
            <w:pPr>
              <w:spacing w:after="0"/>
              <w:rPr>
                <w:sz w:val="17"/>
                <w:szCs w:val="17"/>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85" w:lineRule="exact"/>
        <w:rPr>
          <w:sz w:val="20"/>
          <w:szCs w:val="20"/>
          <w:color w:val="auto"/>
        </w:rPr>
      </w:pPr>
    </w:p>
    <w:p>
      <w:pPr>
        <w:sectPr>
          <w:pgSz w:w="11900" w:h="16838" w:orient="portrait"/>
          <w:cols w:equalWidth="0" w:num="2">
            <w:col w:w="7640" w:space="720"/>
            <w:col w:w="2820"/>
          </w:cols>
          <w:pgMar w:left="320" w:top="909" w:right="399" w:bottom="1440"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2820" w:type="dxa"/>
            <w:vAlign w:val="bottom"/>
            <w:gridSpan w:val="4"/>
          </w:tcPr>
          <w:p>
            <w:pPr>
              <w:ind w:left="420"/>
              <w:spacing w:after="0"/>
              <w:rPr>
                <w:sz w:val="20"/>
                <w:szCs w:val="20"/>
                <w:color w:val="auto"/>
              </w:rPr>
            </w:pPr>
            <w:r>
              <w:rPr>
                <w:rFonts w:ascii="Arial" w:cs="Arial" w:eastAsia="Arial" w:hAnsi="Arial"/>
                <w:sz w:val="16"/>
                <w:szCs w:val="16"/>
                <w:b w:val="1"/>
                <w:bCs w:val="1"/>
                <w:color w:val="auto"/>
              </w:rPr>
              <w:t>For the three months ended</w:t>
            </w:r>
          </w:p>
        </w:tc>
      </w:tr>
      <w:tr>
        <w:trPr>
          <w:trHeight w:val="229"/>
        </w:trPr>
        <w:tc>
          <w:tcPr>
            <w:tcW w:w="836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March 31, 2020</w:t>
            </w:r>
          </w:p>
        </w:tc>
        <w:tc>
          <w:tcPr>
            <w:tcW w:w="13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2021</w:t>
            </w:r>
          </w:p>
        </w:tc>
      </w:tr>
      <w:tr>
        <w:trPr>
          <w:trHeight w:val="203"/>
        </w:trPr>
        <w:tc>
          <w:tcPr>
            <w:tcW w:w="8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14,169</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35,360</w:t>
            </w:r>
          </w:p>
        </w:tc>
        <w:tc>
          <w:tcPr>
            <w:tcW w:w="40" w:type="dxa"/>
            <w:vAlign w:val="bottom"/>
          </w:tcPr>
          <w:p>
            <w:pPr>
              <w:spacing w:after="0"/>
              <w:rPr>
                <w:sz w:val="17"/>
                <w:szCs w:val="17"/>
                <w:color w:val="auto"/>
              </w:rPr>
            </w:pPr>
          </w:p>
        </w:tc>
      </w:tr>
      <w:tr>
        <w:trPr>
          <w:trHeight w:val="213"/>
        </w:trPr>
        <w:tc>
          <w:tcPr>
            <w:tcW w:w="8360" w:type="dxa"/>
            <w:vAlign w:val="bottom"/>
          </w:tcPr>
          <w:p>
            <w:pPr>
              <w:spacing w:after="0"/>
              <w:rPr>
                <w:sz w:val="20"/>
                <w:szCs w:val="20"/>
                <w:color w:val="auto"/>
              </w:rPr>
            </w:pPr>
            <w:r>
              <w:rPr>
                <w:rFonts w:ascii="Arial" w:cs="Arial" w:eastAsia="Arial" w:hAnsi="Arial"/>
                <w:sz w:val="16"/>
                <w:szCs w:val="16"/>
                <w:color w:val="auto"/>
              </w:rPr>
              <w:t>Adjustment for:</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8360" w:type="dxa"/>
            <w:vAlign w:val="bottom"/>
            <w:shd w:val="clear" w:color="auto" w:fill="E5FFFF"/>
          </w:tcPr>
          <w:p>
            <w:pPr>
              <w:spacing w:after="0"/>
              <w:rPr>
                <w:sz w:val="20"/>
                <w:szCs w:val="20"/>
                <w:color w:val="auto"/>
              </w:rPr>
            </w:pPr>
            <w:r>
              <w:rPr>
                <w:rFonts w:ascii="Arial" w:cs="Arial" w:eastAsia="Arial" w:hAnsi="Arial"/>
                <w:sz w:val="16"/>
                <w:szCs w:val="16"/>
                <w:color w:val="auto"/>
              </w:rPr>
              <w:t>Paid and accrued preference unit distributions</w:t>
            </w: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(7,582)</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(7,582)</w:t>
            </w:r>
          </w:p>
        </w:tc>
        <w:tc>
          <w:tcPr>
            <w:tcW w:w="40" w:type="dxa"/>
            <w:vAlign w:val="bottom"/>
          </w:tcPr>
          <w:p>
            <w:pPr>
              <w:spacing w:after="0"/>
              <w:rPr>
                <w:sz w:val="19"/>
                <w:szCs w:val="19"/>
                <w:color w:val="auto"/>
              </w:rPr>
            </w:pPr>
          </w:p>
        </w:tc>
      </w:tr>
      <w:tr>
        <w:trPr>
          <w:trHeight w:val="236"/>
        </w:trPr>
        <w:tc>
          <w:tcPr>
            <w:tcW w:w="83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Partnership’s profit attributable to:</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6,587</w:t>
            </w:r>
          </w:p>
        </w:tc>
        <w:tc>
          <w:tcPr>
            <w:tcW w:w="120" w:type="dxa"/>
            <w:vAlign w:val="bottom"/>
            <w:tcBorders>
              <w:bottom w:val="single" w:sz="8" w:color="E5FFFF"/>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27,778</w:t>
            </w:r>
          </w:p>
        </w:tc>
        <w:tc>
          <w:tcPr>
            <w:tcW w:w="40" w:type="dxa"/>
            <w:vAlign w:val="bottom"/>
          </w:tcPr>
          <w:p>
            <w:pPr>
              <w:spacing w:after="0"/>
              <w:rPr>
                <w:sz w:val="20"/>
                <w:szCs w:val="20"/>
                <w:color w:val="auto"/>
              </w:rPr>
            </w:pPr>
          </w:p>
        </w:tc>
      </w:tr>
      <w:tr>
        <w:trPr>
          <w:trHeight w:val="183"/>
        </w:trPr>
        <w:tc>
          <w:tcPr>
            <w:tcW w:w="8360" w:type="dxa"/>
            <w:vAlign w:val="bottom"/>
            <w:shd w:val="clear" w:color="auto" w:fill="E5FFFF"/>
          </w:tcPr>
          <w:p>
            <w:pPr>
              <w:spacing w:after="0" w:line="166" w:lineRule="exact"/>
              <w:rPr>
                <w:sz w:val="20"/>
                <w:szCs w:val="20"/>
                <w:color w:val="auto"/>
              </w:rPr>
            </w:pPr>
            <w:r>
              <w:rPr>
                <w:rFonts w:ascii="Arial" w:cs="Arial" w:eastAsia="Arial" w:hAnsi="Arial"/>
                <w:sz w:val="16"/>
                <w:szCs w:val="16"/>
                <w:color w:val="auto"/>
              </w:rPr>
              <w:t>Common units</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6,446</w:t>
            </w:r>
          </w:p>
        </w:tc>
        <w:tc>
          <w:tcPr>
            <w:tcW w:w="120" w:type="dxa"/>
            <w:vAlign w:val="bottom"/>
            <w:shd w:val="clear" w:color="auto" w:fill="E5FFFF"/>
          </w:tcPr>
          <w:p>
            <w:pPr>
              <w:spacing w:after="0"/>
              <w:rPr>
                <w:sz w:val="15"/>
                <w:szCs w:val="15"/>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27,194</w:t>
            </w:r>
          </w:p>
        </w:tc>
        <w:tc>
          <w:tcPr>
            <w:tcW w:w="40" w:type="dxa"/>
            <w:vAlign w:val="bottom"/>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180"/>
          </w:cols>
          <w:pgMar w:left="320" w:top="909" w:right="399" w:bottom="1440" w:gutter="0" w:footer="0" w:header="0"/>
          <w:type w:val="continuous"/>
        </w:sectPr>
      </w:pPr>
    </w:p>
    <w:p>
      <w:pPr>
        <w:spacing w:after="0"/>
        <w:rPr>
          <w:sz w:val="20"/>
          <w:szCs w:val="20"/>
          <w:color w:val="auto"/>
        </w:rPr>
      </w:pPr>
      <w:r>
        <w:rPr>
          <w:rFonts w:ascii="Arial" w:cs="Arial" w:eastAsia="Arial" w:hAnsi="Arial"/>
          <w:sz w:val="16"/>
          <w:szCs w:val="16"/>
          <w:color w:val="auto"/>
        </w:rPr>
        <w:t>General partner units</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Weighted average units outstanding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06374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Common units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06374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EPU (basic)</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06374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 units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32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1340" w:type="dxa"/>
            <w:vAlign w:val="bottom"/>
          </w:tcPr>
          <w:p>
            <w:pPr>
              <w:jc w:val="right"/>
              <w:spacing w:after="0"/>
              <w:rPr>
                <w:sz w:val="20"/>
                <w:szCs w:val="20"/>
                <w:color w:val="auto"/>
              </w:rPr>
            </w:pPr>
            <w:r>
              <w:rPr>
                <w:rFonts w:ascii="Arial" w:cs="Arial" w:eastAsia="Arial" w:hAnsi="Arial"/>
                <w:sz w:val="16"/>
                <w:szCs w:val="16"/>
                <w:color w:val="auto"/>
              </w:rPr>
              <w:t>584</w:t>
            </w:r>
          </w:p>
        </w:tc>
      </w:tr>
      <w:tr>
        <w:trPr>
          <w:trHeight w:val="432"/>
        </w:trPr>
        <w:tc>
          <w:tcPr>
            <w:tcW w:w="1320" w:type="dxa"/>
            <w:vAlign w:val="bottom"/>
          </w:tcPr>
          <w:p>
            <w:pPr>
              <w:jc w:val="right"/>
              <w:ind w:right="39"/>
              <w:spacing w:after="0"/>
              <w:rPr>
                <w:sz w:val="20"/>
                <w:szCs w:val="20"/>
                <w:color w:val="auto"/>
              </w:rPr>
            </w:pPr>
            <w:r>
              <w:rPr>
                <w:rFonts w:ascii="Arial" w:cs="Arial" w:eastAsia="Arial" w:hAnsi="Arial"/>
                <w:sz w:val="16"/>
                <w:szCs w:val="16"/>
                <w:color w:val="auto"/>
              </w:rPr>
              <w:t>46,764,077</w:t>
            </w:r>
          </w:p>
        </w:tc>
        <w:tc>
          <w:tcPr>
            <w:tcW w:w="1340" w:type="dxa"/>
            <w:vAlign w:val="bottom"/>
          </w:tcPr>
          <w:p>
            <w:pPr>
              <w:jc w:val="right"/>
              <w:spacing w:after="0"/>
              <w:rPr>
                <w:sz w:val="20"/>
                <w:szCs w:val="20"/>
                <w:color w:val="auto"/>
              </w:rPr>
            </w:pPr>
            <w:r>
              <w:rPr>
                <w:rFonts w:ascii="Arial" w:cs="Arial" w:eastAsia="Arial" w:hAnsi="Arial"/>
                <w:sz w:val="16"/>
                <w:szCs w:val="16"/>
                <w:color w:val="auto"/>
              </w:rPr>
              <w:t>47,517,824</w:t>
            </w:r>
          </w:p>
        </w:tc>
      </w:tr>
      <w:tr>
        <w:trPr>
          <w:trHeight w:val="216"/>
        </w:trPr>
        <w:tc>
          <w:tcPr>
            <w:tcW w:w="1320" w:type="dxa"/>
            <w:vAlign w:val="bottom"/>
          </w:tcPr>
          <w:p>
            <w:pPr>
              <w:jc w:val="right"/>
              <w:ind w:right="39"/>
              <w:spacing w:after="0"/>
              <w:rPr>
                <w:sz w:val="20"/>
                <w:szCs w:val="20"/>
                <w:color w:val="auto"/>
              </w:rPr>
            </w:pPr>
            <w:r>
              <w:rPr>
                <w:rFonts w:ascii="Arial" w:cs="Arial" w:eastAsia="Arial" w:hAnsi="Arial"/>
                <w:sz w:val="16"/>
                <w:szCs w:val="16"/>
                <w:color w:val="auto"/>
              </w:rPr>
              <w:t>1,021,336</w:t>
            </w:r>
          </w:p>
        </w:tc>
        <w:tc>
          <w:tcPr>
            <w:tcW w:w="1340" w:type="dxa"/>
            <w:vAlign w:val="bottom"/>
          </w:tcPr>
          <w:p>
            <w:pPr>
              <w:jc w:val="right"/>
              <w:spacing w:after="0"/>
              <w:rPr>
                <w:sz w:val="20"/>
                <w:szCs w:val="20"/>
                <w:color w:val="auto"/>
              </w:rPr>
            </w:pPr>
            <w:r>
              <w:rPr>
                <w:rFonts w:ascii="Arial" w:cs="Arial" w:eastAsia="Arial" w:hAnsi="Arial"/>
                <w:sz w:val="16"/>
                <w:szCs w:val="16"/>
                <w:color w:val="auto"/>
              </w:rPr>
              <w:t>1,021,336</w:t>
            </w:r>
          </w:p>
        </w:tc>
      </w:tr>
      <w:tr>
        <w:trPr>
          <w:trHeight w:val="432"/>
        </w:trPr>
        <w:tc>
          <w:tcPr>
            <w:tcW w:w="1320" w:type="dxa"/>
            <w:vAlign w:val="bottom"/>
          </w:tcPr>
          <w:p>
            <w:pPr>
              <w:jc w:val="right"/>
              <w:ind w:right="39"/>
              <w:spacing w:after="0"/>
              <w:rPr>
                <w:sz w:val="20"/>
                <w:szCs w:val="20"/>
                <w:color w:val="auto"/>
              </w:rPr>
            </w:pPr>
            <w:r>
              <w:rPr>
                <w:rFonts w:ascii="Arial" w:cs="Arial" w:eastAsia="Arial" w:hAnsi="Arial"/>
                <w:sz w:val="16"/>
                <w:szCs w:val="16"/>
                <w:color w:val="auto"/>
              </w:rPr>
              <w:t>0.14</w:t>
            </w:r>
          </w:p>
        </w:tc>
        <w:tc>
          <w:tcPr>
            <w:tcW w:w="1340" w:type="dxa"/>
            <w:vAlign w:val="bottom"/>
          </w:tcPr>
          <w:p>
            <w:pPr>
              <w:jc w:val="right"/>
              <w:spacing w:after="0"/>
              <w:rPr>
                <w:sz w:val="20"/>
                <w:szCs w:val="20"/>
                <w:color w:val="auto"/>
              </w:rPr>
            </w:pPr>
            <w:r>
              <w:rPr>
                <w:rFonts w:ascii="Arial" w:cs="Arial" w:eastAsia="Arial" w:hAnsi="Arial"/>
                <w:sz w:val="16"/>
                <w:szCs w:val="16"/>
                <w:color w:val="auto"/>
              </w:rPr>
              <w:t>0.57</w:t>
            </w:r>
          </w:p>
        </w:tc>
      </w:tr>
      <w:tr>
        <w:trPr>
          <w:trHeight w:val="216"/>
        </w:trPr>
        <w:tc>
          <w:tcPr>
            <w:tcW w:w="1320" w:type="dxa"/>
            <w:vAlign w:val="bottom"/>
          </w:tcPr>
          <w:p>
            <w:pPr>
              <w:jc w:val="right"/>
              <w:ind w:right="39"/>
              <w:spacing w:after="0"/>
              <w:rPr>
                <w:sz w:val="20"/>
                <w:szCs w:val="20"/>
                <w:color w:val="auto"/>
              </w:rPr>
            </w:pPr>
            <w:r>
              <w:rPr>
                <w:rFonts w:ascii="Arial" w:cs="Arial" w:eastAsia="Arial" w:hAnsi="Arial"/>
                <w:sz w:val="16"/>
                <w:szCs w:val="16"/>
                <w:color w:val="auto"/>
              </w:rPr>
              <w:t>0.14</w:t>
            </w:r>
          </w:p>
        </w:tc>
        <w:tc>
          <w:tcPr>
            <w:tcW w:w="1340" w:type="dxa"/>
            <w:vAlign w:val="bottom"/>
          </w:tcPr>
          <w:p>
            <w:pPr>
              <w:jc w:val="right"/>
              <w:spacing w:after="0"/>
              <w:rPr>
                <w:sz w:val="20"/>
                <w:szCs w:val="20"/>
                <w:color w:val="auto"/>
              </w:rPr>
            </w:pPr>
            <w:r>
              <w:rPr>
                <w:rFonts w:ascii="Arial" w:cs="Arial" w:eastAsia="Arial" w:hAnsi="Arial"/>
                <w:sz w:val="16"/>
                <w:szCs w:val="16"/>
                <w:color w:val="auto"/>
              </w:rPr>
              <w:t>0.57</w:t>
            </w:r>
          </w:p>
        </w:tc>
      </w:tr>
      <w:tr>
        <w:trPr>
          <w:trHeight w:val="418"/>
        </w:trPr>
        <w:tc>
          <w:tcPr>
            <w:tcW w:w="266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For the three months ended</w:t>
            </w:r>
          </w:p>
        </w:tc>
      </w:tr>
      <w:tr>
        <w:trPr>
          <w:trHeight w:val="216"/>
        </w:trPr>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w w:val="93"/>
              </w:rPr>
              <w:t>March 31, 2020</w:t>
            </w:r>
          </w:p>
        </w:tc>
        <w:tc>
          <w:tcPr>
            <w:tcW w:w="1340" w:type="dxa"/>
            <w:vAlign w:val="bottom"/>
          </w:tcPr>
          <w:p>
            <w:pPr>
              <w:jc w:val="right"/>
              <w:ind w:right="59"/>
              <w:spacing w:after="0"/>
              <w:rPr>
                <w:sz w:val="20"/>
                <w:szCs w:val="20"/>
                <w:color w:val="auto"/>
              </w:rPr>
            </w:pPr>
            <w:r>
              <w:rPr>
                <w:rFonts w:ascii="Arial" w:cs="Arial" w:eastAsia="Arial" w:hAnsi="Arial"/>
                <w:sz w:val="16"/>
                <w:szCs w:val="16"/>
                <w:b w:val="1"/>
                <w:bCs w:val="1"/>
                <w:color w:val="auto"/>
              </w:rPr>
              <w:t>March 31, 2021</w:t>
            </w:r>
          </w:p>
        </w:tc>
      </w:tr>
    </w:tbl>
    <w:p>
      <w:pPr>
        <w:spacing w:after="0" w:line="1" w:lineRule="exact"/>
        <w:rPr>
          <w:sz w:val="20"/>
          <w:szCs w:val="20"/>
          <w:color w:val="auto"/>
        </w:rPr>
      </w:pPr>
    </w:p>
    <w:p>
      <w:pPr>
        <w:sectPr>
          <w:pgSz w:w="11900" w:h="16838" w:orient="portrait"/>
          <w:cols w:equalWidth="0" w:num="2">
            <w:col w:w="7760" w:space="720"/>
            <w:col w:w="2700"/>
          </w:cols>
          <w:pgMar w:left="320" w:top="909" w:right="3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14,169</w:t>
            </w:r>
          </w:p>
        </w:tc>
        <w:tc>
          <w:tcPr>
            <w:tcW w:w="1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35,360</w:t>
            </w:r>
          </w:p>
        </w:tc>
        <w:tc>
          <w:tcPr>
            <w:tcW w:w="40" w:type="dxa"/>
            <w:vAlign w:val="bottom"/>
          </w:tcPr>
          <w:p>
            <w:pPr>
              <w:spacing w:after="0"/>
              <w:rPr>
                <w:sz w:val="18"/>
                <w:szCs w:val="18"/>
                <w:color w:val="auto"/>
              </w:rPr>
            </w:pPr>
          </w:p>
        </w:tc>
      </w:tr>
      <w:tr>
        <w:trPr>
          <w:trHeight w:val="213"/>
        </w:trPr>
        <w:tc>
          <w:tcPr>
            <w:tcW w:w="8360" w:type="dxa"/>
            <w:vAlign w:val="bottom"/>
          </w:tcPr>
          <w:p>
            <w:pPr>
              <w:spacing w:after="0"/>
              <w:rPr>
                <w:sz w:val="20"/>
                <w:szCs w:val="20"/>
                <w:color w:val="auto"/>
              </w:rPr>
            </w:pPr>
            <w:r>
              <w:rPr>
                <w:rFonts w:ascii="Arial" w:cs="Arial" w:eastAsia="Arial" w:hAnsi="Arial"/>
                <w:sz w:val="16"/>
                <w:szCs w:val="16"/>
                <w:color w:val="auto"/>
              </w:rPr>
              <w:t>Adjustment for:</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8360" w:type="dxa"/>
            <w:vAlign w:val="bottom"/>
            <w:shd w:val="clear" w:color="auto" w:fill="E5FFFF"/>
          </w:tcPr>
          <w:p>
            <w:pPr>
              <w:spacing w:after="0"/>
              <w:rPr>
                <w:sz w:val="20"/>
                <w:szCs w:val="20"/>
                <w:color w:val="auto"/>
              </w:rPr>
            </w:pPr>
            <w:r>
              <w:rPr>
                <w:rFonts w:ascii="Arial" w:cs="Arial" w:eastAsia="Arial" w:hAnsi="Arial"/>
                <w:sz w:val="16"/>
                <w:szCs w:val="16"/>
                <w:color w:val="auto"/>
              </w:rPr>
              <w:t>Paid and accrued preference unit distributions</w:t>
            </w: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(7,582)</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(7,582)</w:t>
            </w:r>
          </w:p>
        </w:tc>
        <w:tc>
          <w:tcPr>
            <w:tcW w:w="40" w:type="dxa"/>
            <w:vAlign w:val="bottom"/>
          </w:tcPr>
          <w:p>
            <w:pPr>
              <w:spacing w:after="0"/>
              <w:rPr>
                <w:sz w:val="19"/>
                <w:szCs w:val="19"/>
                <w:color w:val="auto"/>
              </w:rPr>
            </w:pPr>
          </w:p>
        </w:tc>
      </w:tr>
      <w:tr>
        <w:trPr>
          <w:trHeight w:val="196"/>
        </w:trPr>
        <w:tc>
          <w:tcPr>
            <w:tcW w:w="83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Partnership’s profit used in EPU calculation</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6,587</w:t>
            </w:r>
          </w:p>
        </w:tc>
        <w:tc>
          <w:tcPr>
            <w:tcW w:w="12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27,778</w:t>
            </w:r>
          </w:p>
        </w:tc>
        <w:tc>
          <w:tcPr>
            <w:tcW w:w="40" w:type="dxa"/>
            <w:vAlign w:val="bottom"/>
          </w:tcPr>
          <w:p>
            <w:pPr>
              <w:spacing w:after="0"/>
              <w:rPr>
                <w:sz w:val="17"/>
                <w:szCs w:val="17"/>
                <w:color w:val="auto"/>
              </w:rPr>
            </w:pPr>
          </w:p>
        </w:tc>
      </w:tr>
      <w:tr>
        <w:trPr>
          <w:trHeight w:val="196"/>
        </w:trPr>
        <w:tc>
          <w:tcPr>
            <w:tcW w:w="8360" w:type="dxa"/>
            <w:vAlign w:val="bottom"/>
            <w:shd w:val="clear" w:color="auto" w:fill="E5FFFF"/>
          </w:tcPr>
          <w:p>
            <w:pPr>
              <w:spacing w:after="0"/>
              <w:rPr>
                <w:sz w:val="20"/>
                <w:szCs w:val="20"/>
                <w:color w:val="auto"/>
              </w:rPr>
            </w:pPr>
            <w:r>
              <w:rPr>
                <w:rFonts w:ascii="Arial" w:cs="Arial" w:eastAsia="Arial" w:hAnsi="Arial"/>
                <w:sz w:val="16"/>
                <w:szCs w:val="16"/>
                <w:color w:val="auto"/>
              </w:rPr>
              <w:t>Non-cash loss/(gain) on derivatives</w:t>
            </w: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13,652</w:t>
            </w:r>
          </w:p>
        </w:tc>
        <w:tc>
          <w:tcPr>
            <w:tcW w:w="12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(3,607)</w:t>
            </w:r>
          </w:p>
        </w:tc>
        <w:tc>
          <w:tcPr>
            <w:tcW w:w="40" w:type="dxa"/>
            <w:vAlign w:val="bottom"/>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180"/>
          </w:cols>
          <w:pgMar w:left="320" w:top="909" w:right="39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Adjusted Partnership’s profit used in EPU calculation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6374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63740" cy="14605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Common units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 units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Weighted average units outstanding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06374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Common units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06374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EPU (basic)</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06374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 units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20,239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12065</wp:posOffset>
            </wp:positionV>
            <wp:extent cx="8483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19,805</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4"/>
          <w:szCs w:val="14"/>
          <w:color w:val="auto"/>
        </w:rPr>
        <w:t>434</w:t>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46,764,077</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1,021,336</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0.42</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0.42</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Arial" w:cs="Arial" w:eastAsia="Arial" w:hAnsi="Arial"/>
          <w:sz w:val="16"/>
          <w:szCs w:val="16"/>
          <w:b w:val="1"/>
          <w:bCs w:val="1"/>
          <w:color w:val="auto"/>
        </w:rPr>
        <w:t>24,171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12065</wp:posOffset>
            </wp:positionV>
            <wp:extent cx="8483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23,662</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509</w:t>
      </w:r>
    </w:p>
    <w:p>
      <w:pPr>
        <w:spacing w:after="0" w:line="260"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47,517,824</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1,021,336</w:t>
      </w:r>
    </w:p>
    <w:p>
      <w:pPr>
        <w:spacing w:after="0" w:line="248"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0.50</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0.50</w:t>
      </w:r>
    </w:p>
    <w:p>
      <w:pPr>
        <w:spacing w:after="0" w:line="200" w:lineRule="exact"/>
        <w:rPr>
          <w:sz w:val="20"/>
          <w:szCs w:val="20"/>
          <w:color w:val="auto"/>
        </w:rPr>
      </w:pPr>
    </w:p>
    <w:p>
      <w:pPr>
        <w:sectPr>
          <w:pgSz w:w="11900" w:h="16838" w:orient="portrait"/>
          <w:cols w:equalWidth="0" w:num="3">
            <w:col w:w="8240" w:space="720"/>
            <w:col w:w="720" w:space="720"/>
            <w:col w:w="780"/>
          </w:cols>
          <w:pgMar w:left="320" w:top="909" w:right="399" w:bottom="1440" w:gutter="0" w:footer="0" w:header="0"/>
          <w:type w:val="continuous"/>
        </w:sect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9" w:right="39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6"/>
          <w:szCs w:val="16"/>
          <w:b w:val="1"/>
          <w:bCs w:val="1"/>
          <w:color w:val="auto"/>
        </w:rPr>
        <w:t>Exhibit 99.2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Financial Report for the Three Months Ended March 31, 2021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w:t>
      </w:r>
    </w:p>
    <w:p>
      <w:pPr>
        <w:spacing w:after="0" w:line="239" w:lineRule="exact"/>
        <w:rPr>
          <w:sz w:val="20"/>
          <w:szCs w:val="20"/>
          <w:color w:val="auto"/>
        </w:rPr>
      </w:pPr>
    </w:p>
    <w:p>
      <w:pPr>
        <w:ind w:right="60" w:firstLine="324"/>
        <w:spacing w:after="0" w:line="289" w:lineRule="auto"/>
        <w:rPr>
          <w:sz w:val="20"/>
          <w:szCs w:val="20"/>
          <w:color w:val="auto"/>
        </w:rPr>
      </w:pPr>
      <w:r>
        <w:rPr>
          <w:rFonts w:ascii="Arial" w:cs="Arial" w:eastAsia="Arial" w:hAnsi="Arial"/>
          <w:sz w:val="15"/>
          <w:szCs w:val="15"/>
          <w:color w:val="auto"/>
        </w:rPr>
        <w:t>The following is a discussion of our financial condition and results of operations for the three-month periods ended March 31, 2021 and March 31, 2020. References to “GasLog Partners”, “we”, “our”, “us” and “the Partnership” or similar terms refer to GasLog Partners LP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operations, please see our Annual Report on Form 20-F filed with the United States Securities Exchange Commission (the “SEC”) on March 2, 2021.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9" w:lineRule="exact"/>
        <w:rPr>
          <w:sz w:val="20"/>
          <w:szCs w:val="20"/>
          <w:color w:val="auto"/>
        </w:rPr>
      </w:pPr>
    </w:p>
    <w:p>
      <w:pPr>
        <w:ind w:right="80" w:firstLine="324"/>
        <w:spacing w:after="0" w:line="268" w:lineRule="auto"/>
        <w:rPr>
          <w:sz w:val="20"/>
          <w:szCs w:val="20"/>
          <w:color w:val="auto"/>
        </w:rPr>
      </w:pPr>
      <w:r>
        <w:rPr>
          <w:rFonts w:ascii="Arial" w:cs="Arial" w:eastAsia="Arial" w:hAnsi="Arial"/>
          <w:sz w:val="16"/>
          <w:szCs w:val="16"/>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and the impact of changes to our cash distributions on the Partnership’s business and growth prospects, plans, strategies, business prospects and changes and trends in our business and the markets in which we operate. We caution that these forward-looking statements represent our estimates and assumptions only as of the date of this report,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35" w:lineRule="exact"/>
        <w:rPr>
          <w:sz w:val="20"/>
          <w:szCs w:val="20"/>
          <w:color w:val="auto"/>
        </w:rPr>
      </w:pPr>
    </w:p>
    <w:p>
      <w:pPr>
        <w:ind w:left="660" w:right="80" w:hanging="328"/>
        <w:spacing w:after="0" w:line="304"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general liquefied natural gas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fluctuations in charter hire rates, vessel utilization and vessel values;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secure new multi-year charters at economically attractive rates;</w:t>
      </w:r>
    </w:p>
    <w:p>
      <w:pPr>
        <w:spacing w:after="0" w:line="18" w:lineRule="exact"/>
        <w:rPr>
          <w:rFonts w:ascii="Arial" w:cs="Arial" w:eastAsia="Arial" w:hAnsi="Arial"/>
          <w:sz w:val="16"/>
          <w:szCs w:val="16"/>
          <w:color w:val="auto"/>
        </w:rPr>
      </w:pPr>
    </w:p>
    <w:p>
      <w:pPr>
        <w:jc w:val="both"/>
        <w:ind w:left="660" w:right="180" w:hanging="328"/>
        <w:spacing w:after="0" w:line="264"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planned capital expenditures and availability of capital resources to fund capital expenditures;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disruption to the LNG, LNG shipping and financial markets caused by the global shutdown as a result of the COVID-19 pandemic;</w:t>
      </w:r>
    </w:p>
    <w:p>
      <w:pPr>
        <w:spacing w:after="0" w:line="18" w:lineRule="exact"/>
        <w:rPr>
          <w:rFonts w:ascii="Arial" w:cs="Arial" w:eastAsia="Arial" w:hAnsi="Arial"/>
          <w:sz w:val="16"/>
          <w:szCs w:val="16"/>
          <w:color w:val="auto"/>
        </w:rPr>
      </w:pPr>
    </w:p>
    <w:p>
      <w:pPr>
        <w:ind w:left="660" w:right="40" w:hanging="328"/>
        <w:spacing w:after="0" w:line="264"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business disruptions resulting from measures taken to reduce the spread of COVID-19, including possible delays due to the quarantine of vessels and crew, as well as government-imposed shutdowns;</w:t>
      </w: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fluctuations in prices for crude oil, petroleum products and natural gas, including LNG;</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fluctuations in exchange rates, especially the U.S. dollar and the Euro;</w:t>
      </w:r>
    </w:p>
    <w:p>
      <w:pPr>
        <w:spacing w:after="0" w:line="18" w:lineRule="exact"/>
        <w:rPr>
          <w:rFonts w:ascii="Arial" w:cs="Arial" w:eastAsia="Arial" w:hAnsi="Arial"/>
          <w:sz w:val="16"/>
          <w:szCs w:val="16"/>
          <w:color w:val="auto"/>
        </w:rPr>
      </w:pPr>
    </w:p>
    <w:p>
      <w:pPr>
        <w:ind w:left="660" w:right="380" w:hanging="328"/>
        <w:spacing w:after="0" w:line="264"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expand our portfolio by acquiring vessels through our drop-down pipeline with GasLog Ltd. (“GasLog”) or by acquiring other assets from third parties;</w:t>
      </w: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leverage GasLog’s relationships and reputation in the shipping industry;</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ability of GasLog to maintain long-term relationships with major energy companies and major LNG producers, marketers and consumers;</w:t>
      </w:r>
    </w:p>
    <w:p>
      <w:pPr>
        <w:spacing w:after="0" w:line="18" w:lineRule="exact"/>
        <w:rPr>
          <w:rFonts w:ascii="Arial" w:cs="Arial" w:eastAsia="Arial" w:hAnsi="Arial"/>
          <w:sz w:val="16"/>
          <w:szCs w:val="16"/>
          <w:color w:val="auto"/>
        </w:rPr>
      </w:pPr>
    </w:p>
    <w:p>
      <w:pPr>
        <w:ind w:left="660" w:right="160" w:hanging="328"/>
        <w:spacing w:after="0" w:line="264"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GasLog’s relationships with its employees and ship crews, its ability to retain key employees and provide services to us, and the availability of skilled labor, ship crews and management;</w:t>
      </w: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the ownership of our charterers;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customers’ performance of their obligations under our time charters and other contracts;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future operating performance, financial condition, liquidity and cash available for distributions;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distribution policy and our ability to make cash distributions on our units or the impact of cash distribution reductions on our financial position;</w:t>
      </w:r>
    </w:p>
    <w:p>
      <w:pPr>
        <w:spacing w:after="0" w:line="18" w:lineRule="exact"/>
        <w:rPr>
          <w:rFonts w:ascii="Arial" w:cs="Arial" w:eastAsia="Arial" w:hAnsi="Arial"/>
          <w:sz w:val="16"/>
          <w:szCs w:val="16"/>
          <w:color w:val="auto"/>
        </w:rPr>
      </w:pPr>
    </w:p>
    <w:p>
      <w:pPr>
        <w:ind w:left="660" w:right="220" w:hanging="328"/>
        <w:spacing w:after="0" w:line="264"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obtain debt and equity financing on acceptable terms to fund capital expenditures, acquisitions and other corporate activities, funding by banks of their financial commitments, funding by GasLog of the revolving credit facility and our ability to meet our restrictive covenants and other obligations under our credit facilities;</w:t>
      </w: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risks inherent in ship operation, including the discharge of pollutants;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impact on us and the shipping industry of environmental concerns, including climate change;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ind w:left="660" w:hanging="328"/>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w:t>
      </w:r>
    </w:p>
    <w:p>
      <w:pPr>
        <w:spacing w:after="0" w:line="33" w:lineRule="exact"/>
        <w:rPr>
          <w:rFonts w:ascii="Arial" w:cs="Arial" w:eastAsia="Arial" w:hAnsi="Arial"/>
          <w:sz w:val="15"/>
          <w:szCs w:val="15"/>
          <w:color w:val="auto"/>
        </w:rPr>
      </w:pPr>
    </w:p>
    <w:p>
      <w:pPr>
        <w:ind w:left="660" w:right="480" w:hanging="328"/>
        <w:spacing w:after="0" w:line="264"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requirements,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potential disruption of shipping routes due to accidents, diseases, pandemics, political events, piracy or acts by terrorists;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potential liability from future litigation; and</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 xml:space="preserve">other risks and uncertainties described in the Partnership’s Annual Report on Form 20-F filed with the SEC on March 2, 2021, available at </w:t>
      </w:r>
      <w:r>
        <w:rPr>
          <w:rFonts w:ascii="Arial" w:cs="Arial" w:eastAsia="Arial" w:hAnsi="Arial"/>
          <w:sz w:val="16"/>
          <w:szCs w:val="16"/>
          <w:color w:val="auto"/>
        </w:rPr>
        <w:t>http://www.sec.gov</w:t>
      </w:r>
      <w:r>
        <w:rPr>
          <w:rFonts w:ascii="Arial" w:cs="Arial" w:eastAsia="Arial" w:hAnsi="Arial"/>
          <w:sz w:val="15"/>
          <w:szCs w:val="15"/>
          <w:color w:val="auto"/>
        </w:rPr>
        <w:t>.</w:t>
      </w:r>
    </w:p>
    <w:p>
      <w:pPr>
        <w:spacing w:after="0" w:line="244" w:lineRule="exact"/>
        <w:rPr>
          <w:sz w:val="20"/>
          <w:szCs w:val="20"/>
          <w:color w:val="auto"/>
        </w:rPr>
      </w:pPr>
    </w:p>
    <w:p>
      <w:pPr>
        <w:ind w:right="120" w:firstLine="324"/>
        <w:spacing w:after="0" w:line="369" w:lineRule="auto"/>
        <w:rPr>
          <w:sz w:val="20"/>
          <w:szCs w:val="20"/>
          <w:color w:val="auto"/>
        </w:rPr>
      </w:pPr>
      <w:r>
        <w:rPr>
          <w:rFonts w:ascii="Arial" w:cs="Arial" w:eastAsia="Arial" w:hAnsi="Arial"/>
          <w:sz w:val="14"/>
          <w:szCs w:val="14"/>
          <w:color w:val="auto"/>
        </w:rPr>
        <w:t>The declaration and payment of distributions are at all times subject to the discretion of our board of directors and will depend on, amongst other things, the risks and uncertainties described above, restrictions in our credit facilities, the provisions of Marshall Islands law and such other factors as our board of directors may deem relevant.</w:t>
      </w:r>
    </w:p>
    <w:p>
      <w:pPr>
        <w:spacing w:after="0" w:line="126" w:lineRule="exact"/>
        <w:rPr>
          <w:sz w:val="20"/>
          <w:szCs w:val="20"/>
          <w:color w:val="auto"/>
        </w:rPr>
      </w:pPr>
    </w:p>
    <w:p>
      <w:pPr>
        <w:ind w:right="80" w:firstLine="324"/>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 Repurchase Programme</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three months ended March 31, 2021, there were no repurchases of the Partnership’s common units.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ATM Common Equity Offering Programme (“ATM Programme”)</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 issuances of common units were made in the three months ended March 31, 2021 under the Partnership’s ATM Programme.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Distribution</w:t>
      </w:r>
    </w:p>
    <w:p>
      <w:pPr>
        <w:spacing w:after="0" w:line="239" w:lineRule="exact"/>
        <w:rPr>
          <w:sz w:val="20"/>
          <w:szCs w:val="20"/>
          <w:color w:val="auto"/>
        </w:rPr>
      </w:pPr>
    </w:p>
    <w:p>
      <w:pPr>
        <w:ind w:right="40" w:firstLine="324"/>
        <w:spacing w:after="0" w:line="278" w:lineRule="auto"/>
        <w:rPr>
          <w:sz w:val="20"/>
          <w:szCs w:val="20"/>
          <w:color w:val="auto"/>
        </w:rPr>
      </w:pPr>
      <w:r>
        <w:rPr>
          <w:rFonts w:ascii="Arial" w:cs="Arial" w:eastAsia="Arial" w:hAnsi="Arial"/>
          <w:sz w:val="16"/>
          <w:szCs w:val="16"/>
          <w:color w:val="auto"/>
        </w:rPr>
        <w:t>On April 28, 2021, the board of directors of GasLog Partners approved and declared a quarterly cash distribution of $0.01 per common unit for the quarter ended March 31, 2021. The cash distribution is payable on May 13, 2021 to all unitholders of record as of May 10, 2021. The aggregate amount of the declared distribution will be $0.5 million based on the number of units issued and outstanding as of March 31, 2021.</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39" w:lineRule="exact"/>
        <w:rPr>
          <w:sz w:val="20"/>
          <w:szCs w:val="20"/>
          <w:color w:val="auto"/>
        </w:rPr>
      </w:pPr>
    </w:p>
    <w:p>
      <w:pPr>
        <w:ind w:right="40" w:firstLine="324"/>
        <w:spacing w:after="0" w:line="273" w:lineRule="auto"/>
        <w:rPr>
          <w:sz w:val="20"/>
          <w:szCs w:val="20"/>
          <w:color w:val="auto"/>
        </w:rPr>
      </w:pPr>
      <w:r>
        <w:rPr>
          <w:rFonts w:ascii="Arial" w:cs="Arial" w:eastAsia="Arial" w:hAnsi="Arial"/>
          <w:sz w:val="16"/>
          <w:szCs w:val="16"/>
          <w:color w:val="auto"/>
        </w:rPr>
        <w:t>Since our initial public offering (“IPO”) in May 2014, we have been a growth-oriented limited partnership focused on acquiring, owning and operating LNG carriers engaged in LNG transportation under multi-year charters, growing our fleet from three vessels at the time of our IPO to 15 today. We are now focusing our capital allocation on debt repayment, prioritizing balance sheet strength for 2021, in order to lower our cash break-evens, reduce our cost of capital and further enhance the Partnership’s competitive positioning.</w:t>
      </w:r>
    </w:p>
    <w:p>
      <w:pPr>
        <w:spacing w:after="0" w:line="189" w:lineRule="exact"/>
        <w:rPr>
          <w:sz w:val="20"/>
          <w:szCs w:val="20"/>
          <w:color w:val="auto"/>
        </w:rPr>
      </w:pPr>
    </w:p>
    <w:p>
      <w:pPr>
        <w:ind w:right="80" w:firstLine="324"/>
        <w:spacing w:after="0" w:line="269" w:lineRule="auto"/>
        <w:rPr>
          <w:sz w:val="20"/>
          <w:szCs w:val="20"/>
          <w:color w:val="auto"/>
        </w:rPr>
      </w:pPr>
      <w:r>
        <w:rPr>
          <w:rFonts w:ascii="Arial" w:cs="Arial" w:eastAsia="Arial" w:hAnsi="Arial"/>
          <w:sz w:val="16"/>
          <w:szCs w:val="16"/>
          <w:color w:val="auto"/>
        </w:rPr>
        <w:t>As of March 31, 2021, our fleet consisted of ten vessels with tri-fuel diesel electric (“TFDE”) propulsion and five steam turbine propulsion (“Steam”) vessels. We also have options and other rights under which we may acquire additional LNG carriers from GasLog, as described below. We believe that such options and rights could provide us with built-in growth opportunities, subject to certain conditions described below. We may also acquire vessels or other LNG infrastructure assets from shipyards or other owners. However, we cannot assure you that we will make any acquisition or that, as a consequence, we will successfully grow our distributions per common unit. Among other things, our ability to acquire any additional LNG carriers or other LNG infrastructure assets will be dependent upon our ability to raise additional equity and debt financing.</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Fleet</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fleet currently consists of the following vessels: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Cargo</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Capacity</w:t>
            </w:r>
          </w:p>
        </w:tc>
        <w:tc>
          <w:tcPr>
            <w:tcW w:w="13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Charterer (for</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(cubic meters</w:t>
            </w:r>
          </w:p>
        </w:tc>
        <w:tc>
          <w:tcPr>
            <w:tcW w:w="13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contracts of more</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Charter</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96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Year Built</w:t>
            </w: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“cbm”)</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than six months)</w:t>
            </w: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Propulsion</w:t>
            </w: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Expiration</w:t>
            </w: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Optional Period</w:t>
            </w:r>
          </w:p>
        </w:tc>
      </w:tr>
      <w:tr>
        <w:trPr>
          <w:trHeight w:val="199"/>
        </w:trPr>
        <w:tc>
          <w:tcPr>
            <w:tcW w:w="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w:t>
            </w:r>
          </w:p>
        </w:tc>
        <w:tc>
          <w:tcPr>
            <w:tcW w:w="2560" w:type="dxa"/>
            <w:vAlign w:val="bottom"/>
            <w:tcBorders>
              <w:top w:val="single" w:sz="8" w:color="auto"/>
            </w:tcBorders>
            <w:shd w:val="clear" w:color="auto" w:fill="E5FFFF"/>
          </w:tcPr>
          <w:p>
            <w:pPr>
              <w:ind w:left="80"/>
              <w:spacing w:after="0"/>
              <w:rPr>
                <w:sz w:val="20"/>
                <w:szCs w:val="20"/>
                <w:color w:val="auto"/>
              </w:rPr>
            </w:pPr>
            <w:r>
              <w:rPr>
                <w:rFonts w:ascii="Arial" w:cs="Arial" w:eastAsia="Arial" w:hAnsi="Arial"/>
                <w:sz w:val="16"/>
                <w:szCs w:val="16"/>
                <w:i w:val="1"/>
                <w:iCs w:val="1"/>
                <w:color w:val="auto"/>
              </w:rPr>
              <w:t>Methane Rita Andrea</w:t>
            </w:r>
          </w:p>
        </w:tc>
        <w:tc>
          <w:tcPr>
            <w:tcW w:w="12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2006</w:t>
            </w:r>
          </w:p>
        </w:tc>
        <w:tc>
          <w:tcPr>
            <w:tcW w:w="26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145,000</w:t>
            </w:r>
          </w:p>
        </w:tc>
        <w:tc>
          <w:tcPr>
            <w:tcW w:w="2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Spot Market</w:t>
            </w:r>
          </w:p>
        </w:tc>
        <w:tc>
          <w:tcPr>
            <w:tcW w:w="1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6"/>
              </w:rPr>
              <w:t>Steam</w:t>
            </w:r>
          </w:p>
        </w:tc>
        <w:tc>
          <w:tcPr>
            <w:tcW w:w="22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680" w:type="dxa"/>
            <w:vAlign w:val="bottom"/>
            <w:gridSpan w:val="2"/>
          </w:tcPr>
          <w:p>
            <w:pPr>
              <w:ind w:left="80"/>
              <w:spacing w:after="0"/>
              <w:rPr>
                <w:sz w:val="20"/>
                <w:szCs w:val="20"/>
                <w:color w:val="auto"/>
              </w:rPr>
            </w:pPr>
            <w:r>
              <w:rPr>
                <w:rFonts w:ascii="Arial" w:cs="Arial" w:eastAsia="Arial" w:hAnsi="Arial"/>
                <w:sz w:val="16"/>
                <w:szCs w:val="16"/>
                <w:i w:val="1"/>
                <w:iCs w:val="1"/>
                <w:color w:val="auto"/>
              </w:rPr>
              <w:t>Methane Heather Sally</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2007</w:t>
            </w:r>
          </w:p>
        </w:tc>
        <w:tc>
          <w:tcPr>
            <w:tcW w:w="2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3"/>
              </w:rPr>
              <w:t>145,000</w:t>
            </w:r>
          </w:p>
        </w:tc>
        <w:tc>
          <w:tcPr>
            <w:tcW w:w="2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Spot Market</w:t>
            </w: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color w:val="auto"/>
                <w:w w:val="86"/>
              </w:rPr>
              <w:t>Steam</w:t>
            </w: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r>
      <w:tr>
        <w:trPr>
          <w:trHeight w:val="203"/>
        </w:trPr>
        <w:tc>
          <w:tcPr>
            <w:tcW w:w="2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3</w:t>
            </w:r>
          </w:p>
        </w:tc>
        <w:tc>
          <w:tcPr>
            <w:tcW w:w="2680" w:type="dxa"/>
            <w:vAlign w:val="bottom"/>
            <w:gridSpan w:val="2"/>
            <w:shd w:val="clear" w:color="auto" w:fill="E5FFFF"/>
          </w:tcPr>
          <w:p>
            <w:pPr>
              <w:ind w:left="80"/>
              <w:spacing w:after="0"/>
              <w:rPr>
                <w:sz w:val="20"/>
                <w:szCs w:val="20"/>
                <w:color w:val="auto"/>
              </w:rPr>
            </w:pPr>
            <w:r>
              <w:rPr>
                <w:rFonts w:ascii="Arial" w:cs="Arial" w:eastAsia="Arial" w:hAnsi="Arial"/>
                <w:sz w:val="16"/>
                <w:szCs w:val="16"/>
                <w:i w:val="1"/>
                <w:iCs w:val="1"/>
                <w:color w:val="auto"/>
              </w:rPr>
              <w:t>GasLog Sydney</w:t>
            </w:r>
          </w:p>
        </w:tc>
        <w:tc>
          <w:tcPr>
            <w:tcW w:w="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2013</w:t>
            </w:r>
          </w:p>
        </w:tc>
        <w:tc>
          <w:tcPr>
            <w:tcW w:w="260" w:type="dxa"/>
            <w:vAlign w:val="bottom"/>
            <w:shd w:val="clear" w:color="auto" w:fill="E5FFFF"/>
          </w:tcPr>
          <w:p>
            <w:pPr>
              <w:spacing w:after="0"/>
              <w:rPr>
                <w:sz w:val="17"/>
                <w:szCs w:val="17"/>
                <w:color w:val="auto"/>
              </w:rPr>
            </w:pP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155,000</w:t>
            </w:r>
          </w:p>
        </w:tc>
        <w:tc>
          <w:tcPr>
            <w:tcW w:w="20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2"/>
              </w:rPr>
              <w:t>Spot Market</w:t>
            </w:r>
          </w:p>
        </w:tc>
        <w:tc>
          <w:tcPr>
            <w:tcW w:w="146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5"/>
              </w:rPr>
              <w:t>TFDE</w:t>
            </w:r>
          </w:p>
        </w:tc>
        <w:tc>
          <w:tcPr>
            <w:tcW w:w="144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9"/>
              </w:rPr>
              <w:t>—</w:t>
            </w:r>
          </w:p>
        </w:tc>
        <w:tc>
          <w:tcPr>
            <w:tcW w:w="14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9"/>
              </w:rPr>
              <w:t>—</w:t>
            </w:r>
          </w:p>
        </w:tc>
      </w:tr>
      <w:tr>
        <w:trPr>
          <w:trHeight w:val="203"/>
        </w:trPr>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680" w:type="dxa"/>
            <w:vAlign w:val="bottom"/>
            <w:gridSpan w:val="2"/>
          </w:tcPr>
          <w:p>
            <w:pPr>
              <w:ind w:left="80"/>
              <w:spacing w:after="0"/>
              <w:rPr>
                <w:sz w:val="20"/>
                <w:szCs w:val="20"/>
                <w:color w:val="auto"/>
              </w:rPr>
            </w:pPr>
            <w:r>
              <w:rPr>
                <w:rFonts w:ascii="Arial" w:cs="Arial" w:eastAsia="Arial" w:hAnsi="Arial"/>
                <w:sz w:val="16"/>
                <w:szCs w:val="16"/>
                <w:i w:val="1"/>
                <w:iCs w:val="1"/>
                <w:color w:val="auto"/>
              </w:rPr>
              <w:t>GasLog Seattle</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2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3"/>
              </w:rPr>
              <w:t>155,000</w:t>
            </w:r>
          </w:p>
        </w:tc>
        <w:tc>
          <w:tcPr>
            <w:tcW w:w="200" w:type="dxa"/>
            <w:vAlign w:val="bottom"/>
          </w:tcPr>
          <w:p>
            <w:pPr>
              <w:spacing w:after="0"/>
              <w:rPr>
                <w:sz w:val="17"/>
                <w:szCs w:val="17"/>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Shell</w:t>
            </w: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TFDE</w:t>
            </w: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July 2021</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r>
      <w:tr>
        <w:trPr>
          <w:trHeight w:val="202"/>
        </w:trPr>
        <w:tc>
          <w:tcPr>
            <w:tcW w:w="2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5</w:t>
            </w:r>
          </w:p>
        </w:tc>
        <w:tc>
          <w:tcPr>
            <w:tcW w:w="2680" w:type="dxa"/>
            <w:vAlign w:val="bottom"/>
            <w:gridSpan w:val="2"/>
            <w:shd w:val="clear" w:color="auto" w:fill="E5FFFF"/>
          </w:tcPr>
          <w:p>
            <w:pPr>
              <w:ind w:left="80"/>
              <w:spacing w:after="0"/>
              <w:rPr>
                <w:sz w:val="20"/>
                <w:szCs w:val="20"/>
                <w:color w:val="auto"/>
              </w:rPr>
            </w:pPr>
            <w:r>
              <w:rPr>
                <w:rFonts w:ascii="Arial" w:cs="Arial" w:eastAsia="Arial" w:hAnsi="Arial"/>
                <w:sz w:val="16"/>
                <w:szCs w:val="16"/>
                <w:i w:val="1"/>
                <w:iCs w:val="1"/>
                <w:color w:val="auto"/>
              </w:rPr>
              <w:t>Solaris</w:t>
            </w:r>
          </w:p>
        </w:tc>
        <w:tc>
          <w:tcPr>
            <w:tcW w:w="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2014</w:t>
            </w:r>
          </w:p>
        </w:tc>
        <w:tc>
          <w:tcPr>
            <w:tcW w:w="260" w:type="dxa"/>
            <w:vAlign w:val="bottom"/>
            <w:shd w:val="clear" w:color="auto" w:fill="E5FFFF"/>
          </w:tcPr>
          <w:p>
            <w:pPr>
              <w:spacing w:after="0"/>
              <w:rPr>
                <w:sz w:val="17"/>
                <w:szCs w:val="17"/>
                <w:color w:val="auto"/>
              </w:rPr>
            </w:pP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155,000</w:t>
            </w:r>
          </w:p>
        </w:tc>
        <w:tc>
          <w:tcPr>
            <w:tcW w:w="20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5"/>
              </w:rPr>
              <w:t>Shell</w:t>
            </w:r>
          </w:p>
        </w:tc>
        <w:tc>
          <w:tcPr>
            <w:tcW w:w="146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5"/>
              </w:rPr>
              <w:t>TFDE</w:t>
            </w:r>
          </w:p>
        </w:tc>
        <w:tc>
          <w:tcPr>
            <w:tcW w:w="144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3"/>
              </w:rPr>
              <w:t>August 2021</w:t>
            </w:r>
          </w:p>
        </w:tc>
        <w:tc>
          <w:tcPr>
            <w:tcW w:w="14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9"/>
              </w:rPr>
              <w:t>—</w:t>
            </w:r>
          </w:p>
        </w:tc>
      </w:tr>
      <w:tr>
        <w:trPr>
          <w:trHeight w:val="243"/>
        </w:trPr>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2680" w:type="dxa"/>
            <w:vAlign w:val="bottom"/>
            <w:gridSpan w:val="2"/>
          </w:tcPr>
          <w:p>
            <w:pPr>
              <w:ind w:left="80"/>
              <w:spacing w:after="0"/>
              <w:rPr>
                <w:sz w:val="20"/>
                <w:szCs w:val="20"/>
                <w:color w:val="auto"/>
              </w:rPr>
            </w:pPr>
            <w:r>
              <w:rPr>
                <w:rFonts w:ascii="Arial" w:cs="Arial" w:eastAsia="Arial" w:hAnsi="Arial"/>
                <w:sz w:val="16"/>
                <w:szCs w:val="16"/>
                <w:i w:val="1"/>
                <w:iCs w:val="1"/>
                <w:color w:val="auto"/>
              </w:rPr>
              <w:t>GasLog Santiago</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26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3"/>
              </w:rPr>
              <w:t>155,000</w:t>
            </w:r>
          </w:p>
        </w:tc>
        <w:tc>
          <w:tcPr>
            <w:tcW w:w="200" w:type="dxa"/>
            <w:vAlign w:val="bottom"/>
          </w:tcPr>
          <w:p>
            <w:pPr>
              <w:spacing w:after="0"/>
              <w:rPr>
                <w:sz w:val="21"/>
                <w:szCs w:val="21"/>
                <w:color w:val="auto"/>
              </w:rPr>
            </w:pPr>
          </w:p>
        </w:tc>
        <w:tc>
          <w:tcPr>
            <w:tcW w:w="1340" w:type="dxa"/>
            <w:vAlign w:val="bottom"/>
            <w:gridSpan w:val="2"/>
          </w:tcPr>
          <w:p>
            <w:pPr>
              <w:jc w:val="center"/>
              <w:ind w:right="100"/>
              <w:spacing w:after="0" w:line="243" w:lineRule="exact"/>
              <w:rPr>
                <w:sz w:val="20"/>
                <w:szCs w:val="20"/>
                <w:color w:val="auto"/>
              </w:rPr>
            </w:pPr>
            <w:r>
              <w:rPr>
                <w:rFonts w:ascii="Arial" w:cs="Arial" w:eastAsia="Arial" w:hAnsi="Arial"/>
                <w:sz w:val="16"/>
                <w:szCs w:val="16"/>
                <w:color w:val="auto"/>
                <w:w w:val="89"/>
              </w:rPr>
              <w:t xml:space="preserve">Trafigura </w:t>
            </w:r>
            <w:r>
              <w:rPr>
                <w:rFonts w:ascii="Arial" w:cs="Arial" w:eastAsia="Arial" w:hAnsi="Arial"/>
                <w:sz w:val="26"/>
                <w:szCs w:val="26"/>
                <w:color w:val="auto"/>
                <w:w w:val="89"/>
                <w:vertAlign w:val="superscript"/>
              </w:rPr>
              <w:t>(1)</w:t>
            </w: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TFDE</w:t>
            </w: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December 2021</w:t>
            </w:r>
          </w:p>
        </w:tc>
        <w:tc>
          <w:tcPr>
            <w:tcW w:w="1440" w:type="dxa"/>
            <w:vAlign w:val="bottom"/>
            <w:gridSpan w:val="2"/>
          </w:tcPr>
          <w:p>
            <w:pPr>
              <w:jc w:val="center"/>
              <w:ind w:right="120"/>
              <w:spacing w:after="0" w:line="243" w:lineRule="exact"/>
              <w:rPr>
                <w:sz w:val="20"/>
                <w:szCs w:val="20"/>
                <w:color w:val="auto"/>
              </w:rPr>
            </w:pPr>
            <w:r>
              <w:rPr>
                <w:rFonts w:ascii="Arial" w:cs="Arial" w:eastAsia="Arial" w:hAnsi="Arial"/>
                <w:sz w:val="16"/>
                <w:szCs w:val="16"/>
                <w:color w:val="auto"/>
                <w:w w:val="86"/>
              </w:rPr>
              <w:t xml:space="preserve">2022–2028 </w:t>
            </w:r>
            <w:r>
              <w:rPr>
                <w:rFonts w:ascii="Arial" w:cs="Arial" w:eastAsia="Arial" w:hAnsi="Arial"/>
                <w:sz w:val="26"/>
                <w:szCs w:val="26"/>
                <w:color w:val="auto"/>
                <w:w w:val="86"/>
                <w:vertAlign w:val="superscript"/>
              </w:rPr>
              <w:t>(1)</w:t>
            </w:r>
          </w:p>
        </w:tc>
      </w:tr>
      <w:tr>
        <w:trPr>
          <w:trHeight w:val="243"/>
        </w:trPr>
        <w:tc>
          <w:tcPr>
            <w:tcW w:w="2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7</w:t>
            </w:r>
          </w:p>
        </w:tc>
        <w:tc>
          <w:tcPr>
            <w:tcW w:w="2680" w:type="dxa"/>
            <w:vAlign w:val="bottom"/>
            <w:gridSpan w:val="2"/>
            <w:shd w:val="clear" w:color="auto" w:fill="E5FFFF"/>
          </w:tcPr>
          <w:p>
            <w:pPr>
              <w:ind w:left="80"/>
              <w:spacing w:after="0"/>
              <w:rPr>
                <w:sz w:val="20"/>
                <w:szCs w:val="20"/>
                <w:color w:val="auto"/>
              </w:rPr>
            </w:pPr>
            <w:r>
              <w:rPr>
                <w:rFonts w:ascii="Arial" w:cs="Arial" w:eastAsia="Arial" w:hAnsi="Arial"/>
                <w:sz w:val="16"/>
                <w:szCs w:val="16"/>
                <w:i w:val="1"/>
                <w:iCs w:val="1"/>
                <w:color w:val="auto"/>
              </w:rPr>
              <w:t>Methane Shirley Elisabeth</w:t>
            </w:r>
          </w:p>
        </w:tc>
        <w:tc>
          <w:tcPr>
            <w:tcW w:w="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2007</w:t>
            </w:r>
          </w:p>
        </w:tc>
        <w:tc>
          <w:tcPr>
            <w:tcW w:w="260" w:type="dxa"/>
            <w:vAlign w:val="bottom"/>
            <w:shd w:val="clear" w:color="auto" w:fill="E5FFFF"/>
          </w:tcPr>
          <w:p>
            <w:pPr>
              <w:spacing w:after="0"/>
              <w:rPr>
                <w:sz w:val="21"/>
                <w:szCs w:val="21"/>
                <w:color w:val="auto"/>
              </w:rPr>
            </w:pP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145,000</w:t>
            </w:r>
          </w:p>
        </w:tc>
        <w:tc>
          <w:tcPr>
            <w:tcW w:w="20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center"/>
              <w:ind w:right="80"/>
              <w:spacing w:after="0" w:line="243" w:lineRule="exact"/>
              <w:rPr>
                <w:sz w:val="20"/>
                <w:szCs w:val="20"/>
                <w:color w:val="auto"/>
              </w:rPr>
            </w:pPr>
            <w:r>
              <w:rPr>
                <w:rFonts w:ascii="Arial" w:cs="Arial" w:eastAsia="Arial" w:hAnsi="Arial"/>
                <w:sz w:val="16"/>
                <w:szCs w:val="16"/>
                <w:color w:val="auto"/>
                <w:w w:val="89"/>
              </w:rPr>
              <w:t xml:space="preserve">JOVO </w:t>
            </w:r>
            <w:r>
              <w:rPr>
                <w:rFonts w:ascii="Arial" w:cs="Arial" w:eastAsia="Arial" w:hAnsi="Arial"/>
                <w:sz w:val="26"/>
                <w:szCs w:val="26"/>
                <w:color w:val="auto"/>
                <w:w w:val="89"/>
                <w:vertAlign w:val="superscript"/>
              </w:rPr>
              <w:t>(2)</w:t>
            </w:r>
          </w:p>
        </w:tc>
        <w:tc>
          <w:tcPr>
            <w:tcW w:w="146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86"/>
              </w:rPr>
              <w:t>Steam</w:t>
            </w:r>
          </w:p>
        </w:tc>
        <w:tc>
          <w:tcPr>
            <w:tcW w:w="144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3"/>
              </w:rPr>
              <w:t>August 2022</w:t>
            </w:r>
          </w:p>
        </w:tc>
        <w:tc>
          <w:tcPr>
            <w:tcW w:w="14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9"/>
              </w:rPr>
              <w:t>—</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99"/>
        </w:trPr>
        <w:tc>
          <w:tcPr>
            <w:tcW w:w="320" w:type="dxa"/>
            <w:vAlign w:val="bottom"/>
          </w:tcPr>
          <w:p>
            <w:pPr>
              <w:ind w:left="120"/>
              <w:spacing w:after="0"/>
              <w:rPr>
                <w:sz w:val="20"/>
                <w:szCs w:val="20"/>
                <w:color w:val="auto"/>
              </w:rPr>
            </w:pPr>
            <w:r>
              <w:rPr>
                <w:rFonts w:ascii="Arial" w:cs="Arial" w:eastAsia="Arial" w:hAnsi="Arial"/>
                <w:sz w:val="16"/>
                <w:szCs w:val="16"/>
                <w:b w:val="1"/>
                <w:bCs w:val="1"/>
                <w:color w:val="auto"/>
              </w:rPr>
              <w:t>8</w:t>
            </w:r>
          </w:p>
        </w:tc>
        <w:tc>
          <w:tcPr>
            <w:tcW w:w="2280" w:type="dxa"/>
            <w:vAlign w:val="bottom"/>
          </w:tcPr>
          <w:p>
            <w:pPr>
              <w:ind w:left="40"/>
              <w:spacing w:after="0"/>
              <w:rPr>
                <w:sz w:val="20"/>
                <w:szCs w:val="20"/>
                <w:color w:val="auto"/>
              </w:rPr>
            </w:pPr>
            <w:r>
              <w:rPr>
                <w:rFonts w:ascii="Arial" w:cs="Arial" w:eastAsia="Arial" w:hAnsi="Arial"/>
                <w:sz w:val="16"/>
                <w:szCs w:val="16"/>
                <w:i w:val="1"/>
                <w:iCs w:val="1"/>
                <w:color w:val="auto"/>
              </w:rPr>
              <w:t>GasLog Shanghai</w:t>
            </w:r>
          </w:p>
        </w:tc>
        <w:tc>
          <w:tcPr>
            <w:tcW w:w="1420" w:type="dxa"/>
            <w:vAlign w:val="bottom"/>
          </w:tcPr>
          <w:p>
            <w:pPr>
              <w:jc w:val="right"/>
              <w:ind w:right="359"/>
              <w:spacing w:after="0"/>
              <w:rPr>
                <w:sz w:val="20"/>
                <w:szCs w:val="20"/>
                <w:color w:val="auto"/>
              </w:rPr>
            </w:pPr>
            <w:r>
              <w:rPr>
                <w:rFonts w:ascii="Arial" w:cs="Arial" w:eastAsia="Arial" w:hAnsi="Arial"/>
                <w:sz w:val="16"/>
                <w:szCs w:val="16"/>
                <w:color w:val="auto"/>
              </w:rPr>
              <w:t>2013</w:t>
            </w: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155,000</w:t>
            </w:r>
          </w:p>
        </w:tc>
        <w:tc>
          <w:tcPr>
            <w:tcW w:w="1800" w:type="dxa"/>
            <w:vAlign w:val="bottom"/>
          </w:tcPr>
          <w:p>
            <w:pPr>
              <w:jc w:val="center"/>
              <w:spacing w:after="0"/>
              <w:rPr>
                <w:sz w:val="20"/>
                <w:szCs w:val="20"/>
                <w:color w:val="auto"/>
              </w:rPr>
            </w:pPr>
            <w:r>
              <w:rPr>
                <w:rFonts w:ascii="Arial" w:cs="Arial" w:eastAsia="Arial" w:hAnsi="Arial"/>
                <w:sz w:val="16"/>
                <w:szCs w:val="16"/>
                <w:color w:val="auto"/>
                <w:w w:val="89"/>
              </w:rPr>
              <w:t xml:space="preserve">Gunvor </w:t>
            </w:r>
            <w:r>
              <w:rPr>
                <w:rFonts w:ascii="Arial" w:cs="Arial" w:eastAsia="Arial" w:hAnsi="Arial"/>
                <w:sz w:val="26"/>
                <w:szCs w:val="26"/>
                <w:color w:val="auto"/>
                <w:w w:val="89"/>
                <w:vertAlign w:val="superscript"/>
              </w:rPr>
              <w:t>(3)</w:t>
            </w:r>
          </w:p>
        </w:tc>
        <w:tc>
          <w:tcPr>
            <w:tcW w:w="1020" w:type="dxa"/>
            <w:vAlign w:val="bottom"/>
          </w:tcPr>
          <w:p>
            <w:pPr>
              <w:ind w:left="260"/>
              <w:spacing w:after="0"/>
              <w:rPr>
                <w:sz w:val="20"/>
                <w:szCs w:val="20"/>
                <w:color w:val="auto"/>
              </w:rPr>
            </w:pPr>
            <w:r>
              <w:rPr>
                <w:rFonts w:ascii="Arial" w:cs="Arial" w:eastAsia="Arial" w:hAnsi="Arial"/>
                <w:sz w:val="16"/>
                <w:szCs w:val="16"/>
                <w:color w:val="auto"/>
              </w:rPr>
              <w:t>TFDE</w:t>
            </w:r>
          </w:p>
        </w:tc>
        <w:tc>
          <w:tcPr>
            <w:tcW w:w="1680" w:type="dxa"/>
            <w:vAlign w:val="bottom"/>
          </w:tcPr>
          <w:p>
            <w:pPr>
              <w:jc w:val="center"/>
              <w:spacing w:after="0"/>
              <w:rPr>
                <w:sz w:val="20"/>
                <w:szCs w:val="20"/>
                <w:color w:val="auto"/>
              </w:rPr>
            </w:pPr>
            <w:r>
              <w:rPr>
                <w:rFonts w:ascii="Arial" w:cs="Arial" w:eastAsia="Arial" w:hAnsi="Arial"/>
                <w:sz w:val="16"/>
                <w:szCs w:val="16"/>
                <w:color w:val="auto"/>
                <w:w w:val="91"/>
              </w:rPr>
              <w:t>November 2022</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3"/>
        </w:trPr>
        <w:tc>
          <w:tcPr>
            <w:tcW w:w="320" w:type="dxa"/>
            <w:vAlign w:val="bottom"/>
            <w:shd w:val="clear" w:color="auto" w:fill="E5FFFF"/>
          </w:tcPr>
          <w:p>
            <w:pPr>
              <w:ind w:left="120"/>
              <w:spacing w:after="0"/>
              <w:rPr>
                <w:sz w:val="20"/>
                <w:szCs w:val="20"/>
                <w:color w:val="auto"/>
              </w:rPr>
            </w:pPr>
            <w:r>
              <w:rPr>
                <w:rFonts w:ascii="Arial" w:cs="Arial" w:eastAsia="Arial" w:hAnsi="Arial"/>
                <w:sz w:val="16"/>
                <w:szCs w:val="16"/>
                <w:b w:val="1"/>
                <w:bCs w:val="1"/>
                <w:color w:val="auto"/>
              </w:rPr>
              <w:t>9</w:t>
            </w:r>
          </w:p>
        </w:tc>
        <w:tc>
          <w:tcPr>
            <w:tcW w:w="2280" w:type="dxa"/>
            <w:vAlign w:val="bottom"/>
            <w:shd w:val="clear" w:color="auto" w:fill="E5FFFF"/>
          </w:tcPr>
          <w:p>
            <w:pPr>
              <w:ind w:left="40"/>
              <w:spacing w:after="0"/>
              <w:rPr>
                <w:sz w:val="20"/>
                <w:szCs w:val="20"/>
                <w:color w:val="auto"/>
              </w:rPr>
            </w:pPr>
            <w:r>
              <w:rPr>
                <w:rFonts w:ascii="Arial" w:cs="Arial" w:eastAsia="Arial" w:hAnsi="Arial"/>
                <w:sz w:val="16"/>
                <w:szCs w:val="16"/>
                <w:i w:val="1"/>
                <w:iCs w:val="1"/>
                <w:color w:val="auto"/>
              </w:rPr>
              <w:t>Methane Jane Elizabeth</w:t>
            </w:r>
          </w:p>
        </w:tc>
        <w:tc>
          <w:tcPr>
            <w:tcW w:w="1420" w:type="dxa"/>
            <w:vAlign w:val="bottom"/>
            <w:shd w:val="clear" w:color="auto" w:fill="E5FFFF"/>
          </w:tcPr>
          <w:p>
            <w:pPr>
              <w:jc w:val="right"/>
              <w:ind w:right="359"/>
              <w:spacing w:after="0"/>
              <w:rPr>
                <w:sz w:val="20"/>
                <w:szCs w:val="20"/>
                <w:color w:val="auto"/>
              </w:rPr>
            </w:pPr>
            <w:r>
              <w:rPr>
                <w:rFonts w:ascii="Arial" w:cs="Arial" w:eastAsia="Arial" w:hAnsi="Arial"/>
                <w:sz w:val="16"/>
                <w:szCs w:val="16"/>
                <w:color w:val="auto"/>
              </w:rPr>
              <w:t>2006</w:t>
            </w:r>
          </w:p>
        </w:tc>
        <w:tc>
          <w:tcPr>
            <w:tcW w:w="1240" w:type="dxa"/>
            <w:vAlign w:val="bottom"/>
            <w:shd w:val="clear" w:color="auto" w:fill="E5FFFF"/>
          </w:tcPr>
          <w:p>
            <w:pPr>
              <w:jc w:val="right"/>
              <w:ind w:right="199"/>
              <w:spacing w:after="0"/>
              <w:rPr>
                <w:sz w:val="20"/>
                <w:szCs w:val="20"/>
                <w:color w:val="auto"/>
              </w:rPr>
            </w:pPr>
            <w:r>
              <w:rPr>
                <w:rFonts w:ascii="Arial" w:cs="Arial" w:eastAsia="Arial" w:hAnsi="Arial"/>
                <w:sz w:val="16"/>
                <w:szCs w:val="16"/>
                <w:color w:val="auto"/>
              </w:rPr>
              <w:t>145,000</w:t>
            </w:r>
          </w:p>
        </w:tc>
        <w:tc>
          <w:tcPr>
            <w:tcW w:w="180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6"/>
              </w:rPr>
              <w:t xml:space="preserve">Cheniere </w:t>
            </w:r>
            <w:r>
              <w:rPr>
                <w:rFonts w:ascii="Arial" w:cs="Arial" w:eastAsia="Arial" w:hAnsi="Arial"/>
                <w:sz w:val="26"/>
                <w:szCs w:val="26"/>
                <w:color w:val="auto"/>
                <w:w w:val="86"/>
                <w:vertAlign w:val="superscript"/>
              </w:rPr>
              <w:t>(4)</w:t>
            </w:r>
          </w:p>
        </w:tc>
        <w:tc>
          <w:tcPr>
            <w:tcW w:w="1020" w:type="dxa"/>
            <w:vAlign w:val="bottom"/>
            <w:shd w:val="clear" w:color="auto" w:fill="E5FFFF"/>
          </w:tcPr>
          <w:p>
            <w:pPr>
              <w:ind w:left="260"/>
              <w:spacing w:after="0"/>
              <w:rPr>
                <w:sz w:val="20"/>
                <w:szCs w:val="20"/>
                <w:color w:val="auto"/>
              </w:rPr>
            </w:pPr>
            <w:r>
              <w:rPr>
                <w:rFonts w:ascii="Arial" w:cs="Arial" w:eastAsia="Arial" w:hAnsi="Arial"/>
                <w:sz w:val="16"/>
                <w:szCs w:val="16"/>
                <w:color w:val="auto"/>
              </w:rPr>
              <w:t>Steam</w:t>
            </w:r>
          </w:p>
        </w:tc>
        <w:tc>
          <w:tcPr>
            <w:tcW w:w="1680" w:type="dxa"/>
            <w:vAlign w:val="bottom"/>
            <w:shd w:val="clear" w:color="auto" w:fill="E5FFFF"/>
          </w:tcPr>
          <w:p>
            <w:pPr>
              <w:jc w:val="center"/>
              <w:ind w:left="19"/>
              <w:spacing w:after="0"/>
              <w:rPr>
                <w:sz w:val="20"/>
                <w:szCs w:val="20"/>
                <w:color w:val="auto"/>
              </w:rPr>
            </w:pPr>
            <w:r>
              <w:rPr>
                <w:rFonts w:ascii="Arial" w:cs="Arial" w:eastAsia="Arial" w:hAnsi="Arial"/>
                <w:sz w:val="16"/>
                <w:szCs w:val="16"/>
                <w:color w:val="auto"/>
                <w:w w:val="92"/>
              </w:rPr>
              <w:t>March 2023</w:t>
            </w:r>
          </w:p>
        </w:tc>
        <w:tc>
          <w:tcPr>
            <w:tcW w:w="148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6"/>
              </w:rPr>
              <w:t xml:space="preserve">2024–2025 </w:t>
            </w:r>
            <w:r>
              <w:rPr>
                <w:rFonts w:ascii="Arial" w:cs="Arial" w:eastAsia="Arial" w:hAnsi="Arial"/>
                <w:sz w:val="26"/>
                <w:szCs w:val="26"/>
                <w:color w:val="auto"/>
                <w:w w:val="86"/>
                <w:vertAlign w:val="superscript"/>
              </w:rPr>
              <w:t>(4)</w:t>
            </w:r>
          </w:p>
        </w:tc>
      </w:tr>
      <w:tr>
        <w:trPr>
          <w:trHeight w:val="243"/>
        </w:trPr>
        <w:tc>
          <w:tcPr>
            <w:tcW w:w="320" w:type="dxa"/>
            <w:vAlign w:val="bottom"/>
          </w:tcPr>
          <w:p>
            <w:pPr>
              <w:ind w:left="120"/>
              <w:spacing w:after="0"/>
              <w:rPr>
                <w:sz w:val="20"/>
                <w:szCs w:val="20"/>
                <w:color w:val="auto"/>
              </w:rPr>
            </w:pPr>
            <w:r>
              <w:rPr>
                <w:rFonts w:ascii="Arial" w:cs="Arial" w:eastAsia="Arial" w:hAnsi="Arial"/>
                <w:sz w:val="16"/>
                <w:szCs w:val="16"/>
                <w:b w:val="1"/>
                <w:bCs w:val="1"/>
                <w:color w:val="auto"/>
              </w:rPr>
              <w:t>10</w:t>
            </w:r>
          </w:p>
        </w:tc>
        <w:tc>
          <w:tcPr>
            <w:tcW w:w="2280" w:type="dxa"/>
            <w:vAlign w:val="bottom"/>
          </w:tcPr>
          <w:p>
            <w:pPr>
              <w:ind w:left="40"/>
              <w:spacing w:after="0"/>
              <w:rPr>
                <w:sz w:val="20"/>
                <w:szCs w:val="20"/>
                <w:color w:val="auto"/>
              </w:rPr>
            </w:pPr>
            <w:r>
              <w:rPr>
                <w:rFonts w:ascii="Arial" w:cs="Arial" w:eastAsia="Arial" w:hAnsi="Arial"/>
                <w:sz w:val="16"/>
                <w:szCs w:val="16"/>
                <w:i w:val="1"/>
                <w:iCs w:val="1"/>
                <w:color w:val="auto"/>
              </w:rPr>
              <w:t>GasLog Geneva</w:t>
            </w:r>
          </w:p>
        </w:tc>
        <w:tc>
          <w:tcPr>
            <w:tcW w:w="1420" w:type="dxa"/>
            <w:vAlign w:val="bottom"/>
          </w:tcPr>
          <w:p>
            <w:pPr>
              <w:jc w:val="right"/>
              <w:ind w:right="359"/>
              <w:spacing w:after="0"/>
              <w:rPr>
                <w:sz w:val="20"/>
                <w:szCs w:val="20"/>
                <w:color w:val="auto"/>
              </w:rPr>
            </w:pPr>
            <w:r>
              <w:rPr>
                <w:rFonts w:ascii="Arial" w:cs="Arial" w:eastAsia="Arial" w:hAnsi="Arial"/>
                <w:sz w:val="16"/>
                <w:szCs w:val="16"/>
                <w:color w:val="auto"/>
              </w:rPr>
              <w:t>2016</w:t>
            </w: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174,000</w:t>
            </w:r>
          </w:p>
        </w:tc>
        <w:tc>
          <w:tcPr>
            <w:tcW w:w="1800" w:type="dxa"/>
            <w:vAlign w:val="bottom"/>
          </w:tcPr>
          <w:p>
            <w:pPr>
              <w:jc w:val="center"/>
              <w:spacing w:after="0"/>
              <w:rPr>
                <w:sz w:val="20"/>
                <w:szCs w:val="20"/>
                <w:color w:val="auto"/>
              </w:rPr>
            </w:pPr>
            <w:r>
              <w:rPr>
                <w:rFonts w:ascii="Arial" w:cs="Arial" w:eastAsia="Arial" w:hAnsi="Arial"/>
                <w:sz w:val="16"/>
                <w:szCs w:val="16"/>
                <w:color w:val="auto"/>
                <w:w w:val="95"/>
              </w:rPr>
              <w:t>Shell</w:t>
            </w:r>
          </w:p>
        </w:tc>
        <w:tc>
          <w:tcPr>
            <w:tcW w:w="1020" w:type="dxa"/>
            <w:vAlign w:val="bottom"/>
          </w:tcPr>
          <w:p>
            <w:pPr>
              <w:ind w:left="260"/>
              <w:spacing w:after="0"/>
              <w:rPr>
                <w:sz w:val="20"/>
                <w:szCs w:val="20"/>
                <w:color w:val="auto"/>
              </w:rPr>
            </w:pPr>
            <w:r>
              <w:rPr>
                <w:rFonts w:ascii="Arial" w:cs="Arial" w:eastAsia="Arial" w:hAnsi="Arial"/>
                <w:sz w:val="16"/>
                <w:szCs w:val="16"/>
                <w:color w:val="auto"/>
              </w:rPr>
              <w:t>TFDE</w:t>
            </w:r>
          </w:p>
        </w:tc>
        <w:tc>
          <w:tcPr>
            <w:tcW w:w="1680" w:type="dxa"/>
            <w:vAlign w:val="bottom"/>
          </w:tcPr>
          <w:p>
            <w:pPr>
              <w:jc w:val="center"/>
              <w:ind w:left="59"/>
              <w:spacing w:after="0"/>
              <w:rPr>
                <w:sz w:val="20"/>
                <w:szCs w:val="20"/>
                <w:color w:val="auto"/>
              </w:rPr>
            </w:pPr>
            <w:r>
              <w:rPr>
                <w:rFonts w:ascii="Arial" w:cs="Arial" w:eastAsia="Arial" w:hAnsi="Arial"/>
                <w:sz w:val="16"/>
                <w:szCs w:val="16"/>
                <w:color w:val="auto"/>
                <w:w w:val="89"/>
              </w:rPr>
              <w:t>September 2023</w:t>
            </w:r>
          </w:p>
        </w:tc>
        <w:tc>
          <w:tcPr>
            <w:tcW w:w="1480" w:type="dxa"/>
            <w:vAlign w:val="bottom"/>
          </w:tcPr>
          <w:p>
            <w:pPr>
              <w:jc w:val="center"/>
              <w:spacing w:after="0" w:line="243" w:lineRule="exact"/>
              <w:rPr>
                <w:sz w:val="20"/>
                <w:szCs w:val="20"/>
                <w:color w:val="auto"/>
              </w:rPr>
            </w:pPr>
            <w:r>
              <w:rPr>
                <w:rFonts w:ascii="Arial" w:cs="Arial" w:eastAsia="Arial" w:hAnsi="Arial"/>
                <w:sz w:val="16"/>
                <w:szCs w:val="16"/>
                <w:color w:val="auto"/>
                <w:w w:val="86"/>
              </w:rPr>
              <w:t xml:space="preserve">2028–2031 </w:t>
            </w:r>
            <w:r>
              <w:rPr>
                <w:rFonts w:ascii="Arial" w:cs="Arial" w:eastAsia="Arial" w:hAnsi="Arial"/>
                <w:sz w:val="26"/>
                <w:szCs w:val="26"/>
                <w:color w:val="auto"/>
                <w:w w:val="86"/>
                <w:vertAlign w:val="superscript"/>
              </w:rPr>
              <w:t>(5)</w:t>
            </w:r>
          </w:p>
        </w:tc>
      </w:tr>
      <w:tr>
        <w:trPr>
          <w:trHeight w:val="243"/>
        </w:trPr>
        <w:tc>
          <w:tcPr>
            <w:tcW w:w="320" w:type="dxa"/>
            <w:vAlign w:val="bottom"/>
            <w:shd w:val="clear" w:color="auto" w:fill="E5FFFF"/>
          </w:tcPr>
          <w:p>
            <w:pPr>
              <w:ind w:left="120"/>
              <w:spacing w:after="0"/>
              <w:rPr>
                <w:sz w:val="20"/>
                <w:szCs w:val="20"/>
                <w:color w:val="auto"/>
              </w:rPr>
            </w:pPr>
            <w:r>
              <w:rPr>
                <w:rFonts w:ascii="Arial" w:cs="Arial" w:eastAsia="Arial" w:hAnsi="Arial"/>
                <w:sz w:val="16"/>
                <w:szCs w:val="16"/>
                <w:b w:val="1"/>
                <w:bCs w:val="1"/>
                <w:color w:val="auto"/>
              </w:rPr>
              <w:t>11</w:t>
            </w:r>
          </w:p>
        </w:tc>
        <w:tc>
          <w:tcPr>
            <w:tcW w:w="2280" w:type="dxa"/>
            <w:vAlign w:val="bottom"/>
            <w:shd w:val="clear" w:color="auto" w:fill="E5FFFF"/>
          </w:tcPr>
          <w:p>
            <w:pPr>
              <w:ind w:left="40"/>
              <w:spacing w:after="0"/>
              <w:rPr>
                <w:sz w:val="20"/>
                <w:szCs w:val="20"/>
                <w:color w:val="auto"/>
              </w:rPr>
            </w:pPr>
            <w:r>
              <w:rPr>
                <w:rFonts w:ascii="Arial" w:cs="Arial" w:eastAsia="Arial" w:hAnsi="Arial"/>
                <w:sz w:val="16"/>
                <w:szCs w:val="16"/>
                <w:i w:val="1"/>
                <w:iCs w:val="1"/>
                <w:color w:val="auto"/>
              </w:rPr>
              <w:t>Methane Alison Victoria</w:t>
            </w:r>
          </w:p>
        </w:tc>
        <w:tc>
          <w:tcPr>
            <w:tcW w:w="1420" w:type="dxa"/>
            <w:vAlign w:val="bottom"/>
            <w:shd w:val="clear" w:color="auto" w:fill="E5FFFF"/>
          </w:tcPr>
          <w:p>
            <w:pPr>
              <w:jc w:val="right"/>
              <w:ind w:right="359"/>
              <w:spacing w:after="0"/>
              <w:rPr>
                <w:sz w:val="20"/>
                <w:szCs w:val="20"/>
                <w:color w:val="auto"/>
              </w:rPr>
            </w:pPr>
            <w:r>
              <w:rPr>
                <w:rFonts w:ascii="Arial" w:cs="Arial" w:eastAsia="Arial" w:hAnsi="Arial"/>
                <w:sz w:val="16"/>
                <w:szCs w:val="16"/>
                <w:color w:val="auto"/>
              </w:rPr>
              <w:t>2007</w:t>
            </w:r>
          </w:p>
        </w:tc>
        <w:tc>
          <w:tcPr>
            <w:tcW w:w="1240" w:type="dxa"/>
            <w:vAlign w:val="bottom"/>
            <w:shd w:val="clear" w:color="auto" w:fill="E5FFFF"/>
          </w:tcPr>
          <w:p>
            <w:pPr>
              <w:jc w:val="right"/>
              <w:ind w:right="199"/>
              <w:spacing w:after="0"/>
              <w:rPr>
                <w:sz w:val="20"/>
                <w:szCs w:val="20"/>
                <w:color w:val="auto"/>
              </w:rPr>
            </w:pPr>
            <w:r>
              <w:rPr>
                <w:rFonts w:ascii="Arial" w:cs="Arial" w:eastAsia="Arial" w:hAnsi="Arial"/>
                <w:sz w:val="16"/>
                <w:szCs w:val="16"/>
                <w:color w:val="auto"/>
              </w:rPr>
              <w:t>145,000</w:t>
            </w:r>
          </w:p>
        </w:tc>
        <w:tc>
          <w:tcPr>
            <w:tcW w:w="180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93"/>
              </w:rPr>
              <w:t xml:space="preserve">CNTIC VPower </w:t>
            </w:r>
            <w:r>
              <w:rPr>
                <w:rFonts w:ascii="Arial" w:cs="Arial" w:eastAsia="Arial" w:hAnsi="Arial"/>
                <w:sz w:val="26"/>
                <w:szCs w:val="26"/>
                <w:color w:val="auto"/>
                <w:w w:val="93"/>
                <w:vertAlign w:val="superscript"/>
              </w:rPr>
              <w:t>(6)</w:t>
            </w:r>
          </w:p>
        </w:tc>
        <w:tc>
          <w:tcPr>
            <w:tcW w:w="1020" w:type="dxa"/>
            <w:vAlign w:val="bottom"/>
            <w:shd w:val="clear" w:color="auto" w:fill="E5FFFF"/>
          </w:tcPr>
          <w:p>
            <w:pPr>
              <w:ind w:left="260"/>
              <w:spacing w:after="0"/>
              <w:rPr>
                <w:sz w:val="20"/>
                <w:szCs w:val="20"/>
                <w:color w:val="auto"/>
              </w:rPr>
            </w:pPr>
            <w:r>
              <w:rPr>
                <w:rFonts w:ascii="Arial" w:cs="Arial" w:eastAsia="Arial" w:hAnsi="Arial"/>
                <w:sz w:val="16"/>
                <w:szCs w:val="16"/>
                <w:color w:val="auto"/>
              </w:rPr>
              <w:t>Steam</w:t>
            </w:r>
          </w:p>
        </w:tc>
        <w:tc>
          <w:tcPr>
            <w:tcW w:w="1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0"/>
              </w:rPr>
              <w:t>October 2023</w:t>
            </w:r>
          </w:p>
        </w:tc>
        <w:tc>
          <w:tcPr>
            <w:tcW w:w="148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6"/>
              </w:rPr>
              <w:t xml:space="preserve">2024–2025 </w:t>
            </w:r>
            <w:r>
              <w:rPr>
                <w:rFonts w:ascii="Arial" w:cs="Arial" w:eastAsia="Arial" w:hAnsi="Arial"/>
                <w:sz w:val="26"/>
                <w:szCs w:val="26"/>
                <w:color w:val="auto"/>
                <w:w w:val="86"/>
                <w:vertAlign w:val="superscript"/>
              </w:rPr>
              <w:t>(6)</w:t>
            </w:r>
          </w:p>
        </w:tc>
      </w:tr>
      <w:tr>
        <w:trPr>
          <w:trHeight w:val="243"/>
        </w:trPr>
        <w:tc>
          <w:tcPr>
            <w:tcW w:w="320" w:type="dxa"/>
            <w:vAlign w:val="bottom"/>
          </w:tcPr>
          <w:p>
            <w:pPr>
              <w:ind w:left="120"/>
              <w:spacing w:after="0"/>
              <w:rPr>
                <w:sz w:val="20"/>
                <w:szCs w:val="20"/>
                <w:color w:val="auto"/>
              </w:rPr>
            </w:pPr>
            <w:r>
              <w:rPr>
                <w:rFonts w:ascii="Arial" w:cs="Arial" w:eastAsia="Arial" w:hAnsi="Arial"/>
                <w:sz w:val="16"/>
                <w:szCs w:val="16"/>
                <w:b w:val="1"/>
                <w:bCs w:val="1"/>
                <w:color w:val="auto"/>
              </w:rPr>
              <w:t>12</w:t>
            </w:r>
          </w:p>
        </w:tc>
        <w:tc>
          <w:tcPr>
            <w:tcW w:w="2280" w:type="dxa"/>
            <w:vAlign w:val="bottom"/>
          </w:tcPr>
          <w:p>
            <w:pPr>
              <w:ind w:left="40"/>
              <w:spacing w:after="0"/>
              <w:rPr>
                <w:sz w:val="20"/>
                <w:szCs w:val="20"/>
                <w:color w:val="auto"/>
              </w:rPr>
            </w:pPr>
            <w:r>
              <w:rPr>
                <w:rFonts w:ascii="Arial" w:cs="Arial" w:eastAsia="Arial" w:hAnsi="Arial"/>
                <w:sz w:val="16"/>
                <w:szCs w:val="16"/>
                <w:i w:val="1"/>
                <w:iCs w:val="1"/>
                <w:color w:val="auto"/>
              </w:rPr>
              <w:t>GasLog Gibraltar</w:t>
            </w:r>
          </w:p>
        </w:tc>
        <w:tc>
          <w:tcPr>
            <w:tcW w:w="1420" w:type="dxa"/>
            <w:vAlign w:val="bottom"/>
          </w:tcPr>
          <w:p>
            <w:pPr>
              <w:jc w:val="right"/>
              <w:ind w:right="359"/>
              <w:spacing w:after="0"/>
              <w:rPr>
                <w:sz w:val="20"/>
                <w:szCs w:val="20"/>
                <w:color w:val="auto"/>
              </w:rPr>
            </w:pPr>
            <w:r>
              <w:rPr>
                <w:rFonts w:ascii="Arial" w:cs="Arial" w:eastAsia="Arial" w:hAnsi="Arial"/>
                <w:sz w:val="16"/>
                <w:szCs w:val="16"/>
                <w:color w:val="auto"/>
              </w:rPr>
              <w:t>2016</w:t>
            </w: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174,000</w:t>
            </w:r>
          </w:p>
        </w:tc>
        <w:tc>
          <w:tcPr>
            <w:tcW w:w="1800" w:type="dxa"/>
            <w:vAlign w:val="bottom"/>
          </w:tcPr>
          <w:p>
            <w:pPr>
              <w:jc w:val="center"/>
              <w:spacing w:after="0"/>
              <w:rPr>
                <w:sz w:val="20"/>
                <w:szCs w:val="20"/>
                <w:color w:val="auto"/>
              </w:rPr>
            </w:pPr>
            <w:r>
              <w:rPr>
                <w:rFonts w:ascii="Arial" w:cs="Arial" w:eastAsia="Arial" w:hAnsi="Arial"/>
                <w:sz w:val="16"/>
                <w:szCs w:val="16"/>
                <w:color w:val="auto"/>
                <w:w w:val="95"/>
              </w:rPr>
              <w:t>Shell</w:t>
            </w:r>
          </w:p>
        </w:tc>
        <w:tc>
          <w:tcPr>
            <w:tcW w:w="1020" w:type="dxa"/>
            <w:vAlign w:val="bottom"/>
          </w:tcPr>
          <w:p>
            <w:pPr>
              <w:ind w:left="260"/>
              <w:spacing w:after="0"/>
              <w:rPr>
                <w:sz w:val="20"/>
                <w:szCs w:val="20"/>
                <w:color w:val="auto"/>
              </w:rPr>
            </w:pPr>
            <w:r>
              <w:rPr>
                <w:rFonts w:ascii="Arial" w:cs="Arial" w:eastAsia="Arial" w:hAnsi="Arial"/>
                <w:sz w:val="16"/>
                <w:szCs w:val="16"/>
                <w:color w:val="auto"/>
              </w:rPr>
              <w:t>TFDE</w:t>
            </w:r>
          </w:p>
        </w:tc>
        <w:tc>
          <w:tcPr>
            <w:tcW w:w="1680" w:type="dxa"/>
            <w:vAlign w:val="bottom"/>
          </w:tcPr>
          <w:p>
            <w:pPr>
              <w:jc w:val="center"/>
              <w:ind w:left="39"/>
              <w:spacing w:after="0"/>
              <w:rPr>
                <w:sz w:val="20"/>
                <w:szCs w:val="20"/>
                <w:color w:val="auto"/>
              </w:rPr>
            </w:pPr>
            <w:r>
              <w:rPr>
                <w:rFonts w:ascii="Arial" w:cs="Arial" w:eastAsia="Arial" w:hAnsi="Arial"/>
                <w:sz w:val="16"/>
                <w:szCs w:val="16"/>
                <w:color w:val="auto"/>
                <w:w w:val="90"/>
              </w:rPr>
              <w:t>October 2023</w:t>
            </w:r>
          </w:p>
        </w:tc>
        <w:tc>
          <w:tcPr>
            <w:tcW w:w="1480" w:type="dxa"/>
            <w:vAlign w:val="bottom"/>
          </w:tcPr>
          <w:p>
            <w:pPr>
              <w:jc w:val="center"/>
              <w:spacing w:after="0" w:line="243" w:lineRule="exact"/>
              <w:rPr>
                <w:sz w:val="20"/>
                <w:szCs w:val="20"/>
                <w:color w:val="auto"/>
              </w:rPr>
            </w:pPr>
            <w:r>
              <w:rPr>
                <w:rFonts w:ascii="Arial" w:cs="Arial" w:eastAsia="Arial" w:hAnsi="Arial"/>
                <w:sz w:val="16"/>
                <w:szCs w:val="16"/>
                <w:color w:val="auto"/>
                <w:w w:val="86"/>
              </w:rPr>
              <w:t xml:space="preserve">2028–2031 </w:t>
            </w:r>
            <w:r>
              <w:rPr>
                <w:rFonts w:ascii="Arial" w:cs="Arial" w:eastAsia="Arial" w:hAnsi="Arial"/>
                <w:sz w:val="26"/>
                <w:szCs w:val="26"/>
                <w:color w:val="auto"/>
                <w:w w:val="86"/>
                <w:vertAlign w:val="superscript"/>
              </w:rPr>
              <w:t>(5)</w:t>
            </w:r>
          </w:p>
        </w:tc>
      </w:tr>
      <w:tr>
        <w:trPr>
          <w:trHeight w:val="243"/>
        </w:trPr>
        <w:tc>
          <w:tcPr>
            <w:tcW w:w="320" w:type="dxa"/>
            <w:vAlign w:val="bottom"/>
            <w:shd w:val="clear" w:color="auto" w:fill="E5FFFF"/>
          </w:tcPr>
          <w:p>
            <w:pPr>
              <w:ind w:left="120"/>
              <w:spacing w:after="0"/>
              <w:rPr>
                <w:sz w:val="20"/>
                <w:szCs w:val="20"/>
                <w:color w:val="auto"/>
              </w:rPr>
            </w:pPr>
            <w:r>
              <w:rPr>
                <w:rFonts w:ascii="Arial" w:cs="Arial" w:eastAsia="Arial" w:hAnsi="Arial"/>
                <w:sz w:val="16"/>
                <w:szCs w:val="16"/>
                <w:b w:val="1"/>
                <w:bCs w:val="1"/>
                <w:color w:val="auto"/>
              </w:rPr>
              <w:t>13</w:t>
            </w:r>
          </w:p>
        </w:tc>
        <w:tc>
          <w:tcPr>
            <w:tcW w:w="2280" w:type="dxa"/>
            <w:vAlign w:val="bottom"/>
            <w:shd w:val="clear" w:color="auto" w:fill="E5FFFF"/>
          </w:tcPr>
          <w:p>
            <w:pPr>
              <w:ind w:left="40"/>
              <w:spacing w:after="0"/>
              <w:rPr>
                <w:sz w:val="20"/>
                <w:szCs w:val="20"/>
                <w:color w:val="auto"/>
              </w:rPr>
            </w:pPr>
            <w:r>
              <w:rPr>
                <w:rFonts w:ascii="Arial" w:cs="Arial" w:eastAsia="Arial" w:hAnsi="Arial"/>
                <w:sz w:val="16"/>
                <w:szCs w:val="16"/>
                <w:i w:val="1"/>
                <w:iCs w:val="1"/>
                <w:color w:val="auto"/>
              </w:rPr>
              <w:t>Methane Becki Anne</w:t>
            </w:r>
          </w:p>
        </w:tc>
        <w:tc>
          <w:tcPr>
            <w:tcW w:w="1420" w:type="dxa"/>
            <w:vAlign w:val="bottom"/>
            <w:shd w:val="clear" w:color="auto" w:fill="E5FFFF"/>
          </w:tcPr>
          <w:p>
            <w:pPr>
              <w:jc w:val="right"/>
              <w:ind w:right="359"/>
              <w:spacing w:after="0"/>
              <w:rPr>
                <w:sz w:val="20"/>
                <w:szCs w:val="20"/>
                <w:color w:val="auto"/>
              </w:rPr>
            </w:pPr>
            <w:r>
              <w:rPr>
                <w:rFonts w:ascii="Arial" w:cs="Arial" w:eastAsia="Arial" w:hAnsi="Arial"/>
                <w:sz w:val="16"/>
                <w:szCs w:val="16"/>
                <w:color w:val="auto"/>
              </w:rPr>
              <w:t>2010</w:t>
            </w:r>
          </w:p>
        </w:tc>
        <w:tc>
          <w:tcPr>
            <w:tcW w:w="1240" w:type="dxa"/>
            <w:vAlign w:val="bottom"/>
            <w:shd w:val="clear" w:color="auto" w:fill="E5FFFF"/>
          </w:tcPr>
          <w:p>
            <w:pPr>
              <w:jc w:val="right"/>
              <w:ind w:right="199"/>
              <w:spacing w:after="0"/>
              <w:rPr>
                <w:sz w:val="20"/>
                <w:szCs w:val="20"/>
                <w:color w:val="auto"/>
              </w:rPr>
            </w:pPr>
            <w:r>
              <w:rPr>
                <w:rFonts w:ascii="Arial" w:cs="Arial" w:eastAsia="Arial" w:hAnsi="Arial"/>
                <w:sz w:val="16"/>
                <w:szCs w:val="16"/>
                <w:color w:val="auto"/>
              </w:rPr>
              <w:t>170,000</w:t>
            </w:r>
          </w:p>
        </w:tc>
        <w:tc>
          <w:tcPr>
            <w:tcW w:w="18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Shell</w:t>
            </w:r>
          </w:p>
        </w:tc>
        <w:tc>
          <w:tcPr>
            <w:tcW w:w="1020" w:type="dxa"/>
            <w:vAlign w:val="bottom"/>
            <w:shd w:val="clear" w:color="auto" w:fill="E5FFFF"/>
          </w:tcPr>
          <w:p>
            <w:pPr>
              <w:ind w:left="260"/>
              <w:spacing w:after="0"/>
              <w:rPr>
                <w:sz w:val="20"/>
                <w:szCs w:val="20"/>
                <w:color w:val="auto"/>
              </w:rPr>
            </w:pPr>
            <w:r>
              <w:rPr>
                <w:rFonts w:ascii="Arial" w:cs="Arial" w:eastAsia="Arial" w:hAnsi="Arial"/>
                <w:sz w:val="16"/>
                <w:szCs w:val="16"/>
                <w:color w:val="auto"/>
              </w:rPr>
              <w:t>TFDE</w:t>
            </w:r>
          </w:p>
        </w:tc>
        <w:tc>
          <w:tcPr>
            <w:tcW w:w="1680" w:type="dxa"/>
            <w:vAlign w:val="bottom"/>
            <w:shd w:val="clear" w:color="auto" w:fill="E5FFFF"/>
          </w:tcPr>
          <w:p>
            <w:pPr>
              <w:jc w:val="center"/>
              <w:ind w:left="19"/>
              <w:spacing w:after="0"/>
              <w:rPr>
                <w:sz w:val="20"/>
                <w:szCs w:val="20"/>
                <w:color w:val="auto"/>
              </w:rPr>
            </w:pPr>
            <w:r>
              <w:rPr>
                <w:rFonts w:ascii="Arial" w:cs="Arial" w:eastAsia="Arial" w:hAnsi="Arial"/>
                <w:sz w:val="16"/>
                <w:szCs w:val="16"/>
                <w:color w:val="auto"/>
                <w:w w:val="92"/>
              </w:rPr>
              <w:t>March 2024</w:t>
            </w:r>
          </w:p>
        </w:tc>
        <w:tc>
          <w:tcPr>
            <w:tcW w:w="148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6"/>
              </w:rPr>
              <w:t xml:space="preserve">2027–2029 </w:t>
            </w:r>
            <w:r>
              <w:rPr>
                <w:rFonts w:ascii="Arial" w:cs="Arial" w:eastAsia="Arial" w:hAnsi="Arial"/>
                <w:sz w:val="26"/>
                <w:szCs w:val="26"/>
                <w:color w:val="auto"/>
                <w:w w:val="86"/>
                <w:vertAlign w:val="superscript"/>
              </w:rPr>
              <w:t>(7)</w:t>
            </w:r>
          </w:p>
        </w:tc>
      </w:tr>
      <w:tr>
        <w:trPr>
          <w:trHeight w:val="243"/>
        </w:trPr>
        <w:tc>
          <w:tcPr>
            <w:tcW w:w="320" w:type="dxa"/>
            <w:vAlign w:val="bottom"/>
          </w:tcPr>
          <w:p>
            <w:pPr>
              <w:ind w:left="120"/>
              <w:spacing w:after="0"/>
              <w:rPr>
                <w:sz w:val="20"/>
                <w:szCs w:val="20"/>
                <w:color w:val="auto"/>
              </w:rPr>
            </w:pPr>
            <w:r>
              <w:rPr>
                <w:rFonts w:ascii="Arial" w:cs="Arial" w:eastAsia="Arial" w:hAnsi="Arial"/>
                <w:sz w:val="16"/>
                <w:szCs w:val="16"/>
                <w:b w:val="1"/>
                <w:bCs w:val="1"/>
                <w:color w:val="auto"/>
              </w:rPr>
              <w:t>14</w:t>
            </w:r>
          </w:p>
        </w:tc>
        <w:tc>
          <w:tcPr>
            <w:tcW w:w="2280" w:type="dxa"/>
            <w:vAlign w:val="bottom"/>
          </w:tcPr>
          <w:p>
            <w:pPr>
              <w:ind w:left="40"/>
              <w:spacing w:after="0"/>
              <w:rPr>
                <w:sz w:val="20"/>
                <w:szCs w:val="20"/>
                <w:color w:val="auto"/>
              </w:rPr>
            </w:pPr>
            <w:r>
              <w:rPr>
                <w:rFonts w:ascii="Arial" w:cs="Arial" w:eastAsia="Arial" w:hAnsi="Arial"/>
                <w:sz w:val="16"/>
                <w:szCs w:val="16"/>
                <w:i w:val="1"/>
                <w:iCs w:val="1"/>
                <w:color w:val="auto"/>
              </w:rPr>
              <w:t>GasLog Greece</w:t>
            </w:r>
          </w:p>
        </w:tc>
        <w:tc>
          <w:tcPr>
            <w:tcW w:w="1420" w:type="dxa"/>
            <w:vAlign w:val="bottom"/>
          </w:tcPr>
          <w:p>
            <w:pPr>
              <w:jc w:val="right"/>
              <w:ind w:right="359"/>
              <w:spacing w:after="0"/>
              <w:rPr>
                <w:sz w:val="20"/>
                <w:szCs w:val="20"/>
                <w:color w:val="auto"/>
              </w:rPr>
            </w:pPr>
            <w:r>
              <w:rPr>
                <w:rFonts w:ascii="Arial" w:cs="Arial" w:eastAsia="Arial" w:hAnsi="Arial"/>
                <w:sz w:val="16"/>
                <w:szCs w:val="16"/>
                <w:color w:val="auto"/>
              </w:rPr>
              <w:t>2016</w:t>
            </w: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174,000</w:t>
            </w:r>
          </w:p>
        </w:tc>
        <w:tc>
          <w:tcPr>
            <w:tcW w:w="1800" w:type="dxa"/>
            <w:vAlign w:val="bottom"/>
          </w:tcPr>
          <w:p>
            <w:pPr>
              <w:jc w:val="center"/>
              <w:spacing w:after="0"/>
              <w:rPr>
                <w:sz w:val="20"/>
                <w:szCs w:val="20"/>
                <w:color w:val="auto"/>
              </w:rPr>
            </w:pPr>
            <w:r>
              <w:rPr>
                <w:rFonts w:ascii="Arial" w:cs="Arial" w:eastAsia="Arial" w:hAnsi="Arial"/>
                <w:sz w:val="16"/>
                <w:szCs w:val="16"/>
                <w:color w:val="auto"/>
                <w:w w:val="95"/>
              </w:rPr>
              <w:t>Shell</w:t>
            </w:r>
          </w:p>
        </w:tc>
        <w:tc>
          <w:tcPr>
            <w:tcW w:w="1020" w:type="dxa"/>
            <w:vAlign w:val="bottom"/>
          </w:tcPr>
          <w:p>
            <w:pPr>
              <w:ind w:left="260"/>
              <w:spacing w:after="0"/>
              <w:rPr>
                <w:sz w:val="20"/>
                <w:szCs w:val="20"/>
                <w:color w:val="auto"/>
              </w:rPr>
            </w:pPr>
            <w:r>
              <w:rPr>
                <w:rFonts w:ascii="Arial" w:cs="Arial" w:eastAsia="Arial" w:hAnsi="Arial"/>
                <w:sz w:val="16"/>
                <w:szCs w:val="16"/>
                <w:color w:val="auto"/>
              </w:rPr>
              <w:t>TFDE</w:t>
            </w:r>
          </w:p>
        </w:tc>
        <w:tc>
          <w:tcPr>
            <w:tcW w:w="1680" w:type="dxa"/>
            <w:vAlign w:val="bottom"/>
          </w:tcPr>
          <w:p>
            <w:pPr>
              <w:jc w:val="center"/>
              <w:ind w:left="19"/>
              <w:spacing w:after="0"/>
              <w:rPr>
                <w:sz w:val="20"/>
                <w:szCs w:val="20"/>
                <w:color w:val="auto"/>
              </w:rPr>
            </w:pPr>
            <w:r>
              <w:rPr>
                <w:rFonts w:ascii="Arial" w:cs="Arial" w:eastAsia="Arial" w:hAnsi="Arial"/>
                <w:sz w:val="16"/>
                <w:szCs w:val="16"/>
                <w:color w:val="auto"/>
                <w:w w:val="92"/>
              </w:rPr>
              <w:t>March 2026</w:t>
            </w:r>
          </w:p>
        </w:tc>
        <w:tc>
          <w:tcPr>
            <w:tcW w:w="1480" w:type="dxa"/>
            <w:vAlign w:val="bottom"/>
          </w:tcPr>
          <w:p>
            <w:pPr>
              <w:jc w:val="center"/>
              <w:spacing w:after="0" w:line="243" w:lineRule="exact"/>
              <w:rPr>
                <w:sz w:val="20"/>
                <w:szCs w:val="20"/>
                <w:color w:val="auto"/>
              </w:rPr>
            </w:pPr>
            <w:r>
              <w:rPr>
                <w:rFonts w:ascii="Arial" w:cs="Arial" w:eastAsia="Arial" w:hAnsi="Arial"/>
                <w:sz w:val="16"/>
                <w:szCs w:val="16"/>
                <w:color w:val="auto"/>
                <w:w w:val="84"/>
              </w:rPr>
              <w:t xml:space="preserve">2031 </w:t>
            </w:r>
            <w:r>
              <w:rPr>
                <w:rFonts w:ascii="Arial" w:cs="Arial" w:eastAsia="Arial" w:hAnsi="Arial"/>
                <w:sz w:val="26"/>
                <w:szCs w:val="26"/>
                <w:color w:val="auto"/>
                <w:w w:val="84"/>
                <w:vertAlign w:val="superscript"/>
              </w:rPr>
              <w:t>(8)</w:t>
            </w:r>
          </w:p>
        </w:tc>
      </w:tr>
      <w:tr>
        <w:trPr>
          <w:trHeight w:val="243"/>
        </w:trPr>
        <w:tc>
          <w:tcPr>
            <w:tcW w:w="320" w:type="dxa"/>
            <w:vAlign w:val="bottom"/>
            <w:shd w:val="clear" w:color="auto" w:fill="E5FFFF"/>
          </w:tcPr>
          <w:p>
            <w:pPr>
              <w:ind w:left="120"/>
              <w:spacing w:after="0"/>
              <w:rPr>
                <w:sz w:val="20"/>
                <w:szCs w:val="20"/>
                <w:color w:val="auto"/>
              </w:rPr>
            </w:pPr>
            <w:r>
              <w:rPr>
                <w:rFonts w:ascii="Arial" w:cs="Arial" w:eastAsia="Arial" w:hAnsi="Arial"/>
                <w:sz w:val="16"/>
                <w:szCs w:val="16"/>
                <w:b w:val="1"/>
                <w:bCs w:val="1"/>
                <w:color w:val="auto"/>
              </w:rPr>
              <w:t>15</w:t>
            </w:r>
          </w:p>
        </w:tc>
        <w:tc>
          <w:tcPr>
            <w:tcW w:w="2280" w:type="dxa"/>
            <w:vAlign w:val="bottom"/>
            <w:shd w:val="clear" w:color="auto" w:fill="E5FFFF"/>
          </w:tcPr>
          <w:p>
            <w:pPr>
              <w:ind w:left="40"/>
              <w:spacing w:after="0"/>
              <w:rPr>
                <w:sz w:val="20"/>
                <w:szCs w:val="20"/>
                <w:color w:val="auto"/>
              </w:rPr>
            </w:pPr>
            <w:r>
              <w:rPr>
                <w:rFonts w:ascii="Arial" w:cs="Arial" w:eastAsia="Arial" w:hAnsi="Arial"/>
                <w:sz w:val="16"/>
                <w:szCs w:val="16"/>
                <w:i w:val="1"/>
                <w:iCs w:val="1"/>
                <w:color w:val="auto"/>
              </w:rPr>
              <w:t>GasLog Glasgow</w:t>
            </w:r>
          </w:p>
        </w:tc>
        <w:tc>
          <w:tcPr>
            <w:tcW w:w="1420" w:type="dxa"/>
            <w:vAlign w:val="bottom"/>
            <w:shd w:val="clear" w:color="auto" w:fill="E5FFFF"/>
          </w:tcPr>
          <w:p>
            <w:pPr>
              <w:jc w:val="right"/>
              <w:ind w:right="359"/>
              <w:spacing w:after="0"/>
              <w:rPr>
                <w:sz w:val="20"/>
                <w:szCs w:val="20"/>
                <w:color w:val="auto"/>
              </w:rPr>
            </w:pPr>
            <w:r>
              <w:rPr>
                <w:rFonts w:ascii="Arial" w:cs="Arial" w:eastAsia="Arial" w:hAnsi="Arial"/>
                <w:sz w:val="16"/>
                <w:szCs w:val="16"/>
                <w:color w:val="auto"/>
              </w:rPr>
              <w:t>2016</w:t>
            </w:r>
          </w:p>
        </w:tc>
        <w:tc>
          <w:tcPr>
            <w:tcW w:w="1240" w:type="dxa"/>
            <w:vAlign w:val="bottom"/>
            <w:shd w:val="clear" w:color="auto" w:fill="E5FFFF"/>
          </w:tcPr>
          <w:p>
            <w:pPr>
              <w:jc w:val="right"/>
              <w:ind w:right="199"/>
              <w:spacing w:after="0"/>
              <w:rPr>
                <w:sz w:val="20"/>
                <w:szCs w:val="20"/>
                <w:color w:val="auto"/>
              </w:rPr>
            </w:pPr>
            <w:r>
              <w:rPr>
                <w:rFonts w:ascii="Arial" w:cs="Arial" w:eastAsia="Arial" w:hAnsi="Arial"/>
                <w:sz w:val="16"/>
                <w:szCs w:val="16"/>
                <w:color w:val="auto"/>
              </w:rPr>
              <w:t>174,000</w:t>
            </w:r>
          </w:p>
        </w:tc>
        <w:tc>
          <w:tcPr>
            <w:tcW w:w="18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Shell</w:t>
            </w:r>
          </w:p>
        </w:tc>
        <w:tc>
          <w:tcPr>
            <w:tcW w:w="1020" w:type="dxa"/>
            <w:vAlign w:val="bottom"/>
            <w:shd w:val="clear" w:color="auto" w:fill="E5FFFF"/>
          </w:tcPr>
          <w:p>
            <w:pPr>
              <w:ind w:left="260"/>
              <w:spacing w:after="0"/>
              <w:rPr>
                <w:sz w:val="20"/>
                <w:szCs w:val="20"/>
                <w:color w:val="auto"/>
              </w:rPr>
            </w:pPr>
            <w:r>
              <w:rPr>
                <w:rFonts w:ascii="Arial" w:cs="Arial" w:eastAsia="Arial" w:hAnsi="Arial"/>
                <w:sz w:val="16"/>
                <w:szCs w:val="16"/>
                <w:color w:val="auto"/>
              </w:rPr>
              <w:t>TFDE</w:t>
            </w:r>
          </w:p>
        </w:tc>
        <w:tc>
          <w:tcPr>
            <w:tcW w:w="1680" w:type="dxa"/>
            <w:vAlign w:val="bottom"/>
            <w:shd w:val="clear" w:color="auto" w:fill="E5FFFF"/>
          </w:tcPr>
          <w:p>
            <w:pPr>
              <w:jc w:val="center"/>
              <w:ind w:left="19"/>
              <w:spacing w:after="0"/>
              <w:rPr>
                <w:sz w:val="20"/>
                <w:szCs w:val="20"/>
                <w:color w:val="auto"/>
              </w:rPr>
            </w:pPr>
            <w:r>
              <w:rPr>
                <w:rFonts w:ascii="Arial" w:cs="Arial" w:eastAsia="Arial" w:hAnsi="Arial"/>
                <w:sz w:val="16"/>
                <w:szCs w:val="16"/>
                <w:color w:val="auto"/>
                <w:w w:val="88"/>
              </w:rPr>
              <w:t>June 2026</w:t>
            </w:r>
          </w:p>
        </w:tc>
        <w:tc>
          <w:tcPr>
            <w:tcW w:w="148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4"/>
              </w:rPr>
              <w:t xml:space="preserve">2031 </w:t>
            </w:r>
            <w:r>
              <w:rPr>
                <w:rFonts w:ascii="Arial" w:cs="Arial" w:eastAsia="Arial" w:hAnsi="Arial"/>
                <w:sz w:val="26"/>
                <w:szCs w:val="26"/>
                <w:color w:val="auto"/>
                <w:w w:val="84"/>
                <w:vertAlign w:val="superscript"/>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9" w:lineRule="exact"/>
        <w:rPr>
          <w:sz w:val="20"/>
          <w:szCs w:val="20"/>
          <w:color w:val="auto"/>
        </w:rPr>
      </w:pPr>
    </w:p>
    <w:p>
      <w:pPr>
        <w:ind w:left="340" w:right="240" w:hanging="332"/>
        <w:spacing w:after="0" w:line="248" w:lineRule="auto"/>
        <w:tabs>
          <w:tab w:leader="none" w:pos="340" w:val="left"/>
        </w:tabs>
        <w:numPr>
          <w:ilvl w:val="0"/>
          <w:numId w:val="9"/>
        </w:numPr>
        <w:rPr>
          <w:rFonts w:ascii="Arial" w:cs="Arial" w:eastAsia="Arial" w:hAnsi="Arial"/>
          <w:sz w:val="11"/>
          <w:szCs w:val="11"/>
          <w:color w:val="auto"/>
        </w:rPr>
      </w:pPr>
      <w:r>
        <w:rPr>
          <w:rFonts w:ascii="Arial" w:cs="Arial" w:eastAsia="Arial" w:hAnsi="Arial"/>
          <w:sz w:val="13"/>
          <w:szCs w:val="13"/>
          <w:color w:val="auto"/>
        </w:rPr>
        <w:t>The vessel is chartered to Trafigura Maritime Logistics PTE Ltd. (“Trafigura”). Charterer may extend the term of this time charter for a period ranging from one to seven years, provided that the charterer gives us advance notice of declaration. The period shown reflects the expiration of the minimum optional period and the maximum optional period.</w:t>
      </w:r>
    </w:p>
    <w:p>
      <w:pPr>
        <w:ind w:left="340" w:hanging="332"/>
        <w:spacing w:after="0"/>
        <w:tabs>
          <w:tab w:leader="none" w:pos="340" w:val="left"/>
        </w:tabs>
        <w:numPr>
          <w:ilvl w:val="0"/>
          <w:numId w:val="9"/>
        </w:numPr>
        <w:rPr>
          <w:rFonts w:ascii="Arial" w:cs="Arial" w:eastAsia="Arial" w:hAnsi="Arial"/>
          <w:sz w:val="12"/>
          <w:szCs w:val="12"/>
          <w:color w:val="auto"/>
        </w:rPr>
      </w:pPr>
      <w:r>
        <w:rPr>
          <w:rFonts w:ascii="Arial" w:cs="Arial" w:eastAsia="Arial" w:hAnsi="Arial"/>
          <w:sz w:val="14"/>
          <w:szCs w:val="14"/>
          <w:color w:val="auto"/>
        </w:rPr>
        <w:t>The vessel is chartered to Singapore Carbon Hydrogen Energy Pte. Ltd., a wholly owned subsidiary of JOVO.</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9"/>
        </w:numPr>
        <w:rPr>
          <w:rFonts w:ascii="Arial" w:cs="Arial" w:eastAsia="Arial" w:hAnsi="Arial"/>
          <w:sz w:val="12"/>
          <w:szCs w:val="12"/>
          <w:color w:val="auto"/>
        </w:rPr>
      </w:pPr>
      <w:r>
        <w:rPr>
          <w:rFonts w:ascii="Arial" w:cs="Arial" w:eastAsia="Arial" w:hAnsi="Arial"/>
          <w:sz w:val="14"/>
          <w:szCs w:val="14"/>
          <w:color w:val="auto"/>
        </w:rPr>
        <w:t>The vessel is chartered to Clearlake Shipping Pte. Ltd., a subsidiary of Gunvor Group Ltd. (“Gunvor”).</w:t>
      </w:r>
    </w:p>
    <w:p>
      <w:pPr>
        <w:spacing w:after="0" w:line="1" w:lineRule="exact"/>
        <w:rPr>
          <w:rFonts w:ascii="Arial" w:cs="Arial" w:eastAsia="Arial" w:hAnsi="Arial"/>
          <w:sz w:val="12"/>
          <w:szCs w:val="12"/>
          <w:color w:val="auto"/>
        </w:rPr>
      </w:pPr>
    </w:p>
    <w:p>
      <w:pPr>
        <w:ind w:left="340" w:right="120" w:hanging="332"/>
        <w:spacing w:after="0" w:line="221" w:lineRule="auto"/>
        <w:tabs>
          <w:tab w:leader="none" w:pos="340" w:val="left"/>
        </w:tabs>
        <w:numPr>
          <w:ilvl w:val="0"/>
          <w:numId w:val="9"/>
        </w:numPr>
        <w:rPr>
          <w:rFonts w:ascii="Arial" w:cs="Arial" w:eastAsia="Arial" w:hAnsi="Arial"/>
          <w:sz w:val="12"/>
          <w:szCs w:val="12"/>
          <w:color w:val="auto"/>
        </w:rPr>
      </w:pPr>
      <w:r>
        <w:rPr>
          <w:rFonts w:ascii="Arial" w:cs="Arial" w:eastAsia="Arial" w:hAnsi="Arial"/>
          <w:sz w:val="14"/>
          <w:szCs w:val="14"/>
          <w:color w:val="auto"/>
        </w:rPr>
        <w:t>The vessel is chartered to Cheniere Marketing International LLP, a subsidiary of Cheniere Energy Inc. (“Cheniere”). Charterer may extend the term of the time charters by two additional periods of one year, provided that the charterer gives us advance notice of declaration. The period shown reflects the expiration of the minimum optional period and the maximum optional period.</w:t>
      </w:r>
    </w:p>
    <w:p>
      <w:pPr>
        <w:ind w:left="340" w:right="300" w:hanging="332"/>
        <w:spacing w:after="0" w:line="221" w:lineRule="auto"/>
        <w:tabs>
          <w:tab w:leader="none" w:pos="340" w:val="left"/>
        </w:tabs>
        <w:numPr>
          <w:ilvl w:val="0"/>
          <w:numId w:val="9"/>
        </w:numPr>
        <w:rPr>
          <w:rFonts w:ascii="Arial" w:cs="Arial" w:eastAsia="Arial" w:hAnsi="Arial"/>
          <w:sz w:val="12"/>
          <w:szCs w:val="12"/>
          <w:color w:val="auto"/>
        </w:rPr>
      </w:pPr>
      <w:r>
        <w:rPr>
          <w:rFonts w:ascii="Arial" w:cs="Arial" w:eastAsia="Arial" w:hAnsi="Arial"/>
          <w:sz w:val="14"/>
          <w:szCs w:val="14"/>
          <w:color w:val="auto"/>
        </w:rPr>
        <w:t>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jc w:val="both"/>
        <w:ind w:left="340" w:hanging="332"/>
        <w:spacing w:after="0" w:line="258" w:lineRule="auto"/>
        <w:tabs>
          <w:tab w:leader="none" w:pos="340" w:val="left"/>
        </w:tabs>
        <w:numPr>
          <w:ilvl w:val="0"/>
          <w:numId w:val="9"/>
        </w:numPr>
        <w:rPr>
          <w:rFonts w:ascii="Arial" w:cs="Arial" w:eastAsia="Arial" w:hAnsi="Arial"/>
          <w:sz w:val="10"/>
          <w:szCs w:val="10"/>
          <w:color w:val="auto"/>
        </w:rPr>
      </w:pPr>
      <w:r>
        <w:rPr>
          <w:rFonts w:ascii="Arial" w:cs="Arial" w:eastAsia="Arial" w:hAnsi="Arial"/>
          <w:sz w:val="12"/>
          <w:szCs w:val="12"/>
          <w:color w:val="auto"/>
        </w:rPr>
        <w:t>The vessel is chartered to CNTIC VPower, an independent Chinese energy company. The charterer may extend the term of the related charter by two additional periods of one year, provided that the charterer gives us advance notice of its exercise of any extension option. The period shown reflects the expiration of the minimum optional period and the maximum optional period.</w:t>
      </w:r>
    </w:p>
    <w:p>
      <w:pPr>
        <w:ind w:left="340" w:right="440" w:hanging="332"/>
        <w:spacing w:after="0" w:line="221" w:lineRule="auto"/>
        <w:tabs>
          <w:tab w:leader="none" w:pos="340" w:val="left"/>
        </w:tabs>
        <w:numPr>
          <w:ilvl w:val="0"/>
          <w:numId w:val="9"/>
        </w:numPr>
        <w:rPr>
          <w:rFonts w:ascii="Arial" w:cs="Arial" w:eastAsia="Arial" w:hAnsi="Arial"/>
          <w:sz w:val="12"/>
          <w:szCs w:val="12"/>
          <w:color w:val="auto"/>
        </w:rPr>
      </w:pPr>
      <w:r>
        <w:rPr>
          <w:rFonts w:ascii="Arial" w:cs="Arial" w:eastAsia="Arial" w:hAnsi="Arial"/>
          <w:sz w:val="14"/>
          <w:szCs w:val="14"/>
          <w:color w:val="auto"/>
        </w:rPr>
        <w:t>Charterer may extend the term of the related charter for one extension period of three or five years, provided that the charterer gives us advance notice of its exercise of any extension option. The period shown reflects the expiration of the minimum optional period and the maximum optional period.</w:t>
      </w:r>
    </w:p>
    <w:p>
      <w:pPr>
        <w:ind w:left="340" w:hanging="332"/>
        <w:spacing w:after="0"/>
        <w:tabs>
          <w:tab w:leader="none" w:pos="340" w:val="left"/>
        </w:tabs>
        <w:numPr>
          <w:ilvl w:val="0"/>
          <w:numId w:val="9"/>
        </w:numPr>
        <w:rPr>
          <w:rFonts w:ascii="Arial" w:cs="Arial" w:eastAsia="Arial" w:hAnsi="Arial"/>
          <w:sz w:val="12"/>
          <w:szCs w:val="12"/>
          <w:color w:val="auto"/>
        </w:rPr>
      </w:pPr>
      <w:r>
        <w:rPr>
          <w:rFonts w:ascii="Arial" w:cs="Arial" w:eastAsia="Arial" w:hAnsi="Arial"/>
          <w:sz w:val="14"/>
          <w:szCs w:val="14"/>
          <w:color w:val="auto"/>
        </w:rPr>
        <w:t>Charterer may extend the term of these time charters for a period of five years, provided that the charterer gives us advance notice of declaration.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Vessels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Five-Year Vessel Business Opportunities</w:t>
      </w:r>
    </w:p>
    <w:p>
      <w:pPr>
        <w:spacing w:after="0" w:line="235" w:lineRule="exact"/>
        <w:rPr>
          <w:sz w:val="20"/>
          <w:szCs w:val="20"/>
          <w:color w:val="auto"/>
        </w:rPr>
      </w:pPr>
    </w:p>
    <w:p>
      <w:pPr>
        <w:ind w:firstLine="324"/>
        <w:spacing w:after="0" w:line="289" w:lineRule="auto"/>
        <w:rPr>
          <w:sz w:val="20"/>
          <w:szCs w:val="20"/>
          <w:color w:val="auto"/>
        </w:rPr>
      </w:pPr>
      <w:r>
        <w:rPr>
          <w:rFonts w:ascii="Arial" w:cs="Arial" w:eastAsia="Arial" w:hAnsi="Arial"/>
          <w:sz w:val="15"/>
          <w:szCs w:val="15"/>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 The two newbuildings and seven on-the-water vessels listed below will each qualify as a Five-Year Vessel upon commencement of their respective charters and GasLog will be required to offer to us an opportunity to purchase each vessel at fair market value within 30 days of the commencement of its charter. Generally, we must exercise this right of first offer within 30 days following the notice from GasLog that the vessel has been acquired or has become a Five-Year Vessel.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Cargo</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Capacity</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Estimated Charter</w:t>
            </w:r>
          </w:p>
        </w:tc>
      </w:tr>
      <w:tr>
        <w:trPr>
          <w:trHeight w:val="213"/>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20" w:type="dxa"/>
            <w:vAlign w:val="bottom"/>
            <w:tcBorders>
              <w:bottom w:val="single" w:sz="8" w:color="E5FFFF"/>
            </w:tcBorders>
          </w:tcPr>
          <w:p>
            <w:pPr>
              <w:spacing w:after="0"/>
              <w:rPr>
                <w:sz w:val="18"/>
                <w:szCs w:val="18"/>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Year Built</w:t>
            </w:r>
          </w:p>
        </w:tc>
        <w:tc>
          <w:tcPr>
            <w:tcW w:w="100" w:type="dxa"/>
            <w:vAlign w:val="bottom"/>
            <w:tcBorders>
              <w:bottom w:val="single" w:sz="8" w:color="E5FF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10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Charterer</w:t>
            </w:r>
          </w:p>
        </w:tc>
        <w:tc>
          <w:tcPr>
            <w:tcW w:w="100" w:type="dxa"/>
            <w:vAlign w:val="bottom"/>
            <w:tcBorders>
              <w:bottom w:val="single" w:sz="8" w:color="E5FF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Propulsion</w:t>
            </w:r>
          </w:p>
        </w:tc>
        <w:tc>
          <w:tcPr>
            <w:tcW w:w="100" w:type="dxa"/>
            <w:vAlign w:val="bottom"/>
            <w:tcBorders>
              <w:bottom w:val="single" w:sz="8" w:color="E5FFFF"/>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Expiration</w:t>
            </w:r>
          </w:p>
        </w:tc>
        <w:tc>
          <w:tcPr>
            <w:tcW w:w="80" w:type="dxa"/>
            <w:vAlign w:val="bottom"/>
            <w:tcBorders>
              <w:bottom w:val="single" w:sz="8" w:color="E5FFFF"/>
            </w:tcBorders>
          </w:tcPr>
          <w:p>
            <w:pPr>
              <w:spacing w:after="0"/>
              <w:rPr>
                <w:sz w:val="18"/>
                <w:szCs w:val="18"/>
                <w:color w:val="auto"/>
              </w:rPr>
            </w:pPr>
          </w:p>
        </w:tc>
      </w:tr>
      <w:tr>
        <w:trPr>
          <w:trHeight w:val="239"/>
        </w:trPr>
        <w:tc>
          <w:tcPr>
            <w:tcW w:w="1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w:t>
            </w:r>
          </w:p>
        </w:tc>
        <w:tc>
          <w:tcPr>
            <w:tcW w:w="3360" w:type="dxa"/>
            <w:vAlign w:val="bottom"/>
            <w:shd w:val="clear" w:color="auto" w:fill="E5FFFF"/>
          </w:tcPr>
          <w:p>
            <w:pPr>
              <w:ind w:left="40"/>
              <w:spacing w:after="0"/>
              <w:rPr>
                <w:sz w:val="20"/>
                <w:szCs w:val="20"/>
                <w:color w:val="auto"/>
              </w:rPr>
            </w:pPr>
            <w:r>
              <w:rPr>
                <w:rFonts w:ascii="Arial" w:cs="Arial" w:eastAsia="Arial" w:hAnsi="Arial"/>
                <w:sz w:val="16"/>
                <w:szCs w:val="16"/>
                <w:i w:val="1"/>
                <w:iCs w:val="1"/>
                <w:color w:val="auto"/>
              </w:rPr>
              <w:t>GasLog Singapore</w:t>
            </w:r>
          </w:p>
        </w:tc>
        <w:tc>
          <w:tcPr>
            <w:tcW w:w="120" w:type="dxa"/>
            <w:vAlign w:val="bottom"/>
            <w:shd w:val="clear" w:color="auto" w:fill="E5FFFF"/>
          </w:tcPr>
          <w:p>
            <w:pPr>
              <w:spacing w:after="0"/>
              <w:rPr>
                <w:sz w:val="20"/>
                <w:szCs w:val="20"/>
                <w:color w:val="auto"/>
              </w:rPr>
            </w:pPr>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2010</w:t>
            </w:r>
          </w:p>
        </w:tc>
        <w:tc>
          <w:tcPr>
            <w:tcW w:w="100" w:type="dxa"/>
            <w:vAlign w:val="bottom"/>
            <w:shd w:val="clear" w:color="auto" w:fill="E5FFFF"/>
          </w:tcPr>
          <w:p>
            <w:pPr>
              <w:spacing w:after="0"/>
              <w:rPr>
                <w:sz w:val="20"/>
                <w:szCs w:val="20"/>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00" w:type="dxa"/>
            <w:vAlign w:val="bottom"/>
            <w:shd w:val="clear" w:color="auto" w:fill="E5FFFF"/>
          </w:tcPr>
          <w:p>
            <w:pPr>
              <w:spacing w:after="0"/>
              <w:rPr>
                <w:sz w:val="20"/>
                <w:szCs w:val="20"/>
                <w:color w:val="auto"/>
              </w:rPr>
            </w:pPr>
          </w:p>
        </w:tc>
        <w:tc>
          <w:tcPr>
            <w:tcW w:w="1300" w:type="dxa"/>
            <w:vAlign w:val="bottom"/>
            <w:shd w:val="clear" w:color="auto" w:fill="E5FFFF"/>
          </w:tcPr>
          <w:p>
            <w:pPr>
              <w:jc w:val="center"/>
              <w:spacing w:after="0" w:line="240" w:lineRule="exact"/>
              <w:rPr>
                <w:sz w:val="20"/>
                <w:szCs w:val="20"/>
                <w:color w:val="auto"/>
              </w:rPr>
            </w:pPr>
            <w:r>
              <w:rPr>
                <w:rFonts w:ascii="Arial" w:cs="Arial" w:eastAsia="Arial" w:hAnsi="Arial"/>
                <w:sz w:val="16"/>
                <w:szCs w:val="16"/>
                <w:color w:val="auto"/>
                <w:w w:val="91"/>
              </w:rPr>
              <w:t xml:space="preserve">Sinolam LNG </w:t>
            </w:r>
            <w:r>
              <w:rPr>
                <w:rFonts w:ascii="Arial" w:cs="Arial" w:eastAsia="Arial" w:hAnsi="Arial"/>
                <w:sz w:val="26"/>
                <w:szCs w:val="26"/>
                <w:color w:val="auto"/>
                <w:w w:val="91"/>
                <w:vertAlign w:val="superscript"/>
              </w:rPr>
              <w:t>(1)</w:t>
            </w:r>
          </w:p>
        </w:tc>
        <w:tc>
          <w:tcPr>
            <w:tcW w:w="100" w:type="dxa"/>
            <w:vAlign w:val="bottom"/>
            <w:shd w:val="clear" w:color="auto" w:fill="E5FFFF"/>
          </w:tcPr>
          <w:p>
            <w:pPr>
              <w:spacing w:after="0"/>
              <w:rPr>
                <w:sz w:val="20"/>
                <w:szCs w:val="20"/>
                <w:color w:val="auto"/>
              </w:rPr>
            </w:pPr>
          </w:p>
        </w:tc>
        <w:tc>
          <w:tcPr>
            <w:tcW w:w="12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TFDE</w:t>
            </w:r>
          </w:p>
        </w:tc>
        <w:tc>
          <w:tcPr>
            <w:tcW w:w="15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2032</w:t>
            </w:r>
          </w:p>
        </w:tc>
        <w:tc>
          <w:tcPr>
            <w:tcW w:w="80" w:type="dxa"/>
            <w:vAlign w:val="bottom"/>
            <w:shd w:val="clear" w:color="auto" w:fill="E5FFFF"/>
          </w:tcPr>
          <w:p>
            <w:pPr>
              <w:spacing w:after="0"/>
              <w:rPr>
                <w:sz w:val="20"/>
                <w:szCs w:val="20"/>
                <w:color w:val="auto"/>
              </w:rPr>
            </w:pPr>
          </w:p>
        </w:tc>
      </w:tr>
      <w:tr>
        <w:trPr>
          <w:trHeight w:val="243"/>
        </w:trPr>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348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Warsaw</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00" w:type="dxa"/>
            <w:vAlign w:val="bottom"/>
          </w:tcPr>
          <w:p>
            <w:pPr>
              <w:spacing w:after="0"/>
              <w:rPr>
                <w:sz w:val="21"/>
                <w:szCs w:val="21"/>
                <w:color w:val="auto"/>
              </w:rPr>
            </w:pPr>
          </w:p>
        </w:tc>
        <w:tc>
          <w:tcPr>
            <w:tcW w:w="1400" w:type="dxa"/>
            <w:vAlign w:val="bottom"/>
            <w:gridSpan w:val="2"/>
          </w:tcPr>
          <w:p>
            <w:pPr>
              <w:jc w:val="center"/>
              <w:ind w:right="100"/>
              <w:spacing w:after="0" w:line="243" w:lineRule="exact"/>
              <w:rPr>
                <w:sz w:val="20"/>
                <w:szCs w:val="20"/>
                <w:color w:val="auto"/>
              </w:rPr>
            </w:pPr>
            <w:r>
              <w:rPr>
                <w:rFonts w:ascii="Arial" w:cs="Arial" w:eastAsia="Arial" w:hAnsi="Arial"/>
                <w:sz w:val="16"/>
                <w:szCs w:val="16"/>
                <w:color w:val="auto"/>
                <w:w w:val="82"/>
              </w:rPr>
              <w:t xml:space="preserve">Endesa </w:t>
            </w:r>
            <w:r>
              <w:rPr>
                <w:rFonts w:ascii="Arial" w:cs="Arial" w:eastAsia="Arial" w:hAnsi="Arial"/>
                <w:sz w:val="26"/>
                <w:szCs w:val="26"/>
                <w:color w:val="auto"/>
                <w:w w:val="82"/>
                <w:vertAlign w:val="superscript"/>
              </w:rPr>
              <w:t>(2)</w:t>
            </w:r>
          </w:p>
        </w:tc>
        <w:tc>
          <w:tcPr>
            <w:tcW w:w="1200" w:type="dxa"/>
            <w:vAlign w:val="bottom"/>
            <w:gridSpan w:val="2"/>
          </w:tcPr>
          <w:p>
            <w:pPr>
              <w:jc w:val="center"/>
              <w:ind w:right="100"/>
              <w:spacing w:after="0" w:line="243" w:lineRule="exact"/>
              <w:rPr>
                <w:sz w:val="20"/>
                <w:szCs w:val="20"/>
                <w:color w:val="auto"/>
              </w:rPr>
            </w:pPr>
            <w:r>
              <w:rPr>
                <w:rFonts w:ascii="Arial" w:cs="Arial" w:eastAsia="Arial" w:hAnsi="Arial"/>
                <w:sz w:val="16"/>
                <w:szCs w:val="16"/>
                <w:color w:val="auto"/>
                <w:w w:val="92"/>
              </w:rPr>
              <w:t xml:space="preserve">X-DF </w:t>
            </w:r>
            <w:r>
              <w:rPr>
                <w:rFonts w:ascii="Arial" w:cs="Arial" w:eastAsia="Arial" w:hAnsi="Arial"/>
                <w:sz w:val="26"/>
                <w:szCs w:val="26"/>
                <w:color w:val="auto"/>
                <w:w w:val="92"/>
                <w:vertAlign w:val="superscript"/>
              </w:rPr>
              <w:t>(3)</w:t>
            </w: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2029</w:t>
            </w:r>
          </w:p>
        </w:tc>
        <w:tc>
          <w:tcPr>
            <w:tcW w:w="80" w:type="dxa"/>
            <w:vAlign w:val="bottom"/>
          </w:tcPr>
          <w:p>
            <w:pPr>
              <w:spacing w:after="0"/>
              <w:rPr>
                <w:sz w:val="21"/>
                <w:szCs w:val="21"/>
                <w:color w:val="auto"/>
              </w:rPr>
            </w:pPr>
          </w:p>
        </w:tc>
      </w:tr>
      <w:tr>
        <w:trPr>
          <w:trHeight w:val="243"/>
        </w:trPr>
        <w:tc>
          <w:tcPr>
            <w:tcW w:w="1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3</w:t>
            </w:r>
          </w:p>
        </w:tc>
        <w:tc>
          <w:tcPr>
            <w:tcW w:w="348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GasLog Windsor</w:t>
            </w:r>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2020</w:t>
            </w:r>
          </w:p>
        </w:tc>
        <w:tc>
          <w:tcPr>
            <w:tcW w:w="100" w:type="dxa"/>
            <w:vAlign w:val="bottom"/>
            <w:shd w:val="clear" w:color="auto" w:fill="E5FFFF"/>
          </w:tcPr>
          <w:p>
            <w:pPr>
              <w:spacing w:after="0"/>
              <w:rPr>
                <w:sz w:val="21"/>
                <w:szCs w:val="21"/>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100" w:type="dxa"/>
            <w:vAlign w:val="bottom"/>
            <w:shd w:val="clear" w:color="auto" w:fill="E5FFFF"/>
          </w:tcPr>
          <w:p>
            <w:pPr>
              <w:spacing w:after="0"/>
              <w:rPr>
                <w:sz w:val="21"/>
                <w:szCs w:val="21"/>
                <w:color w:val="auto"/>
              </w:rPr>
            </w:pPr>
          </w:p>
        </w:tc>
        <w:tc>
          <w:tcPr>
            <w:tcW w:w="1400" w:type="dxa"/>
            <w:vAlign w:val="bottom"/>
            <w:gridSpan w:val="2"/>
            <w:shd w:val="clear" w:color="auto" w:fill="E5FFFF"/>
          </w:tcPr>
          <w:p>
            <w:pPr>
              <w:jc w:val="center"/>
              <w:ind w:right="100"/>
              <w:spacing w:after="0" w:line="243" w:lineRule="exact"/>
              <w:rPr>
                <w:sz w:val="20"/>
                <w:szCs w:val="20"/>
                <w:color w:val="auto"/>
              </w:rPr>
            </w:pPr>
            <w:r>
              <w:rPr>
                <w:rFonts w:ascii="Arial" w:cs="Arial" w:eastAsia="Arial" w:hAnsi="Arial"/>
                <w:sz w:val="16"/>
                <w:szCs w:val="16"/>
                <w:color w:val="auto"/>
                <w:w w:val="86"/>
              </w:rPr>
              <w:t xml:space="preserve">Centrica </w:t>
            </w:r>
            <w:r>
              <w:rPr>
                <w:rFonts w:ascii="Arial" w:cs="Arial" w:eastAsia="Arial" w:hAnsi="Arial"/>
                <w:sz w:val="26"/>
                <w:szCs w:val="26"/>
                <w:color w:val="auto"/>
                <w:w w:val="86"/>
                <w:vertAlign w:val="superscript"/>
              </w:rPr>
              <w:t>(4)</w:t>
            </w:r>
          </w:p>
        </w:tc>
        <w:tc>
          <w:tcPr>
            <w:tcW w:w="1200" w:type="dxa"/>
            <w:vAlign w:val="bottom"/>
            <w:gridSpan w:val="2"/>
            <w:shd w:val="clear" w:color="auto" w:fill="E5FFFF"/>
          </w:tcPr>
          <w:p>
            <w:pPr>
              <w:jc w:val="center"/>
              <w:ind w:right="100"/>
              <w:spacing w:after="0" w:line="243" w:lineRule="exact"/>
              <w:rPr>
                <w:sz w:val="20"/>
                <w:szCs w:val="20"/>
                <w:color w:val="auto"/>
              </w:rPr>
            </w:pPr>
            <w:r>
              <w:rPr>
                <w:rFonts w:ascii="Arial" w:cs="Arial" w:eastAsia="Arial" w:hAnsi="Arial"/>
                <w:sz w:val="16"/>
                <w:szCs w:val="16"/>
                <w:color w:val="auto"/>
                <w:w w:val="92"/>
              </w:rPr>
              <w:t xml:space="preserve">X-DF </w:t>
            </w:r>
            <w:r>
              <w:rPr>
                <w:rFonts w:ascii="Arial" w:cs="Arial" w:eastAsia="Arial" w:hAnsi="Arial"/>
                <w:sz w:val="26"/>
                <w:szCs w:val="26"/>
                <w:color w:val="auto"/>
                <w:w w:val="92"/>
                <w:vertAlign w:val="superscript"/>
              </w:rPr>
              <w:t>(3)</w:t>
            </w:r>
          </w:p>
        </w:tc>
        <w:tc>
          <w:tcPr>
            <w:tcW w:w="15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2027</w:t>
            </w:r>
          </w:p>
        </w:tc>
        <w:tc>
          <w:tcPr>
            <w:tcW w:w="80" w:type="dxa"/>
            <w:vAlign w:val="bottom"/>
            <w:shd w:val="clear" w:color="auto" w:fill="E5FFFF"/>
          </w:tcPr>
          <w:p>
            <w:pPr>
              <w:spacing w:after="0"/>
              <w:rPr>
                <w:sz w:val="21"/>
                <w:szCs w:val="21"/>
                <w:color w:val="auto"/>
              </w:rPr>
            </w:pPr>
          </w:p>
        </w:tc>
      </w:tr>
      <w:tr>
        <w:trPr>
          <w:trHeight w:val="243"/>
        </w:trPr>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348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Wales</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2020</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00" w:type="dxa"/>
            <w:vAlign w:val="bottom"/>
          </w:tcPr>
          <w:p>
            <w:pPr>
              <w:spacing w:after="0"/>
              <w:rPr>
                <w:sz w:val="21"/>
                <w:szCs w:val="21"/>
                <w:color w:val="auto"/>
              </w:rPr>
            </w:pPr>
          </w:p>
        </w:tc>
        <w:tc>
          <w:tcPr>
            <w:tcW w:w="1400" w:type="dxa"/>
            <w:vAlign w:val="bottom"/>
            <w:gridSpan w:val="2"/>
          </w:tcPr>
          <w:p>
            <w:pPr>
              <w:jc w:val="center"/>
              <w:ind w:right="100"/>
              <w:spacing w:after="0" w:line="243" w:lineRule="exact"/>
              <w:rPr>
                <w:sz w:val="20"/>
                <w:szCs w:val="20"/>
                <w:color w:val="auto"/>
              </w:rPr>
            </w:pPr>
            <w:r>
              <w:rPr>
                <w:rFonts w:ascii="Arial" w:cs="Arial" w:eastAsia="Arial" w:hAnsi="Arial"/>
                <w:sz w:val="16"/>
                <w:szCs w:val="16"/>
                <w:color w:val="auto"/>
                <w:w w:val="87"/>
              </w:rPr>
              <w:t xml:space="preserve">JERA </w:t>
            </w:r>
            <w:r>
              <w:rPr>
                <w:rFonts w:ascii="Arial" w:cs="Arial" w:eastAsia="Arial" w:hAnsi="Arial"/>
                <w:sz w:val="26"/>
                <w:szCs w:val="26"/>
                <w:color w:val="auto"/>
                <w:w w:val="87"/>
                <w:vertAlign w:val="superscript"/>
              </w:rPr>
              <w:t>(5)</w:t>
            </w:r>
          </w:p>
        </w:tc>
        <w:tc>
          <w:tcPr>
            <w:tcW w:w="1200" w:type="dxa"/>
            <w:vAlign w:val="bottom"/>
            <w:gridSpan w:val="2"/>
          </w:tcPr>
          <w:p>
            <w:pPr>
              <w:jc w:val="center"/>
              <w:ind w:right="100"/>
              <w:spacing w:after="0" w:line="243" w:lineRule="exact"/>
              <w:rPr>
                <w:sz w:val="20"/>
                <w:szCs w:val="20"/>
                <w:color w:val="auto"/>
              </w:rPr>
            </w:pPr>
            <w:r>
              <w:rPr>
                <w:rFonts w:ascii="Arial" w:cs="Arial" w:eastAsia="Arial" w:hAnsi="Arial"/>
                <w:sz w:val="16"/>
                <w:szCs w:val="16"/>
                <w:color w:val="auto"/>
                <w:w w:val="92"/>
              </w:rPr>
              <w:t xml:space="preserve">X-DF </w:t>
            </w:r>
            <w:r>
              <w:rPr>
                <w:rFonts w:ascii="Arial" w:cs="Arial" w:eastAsia="Arial" w:hAnsi="Arial"/>
                <w:sz w:val="26"/>
                <w:szCs w:val="26"/>
                <w:color w:val="auto"/>
                <w:w w:val="92"/>
                <w:vertAlign w:val="superscript"/>
              </w:rPr>
              <w:t>(3)</w:t>
            </w: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2032</w:t>
            </w:r>
          </w:p>
        </w:tc>
        <w:tc>
          <w:tcPr>
            <w:tcW w:w="80" w:type="dxa"/>
            <w:vAlign w:val="bottom"/>
          </w:tcPr>
          <w:p>
            <w:pPr>
              <w:spacing w:after="0"/>
              <w:rPr>
                <w:sz w:val="21"/>
                <w:szCs w:val="21"/>
                <w:color w:val="auto"/>
              </w:rPr>
            </w:pPr>
          </w:p>
        </w:tc>
      </w:tr>
      <w:tr>
        <w:trPr>
          <w:trHeight w:val="243"/>
        </w:trPr>
        <w:tc>
          <w:tcPr>
            <w:tcW w:w="1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5</w:t>
            </w:r>
          </w:p>
        </w:tc>
        <w:tc>
          <w:tcPr>
            <w:tcW w:w="348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GasLog Westminster</w:t>
            </w:r>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2020</w:t>
            </w:r>
          </w:p>
        </w:tc>
        <w:tc>
          <w:tcPr>
            <w:tcW w:w="100" w:type="dxa"/>
            <w:vAlign w:val="bottom"/>
            <w:shd w:val="clear" w:color="auto" w:fill="E5FFFF"/>
          </w:tcPr>
          <w:p>
            <w:pPr>
              <w:spacing w:after="0"/>
              <w:rPr>
                <w:sz w:val="21"/>
                <w:szCs w:val="21"/>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100" w:type="dxa"/>
            <w:vAlign w:val="bottom"/>
            <w:shd w:val="clear" w:color="auto" w:fill="E5FFFF"/>
          </w:tcPr>
          <w:p>
            <w:pPr>
              <w:spacing w:after="0"/>
              <w:rPr>
                <w:sz w:val="21"/>
                <w:szCs w:val="21"/>
                <w:color w:val="auto"/>
              </w:rPr>
            </w:pPr>
          </w:p>
        </w:tc>
        <w:tc>
          <w:tcPr>
            <w:tcW w:w="1400" w:type="dxa"/>
            <w:vAlign w:val="bottom"/>
            <w:gridSpan w:val="2"/>
            <w:shd w:val="clear" w:color="auto" w:fill="E5FFFF"/>
          </w:tcPr>
          <w:p>
            <w:pPr>
              <w:jc w:val="center"/>
              <w:ind w:right="100"/>
              <w:spacing w:after="0" w:line="243" w:lineRule="exact"/>
              <w:rPr>
                <w:sz w:val="20"/>
                <w:szCs w:val="20"/>
                <w:color w:val="auto"/>
              </w:rPr>
            </w:pPr>
            <w:r>
              <w:rPr>
                <w:rFonts w:ascii="Arial" w:cs="Arial" w:eastAsia="Arial" w:hAnsi="Arial"/>
                <w:sz w:val="16"/>
                <w:szCs w:val="16"/>
                <w:color w:val="auto"/>
                <w:w w:val="86"/>
              </w:rPr>
              <w:t xml:space="preserve">Centrica </w:t>
            </w:r>
            <w:r>
              <w:rPr>
                <w:rFonts w:ascii="Arial" w:cs="Arial" w:eastAsia="Arial" w:hAnsi="Arial"/>
                <w:sz w:val="26"/>
                <w:szCs w:val="26"/>
                <w:color w:val="auto"/>
                <w:w w:val="86"/>
                <w:vertAlign w:val="superscript"/>
              </w:rPr>
              <w:t>(4)</w:t>
            </w:r>
          </w:p>
        </w:tc>
        <w:tc>
          <w:tcPr>
            <w:tcW w:w="1200" w:type="dxa"/>
            <w:vAlign w:val="bottom"/>
            <w:gridSpan w:val="2"/>
            <w:shd w:val="clear" w:color="auto" w:fill="E5FFFF"/>
          </w:tcPr>
          <w:p>
            <w:pPr>
              <w:jc w:val="center"/>
              <w:ind w:right="100"/>
              <w:spacing w:after="0" w:line="243" w:lineRule="exact"/>
              <w:rPr>
                <w:sz w:val="20"/>
                <w:szCs w:val="20"/>
                <w:color w:val="auto"/>
              </w:rPr>
            </w:pPr>
            <w:r>
              <w:rPr>
                <w:rFonts w:ascii="Arial" w:cs="Arial" w:eastAsia="Arial" w:hAnsi="Arial"/>
                <w:sz w:val="16"/>
                <w:szCs w:val="16"/>
                <w:color w:val="auto"/>
                <w:w w:val="92"/>
              </w:rPr>
              <w:t xml:space="preserve">X-DF </w:t>
            </w:r>
            <w:r>
              <w:rPr>
                <w:rFonts w:ascii="Arial" w:cs="Arial" w:eastAsia="Arial" w:hAnsi="Arial"/>
                <w:sz w:val="26"/>
                <w:szCs w:val="26"/>
                <w:color w:val="auto"/>
                <w:w w:val="92"/>
                <w:vertAlign w:val="superscript"/>
              </w:rPr>
              <w:t>(3)</w:t>
            </w:r>
          </w:p>
        </w:tc>
        <w:tc>
          <w:tcPr>
            <w:tcW w:w="15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2027</w:t>
            </w:r>
          </w:p>
        </w:tc>
        <w:tc>
          <w:tcPr>
            <w:tcW w:w="80" w:type="dxa"/>
            <w:vAlign w:val="bottom"/>
            <w:shd w:val="clear" w:color="auto" w:fill="E5FFFF"/>
          </w:tcPr>
          <w:p>
            <w:pPr>
              <w:spacing w:after="0"/>
              <w:rPr>
                <w:sz w:val="21"/>
                <w:szCs w:val="21"/>
                <w:color w:val="auto"/>
              </w:rPr>
            </w:pPr>
          </w:p>
        </w:tc>
      </w:tr>
      <w:tr>
        <w:trPr>
          <w:trHeight w:val="243"/>
        </w:trPr>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348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Georgetown</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2020</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00" w:type="dxa"/>
            <w:vAlign w:val="bottom"/>
          </w:tcPr>
          <w:p>
            <w:pPr>
              <w:spacing w:after="0"/>
              <w:rPr>
                <w:sz w:val="21"/>
                <w:szCs w:val="21"/>
                <w:color w:val="auto"/>
              </w:rPr>
            </w:pPr>
          </w:p>
        </w:tc>
        <w:tc>
          <w:tcPr>
            <w:tcW w:w="1400" w:type="dxa"/>
            <w:vAlign w:val="bottom"/>
            <w:gridSpan w:val="2"/>
          </w:tcPr>
          <w:p>
            <w:pPr>
              <w:jc w:val="center"/>
              <w:ind w:right="100"/>
              <w:spacing w:after="0" w:line="243" w:lineRule="exact"/>
              <w:rPr>
                <w:sz w:val="20"/>
                <w:szCs w:val="20"/>
                <w:color w:val="auto"/>
              </w:rPr>
            </w:pPr>
            <w:r>
              <w:rPr>
                <w:rFonts w:ascii="Arial" w:cs="Arial" w:eastAsia="Arial" w:hAnsi="Arial"/>
                <w:sz w:val="16"/>
                <w:szCs w:val="16"/>
                <w:color w:val="auto"/>
                <w:w w:val="86"/>
              </w:rPr>
              <w:t xml:space="preserve">Cheniere </w:t>
            </w:r>
            <w:r>
              <w:rPr>
                <w:rFonts w:ascii="Arial" w:cs="Arial" w:eastAsia="Arial" w:hAnsi="Arial"/>
                <w:sz w:val="26"/>
                <w:szCs w:val="26"/>
                <w:color w:val="auto"/>
                <w:w w:val="86"/>
                <w:vertAlign w:val="superscript"/>
              </w:rPr>
              <w:t>(8)</w:t>
            </w:r>
          </w:p>
        </w:tc>
        <w:tc>
          <w:tcPr>
            <w:tcW w:w="1200" w:type="dxa"/>
            <w:vAlign w:val="bottom"/>
            <w:gridSpan w:val="2"/>
          </w:tcPr>
          <w:p>
            <w:pPr>
              <w:jc w:val="center"/>
              <w:ind w:right="100"/>
              <w:spacing w:after="0" w:line="243" w:lineRule="exact"/>
              <w:rPr>
                <w:sz w:val="20"/>
                <w:szCs w:val="20"/>
                <w:color w:val="auto"/>
              </w:rPr>
            </w:pPr>
            <w:r>
              <w:rPr>
                <w:rFonts w:ascii="Arial" w:cs="Arial" w:eastAsia="Arial" w:hAnsi="Arial"/>
                <w:sz w:val="16"/>
                <w:szCs w:val="16"/>
                <w:color w:val="auto"/>
                <w:w w:val="92"/>
              </w:rPr>
              <w:t xml:space="preserve">X-DF </w:t>
            </w:r>
            <w:r>
              <w:rPr>
                <w:rFonts w:ascii="Arial" w:cs="Arial" w:eastAsia="Arial" w:hAnsi="Arial"/>
                <w:sz w:val="26"/>
                <w:szCs w:val="26"/>
                <w:color w:val="auto"/>
                <w:w w:val="92"/>
                <w:vertAlign w:val="superscript"/>
              </w:rPr>
              <w:t>(3)</w:t>
            </w: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2027</w:t>
            </w:r>
          </w:p>
        </w:tc>
        <w:tc>
          <w:tcPr>
            <w:tcW w:w="80" w:type="dxa"/>
            <w:vAlign w:val="bottom"/>
          </w:tcPr>
          <w:p>
            <w:pPr>
              <w:spacing w:after="0"/>
              <w:rPr>
                <w:sz w:val="21"/>
                <w:szCs w:val="21"/>
                <w:color w:val="auto"/>
              </w:rPr>
            </w:pPr>
          </w:p>
        </w:tc>
      </w:tr>
      <w:tr>
        <w:trPr>
          <w:trHeight w:val="243"/>
        </w:trPr>
        <w:tc>
          <w:tcPr>
            <w:tcW w:w="1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7</w:t>
            </w:r>
          </w:p>
        </w:tc>
        <w:tc>
          <w:tcPr>
            <w:tcW w:w="348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GasLog Galveston</w:t>
            </w:r>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2021</w:t>
            </w:r>
          </w:p>
        </w:tc>
        <w:tc>
          <w:tcPr>
            <w:tcW w:w="100" w:type="dxa"/>
            <w:vAlign w:val="bottom"/>
            <w:shd w:val="clear" w:color="auto" w:fill="E5FFFF"/>
          </w:tcPr>
          <w:p>
            <w:pPr>
              <w:spacing w:after="0"/>
              <w:rPr>
                <w:sz w:val="21"/>
                <w:szCs w:val="21"/>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00" w:type="dxa"/>
            <w:vAlign w:val="bottom"/>
            <w:shd w:val="clear" w:color="auto" w:fill="E5FFFF"/>
          </w:tcPr>
          <w:p>
            <w:pPr>
              <w:spacing w:after="0"/>
              <w:rPr>
                <w:sz w:val="21"/>
                <w:szCs w:val="21"/>
                <w:color w:val="auto"/>
              </w:rPr>
            </w:pPr>
          </w:p>
        </w:tc>
        <w:tc>
          <w:tcPr>
            <w:tcW w:w="1400" w:type="dxa"/>
            <w:vAlign w:val="bottom"/>
            <w:gridSpan w:val="2"/>
            <w:shd w:val="clear" w:color="auto" w:fill="E5FFFF"/>
          </w:tcPr>
          <w:p>
            <w:pPr>
              <w:jc w:val="center"/>
              <w:ind w:right="100"/>
              <w:spacing w:after="0" w:line="243" w:lineRule="exact"/>
              <w:rPr>
                <w:sz w:val="20"/>
                <w:szCs w:val="20"/>
                <w:color w:val="auto"/>
              </w:rPr>
            </w:pPr>
            <w:r>
              <w:rPr>
                <w:rFonts w:ascii="Arial" w:cs="Arial" w:eastAsia="Arial" w:hAnsi="Arial"/>
                <w:sz w:val="16"/>
                <w:szCs w:val="16"/>
                <w:color w:val="auto"/>
                <w:w w:val="86"/>
              </w:rPr>
              <w:t xml:space="preserve">Cheniere </w:t>
            </w:r>
            <w:r>
              <w:rPr>
                <w:rFonts w:ascii="Arial" w:cs="Arial" w:eastAsia="Arial" w:hAnsi="Arial"/>
                <w:sz w:val="26"/>
                <w:szCs w:val="26"/>
                <w:color w:val="auto"/>
                <w:w w:val="86"/>
                <w:vertAlign w:val="superscript"/>
              </w:rPr>
              <w:t>(8)</w:t>
            </w:r>
          </w:p>
        </w:tc>
        <w:tc>
          <w:tcPr>
            <w:tcW w:w="1200" w:type="dxa"/>
            <w:vAlign w:val="bottom"/>
            <w:gridSpan w:val="2"/>
            <w:shd w:val="clear" w:color="auto" w:fill="E5FFFF"/>
          </w:tcPr>
          <w:p>
            <w:pPr>
              <w:jc w:val="center"/>
              <w:ind w:right="100"/>
              <w:spacing w:after="0" w:line="243" w:lineRule="exact"/>
              <w:rPr>
                <w:sz w:val="20"/>
                <w:szCs w:val="20"/>
                <w:color w:val="auto"/>
              </w:rPr>
            </w:pPr>
            <w:r>
              <w:rPr>
                <w:rFonts w:ascii="Arial" w:cs="Arial" w:eastAsia="Arial" w:hAnsi="Arial"/>
                <w:sz w:val="16"/>
                <w:szCs w:val="16"/>
                <w:color w:val="auto"/>
                <w:w w:val="92"/>
              </w:rPr>
              <w:t xml:space="preserve">X-DF </w:t>
            </w:r>
            <w:r>
              <w:rPr>
                <w:rFonts w:ascii="Arial" w:cs="Arial" w:eastAsia="Arial" w:hAnsi="Arial"/>
                <w:sz w:val="26"/>
                <w:szCs w:val="26"/>
                <w:color w:val="auto"/>
                <w:w w:val="92"/>
                <w:vertAlign w:val="superscript"/>
              </w:rPr>
              <w:t>(3)</w:t>
            </w:r>
          </w:p>
        </w:tc>
        <w:tc>
          <w:tcPr>
            <w:tcW w:w="15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2028</w:t>
            </w:r>
          </w:p>
        </w:tc>
        <w:tc>
          <w:tcPr>
            <w:tcW w:w="80" w:type="dxa"/>
            <w:vAlign w:val="bottom"/>
            <w:shd w:val="clear" w:color="auto" w:fill="E5FFFF"/>
          </w:tcPr>
          <w:p>
            <w:pPr>
              <w:spacing w:after="0"/>
              <w:rPr>
                <w:sz w:val="21"/>
                <w:szCs w:val="21"/>
                <w:color w:val="auto"/>
              </w:rPr>
            </w:pPr>
          </w:p>
        </w:tc>
      </w:tr>
      <w:tr>
        <w:trPr>
          <w:trHeight w:val="243"/>
        </w:trPr>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3480" w:type="dxa"/>
            <w:vAlign w:val="bottom"/>
            <w:gridSpan w:val="2"/>
          </w:tcPr>
          <w:p>
            <w:pPr>
              <w:ind w:left="40"/>
              <w:spacing w:after="0"/>
              <w:rPr>
                <w:sz w:val="20"/>
                <w:szCs w:val="20"/>
                <w:color w:val="auto"/>
              </w:rPr>
            </w:pPr>
            <w:r>
              <w:rPr>
                <w:rFonts w:ascii="Arial" w:cs="Arial" w:eastAsia="Arial" w:hAnsi="Arial"/>
                <w:sz w:val="16"/>
                <w:szCs w:val="16"/>
                <w:color w:val="auto"/>
              </w:rPr>
              <w:t>Hull No. 2311</w:t>
            </w:r>
          </w:p>
        </w:tc>
        <w:tc>
          <w:tcPr>
            <w:tcW w:w="1220" w:type="dxa"/>
            <w:vAlign w:val="bottom"/>
            <w:gridSpan w:val="2"/>
          </w:tcPr>
          <w:p>
            <w:pPr>
              <w:jc w:val="center"/>
              <w:ind w:right="100"/>
              <w:spacing w:after="0" w:line="243" w:lineRule="exact"/>
              <w:rPr>
                <w:sz w:val="20"/>
                <w:szCs w:val="20"/>
                <w:color w:val="auto"/>
              </w:rPr>
            </w:pPr>
            <w:r>
              <w:rPr>
                <w:rFonts w:ascii="Arial" w:cs="Arial" w:eastAsia="Arial" w:hAnsi="Arial"/>
                <w:sz w:val="16"/>
                <w:szCs w:val="16"/>
                <w:color w:val="auto"/>
                <w:w w:val="87"/>
              </w:rPr>
              <w:t xml:space="preserve">Q2 2021 </w:t>
            </w:r>
            <w:r>
              <w:rPr>
                <w:rFonts w:ascii="Arial" w:cs="Arial" w:eastAsia="Arial" w:hAnsi="Arial"/>
                <w:sz w:val="26"/>
                <w:szCs w:val="26"/>
                <w:color w:val="auto"/>
                <w:w w:val="87"/>
                <w:vertAlign w:val="superscript"/>
              </w:rPr>
              <w:t>(6)</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00" w:type="dxa"/>
            <w:vAlign w:val="bottom"/>
          </w:tcPr>
          <w:p>
            <w:pPr>
              <w:spacing w:after="0"/>
              <w:rPr>
                <w:sz w:val="21"/>
                <w:szCs w:val="21"/>
                <w:color w:val="auto"/>
              </w:rPr>
            </w:pPr>
          </w:p>
        </w:tc>
        <w:tc>
          <w:tcPr>
            <w:tcW w:w="1400" w:type="dxa"/>
            <w:vAlign w:val="bottom"/>
            <w:gridSpan w:val="2"/>
          </w:tcPr>
          <w:p>
            <w:pPr>
              <w:jc w:val="center"/>
              <w:ind w:right="100"/>
              <w:spacing w:after="0" w:line="243" w:lineRule="exact"/>
              <w:rPr>
                <w:sz w:val="20"/>
                <w:szCs w:val="20"/>
                <w:color w:val="auto"/>
              </w:rPr>
            </w:pPr>
            <w:r>
              <w:rPr>
                <w:rFonts w:ascii="Arial" w:cs="Arial" w:eastAsia="Arial" w:hAnsi="Arial"/>
                <w:sz w:val="16"/>
                <w:szCs w:val="16"/>
                <w:color w:val="auto"/>
                <w:w w:val="86"/>
              </w:rPr>
              <w:t xml:space="preserve">Cheniere </w:t>
            </w:r>
            <w:r>
              <w:rPr>
                <w:rFonts w:ascii="Arial" w:cs="Arial" w:eastAsia="Arial" w:hAnsi="Arial"/>
                <w:sz w:val="26"/>
                <w:szCs w:val="26"/>
                <w:color w:val="auto"/>
                <w:w w:val="86"/>
                <w:vertAlign w:val="superscript"/>
              </w:rPr>
              <w:t>(8)</w:t>
            </w:r>
          </w:p>
        </w:tc>
        <w:tc>
          <w:tcPr>
            <w:tcW w:w="1200" w:type="dxa"/>
            <w:vAlign w:val="bottom"/>
            <w:gridSpan w:val="2"/>
          </w:tcPr>
          <w:p>
            <w:pPr>
              <w:jc w:val="center"/>
              <w:ind w:right="100"/>
              <w:spacing w:after="0" w:line="243" w:lineRule="exact"/>
              <w:rPr>
                <w:sz w:val="20"/>
                <w:szCs w:val="20"/>
                <w:color w:val="auto"/>
              </w:rPr>
            </w:pPr>
            <w:r>
              <w:rPr>
                <w:rFonts w:ascii="Arial" w:cs="Arial" w:eastAsia="Arial" w:hAnsi="Arial"/>
                <w:sz w:val="16"/>
                <w:szCs w:val="16"/>
                <w:color w:val="auto"/>
                <w:w w:val="92"/>
              </w:rPr>
              <w:t xml:space="preserve">X-DF </w:t>
            </w:r>
            <w:r>
              <w:rPr>
                <w:rFonts w:ascii="Arial" w:cs="Arial" w:eastAsia="Arial" w:hAnsi="Arial"/>
                <w:sz w:val="26"/>
                <w:szCs w:val="26"/>
                <w:color w:val="auto"/>
                <w:w w:val="92"/>
                <w:vertAlign w:val="superscript"/>
              </w:rPr>
              <w:t>(3)</w:t>
            </w:r>
          </w:p>
        </w:tc>
        <w:tc>
          <w:tcPr>
            <w:tcW w:w="1520" w:type="dxa"/>
            <w:vAlign w:val="bottom"/>
          </w:tcPr>
          <w:p>
            <w:pPr>
              <w:jc w:val="center"/>
              <w:spacing w:after="0" w:line="243" w:lineRule="exact"/>
              <w:rPr>
                <w:sz w:val="20"/>
                <w:szCs w:val="20"/>
                <w:color w:val="auto"/>
              </w:rPr>
            </w:pPr>
            <w:r>
              <w:rPr>
                <w:rFonts w:ascii="Arial" w:cs="Arial" w:eastAsia="Arial" w:hAnsi="Arial"/>
                <w:sz w:val="16"/>
                <w:szCs w:val="16"/>
                <w:color w:val="auto"/>
                <w:w w:val="84"/>
              </w:rPr>
              <w:t xml:space="preserve">2028 </w:t>
            </w:r>
            <w:r>
              <w:rPr>
                <w:rFonts w:ascii="Arial" w:cs="Arial" w:eastAsia="Arial" w:hAnsi="Arial"/>
                <w:sz w:val="26"/>
                <w:szCs w:val="26"/>
                <w:color w:val="auto"/>
                <w:w w:val="84"/>
                <w:vertAlign w:val="superscript"/>
              </w:rPr>
              <w:t>(7)</w:t>
            </w:r>
          </w:p>
        </w:tc>
        <w:tc>
          <w:tcPr>
            <w:tcW w:w="80" w:type="dxa"/>
            <w:vAlign w:val="bottom"/>
          </w:tcPr>
          <w:p>
            <w:pPr>
              <w:spacing w:after="0"/>
              <w:rPr>
                <w:sz w:val="21"/>
                <w:szCs w:val="21"/>
                <w:color w:val="auto"/>
              </w:rPr>
            </w:pPr>
          </w:p>
        </w:tc>
      </w:tr>
      <w:tr>
        <w:trPr>
          <w:trHeight w:val="243"/>
        </w:trPr>
        <w:tc>
          <w:tcPr>
            <w:tcW w:w="1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9</w:t>
            </w:r>
          </w:p>
        </w:tc>
        <w:tc>
          <w:tcPr>
            <w:tcW w:w="3480" w:type="dxa"/>
            <w:vAlign w:val="bottom"/>
            <w:gridSpan w:val="2"/>
            <w:shd w:val="clear" w:color="auto" w:fill="E5FFFF"/>
          </w:tcPr>
          <w:p>
            <w:pPr>
              <w:ind w:left="40"/>
              <w:spacing w:after="0"/>
              <w:rPr>
                <w:sz w:val="20"/>
                <w:szCs w:val="20"/>
                <w:color w:val="auto"/>
              </w:rPr>
            </w:pPr>
            <w:r>
              <w:rPr>
                <w:rFonts w:ascii="Arial" w:cs="Arial" w:eastAsia="Arial" w:hAnsi="Arial"/>
                <w:sz w:val="16"/>
                <w:szCs w:val="16"/>
                <w:color w:val="auto"/>
              </w:rPr>
              <w:t>Hull No. 2312</w:t>
            </w:r>
          </w:p>
        </w:tc>
        <w:tc>
          <w:tcPr>
            <w:tcW w:w="1220" w:type="dxa"/>
            <w:vAlign w:val="bottom"/>
            <w:gridSpan w:val="2"/>
            <w:shd w:val="clear" w:color="auto" w:fill="E5FFFF"/>
          </w:tcPr>
          <w:p>
            <w:pPr>
              <w:jc w:val="center"/>
              <w:ind w:right="100"/>
              <w:spacing w:after="0" w:line="243" w:lineRule="exact"/>
              <w:rPr>
                <w:sz w:val="20"/>
                <w:szCs w:val="20"/>
                <w:color w:val="auto"/>
              </w:rPr>
            </w:pPr>
            <w:r>
              <w:rPr>
                <w:rFonts w:ascii="Arial" w:cs="Arial" w:eastAsia="Arial" w:hAnsi="Arial"/>
                <w:sz w:val="16"/>
                <w:szCs w:val="16"/>
                <w:color w:val="auto"/>
                <w:w w:val="87"/>
              </w:rPr>
              <w:t xml:space="preserve">Q3 2021 </w:t>
            </w:r>
            <w:r>
              <w:rPr>
                <w:rFonts w:ascii="Arial" w:cs="Arial" w:eastAsia="Arial" w:hAnsi="Arial"/>
                <w:sz w:val="26"/>
                <w:szCs w:val="26"/>
                <w:color w:val="auto"/>
                <w:w w:val="87"/>
                <w:vertAlign w:val="superscript"/>
              </w:rPr>
              <w:t>(6)</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100" w:type="dxa"/>
            <w:vAlign w:val="bottom"/>
            <w:shd w:val="clear" w:color="auto" w:fill="E5FFFF"/>
          </w:tcPr>
          <w:p>
            <w:pPr>
              <w:spacing w:after="0"/>
              <w:rPr>
                <w:sz w:val="21"/>
                <w:szCs w:val="21"/>
                <w:color w:val="auto"/>
              </w:rPr>
            </w:pPr>
          </w:p>
        </w:tc>
        <w:tc>
          <w:tcPr>
            <w:tcW w:w="1400" w:type="dxa"/>
            <w:vAlign w:val="bottom"/>
            <w:gridSpan w:val="2"/>
            <w:shd w:val="clear" w:color="auto" w:fill="E5FFFF"/>
          </w:tcPr>
          <w:p>
            <w:pPr>
              <w:jc w:val="center"/>
              <w:ind w:right="100"/>
              <w:spacing w:after="0" w:line="243" w:lineRule="exact"/>
              <w:rPr>
                <w:sz w:val="20"/>
                <w:szCs w:val="20"/>
                <w:color w:val="auto"/>
              </w:rPr>
            </w:pPr>
            <w:r>
              <w:rPr>
                <w:rFonts w:ascii="Arial" w:cs="Arial" w:eastAsia="Arial" w:hAnsi="Arial"/>
                <w:sz w:val="16"/>
                <w:szCs w:val="16"/>
                <w:color w:val="auto"/>
                <w:w w:val="86"/>
              </w:rPr>
              <w:t xml:space="preserve">Cheniere </w:t>
            </w:r>
            <w:r>
              <w:rPr>
                <w:rFonts w:ascii="Arial" w:cs="Arial" w:eastAsia="Arial" w:hAnsi="Arial"/>
                <w:sz w:val="26"/>
                <w:szCs w:val="26"/>
                <w:color w:val="auto"/>
                <w:w w:val="86"/>
                <w:vertAlign w:val="superscript"/>
              </w:rPr>
              <w:t>(8)</w:t>
            </w:r>
          </w:p>
        </w:tc>
        <w:tc>
          <w:tcPr>
            <w:tcW w:w="1200" w:type="dxa"/>
            <w:vAlign w:val="bottom"/>
            <w:gridSpan w:val="2"/>
            <w:shd w:val="clear" w:color="auto" w:fill="E5FFFF"/>
          </w:tcPr>
          <w:p>
            <w:pPr>
              <w:jc w:val="center"/>
              <w:ind w:right="100"/>
              <w:spacing w:after="0" w:line="243" w:lineRule="exact"/>
              <w:rPr>
                <w:sz w:val="20"/>
                <w:szCs w:val="20"/>
                <w:color w:val="auto"/>
              </w:rPr>
            </w:pPr>
            <w:r>
              <w:rPr>
                <w:rFonts w:ascii="Arial" w:cs="Arial" w:eastAsia="Arial" w:hAnsi="Arial"/>
                <w:sz w:val="16"/>
                <w:szCs w:val="16"/>
                <w:color w:val="auto"/>
                <w:w w:val="92"/>
              </w:rPr>
              <w:t xml:space="preserve">X-DF </w:t>
            </w:r>
            <w:r>
              <w:rPr>
                <w:rFonts w:ascii="Arial" w:cs="Arial" w:eastAsia="Arial" w:hAnsi="Arial"/>
                <w:sz w:val="26"/>
                <w:szCs w:val="26"/>
                <w:color w:val="auto"/>
                <w:w w:val="92"/>
                <w:vertAlign w:val="superscript"/>
              </w:rPr>
              <w:t>(3)</w:t>
            </w:r>
          </w:p>
        </w:tc>
        <w:tc>
          <w:tcPr>
            <w:tcW w:w="152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4"/>
              </w:rPr>
              <w:t xml:space="preserve">2028 </w:t>
            </w:r>
            <w:r>
              <w:rPr>
                <w:rFonts w:ascii="Arial" w:cs="Arial" w:eastAsia="Arial" w:hAnsi="Arial"/>
                <w:sz w:val="26"/>
                <w:szCs w:val="26"/>
                <w:color w:val="auto"/>
                <w:w w:val="84"/>
                <w:vertAlign w:val="superscript"/>
              </w:rPr>
              <w:t>(7)</w:t>
            </w:r>
          </w:p>
        </w:tc>
        <w:tc>
          <w:tcPr>
            <w:tcW w:w="80" w:type="dxa"/>
            <w:vAlign w:val="bottom"/>
            <w:shd w:val="clear" w:color="auto" w:fill="E5FF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8" w:lineRule="exact"/>
        <w:rPr>
          <w:sz w:val="20"/>
          <w:szCs w:val="20"/>
          <w:color w:val="auto"/>
        </w:rPr>
      </w:pPr>
    </w:p>
    <w:p>
      <w:pPr>
        <w:ind w:left="340" w:right="20" w:hanging="332"/>
        <w:spacing w:after="0" w:line="227"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The vessel is currently in the shipyard for its dry-docking and conversion to an FSU. It will be trading in the spot market until the commencement of its charter with Sinolam LNG Terminal, S.A. (“Sinolam LNG”) for the provision of an LNG floating storage unit (“FSU”) that has been delayed due to COVID-19 restrictions in the construction of the powerplant for Sinolam LNG.</w:t>
      </w:r>
    </w:p>
    <w:p>
      <w:pPr>
        <w:ind w:left="340" w:hanging="332"/>
        <w:spacing w:after="0"/>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The vessel is chartered to a wholly owned subsidiary of Endesa, S.A. (“Endesa”). The charter is expected to commence in May 2021.</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Reference to “X-DF” refers to low pressure dual-fuel two-stroke engine propulsion manufactured by Winterthur Gas &amp; Diesel.</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The vessel is chartered to Pioneer Shipping Limited, a wholly owned subsidiary of Centrica plc (“Centrica”).</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The vessel is chartered to LNG Marine Transport Limited, the principal LNG shipping entity of Japan’s JERA Co., Inc (“JERA”).</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Expected delivery quarters are presented.</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Charter expiration to be determined based upon actual date of delivery.</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Vessels are chartered to Cheniere Marketing International LLP, a wholly-owned subsidiary of Cheniere.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results set forth below are derived from the unaudited condensed consolidated financial statements of the Partnership.</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0"/>
        </w:trPr>
        <w:tc>
          <w:tcPr>
            <w:tcW w:w="9900" w:type="dxa"/>
            <w:vAlign w:val="bottom"/>
            <w:gridSpan w:val="5"/>
          </w:tcPr>
          <w:p>
            <w:pPr>
              <w:ind w:left="2080"/>
              <w:spacing w:after="0"/>
              <w:rPr>
                <w:sz w:val="20"/>
                <w:szCs w:val="20"/>
                <w:color w:val="auto"/>
              </w:rPr>
            </w:pPr>
            <w:r>
              <w:rPr>
                <w:rFonts w:ascii="Arial" w:cs="Arial" w:eastAsia="Arial" w:hAnsi="Arial"/>
                <w:sz w:val="16"/>
                <w:szCs w:val="16"/>
                <w:b w:val="1"/>
                <w:bCs w:val="1"/>
                <w:color w:val="auto"/>
              </w:rPr>
              <w:t>Three-month period ended March 31, 2020 compared to the three-month period ended March 31, 2021</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32"/>
        </w:trPr>
        <w:tc>
          <w:tcPr>
            <w:tcW w:w="676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9"/>
        </w:trPr>
        <w:tc>
          <w:tcPr>
            <w:tcW w:w="6760" w:type="dxa"/>
            <w:vAlign w:val="bottom"/>
          </w:tcPr>
          <w:p>
            <w:pPr>
              <w:spacing w:after="0"/>
              <w:rPr>
                <w:sz w:val="19"/>
                <w:szCs w:val="19"/>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March 31, 2020</w:t>
            </w:r>
          </w:p>
        </w:tc>
        <w:tc>
          <w:tcPr>
            <w:tcW w:w="15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8"/>
              </w:rPr>
              <w:t>March 31, 2021</w:t>
            </w:r>
          </w:p>
        </w:tc>
        <w:tc>
          <w:tcPr>
            <w:tcW w:w="134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Change</w:t>
            </w:r>
          </w:p>
        </w:tc>
      </w:tr>
      <w:tr>
        <w:trPr>
          <w:trHeight w:val="199"/>
        </w:trPr>
        <w:tc>
          <w:tcPr>
            <w:tcW w:w="67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91,353</w:t>
            </w:r>
          </w:p>
        </w:tc>
        <w:tc>
          <w:tcPr>
            <w:tcW w:w="34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87,088</w:t>
            </w:r>
          </w:p>
        </w:tc>
        <w:tc>
          <w:tcPr>
            <w:tcW w:w="3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(4,265)</w:t>
            </w:r>
          </w:p>
        </w:tc>
        <w:tc>
          <w:tcPr>
            <w:tcW w:w="100" w:type="dxa"/>
            <w:vAlign w:val="bottom"/>
            <w:tcBorders>
              <w:top w:val="single" w:sz="8" w:color="E5FFFF"/>
            </w:tcBorders>
            <w:gridSpan w:val="2"/>
            <w:shd w:val="clear" w:color="auto" w:fill="E5FFFF"/>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1600" w:type="dxa"/>
            <w:vAlign w:val="bottom"/>
            <w:gridSpan w:val="2"/>
          </w:tcPr>
          <w:p>
            <w:pPr>
              <w:jc w:val="right"/>
              <w:ind w:right="300"/>
              <w:spacing w:after="0"/>
              <w:rPr>
                <w:sz w:val="20"/>
                <w:szCs w:val="20"/>
                <w:color w:val="auto"/>
              </w:rPr>
            </w:pPr>
            <w:r>
              <w:rPr>
                <w:rFonts w:ascii="Arial" w:cs="Arial" w:eastAsia="Arial" w:hAnsi="Arial"/>
                <w:sz w:val="16"/>
                <w:szCs w:val="16"/>
                <w:color w:val="auto"/>
              </w:rPr>
              <w:t>(3,888)</w:t>
            </w: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(2,079)</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1,809</w:t>
            </w:r>
          </w:p>
        </w:tc>
        <w:tc>
          <w:tcPr>
            <w:tcW w:w="80" w:type="dxa"/>
            <w:vAlign w:val="bottom"/>
          </w:tcPr>
          <w:p>
            <w:pPr>
              <w:spacing w:after="0"/>
              <w:rPr>
                <w:sz w:val="17"/>
                <w:szCs w:val="17"/>
                <w:color w:val="auto"/>
              </w:rPr>
            </w:pPr>
          </w:p>
        </w:tc>
      </w:tr>
      <w:tr>
        <w:trPr>
          <w:trHeight w:val="203"/>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Vessel operating costs</w:t>
            </w:r>
          </w:p>
        </w:tc>
        <w:tc>
          <w:tcPr>
            <w:tcW w:w="160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(19,093)</w:t>
            </w:r>
          </w:p>
        </w:tc>
        <w:tc>
          <w:tcPr>
            <w:tcW w:w="154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(17,807)</w:t>
            </w: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1,286</w:t>
            </w:r>
          </w:p>
        </w:tc>
        <w:tc>
          <w:tcPr>
            <w:tcW w:w="80" w:type="dxa"/>
            <w:vAlign w:val="bottom"/>
            <w:shd w:val="clear" w:color="auto" w:fill="E5FFFF"/>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6"/>
                <w:szCs w:val="16"/>
                <w:color w:val="auto"/>
              </w:rPr>
              <w:t>Depreciation</w:t>
            </w:r>
          </w:p>
        </w:tc>
        <w:tc>
          <w:tcPr>
            <w:tcW w:w="1600" w:type="dxa"/>
            <w:vAlign w:val="bottom"/>
            <w:gridSpan w:val="2"/>
          </w:tcPr>
          <w:p>
            <w:pPr>
              <w:jc w:val="right"/>
              <w:ind w:right="300"/>
              <w:spacing w:after="0"/>
              <w:rPr>
                <w:sz w:val="20"/>
                <w:szCs w:val="20"/>
                <w:color w:val="auto"/>
              </w:rPr>
            </w:pPr>
            <w:r>
              <w:rPr>
                <w:rFonts w:ascii="Arial" w:cs="Arial" w:eastAsia="Arial" w:hAnsi="Arial"/>
                <w:sz w:val="16"/>
                <w:szCs w:val="16"/>
                <w:color w:val="auto"/>
              </w:rPr>
              <w:t>(20,598)</w:t>
            </w: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(20,686)</w:t>
            </w: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(88)</w:t>
            </w:r>
          </w:p>
        </w:tc>
      </w:tr>
      <w:tr>
        <w:trPr>
          <w:trHeight w:val="216"/>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General and administrative expenses</w:t>
            </w:r>
          </w:p>
        </w:tc>
        <w:tc>
          <w:tcPr>
            <w:tcW w:w="160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(4,171)</w:t>
            </w:r>
          </w:p>
        </w:tc>
        <w:tc>
          <w:tcPr>
            <w:tcW w:w="154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(3,071)</w:t>
            </w: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1,100</w:t>
            </w:r>
          </w:p>
        </w:tc>
        <w:tc>
          <w:tcPr>
            <w:tcW w:w="80" w:type="dxa"/>
            <w:vAlign w:val="bottom"/>
            <w:shd w:val="clear" w:color="auto" w:fill="E5FFFF"/>
          </w:tcPr>
          <w:p>
            <w:pPr>
              <w:spacing w:after="0"/>
              <w:rPr>
                <w:sz w:val="18"/>
                <w:szCs w:val="18"/>
                <w:color w:val="auto"/>
              </w:rPr>
            </w:pPr>
          </w:p>
        </w:tc>
      </w:tr>
      <w:tr>
        <w:trPr>
          <w:trHeight w:val="196"/>
        </w:trPr>
        <w:tc>
          <w:tcPr>
            <w:tcW w:w="67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43,603</w:t>
            </w:r>
          </w:p>
        </w:tc>
        <w:tc>
          <w:tcPr>
            <w:tcW w:w="340" w:type="dxa"/>
            <w:vAlign w:val="bottom"/>
            <w:tcBorders>
              <w:bottom w:val="single" w:sz="8" w:color="E5FF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43,445</w:t>
            </w:r>
          </w:p>
        </w:tc>
        <w:tc>
          <w:tcPr>
            <w:tcW w:w="32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w:t>
            </w:r>
          </w:p>
        </w:tc>
        <w:tc>
          <w:tcPr>
            <w:tcW w:w="100" w:type="dxa"/>
            <w:vAlign w:val="bottom"/>
            <w:tcBorders>
              <w:bottom w:val="single" w:sz="8" w:color="E5FFFF"/>
            </w:tcBorders>
            <w:gridSpan w:val="2"/>
          </w:tcPr>
          <w:p>
            <w:pPr>
              <w:jc w:val="right"/>
              <w:ind w:right="60"/>
              <w:spacing w:after="0"/>
              <w:rPr>
                <w:sz w:val="20"/>
                <w:szCs w:val="20"/>
                <w:color w:val="auto"/>
              </w:rPr>
            </w:pPr>
            <w:r>
              <w:rPr>
                <w:rFonts w:ascii="Arial" w:cs="Arial" w:eastAsia="Arial" w:hAnsi="Arial"/>
                <w:sz w:val="8"/>
                <w:szCs w:val="8"/>
                <w:b w:val="1"/>
                <w:bCs w:val="1"/>
                <w:color w:val="auto"/>
                <w:w w:val="73"/>
              </w:rPr>
              <w:t>)</w:t>
            </w:r>
          </w:p>
        </w:tc>
      </w:tr>
      <w:tr>
        <w:trPr>
          <w:trHeight w:val="196"/>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(15,513)</w:t>
            </w:r>
          </w:p>
        </w:tc>
        <w:tc>
          <w:tcPr>
            <w:tcW w:w="34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(9,416)</w:t>
            </w:r>
          </w:p>
        </w:tc>
        <w:tc>
          <w:tcPr>
            <w:tcW w:w="3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6,097</w:t>
            </w: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6"/>
                <w:szCs w:val="16"/>
                <w:color w:val="auto"/>
              </w:rPr>
              <w:t>Financial income</w:t>
            </w:r>
          </w:p>
        </w:tc>
        <w:tc>
          <w:tcPr>
            <w:tcW w:w="1260" w:type="dxa"/>
            <w:vAlign w:val="bottom"/>
          </w:tcPr>
          <w:p>
            <w:pPr>
              <w:jc w:val="right"/>
              <w:spacing w:after="0"/>
              <w:rPr>
                <w:sz w:val="20"/>
                <w:szCs w:val="20"/>
                <w:color w:val="auto"/>
              </w:rPr>
            </w:pPr>
            <w:r>
              <w:rPr>
                <w:rFonts w:ascii="Arial" w:cs="Arial" w:eastAsia="Arial" w:hAnsi="Arial"/>
                <w:sz w:val="16"/>
                <w:szCs w:val="16"/>
                <w:color w:val="auto"/>
              </w:rPr>
              <w:t>199</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320" w:type="dxa"/>
            <w:vAlign w:val="bottom"/>
          </w:tcPr>
          <w:p>
            <w:pPr>
              <w:spacing w:after="0"/>
              <w:rPr>
                <w:sz w:val="17"/>
                <w:szCs w:val="17"/>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(187)</w:t>
            </w:r>
          </w:p>
        </w:tc>
      </w:tr>
      <w:tr>
        <w:trPr>
          <w:trHeight w:val="216"/>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(Loss)/gain on derivatives</w:t>
            </w:r>
          </w:p>
        </w:tc>
        <w:tc>
          <w:tcPr>
            <w:tcW w:w="160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(14,120)</w:t>
            </w: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1,319</w:t>
            </w:r>
          </w:p>
        </w:tc>
        <w:tc>
          <w:tcPr>
            <w:tcW w:w="3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15,439</w:t>
            </w:r>
          </w:p>
        </w:tc>
        <w:tc>
          <w:tcPr>
            <w:tcW w:w="80" w:type="dxa"/>
            <w:vAlign w:val="bottom"/>
            <w:shd w:val="clear" w:color="auto" w:fill="E5FFFF"/>
          </w:tcPr>
          <w:p>
            <w:pPr>
              <w:spacing w:after="0"/>
              <w:rPr>
                <w:sz w:val="18"/>
                <w:szCs w:val="18"/>
                <w:color w:val="auto"/>
              </w:rPr>
            </w:pPr>
          </w:p>
        </w:tc>
      </w:tr>
      <w:tr>
        <w:trPr>
          <w:trHeight w:val="207"/>
        </w:trPr>
        <w:tc>
          <w:tcPr>
            <w:tcW w:w="6760" w:type="dxa"/>
            <w:vAlign w:val="bottom"/>
          </w:tcPr>
          <w:p>
            <w:pPr>
              <w:spacing w:after="0"/>
              <w:rPr>
                <w:sz w:val="20"/>
                <w:szCs w:val="20"/>
                <w:color w:val="auto"/>
              </w:rPr>
            </w:pPr>
            <w:r>
              <w:rPr>
                <w:rFonts w:ascii="Arial" w:cs="Arial" w:eastAsia="Arial" w:hAnsi="Arial"/>
                <w:sz w:val="16"/>
                <w:szCs w:val="16"/>
                <w:b w:val="1"/>
                <w:bCs w:val="1"/>
                <w:color w:val="auto"/>
              </w:rPr>
              <w:t>Profit for the period</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14,169</w:t>
            </w:r>
          </w:p>
        </w:tc>
        <w:tc>
          <w:tcPr>
            <w:tcW w:w="34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35,360</w:t>
            </w:r>
          </w:p>
        </w:tc>
        <w:tc>
          <w:tcPr>
            <w:tcW w:w="3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21,191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7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60" w:firstLine="324"/>
        <w:spacing w:after="0" w:line="328" w:lineRule="auto"/>
        <w:rPr>
          <w:sz w:val="20"/>
          <w:szCs w:val="20"/>
          <w:color w:val="auto"/>
        </w:rPr>
      </w:pPr>
      <w:r>
        <w:rPr>
          <w:rFonts w:ascii="Arial" w:cs="Arial" w:eastAsia="Arial" w:hAnsi="Arial"/>
          <w:sz w:val="15"/>
          <w:szCs w:val="15"/>
          <w:color w:val="auto"/>
        </w:rPr>
        <w:t>For the three-month period ended March 31, 2020, we had an average of 15.0 vessels operating in our owned fleet having 1,273 revenue operating days, while during the three-month period ended March 31, 2021, we had an average of 15.0 vessels operating in our owned fleet having 1,311 revenue operating days.</w:t>
      </w:r>
    </w:p>
    <w:p>
      <w:pPr>
        <w:spacing w:after="0" w:line="150" w:lineRule="exact"/>
        <w:rPr>
          <w:sz w:val="20"/>
          <w:szCs w:val="20"/>
          <w:color w:val="auto"/>
        </w:rPr>
      </w:pPr>
    </w:p>
    <w:p>
      <w:pPr>
        <w:ind w:right="20" w:firstLine="324"/>
        <w:spacing w:after="0" w:line="318" w:lineRule="auto"/>
        <w:rPr>
          <w:sz w:val="20"/>
          <w:szCs w:val="20"/>
          <w:color w:val="auto"/>
        </w:rPr>
      </w:pPr>
      <w:r>
        <w:rPr>
          <w:rFonts w:ascii="Arial" w:cs="Arial" w:eastAsia="Arial" w:hAnsi="Arial"/>
          <w:sz w:val="14"/>
          <w:szCs w:val="14"/>
          <w:b w:val="1"/>
          <w:bCs w:val="1"/>
          <w:i w:val="1"/>
          <w:iCs w:val="1"/>
          <w:color w:val="auto"/>
        </w:rPr>
        <w:t xml:space="preserve">Revenues: </w:t>
      </w:r>
      <w:r>
        <w:rPr>
          <w:rFonts w:ascii="Arial" w:cs="Arial" w:eastAsia="Arial" w:hAnsi="Arial"/>
          <w:sz w:val="14"/>
          <w:szCs w:val="14"/>
          <w:color w:val="auto"/>
        </w:rPr>
        <w:t>Revenues decreased by $4.3 million, or 4.7%, from $91.4 million for the three-month period ended March 31, 2020 to $87.1 million for the same period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2021. The decrease is mainly attributable to the expirations of the initial multi-year time charters of the </w:t>
      </w:r>
      <w:r>
        <w:rPr>
          <w:rFonts w:ascii="Arial" w:cs="Arial" w:eastAsia="Arial" w:hAnsi="Arial"/>
          <w:sz w:val="14"/>
          <w:szCs w:val="14"/>
          <w:i w:val="1"/>
          <w:iCs w:val="1"/>
          <w:color w:val="auto"/>
        </w:rPr>
        <w:t>Methane Rita Andrea</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Methane Shirley Elisabeth</w:t>
      </w:r>
      <w:r>
        <w:rPr>
          <w:rFonts w:ascii="Arial" w:cs="Arial" w:eastAsia="Arial" w:hAnsi="Arial"/>
          <w:sz w:val="14"/>
          <w:szCs w:val="14"/>
          <w:color w:val="auto"/>
        </w:rPr>
        <w:t xml:space="preserve"> with Shell in 2020 (at higher rates compared to their current contracted rates), partially offset by increased revenues from the operation of the </w:t>
      </w:r>
      <w:r>
        <w:rPr>
          <w:rFonts w:ascii="Arial" w:cs="Arial" w:eastAsia="Arial" w:hAnsi="Arial"/>
          <w:sz w:val="14"/>
          <w:szCs w:val="14"/>
          <w:i w:val="1"/>
          <w:iCs w:val="1"/>
          <w:color w:val="auto"/>
        </w:rPr>
        <w:t>Methane Heather Sally</w:t>
      </w:r>
      <w:r>
        <w:rPr>
          <w:rFonts w:ascii="Arial" w:cs="Arial" w:eastAsia="Arial" w:hAnsi="Arial"/>
          <w:sz w:val="14"/>
          <w:szCs w:val="14"/>
          <w:color w:val="auto"/>
        </w:rPr>
        <w:t xml:space="preserve"> in the spot market after the expiration of its initial multi-year charter with Shell in January 2021, and a net increase in revenues due to decreased off-hire days for scheduled dry-dockings. The average daily hire rate decreased from $71,762 for the three-month period ended March 31, 2020 to $66,429 for the three-month period ended March 31, 2021.</w:t>
      </w:r>
    </w:p>
    <w:p>
      <w:pPr>
        <w:spacing w:after="0" w:line="162" w:lineRule="exact"/>
        <w:rPr>
          <w:sz w:val="20"/>
          <w:szCs w:val="20"/>
          <w:color w:val="auto"/>
        </w:rPr>
      </w:pPr>
    </w:p>
    <w:p>
      <w:pPr>
        <w:ind w:right="140" w:firstLine="324"/>
        <w:spacing w:after="0" w:line="305" w:lineRule="auto"/>
        <w:rPr>
          <w:sz w:val="20"/>
          <w:szCs w:val="20"/>
          <w:color w:val="auto"/>
        </w:rPr>
      </w:pPr>
      <w:r>
        <w:rPr>
          <w:rFonts w:ascii="Arial" w:cs="Arial" w:eastAsia="Arial" w:hAnsi="Arial"/>
          <w:sz w:val="15"/>
          <w:szCs w:val="15"/>
          <w:b w:val="1"/>
          <w:bCs w:val="1"/>
          <w:i w:val="1"/>
          <w:iCs w:val="1"/>
          <w:color w:val="auto"/>
        </w:rPr>
        <w:t xml:space="preserve">Voyage Expenses and Commissions: </w:t>
      </w:r>
      <w:r>
        <w:rPr>
          <w:rFonts w:ascii="Arial" w:cs="Arial" w:eastAsia="Arial" w:hAnsi="Arial"/>
          <w:sz w:val="15"/>
          <w:szCs w:val="15"/>
          <w:color w:val="auto"/>
        </w:rPr>
        <w:t>Voyage expenses and commissions decreased by $1.8 million, or 46.2%, from $3.9 million in the three months ended March 31,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2020 to $2.1 million in the three months ended March 31, 2021. The decrease in voyage expenses and commissions is mainly attributable to a decrease in bunker consumption costs due to the increased utilization of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in the first three months of 2021, as compared to the same period in 2020.</w:t>
      </w:r>
    </w:p>
    <w:p>
      <w:pPr>
        <w:spacing w:after="0" w:line="166" w:lineRule="exact"/>
        <w:rPr>
          <w:sz w:val="20"/>
          <w:szCs w:val="20"/>
          <w:color w:val="auto"/>
        </w:rPr>
      </w:pPr>
    </w:p>
    <w:p>
      <w:pPr>
        <w:ind w:right="380" w:firstLine="324"/>
        <w:spacing w:after="0" w:line="271" w:lineRule="auto"/>
        <w:rPr>
          <w:sz w:val="20"/>
          <w:szCs w:val="20"/>
          <w:color w:val="auto"/>
        </w:rPr>
      </w:pPr>
      <w:r>
        <w:rPr>
          <w:rFonts w:ascii="Arial" w:cs="Arial" w:eastAsia="Arial" w:hAnsi="Arial"/>
          <w:sz w:val="16"/>
          <w:szCs w:val="16"/>
          <w:b w:val="1"/>
          <w:bCs w:val="1"/>
          <w:i w:val="1"/>
          <w:iCs w:val="1"/>
          <w:color w:val="auto"/>
        </w:rPr>
        <w:t xml:space="preserve">Vessel Operating Costs: </w:t>
      </w:r>
      <w:r>
        <w:rPr>
          <w:rFonts w:ascii="Arial" w:cs="Arial" w:eastAsia="Arial" w:hAnsi="Arial"/>
          <w:sz w:val="16"/>
          <w:szCs w:val="16"/>
          <w:color w:val="auto"/>
        </w:rPr>
        <w:t>Vessel operating costs decreased by $1.3 million, or 6.8%, from $19.1 million for the three-month period ended March 31, 2020 to $17.8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million for the same period in 2021. The decrease in vessel operating costs is mainly attributable to increased technical maintenance expenses incurred in the first three months of 2020 in connection with the dry-docking of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completed in the same period. As a result, daily operating costs per vessel (after excluding calendar days for the </w:t>
      </w:r>
      <w:r>
        <w:rPr>
          <w:rFonts w:ascii="Arial" w:cs="Arial" w:eastAsia="Arial" w:hAnsi="Arial"/>
          <w:sz w:val="16"/>
          <w:szCs w:val="16"/>
          <w:i w:val="1"/>
          <w:iCs w:val="1"/>
          <w:color w:val="auto"/>
        </w:rPr>
        <w:t>Solaris</w:t>
      </w:r>
      <w:r>
        <w:rPr>
          <w:rFonts w:ascii="Arial" w:cs="Arial" w:eastAsia="Arial" w:hAnsi="Arial"/>
          <w:sz w:val="16"/>
          <w:szCs w:val="16"/>
          <w:color w:val="auto"/>
        </w:rPr>
        <w:t>, the operating costs of which are covered by the charterers) decreased from $14,987 per day for the three-month period ended March 31, 2020 to $14,132 per day for the three-month period ended March 31, 2021.</w:t>
      </w:r>
    </w:p>
    <w:p>
      <w:pPr>
        <w:spacing w:after="0" w:line="190" w:lineRule="exact"/>
        <w:rPr>
          <w:sz w:val="20"/>
          <w:szCs w:val="20"/>
          <w:color w:val="auto"/>
        </w:rPr>
      </w:pPr>
    </w:p>
    <w:p>
      <w:pPr>
        <w:ind w:right="20" w:firstLine="324"/>
        <w:spacing w:after="0" w:line="271"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decreased by $1.1 million, or 26.2%, from $4.2 million for the three-month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2020 to $3.1 million for the same period in 2021. The decrease in general and administrative expenses is mainly attributable to a decrease of $0.8 million in administrative services fees, in connection with the decrease of the annual fee payable to GasLog in 2021 by approximately $0.2 million per vessel per year. As a result, daily general and administrative expenses decreased from $3,056 per vessel ownership day for the three-month period ended March 31, 2020 to $2,275 per vessel ownership day for the three-month period ended March 31, 2021.</w:t>
      </w:r>
    </w:p>
    <w:p>
      <w:pPr>
        <w:spacing w:after="0" w:line="190" w:lineRule="exact"/>
        <w:rPr>
          <w:sz w:val="20"/>
          <w:szCs w:val="20"/>
          <w:color w:val="auto"/>
        </w:rPr>
      </w:pPr>
    </w:p>
    <w:p>
      <w:pPr>
        <w:ind w:right="200" w:firstLine="324"/>
        <w:spacing w:after="0" w:line="269" w:lineRule="auto"/>
        <w:rPr>
          <w:sz w:val="20"/>
          <w:szCs w:val="20"/>
          <w:color w:val="auto"/>
        </w:rPr>
      </w:pPr>
      <w:r>
        <w:rPr>
          <w:rFonts w:ascii="Arial" w:cs="Arial" w:eastAsia="Arial" w:hAnsi="Arial"/>
          <w:sz w:val="16"/>
          <w:szCs w:val="16"/>
          <w:b w:val="1"/>
          <w:bCs w:val="1"/>
          <w:i w:val="1"/>
          <w:iCs w:val="1"/>
          <w:color w:val="auto"/>
        </w:rPr>
        <w:t xml:space="preserve">Financial Costs: </w:t>
      </w:r>
      <w:r>
        <w:rPr>
          <w:rFonts w:ascii="Arial" w:cs="Arial" w:eastAsia="Arial" w:hAnsi="Arial"/>
          <w:sz w:val="16"/>
          <w:szCs w:val="16"/>
          <w:color w:val="auto"/>
        </w:rPr>
        <w:t>Financial costs decreased by $6.1 million, or 39.4%, from $15.5 million for the three-month period ended March 31, 2020 to $9.4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2021. The decrease in financial costs is attributable to a decrease of $5.6 million in interest expense on loans, primarily due to the lower London Interbank Offered Rate (“LIBOR”) rates in the first three months of 2021 as compared to the same period in 2020, and a decrease of $0.3 million in amortization of deferred loan issuance costs. During the three-month period ended March 31, 2020, we had an average of $1,352.2 million of outstanding indebtedness with a weighted average interest rate of 3.9%, compared to an average of $1,287.8 million of outstanding indebtedness with a weighted average interest rate of 2.4% during the three-month period ended March 31, 2021.</w:t>
      </w:r>
    </w:p>
    <w:p>
      <w:pPr>
        <w:spacing w:after="0" w:line="194" w:lineRule="exact"/>
        <w:rPr>
          <w:sz w:val="20"/>
          <w:szCs w:val="20"/>
          <w:color w:val="auto"/>
        </w:rPr>
      </w:pPr>
    </w:p>
    <w:p>
      <w:pPr>
        <w:ind w:right="20" w:firstLine="324"/>
        <w:spacing w:after="0" w:line="297" w:lineRule="auto"/>
        <w:rPr>
          <w:sz w:val="20"/>
          <w:szCs w:val="20"/>
          <w:color w:val="auto"/>
        </w:rPr>
      </w:pPr>
      <w:r>
        <w:rPr>
          <w:rFonts w:ascii="Arial" w:cs="Arial" w:eastAsia="Arial" w:hAnsi="Arial"/>
          <w:sz w:val="15"/>
          <w:szCs w:val="15"/>
          <w:b w:val="1"/>
          <w:bCs w:val="1"/>
          <w:i w:val="1"/>
          <w:iCs w:val="1"/>
          <w:color w:val="auto"/>
        </w:rPr>
        <w:t xml:space="preserve">Loss/(gain) on Derivatives: </w:t>
      </w:r>
      <w:r>
        <w:rPr>
          <w:rFonts w:ascii="Arial" w:cs="Arial" w:eastAsia="Arial" w:hAnsi="Arial"/>
          <w:sz w:val="15"/>
          <w:szCs w:val="15"/>
          <w:color w:val="auto"/>
        </w:rPr>
        <w:t>Loss on derivatives decreased by $15.4 million, from a loss of $14.1 million for the three-month period ended March 31, 2020 to a gain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$1.3 million for the same period in 2021. The decrease is attributable to a $17.3 million decrease in unrealized loss from the mark-to-market valuation of derivatives held for trading which were carried at fair value through profit or loss, which reflected a loss of $13.7 million in the three months ended March 31, 2020 as compared to a gain of $3.6 million in the three months ended March 31, 2021, partially offset by a net increase of $1.9 million in realized loss on derivatives held for trading.</w:t>
      </w:r>
    </w:p>
    <w:p>
      <w:pPr>
        <w:spacing w:after="0" w:line="172" w:lineRule="exact"/>
        <w:rPr>
          <w:sz w:val="20"/>
          <w:szCs w:val="20"/>
          <w:color w:val="auto"/>
        </w:rPr>
      </w:pPr>
    </w:p>
    <w:p>
      <w:pPr>
        <w:ind w:right="280" w:firstLine="324"/>
        <w:spacing w:after="0" w:line="293" w:lineRule="auto"/>
        <w:rPr>
          <w:sz w:val="20"/>
          <w:szCs w:val="20"/>
          <w:color w:val="auto"/>
        </w:rPr>
      </w:pPr>
      <w:r>
        <w:rPr>
          <w:rFonts w:ascii="Arial" w:cs="Arial" w:eastAsia="Arial" w:hAnsi="Arial"/>
          <w:sz w:val="16"/>
          <w:szCs w:val="16"/>
          <w:b w:val="1"/>
          <w:bCs w:val="1"/>
          <w:i w:val="1"/>
          <w:iCs w:val="1"/>
          <w:color w:val="auto"/>
        </w:rPr>
        <w:t xml:space="preserve">Profit for the Period: </w:t>
      </w:r>
      <w:r>
        <w:rPr>
          <w:rFonts w:ascii="Arial" w:cs="Arial" w:eastAsia="Arial" w:hAnsi="Arial"/>
          <w:sz w:val="16"/>
          <w:szCs w:val="16"/>
          <w:color w:val="auto"/>
        </w:rPr>
        <w:t>Profit for the period increased by $21.2 million, from $14.2 million for the three-month period ended March 31, 2020 to $35.4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2021, as a result of the aforementioned factors.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5"/>
          <w:szCs w:val="15"/>
          <w:color w:val="auto"/>
        </w:rPr>
        <w:t>We operate in a capital-intensive industry and we expect to finance the purchase of any additional vessels or other capital expenditures through a combination of borrowings from commercial banks, cash generated from operations and debt and equity financings, if any. In addition to paying distributions and potentially repurchasing common units, our other liquidity requirements relate to paying our operating and general and administrative expenses, servicing our debt, funding investments, funding working capital and maintaining cash reserves against fluctuations in operating cash flows. Our funding and treasury activities are intended to maximize investment returns while maintaining appropriate liquidity and complying with our financial covenants under our debt facilities.</w:t>
      </w:r>
    </w:p>
    <w:p>
      <w:pPr>
        <w:spacing w:after="0" w:line="176"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As of March 31, 2021, we had $95.1 million of cash and cash equivalents, out of which $43.2 million was held in current accounts and $51.9 million was held in time deposits with an original duration of less than three months.</w:t>
      </w:r>
    </w:p>
    <w:p>
      <w:pPr>
        <w:spacing w:after="0" w:line="172" w:lineRule="exact"/>
        <w:rPr>
          <w:sz w:val="20"/>
          <w:szCs w:val="20"/>
          <w:color w:val="auto"/>
        </w:rPr>
      </w:pPr>
    </w:p>
    <w:p>
      <w:pPr>
        <w:ind w:right="420" w:firstLine="648"/>
        <w:spacing w:after="0" w:line="278" w:lineRule="auto"/>
        <w:rPr>
          <w:sz w:val="20"/>
          <w:szCs w:val="20"/>
          <w:color w:val="auto"/>
        </w:rPr>
      </w:pPr>
      <w:r>
        <w:rPr>
          <w:rFonts w:ascii="Arial" w:cs="Arial" w:eastAsia="Arial" w:hAnsi="Arial"/>
          <w:sz w:val="16"/>
          <w:szCs w:val="16"/>
          <w:color w:val="auto"/>
        </w:rPr>
        <w:t>As of March 31, 2021, we had an aggregate of $1,250.8 million of borrowings outstanding under our credit facilities, of which $105.0 million was repayable within one year. In addition, as of March 31, 2021, we had unused availability under our revolving credit facility with GasLog of $30.0 million, which matures in March 2022.</w:t>
      </w:r>
    </w:p>
    <w:p>
      <w:pPr>
        <w:spacing w:after="0" w:line="184" w:lineRule="exact"/>
        <w:rPr>
          <w:sz w:val="20"/>
          <w:szCs w:val="20"/>
          <w:color w:val="auto"/>
        </w:rPr>
      </w:pPr>
    </w:p>
    <w:p>
      <w:pPr>
        <w:ind w:firstLine="648"/>
        <w:spacing w:after="0" w:line="278" w:lineRule="auto"/>
        <w:rPr>
          <w:sz w:val="20"/>
          <w:szCs w:val="20"/>
          <w:color w:val="auto"/>
        </w:rPr>
      </w:pPr>
      <w:r>
        <w:rPr>
          <w:rFonts w:ascii="Arial" w:cs="Arial" w:eastAsia="Arial" w:hAnsi="Arial"/>
          <w:sz w:val="16"/>
          <w:szCs w:val="16"/>
          <w:color w:val="auto"/>
        </w:rPr>
        <w:t>The Partnership has in place seven interest rate swap agreements at a notional value of $473.3 million in aggregate, maturing between 2021 and 2025. As a result of its hedging agreements, the Partnership has hedged 37.3% of its floating interest rate exposure on its outstanding debt as of March 31, 2021, at a weighted average interest rate of approximately 2.2% (excluding margin).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Working Capital Position</w:t>
      </w:r>
    </w:p>
    <w:p>
      <w:pPr>
        <w:spacing w:after="0" w:line="239" w:lineRule="exact"/>
        <w:rPr>
          <w:sz w:val="20"/>
          <w:szCs w:val="20"/>
          <w:color w:val="auto"/>
        </w:rPr>
      </w:pPr>
    </w:p>
    <w:p>
      <w:pPr>
        <w:ind w:right="40" w:firstLine="324"/>
        <w:spacing w:after="0" w:line="278" w:lineRule="auto"/>
        <w:rPr>
          <w:sz w:val="20"/>
          <w:szCs w:val="20"/>
          <w:color w:val="auto"/>
        </w:rPr>
      </w:pPr>
      <w:r>
        <w:rPr>
          <w:rFonts w:ascii="Arial" w:cs="Arial" w:eastAsia="Arial" w:hAnsi="Arial"/>
          <w:sz w:val="16"/>
          <w:szCs w:val="16"/>
          <w:color w:val="auto"/>
        </w:rPr>
        <w:t>As of March 31, 2021, our current assets totaled $118.2 million and current liabilities totaled $170.2 million, resulting in a negative working capital position of $52.0 million. Current liabilities include $19.8 million of unearned revenue in relation to hires received in advance (which represents a non-cash liability that will be recognized as revenues after March 31, 2021 as the services are rendered).</w:t>
      </w:r>
    </w:p>
    <w:p>
      <w:pPr>
        <w:spacing w:after="0" w:line="184" w:lineRule="exact"/>
        <w:rPr>
          <w:sz w:val="20"/>
          <w:szCs w:val="20"/>
          <w:color w:val="auto"/>
        </w:rPr>
      </w:pPr>
    </w:p>
    <w:p>
      <w:pPr>
        <w:ind w:right="60" w:firstLine="324"/>
        <w:spacing w:after="0" w:line="268" w:lineRule="auto"/>
        <w:rPr>
          <w:sz w:val="20"/>
          <w:szCs w:val="20"/>
          <w:color w:val="auto"/>
        </w:rPr>
      </w:pPr>
      <w:r>
        <w:rPr>
          <w:rFonts w:ascii="Arial" w:cs="Arial" w:eastAsia="Arial" w:hAnsi="Arial"/>
          <w:sz w:val="16"/>
          <w:szCs w:val="16"/>
          <w:color w:val="auto"/>
        </w:rPr>
        <w:t>Management monitors the Partnership’s liquidity position throughout the year to ensure that it has access to sufficient funds to meet its forecast cash requirements, including debt service commitments, and to monitor compliance with the financial covenants within its loan facilities. Considering the volatile commercial and financial market conditions experienced over the last twelve months, we anticipate that our primary sources of funds for at least twelve months from the date of this report will be available cash, cash from operations and existing debt facilities. We believe that these anticipated sources of funds, as well as our decision in 2020 to decrease the common unit distributions and preserve liquidity, will be sufficient to meet our liquidity needs and to comply with our banking covenants for at least twelve months from the date of this report. Our long-term ability to repay our debts and maintain compliance with our debt covenants for at least twelve months from the date of this report without reliance on additional sources of finance is also dependent on a sustainable longer-term recovery in the LNG charter market from the market disruption observed in 2020 as a result of the COVID-19 outbreak.</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35" w:lineRule="exact"/>
        <w:rPr>
          <w:sz w:val="20"/>
          <w:szCs w:val="20"/>
          <w:color w:val="auto"/>
        </w:rPr>
      </w:pPr>
    </w:p>
    <w:p>
      <w:pPr>
        <w:ind w:left="2080"/>
        <w:spacing w:after="0"/>
        <w:rPr>
          <w:sz w:val="20"/>
          <w:szCs w:val="20"/>
          <w:color w:val="auto"/>
        </w:rPr>
      </w:pPr>
      <w:r>
        <w:rPr>
          <w:rFonts w:ascii="Arial" w:cs="Arial" w:eastAsia="Arial" w:hAnsi="Arial"/>
          <w:sz w:val="16"/>
          <w:szCs w:val="16"/>
          <w:b w:val="1"/>
          <w:bCs w:val="1"/>
          <w:color w:val="auto"/>
        </w:rPr>
        <w:t>Three-month period ended March 31, 2020 compared to the three-month period ended March 31, 2021</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net cash flows from operating, investing and financing activities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2920" w:type="dxa"/>
            <w:vAlign w:val="bottom"/>
            <w:gridSpan w:val="4"/>
          </w:tcPr>
          <w:p>
            <w:pPr>
              <w:jc w:val="right"/>
              <w:ind w:right="860"/>
              <w:spacing w:after="0"/>
              <w:rPr>
                <w:sz w:val="20"/>
                <w:szCs w:val="20"/>
                <w:color w:val="auto"/>
              </w:rPr>
            </w:pPr>
            <w:r>
              <w:rPr>
                <w:rFonts w:ascii="Arial" w:cs="Arial" w:eastAsia="Arial" w:hAnsi="Arial"/>
                <w:sz w:val="16"/>
                <w:szCs w:val="16"/>
                <w:b w:val="1"/>
                <w:bCs w:val="1"/>
                <w:color w:val="auto"/>
              </w:rPr>
              <w:t>Three months ended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98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March 31, 2020</w:t>
            </w:r>
          </w:p>
        </w:tc>
        <w:tc>
          <w:tcPr>
            <w:tcW w:w="14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8"/>
              </w:rPr>
              <w:t>March 31, 2021</w:t>
            </w:r>
          </w:p>
        </w:tc>
        <w:tc>
          <w:tcPr>
            <w:tcW w:w="13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Change</w:t>
            </w:r>
          </w:p>
        </w:tc>
      </w:tr>
      <w:tr>
        <w:trPr>
          <w:trHeight w:val="199"/>
        </w:trPr>
        <w:tc>
          <w:tcPr>
            <w:tcW w:w="69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Net cash provided by operating activities</w:t>
            </w: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44,304</w:t>
            </w:r>
          </w:p>
        </w:tc>
        <w:tc>
          <w:tcPr>
            <w:tcW w:w="22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55,426</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11,122</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(5,249)</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(5,673)</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(424)</w:t>
            </w:r>
          </w:p>
        </w:tc>
      </w:tr>
      <w:tr>
        <w:trPr>
          <w:trHeight w:val="203"/>
        </w:trPr>
        <w:tc>
          <w:tcPr>
            <w:tcW w:w="6980" w:type="dxa"/>
            <w:vAlign w:val="bottom"/>
            <w:shd w:val="clear" w:color="auto" w:fill="E5FFFF"/>
          </w:tcPr>
          <w:p>
            <w:pPr>
              <w:spacing w:after="0"/>
              <w:rPr>
                <w:sz w:val="20"/>
                <w:szCs w:val="20"/>
                <w:color w:val="auto"/>
              </w:rPr>
            </w:pPr>
            <w:r>
              <w:rPr>
                <w:rFonts w:ascii="Arial" w:cs="Arial" w:eastAsia="Arial" w:hAnsi="Arial"/>
                <w:sz w:val="16"/>
                <w:szCs w:val="16"/>
                <w:color w:val="auto"/>
              </w:rPr>
              <w:t>Net cash used in financing activities</w:t>
            </w:r>
          </w:p>
        </w:tc>
        <w:tc>
          <w:tcPr>
            <w:tcW w:w="14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(74,577)</w:t>
            </w:r>
          </w:p>
        </w:tc>
        <w:tc>
          <w:tcPr>
            <w:tcW w:w="14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(58,395)</w:t>
            </w: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16,182</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 Operating Activities:</w:t>
      </w:r>
    </w:p>
    <w:p>
      <w:pPr>
        <w:spacing w:after="0" w:line="235" w:lineRule="exact"/>
        <w:rPr>
          <w:sz w:val="20"/>
          <w:szCs w:val="20"/>
          <w:color w:val="auto"/>
        </w:rPr>
      </w:pPr>
    </w:p>
    <w:p>
      <w:pPr>
        <w:jc w:val="both"/>
        <w:ind w:right="80" w:firstLine="324"/>
        <w:spacing w:after="0" w:line="278" w:lineRule="auto"/>
        <w:rPr>
          <w:sz w:val="20"/>
          <w:szCs w:val="20"/>
          <w:color w:val="auto"/>
        </w:rPr>
      </w:pPr>
      <w:r>
        <w:rPr>
          <w:rFonts w:ascii="Arial" w:cs="Arial" w:eastAsia="Arial" w:hAnsi="Arial"/>
          <w:sz w:val="16"/>
          <w:szCs w:val="16"/>
          <w:color w:val="auto"/>
        </w:rPr>
        <w:t>Net cash provided by operating activities increased by $11.1 million, from $44.3 million in the three-month period ended March 31, 2020 to $55.4 million in the three-month period ended March 31, 2021. The increase of $11.1 million is mainly attributable to a $11.2 million movement in working capital accounts, primarily affected by an increase of $18.0 million from unearned revenue movements.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35" w:lineRule="exact"/>
        <w:rPr>
          <w:sz w:val="20"/>
          <w:szCs w:val="20"/>
          <w:color w:val="auto"/>
        </w:rPr>
      </w:pPr>
    </w:p>
    <w:p>
      <w:pPr>
        <w:ind w:right="140" w:firstLine="324"/>
        <w:spacing w:after="0" w:line="278" w:lineRule="auto"/>
        <w:rPr>
          <w:sz w:val="20"/>
          <w:szCs w:val="20"/>
          <w:color w:val="auto"/>
        </w:rPr>
      </w:pPr>
      <w:r>
        <w:rPr>
          <w:rFonts w:ascii="Arial" w:cs="Arial" w:eastAsia="Arial" w:hAnsi="Arial"/>
          <w:sz w:val="16"/>
          <w:szCs w:val="16"/>
          <w:color w:val="auto"/>
        </w:rPr>
        <w:t>Net cash used in investing activities increased by $0.5 million, from $5.2 million in the three-month period ended March 31, 2020 to $5.7 million in the three-month period ended March 31, 2021. The increase of $0.5 million is attributable to an increase of cash used in payments for tangible fixed assets of $0.3 million and a decrease in financial income received of $0.2 million.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35" w:lineRule="exact"/>
        <w:rPr>
          <w:sz w:val="20"/>
          <w:szCs w:val="20"/>
          <w:color w:val="auto"/>
        </w:rPr>
      </w:pPr>
    </w:p>
    <w:p>
      <w:pPr>
        <w:ind w:right="220" w:firstLine="324"/>
        <w:spacing w:after="0" w:line="297" w:lineRule="auto"/>
        <w:rPr>
          <w:sz w:val="20"/>
          <w:szCs w:val="20"/>
          <w:color w:val="auto"/>
        </w:rPr>
      </w:pPr>
      <w:r>
        <w:rPr>
          <w:rFonts w:ascii="Arial" w:cs="Arial" w:eastAsia="Arial" w:hAnsi="Arial"/>
          <w:sz w:val="15"/>
          <w:szCs w:val="15"/>
          <w:color w:val="auto"/>
        </w:rPr>
        <w:t>Net cash used in financing activities decreased by $16.2 million, from $74.6 million in the three-month period ended March 31, 2020 to $58.4 million in the three-month period ended March 31, 2021. The decrease of $16.2 million is attributable to a decrease of $26.3 million in distributions paid, a decrease of $15.3 million in net payments for cash collateral for interest rate swaps, a decrease of 2.8 million in interest paid and a decrease of $1.0 million in cash used for repurchases of common units, partially offset by a decrease in bank loan drawdowns of $25.9 million and an increase of $3.3 million in bank loan repayments.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Arial" w:cs="Arial" w:eastAsia="Arial" w:hAnsi="Arial"/>
                <w:sz w:val="16"/>
                <w:szCs w:val="16"/>
                <w:b w:val="1"/>
                <w:bCs w:val="1"/>
                <w:color w:val="auto"/>
              </w:rPr>
              <w:t>Contracted Charter Revenue</w:t>
            </w: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419"/>
        </w:trPr>
        <w:tc>
          <w:tcPr>
            <w:tcW w:w="8740" w:type="dxa"/>
            <w:vAlign w:val="bottom"/>
            <w:gridSpan w:val="6"/>
          </w:tcPr>
          <w:p>
            <w:pPr>
              <w:ind w:left="340"/>
              <w:spacing w:after="0"/>
              <w:rPr>
                <w:sz w:val="20"/>
                <w:szCs w:val="20"/>
                <w:color w:val="auto"/>
              </w:rPr>
            </w:pPr>
            <w:r>
              <w:rPr>
                <w:rFonts w:ascii="Arial" w:cs="Arial" w:eastAsia="Arial" w:hAnsi="Arial"/>
                <w:sz w:val="16"/>
                <w:szCs w:val="16"/>
                <w:color w:val="auto"/>
                <w:w w:val="96"/>
              </w:rPr>
              <w:t>The following table summarizes GasLog Partners’ contracted charter revenues and vessel utilization after March 31, 2021:</w:t>
            </w: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1"/>
        </w:trPr>
        <w:tc>
          <w:tcPr>
            <w:tcW w:w="3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6"/>
              </w:rPr>
              <w:t>After</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3"/>
        </w:trPr>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3"/>
              </w:rPr>
              <w:t>Mar. 31,</w:t>
            </w:r>
          </w:p>
        </w:tc>
        <w:tc>
          <w:tcPr>
            <w:tcW w:w="118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For the years ending December 31,</w:t>
            </w:r>
          </w:p>
        </w:tc>
        <w:tc>
          <w:tcPr>
            <w:tcW w:w="940" w:type="dxa"/>
            <w:vAlign w:val="bottom"/>
            <w:tcBorders>
              <w:bottom w:val="single" w:sz="8" w:color="auto"/>
            </w:tcBorders>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9"/>
              </w:rPr>
              <w:t>2021</w:t>
            </w: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2025-2026</w:t>
            </w:r>
          </w:p>
        </w:tc>
        <w:tc>
          <w:tcPr>
            <w:tcW w:w="9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Total</w:t>
            </w:r>
          </w:p>
        </w:tc>
      </w:tr>
      <w:tr>
        <w:trPr>
          <w:trHeight w:val="199"/>
        </w:trPr>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20" w:type="dxa"/>
            <w:vAlign w:val="bottom"/>
            <w:gridSpan w:val="4"/>
          </w:tcPr>
          <w:p>
            <w:pPr>
              <w:jc w:val="right"/>
              <w:ind w:right="499"/>
              <w:spacing w:after="0"/>
              <w:rPr>
                <w:sz w:val="20"/>
                <w:szCs w:val="20"/>
                <w:color w:val="auto"/>
              </w:rPr>
            </w:pPr>
            <w:r>
              <w:rPr>
                <w:rFonts w:ascii="Arial" w:cs="Arial" w:eastAsia="Arial" w:hAnsi="Arial"/>
                <w:sz w:val="16"/>
                <w:szCs w:val="16"/>
                <w:b w:val="1"/>
                <w:bCs w:val="1"/>
                <w:i w:val="1"/>
                <w:iCs w:val="1"/>
                <w:color w:val="auto"/>
                <w:w w:val="92"/>
              </w:rPr>
              <w:t>(in millions of U.S. dollars, except days and percentages)</w:t>
            </w:r>
          </w:p>
        </w:tc>
        <w:tc>
          <w:tcPr>
            <w:tcW w:w="940" w:type="dxa"/>
            <w:vAlign w:val="bottom"/>
          </w:tcPr>
          <w:p>
            <w:pPr>
              <w:spacing w:after="0"/>
              <w:rPr>
                <w:sz w:val="17"/>
                <w:szCs w:val="17"/>
                <w:color w:val="auto"/>
              </w:rPr>
            </w:pPr>
          </w:p>
        </w:tc>
      </w:tr>
      <w:tr>
        <w:trPr>
          <w:trHeight w:val="243"/>
        </w:trPr>
        <w:tc>
          <w:tcPr>
            <w:tcW w:w="340" w:type="dxa"/>
            <w:vAlign w:val="bottom"/>
          </w:tcPr>
          <w:p>
            <w:pPr>
              <w:spacing w:after="0"/>
              <w:rPr>
                <w:sz w:val="21"/>
                <w:szCs w:val="21"/>
                <w:color w:val="auto"/>
              </w:rPr>
            </w:pPr>
          </w:p>
        </w:tc>
        <w:tc>
          <w:tcPr>
            <w:tcW w:w="3700" w:type="dxa"/>
            <w:vAlign w:val="bottom"/>
            <w:shd w:val="clear" w:color="auto" w:fill="E5FFFF"/>
          </w:tcPr>
          <w:p>
            <w:pPr>
              <w:spacing w:after="0" w:line="243" w:lineRule="exact"/>
              <w:rPr>
                <w:sz w:val="20"/>
                <w:szCs w:val="20"/>
                <w:color w:val="auto"/>
              </w:rPr>
            </w:pPr>
            <w:r>
              <w:rPr>
                <w:rFonts w:ascii="Arial" w:cs="Arial" w:eastAsia="Arial" w:hAnsi="Arial"/>
                <w:sz w:val="16"/>
                <w:szCs w:val="16"/>
                <w:color w:val="auto"/>
              </w:rPr>
              <w:t>Contracted time charter revenues</w:t>
            </w:r>
            <w:r>
              <w:rPr>
                <w:rFonts w:ascii="Arial" w:cs="Arial" w:eastAsia="Arial" w:hAnsi="Arial"/>
                <w:sz w:val="26"/>
                <w:szCs w:val="26"/>
                <w:color w:val="auto"/>
                <w:vertAlign w:val="superscript"/>
              </w:rPr>
              <w:t>(1)(2)(3)(4)</w:t>
            </w:r>
          </w:p>
        </w:tc>
        <w:tc>
          <w:tcPr>
            <w:tcW w:w="130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$166.3</w:t>
            </w:r>
          </w:p>
        </w:tc>
        <w:tc>
          <w:tcPr>
            <w:tcW w:w="1180" w:type="dxa"/>
            <w:vAlign w:val="bottom"/>
            <w:shd w:val="clear" w:color="auto" w:fill="E5FFFF"/>
          </w:tcPr>
          <w:p>
            <w:pPr>
              <w:jc w:val="right"/>
              <w:ind w:right="159"/>
              <w:spacing w:after="0"/>
              <w:rPr>
                <w:sz w:val="20"/>
                <w:szCs w:val="20"/>
                <w:color w:val="auto"/>
              </w:rPr>
            </w:pPr>
            <w:r>
              <w:rPr>
                <w:rFonts w:ascii="Arial" w:cs="Arial" w:eastAsia="Arial" w:hAnsi="Arial"/>
                <w:sz w:val="16"/>
                <w:szCs w:val="16"/>
                <w:color w:val="auto"/>
              </w:rPr>
              <w:t>$189.3</w:t>
            </w:r>
          </w:p>
        </w:tc>
        <w:tc>
          <w:tcPr>
            <w:tcW w:w="116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$149.9</w:t>
            </w:r>
          </w:p>
        </w:tc>
        <w:tc>
          <w:tcPr>
            <w:tcW w:w="106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$70.4</w:t>
            </w:r>
          </w:p>
        </w:tc>
        <w:tc>
          <w:tcPr>
            <w:tcW w:w="122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$83.3</w:t>
            </w:r>
          </w:p>
        </w:tc>
        <w:tc>
          <w:tcPr>
            <w:tcW w:w="940" w:type="dxa"/>
            <w:vAlign w:val="bottom"/>
            <w:shd w:val="clear" w:color="auto" w:fill="E5FFFF"/>
          </w:tcPr>
          <w:p>
            <w:pPr>
              <w:jc w:val="center"/>
              <w:ind w:right="19"/>
              <w:spacing w:after="0"/>
              <w:rPr>
                <w:sz w:val="20"/>
                <w:szCs w:val="20"/>
                <w:color w:val="auto"/>
              </w:rPr>
            </w:pPr>
            <w:r>
              <w:rPr>
                <w:rFonts w:ascii="Arial" w:cs="Arial" w:eastAsia="Arial" w:hAnsi="Arial"/>
                <w:sz w:val="16"/>
                <w:szCs w:val="16"/>
                <w:color w:val="auto"/>
                <w:w w:val="89"/>
              </w:rPr>
              <w:t>$659.2</w:t>
            </w:r>
          </w:p>
        </w:tc>
      </w:tr>
      <w:tr>
        <w:trPr>
          <w:trHeight w:val="243"/>
        </w:trPr>
        <w:tc>
          <w:tcPr>
            <w:tcW w:w="340" w:type="dxa"/>
            <w:vAlign w:val="bottom"/>
          </w:tcPr>
          <w:p>
            <w:pPr>
              <w:spacing w:after="0"/>
              <w:rPr>
                <w:sz w:val="21"/>
                <w:szCs w:val="21"/>
                <w:color w:val="auto"/>
              </w:rPr>
            </w:pPr>
          </w:p>
        </w:tc>
        <w:tc>
          <w:tcPr>
            <w:tcW w:w="3700" w:type="dxa"/>
            <w:vAlign w:val="bottom"/>
          </w:tcPr>
          <w:p>
            <w:pPr>
              <w:spacing w:after="0" w:line="243" w:lineRule="exact"/>
              <w:rPr>
                <w:sz w:val="20"/>
                <w:szCs w:val="20"/>
                <w:color w:val="auto"/>
              </w:rPr>
            </w:pPr>
            <w:r>
              <w:rPr>
                <w:rFonts w:ascii="Arial" w:cs="Arial" w:eastAsia="Arial" w:hAnsi="Arial"/>
                <w:sz w:val="16"/>
                <w:szCs w:val="16"/>
                <w:color w:val="auto"/>
              </w:rPr>
              <w:t>Total contracted days</w:t>
            </w:r>
            <w:r>
              <w:rPr>
                <w:rFonts w:ascii="Arial" w:cs="Arial" w:eastAsia="Arial" w:hAnsi="Arial"/>
                <w:sz w:val="26"/>
                <w:szCs w:val="26"/>
                <w:color w:val="auto"/>
                <w:vertAlign w:val="superscript"/>
              </w:rPr>
              <w:t>(1)(2)</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2,972</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3,111</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2,016</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823</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970</w:t>
            </w: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89"/>
              </w:rPr>
              <w:t>9,892</w:t>
            </w:r>
          </w:p>
        </w:tc>
      </w:tr>
      <w:tr>
        <w:trPr>
          <w:trHeight w:val="243"/>
        </w:trPr>
        <w:tc>
          <w:tcPr>
            <w:tcW w:w="340" w:type="dxa"/>
            <w:vAlign w:val="bottom"/>
          </w:tcPr>
          <w:p>
            <w:pPr>
              <w:spacing w:after="0"/>
              <w:rPr>
                <w:sz w:val="21"/>
                <w:szCs w:val="21"/>
                <w:color w:val="auto"/>
              </w:rPr>
            </w:pPr>
          </w:p>
        </w:tc>
        <w:tc>
          <w:tcPr>
            <w:tcW w:w="3700" w:type="dxa"/>
            <w:vAlign w:val="bottom"/>
            <w:shd w:val="clear" w:color="auto" w:fill="E5FFFF"/>
          </w:tcPr>
          <w:p>
            <w:pPr>
              <w:spacing w:after="0" w:line="243" w:lineRule="exact"/>
              <w:rPr>
                <w:sz w:val="20"/>
                <w:szCs w:val="20"/>
                <w:color w:val="auto"/>
              </w:rPr>
            </w:pPr>
            <w:r>
              <w:rPr>
                <w:rFonts w:ascii="Arial" w:cs="Arial" w:eastAsia="Arial" w:hAnsi="Arial"/>
                <w:sz w:val="16"/>
                <w:szCs w:val="16"/>
                <w:color w:val="auto"/>
              </w:rPr>
              <w:t>Total available days</w:t>
            </w:r>
            <w:r>
              <w:rPr>
                <w:rFonts w:ascii="Arial" w:cs="Arial" w:eastAsia="Arial" w:hAnsi="Arial"/>
                <w:sz w:val="26"/>
                <w:szCs w:val="26"/>
                <w:color w:val="auto"/>
                <w:vertAlign w:val="superscript"/>
              </w:rPr>
              <w:t>(5)</w:t>
            </w:r>
          </w:p>
        </w:tc>
        <w:tc>
          <w:tcPr>
            <w:tcW w:w="130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3,989</w:t>
            </w:r>
          </w:p>
        </w:tc>
        <w:tc>
          <w:tcPr>
            <w:tcW w:w="1180" w:type="dxa"/>
            <w:vAlign w:val="bottom"/>
            <w:shd w:val="clear" w:color="auto" w:fill="E5FFFF"/>
          </w:tcPr>
          <w:p>
            <w:pPr>
              <w:jc w:val="right"/>
              <w:ind w:right="159"/>
              <w:spacing w:after="0"/>
              <w:rPr>
                <w:sz w:val="20"/>
                <w:szCs w:val="20"/>
                <w:color w:val="auto"/>
              </w:rPr>
            </w:pPr>
            <w:r>
              <w:rPr>
                <w:rFonts w:ascii="Arial" w:cs="Arial" w:eastAsia="Arial" w:hAnsi="Arial"/>
                <w:sz w:val="16"/>
                <w:szCs w:val="16"/>
                <w:color w:val="auto"/>
              </w:rPr>
              <w:t>5,475</w:t>
            </w:r>
          </w:p>
        </w:tc>
        <w:tc>
          <w:tcPr>
            <w:tcW w:w="116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5,355</w:t>
            </w:r>
          </w:p>
        </w:tc>
        <w:tc>
          <w:tcPr>
            <w:tcW w:w="106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5,460</w:t>
            </w:r>
          </w:p>
        </w:tc>
        <w:tc>
          <w:tcPr>
            <w:tcW w:w="122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10,650</w:t>
            </w:r>
          </w:p>
        </w:tc>
        <w:tc>
          <w:tcPr>
            <w:tcW w:w="940" w:type="dxa"/>
            <w:vAlign w:val="bottom"/>
            <w:shd w:val="clear" w:color="auto" w:fill="E5FFFF"/>
          </w:tcPr>
          <w:p>
            <w:pPr>
              <w:jc w:val="center"/>
              <w:ind w:right="19"/>
              <w:spacing w:after="0"/>
              <w:rPr>
                <w:sz w:val="20"/>
                <w:szCs w:val="20"/>
                <w:color w:val="auto"/>
              </w:rPr>
            </w:pPr>
            <w:r>
              <w:rPr>
                <w:rFonts w:ascii="Arial" w:cs="Arial" w:eastAsia="Arial" w:hAnsi="Arial"/>
                <w:sz w:val="16"/>
                <w:szCs w:val="16"/>
                <w:color w:val="auto"/>
                <w:w w:val="89"/>
              </w:rPr>
              <w:t>30,929</w:t>
            </w:r>
          </w:p>
        </w:tc>
      </w:tr>
      <w:tr>
        <w:trPr>
          <w:trHeight w:val="243"/>
        </w:trPr>
        <w:tc>
          <w:tcPr>
            <w:tcW w:w="340" w:type="dxa"/>
            <w:vAlign w:val="bottom"/>
          </w:tcPr>
          <w:p>
            <w:pPr>
              <w:spacing w:after="0"/>
              <w:rPr>
                <w:sz w:val="21"/>
                <w:szCs w:val="21"/>
                <w:color w:val="auto"/>
              </w:rPr>
            </w:pPr>
          </w:p>
        </w:tc>
        <w:tc>
          <w:tcPr>
            <w:tcW w:w="3700" w:type="dxa"/>
            <w:vAlign w:val="bottom"/>
          </w:tcPr>
          <w:p>
            <w:pPr>
              <w:spacing w:after="0" w:line="243" w:lineRule="exact"/>
              <w:rPr>
                <w:sz w:val="20"/>
                <w:szCs w:val="20"/>
                <w:color w:val="auto"/>
              </w:rPr>
            </w:pPr>
            <w:r>
              <w:rPr>
                <w:rFonts w:ascii="Arial" w:cs="Arial" w:eastAsia="Arial" w:hAnsi="Arial"/>
                <w:sz w:val="16"/>
                <w:szCs w:val="16"/>
                <w:color w:val="auto"/>
              </w:rPr>
              <w:t>Total unfixed days</w:t>
            </w:r>
            <w:r>
              <w:rPr>
                <w:rFonts w:ascii="Arial" w:cs="Arial" w:eastAsia="Arial" w:hAnsi="Arial"/>
                <w:sz w:val="26"/>
                <w:szCs w:val="26"/>
                <w:color w:val="auto"/>
                <w:vertAlign w:val="superscript"/>
              </w:rPr>
              <w:t>(6)</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1,017</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2,364</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3,339</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4,637</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9,680</w:t>
            </w:r>
          </w:p>
        </w:tc>
        <w:tc>
          <w:tcPr>
            <w:tcW w:w="940" w:type="dxa"/>
            <w:vAlign w:val="bottom"/>
          </w:tcPr>
          <w:p>
            <w:pPr>
              <w:jc w:val="center"/>
              <w:ind w:right="19"/>
              <w:spacing w:after="0"/>
              <w:rPr>
                <w:sz w:val="20"/>
                <w:szCs w:val="20"/>
                <w:color w:val="auto"/>
              </w:rPr>
            </w:pPr>
            <w:r>
              <w:rPr>
                <w:rFonts w:ascii="Arial" w:cs="Arial" w:eastAsia="Arial" w:hAnsi="Arial"/>
                <w:sz w:val="16"/>
                <w:szCs w:val="16"/>
                <w:color w:val="auto"/>
                <w:w w:val="89"/>
              </w:rPr>
              <w:t>21,037</w:t>
            </w:r>
          </w:p>
        </w:tc>
      </w:tr>
      <w:tr>
        <w:trPr>
          <w:trHeight w:val="203"/>
        </w:trPr>
        <w:tc>
          <w:tcPr>
            <w:tcW w:w="340" w:type="dxa"/>
            <w:vAlign w:val="bottom"/>
          </w:tcPr>
          <w:p>
            <w:pPr>
              <w:spacing w:after="0"/>
              <w:rPr>
                <w:sz w:val="17"/>
                <w:szCs w:val="17"/>
                <w:color w:val="auto"/>
              </w:rPr>
            </w:pPr>
          </w:p>
        </w:tc>
        <w:tc>
          <w:tcPr>
            <w:tcW w:w="3700" w:type="dxa"/>
            <w:vAlign w:val="bottom"/>
            <w:shd w:val="clear" w:color="auto" w:fill="E5FFFF"/>
          </w:tcPr>
          <w:p>
            <w:pPr>
              <w:spacing w:after="0"/>
              <w:rPr>
                <w:sz w:val="20"/>
                <w:szCs w:val="20"/>
                <w:color w:val="auto"/>
              </w:rPr>
            </w:pPr>
            <w:r>
              <w:rPr>
                <w:rFonts w:ascii="Arial" w:cs="Arial" w:eastAsia="Arial" w:hAnsi="Arial"/>
                <w:sz w:val="16"/>
                <w:szCs w:val="16"/>
                <w:color w:val="auto"/>
                <w:w w:val="93"/>
              </w:rPr>
              <w:t>Percentage of total contracted days/total available days</w:t>
            </w:r>
          </w:p>
        </w:tc>
        <w:tc>
          <w:tcPr>
            <w:tcW w:w="130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74.5%</w:t>
            </w:r>
          </w:p>
        </w:tc>
        <w:tc>
          <w:tcPr>
            <w:tcW w:w="1180" w:type="dxa"/>
            <w:vAlign w:val="bottom"/>
            <w:shd w:val="clear" w:color="auto" w:fill="E5FFFF"/>
          </w:tcPr>
          <w:p>
            <w:pPr>
              <w:jc w:val="right"/>
              <w:ind w:right="159"/>
              <w:spacing w:after="0"/>
              <w:rPr>
                <w:sz w:val="20"/>
                <w:szCs w:val="20"/>
                <w:color w:val="auto"/>
              </w:rPr>
            </w:pPr>
            <w:r>
              <w:rPr>
                <w:rFonts w:ascii="Arial" w:cs="Arial" w:eastAsia="Arial" w:hAnsi="Arial"/>
                <w:sz w:val="16"/>
                <w:szCs w:val="16"/>
                <w:color w:val="auto"/>
              </w:rPr>
              <w:t>56.8%</w:t>
            </w:r>
          </w:p>
        </w:tc>
        <w:tc>
          <w:tcPr>
            <w:tcW w:w="116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37.6%</w:t>
            </w:r>
          </w:p>
        </w:tc>
        <w:tc>
          <w:tcPr>
            <w:tcW w:w="106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15.1%</w:t>
            </w:r>
          </w:p>
        </w:tc>
        <w:tc>
          <w:tcPr>
            <w:tcW w:w="122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9.1%</w:t>
            </w:r>
          </w:p>
        </w:tc>
        <w:tc>
          <w:tcPr>
            <w:tcW w:w="940" w:type="dxa"/>
            <w:vAlign w:val="bottom"/>
            <w:shd w:val="clear" w:color="auto" w:fill="E5FFFF"/>
          </w:tcPr>
          <w:p>
            <w:pPr>
              <w:jc w:val="center"/>
              <w:ind w:right="39"/>
              <w:spacing w:after="0"/>
              <w:rPr>
                <w:sz w:val="20"/>
                <w:szCs w:val="20"/>
                <w:color w:val="auto"/>
              </w:rPr>
            </w:pPr>
            <w:r>
              <w:rPr>
                <w:rFonts w:ascii="Arial" w:cs="Arial" w:eastAsia="Arial" w:hAnsi="Arial"/>
                <w:sz w:val="16"/>
                <w:szCs w:val="16"/>
                <w:color w:val="auto"/>
                <w:w w:val="92"/>
              </w:rPr>
              <w:t>32.0%</w:t>
            </w:r>
          </w:p>
        </w:tc>
      </w:tr>
    </w:tbl>
    <w:p>
      <w:pPr>
        <w:spacing w:after="0" w:line="200" w:lineRule="exact"/>
        <w:rPr>
          <w:sz w:val="20"/>
          <w:szCs w:val="20"/>
          <w:color w:val="auto"/>
        </w:rPr>
      </w:pPr>
    </w:p>
    <w:p>
      <w:pPr>
        <w:spacing w:after="0" w:line="20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After giving effect to the charter parties signed from March 31, 2021 until May 5, 2021, the percentage of total contracted days to total available days for the remainder of 2021 increased to 78.2%.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7830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7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2"/>
          <w:szCs w:val="12"/>
          <w:color w:val="auto"/>
        </w:rPr>
      </w:pPr>
      <w:r>
        <w:rPr>
          <w:rFonts w:ascii="Arial" w:cs="Arial" w:eastAsia="Arial" w:hAnsi="Arial"/>
          <w:sz w:val="14"/>
          <w:szCs w:val="14"/>
          <w:color w:val="auto"/>
        </w:rPr>
        <w:t>Reflects time charter revenues and contracted days for the 15 LNG carriers in our fleet as of March 31, 2021.</w:t>
      </w:r>
    </w:p>
    <w:p>
      <w:pPr>
        <w:spacing w:after="0" w:line="13" w:lineRule="exact"/>
        <w:rPr>
          <w:rFonts w:ascii="Arial" w:cs="Arial" w:eastAsia="Arial" w:hAnsi="Arial"/>
          <w:sz w:val="12"/>
          <w:szCs w:val="12"/>
          <w:color w:val="auto"/>
        </w:rPr>
      </w:pPr>
    </w:p>
    <w:p>
      <w:pPr>
        <w:ind w:left="340" w:right="100" w:hanging="332"/>
        <w:spacing w:after="0" w:line="221" w:lineRule="auto"/>
        <w:tabs>
          <w:tab w:leader="none" w:pos="340" w:val="left"/>
        </w:tabs>
        <w:numPr>
          <w:ilvl w:val="0"/>
          <w:numId w:val="11"/>
        </w:numPr>
        <w:rPr>
          <w:rFonts w:ascii="Arial" w:cs="Arial" w:eastAsia="Arial" w:hAnsi="Arial"/>
          <w:sz w:val="12"/>
          <w:szCs w:val="12"/>
          <w:color w:val="auto"/>
        </w:rPr>
      </w:pPr>
      <w:r>
        <w:rPr>
          <w:rFonts w:ascii="Arial" w:cs="Arial" w:eastAsia="Arial" w:hAnsi="Arial"/>
          <w:sz w:val="14"/>
          <w:szCs w:val="14"/>
          <w:color w:val="auto"/>
        </w:rPr>
        <w:t>Our ships are scheduled to undergo dry-docking once every five years. Revenue calculations assume 365 revenue days per ship per annum, with 30 off-hire days when each ship undergoes scheduled dry-docking.</w:t>
      </w:r>
    </w:p>
    <w:p>
      <w:pPr>
        <w:ind w:left="340" w:right="200" w:hanging="332"/>
        <w:spacing w:after="0" w:line="221" w:lineRule="auto"/>
        <w:tabs>
          <w:tab w:leader="none" w:pos="340" w:val="left"/>
        </w:tabs>
        <w:numPr>
          <w:ilvl w:val="0"/>
          <w:numId w:val="11"/>
        </w:numPr>
        <w:rPr>
          <w:rFonts w:ascii="Arial" w:cs="Arial" w:eastAsia="Arial" w:hAnsi="Arial"/>
          <w:sz w:val="12"/>
          <w:szCs w:val="12"/>
          <w:color w:val="auto"/>
        </w:rPr>
      </w:pPr>
      <w:r>
        <w:rPr>
          <w:rFonts w:ascii="Arial" w:cs="Arial" w:eastAsia="Arial" w:hAnsi="Arial"/>
          <w:sz w:val="14"/>
          <w:szCs w:val="14"/>
          <w:color w:val="auto"/>
        </w:rPr>
        <w:t>For time charters that include a variable rate of hire within an agreed range during the charter period, revenue calculations are based on the agreed minimum rate of hire for the respective period.</w:t>
      </w:r>
    </w:p>
    <w:p>
      <w:pPr>
        <w:ind w:left="340" w:hanging="332"/>
        <w:spacing w:after="0"/>
        <w:tabs>
          <w:tab w:leader="none" w:pos="340" w:val="left"/>
        </w:tabs>
        <w:numPr>
          <w:ilvl w:val="0"/>
          <w:numId w:val="11"/>
        </w:numPr>
        <w:rPr>
          <w:rFonts w:ascii="Arial" w:cs="Arial" w:eastAsia="Arial" w:hAnsi="Arial"/>
          <w:sz w:val="12"/>
          <w:szCs w:val="12"/>
          <w:color w:val="auto"/>
        </w:rPr>
      </w:pPr>
      <w:r>
        <w:rPr>
          <w:rFonts w:ascii="Arial" w:cs="Arial" w:eastAsia="Arial" w:hAnsi="Arial"/>
          <w:sz w:val="14"/>
          <w:szCs w:val="14"/>
          <w:color w:val="auto"/>
        </w:rPr>
        <w:t>Revenue calculations assume no exercise of any option to extend the terms of the charters.</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11"/>
        </w:numPr>
        <w:rPr>
          <w:rFonts w:ascii="Arial" w:cs="Arial" w:eastAsia="Arial" w:hAnsi="Arial"/>
          <w:sz w:val="12"/>
          <w:szCs w:val="12"/>
          <w:color w:val="auto"/>
        </w:rPr>
      </w:pPr>
      <w:r>
        <w:rPr>
          <w:rFonts w:ascii="Arial" w:cs="Arial" w:eastAsia="Arial" w:hAnsi="Arial"/>
          <w:sz w:val="14"/>
          <w:szCs w:val="14"/>
          <w:color w:val="auto"/>
        </w:rPr>
        <w:t>Available days represent total calendar days after deducting 30 off-hire days when the ship undergoes scheduled dry-docking.</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11"/>
        </w:numPr>
        <w:rPr>
          <w:rFonts w:ascii="Arial" w:cs="Arial" w:eastAsia="Arial" w:hAnsi="Arial"/>
          <w:sz w:val="12"/>
          <w:szCs w:val="12"/>
          <w:color w:val="auto"/>
        </w:rPr>
      </w:pPr>
      <w:r>
        <w:rPr>
          <w:rFonts w:ascii="Arial" w:cs="Arial" w:eastAsia="Arial" w:hAnsi="Arial"/>
          <w:sz w:val="14"/>
          <w:szCs w:val="14"/>
          <w:color w:val="auto"/>
        </w:rPr>
        <w:t>Represents available days for the ships after the expiration of the existing charters (assuming charterers do not exercise any option to extend the terms of the charters).</w:t>
      </w:r>
    </w:p>
    <w:p>
      <w:pPr>
        <w:spacing w:after="0" w:line="214" w:lineRule="exact"/>
        <w:rPr>
          <w:sz w:val="20"/>
          <w:szCs w:val="20"/>
          <w:color w:val="auto"/>
        </w:rPr>
      </w:pPr>
    </w:p>
    <w:p>
      <w:pPr>
        <w:ind w:firstLine="324"/>
        <w:spacing w:after="0" w:line="284" w:lineRule="auto"/>
        <w:rPr>
          <w:sz w:val="20"/>
          <w:szCs w:val="20"/>
          <w:color w:val="auto"/>
        </w:rPr>
      </w:pPr>
      <w:r>
        <w:rPr>
          <w:rFonts w:ascii="Arial" w:cs="Arial" w:eastAsia="Arial" w:hAnsi="Arial"/>
          <w:sz w:val="15"/>
          <w:szCs w:val="15"/>
          <w:color w:val="auto"/>
        </w:rPr>
        <w:t>The table above provides information about our contracted charter revenues and ship utilization based on contracts in effect for the 15 LNG carriers in our fleet as of March 31, 2021. The table reflects only our contracted charter revenues for the ships in our owned fleet for which we have secured time charters, and it does not reflect the costs or expenses we will incur in fulfilling our obligations under the charters. In particular, the table does not reflect time charter revenues from any additional ships we may acquire in the future, nor does it reflect the options under our time charters that permit our charterers to extend the time charter terms for successive multi-year periods at comparable charter hire rates. If exercised, the options to extend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non-performance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March 2, 2021. For these reasons, the contracted charter revenue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5840" w:type="dxa"/>
            <w:vAlign w:val="bottom"/>
            <w:gridSpan w:val="5"/>
          </w:tcPr>
          <w:p>
            <w:pPr>
              <w:ind w:left="320"/>
              <w:spacing w:after="0"/>
              <w:rPr>
                <w:sz w:val="20"/>
                <w:szCs w:val="20"/>
                <w:color w:val="auto"/>
              </w:rPr>
            </w:pPr>
            <w:r>
              <w:rPr>
                <w:rFonts w:ascii="Arial" w:cs="Arial" w:eastAsia="Arial" w:hAnsi="Arial"/>
                <w:sz w:val="16"/>
                <w:szCs w:val="16"/>
                <w:b w:val="1"/>
                <w:bCs w:val="1"/>
                <w:color w:val="auto"/>
              </w:rPr>
              <w:t>GASLOG PARTNERS LP</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19"/>
        </w:trPr>
        <w:tc>
          <w:tcPr>
            <w:tcW w:w="10220" w:type="dxa"/>
            <w:vAlign w:val="bottom"/>
            <w:gridSpan w:val="6"/>
          </w:tcPr>
          <w:p>
            <w:pPr>
              <w:ind w:left="3280"/>
              <w:spacing w:after="0"/>
              <w:rPr>
                <w:sz w:val="20"/>
                <w:szCs w:val="20"/>
                <w:color w:val="auto"/>
              </w:rPr>
            </w:pPr>
            <w:r>
              <w:rPr>
                <w:rFonts w:ascii="Arial" w:cs="Arial" w:eastAsia="Arial" w:hAnsi="Arial"/>
                <w:sz w:val="16"/>
                <w:szCs w:val="16"/>
                <w:b w:val="1"/>
                <w:bCs w:val="1"/>
                <w:color w:val="auto"/>
              </w:rPr>
              <w:t>INDEX TO UNAUDITED CONDENSED CONSOLIDATED FINANCIAL STATEMENTS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4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gridSpan w:val="2"/>
          </w:tcPr>
          <w:p>
            <w:pPr>
              <w:ind w:left="580"/>
              <w:spacing w:after="0"/>
              <w:rPr>
                <w:sz w:val="20"/>
                <w:szCs w:val="20"/>
                <w:color w:val="auto"/>
              </w:rPr>
            </w:pPr>
            <w:r>
              <w:rPr>
                <w:rFonts w:ascii="Arial" w:cs="Arial" w:eastAsia="Arial" w:hAnsi="Arial"/>
                <w:sz w:val="16"/>
                <w:szCs w:val="16"/>
                <w:b w:val="1"/>
                <w:bCs w:val="1"/>
                <w:color w:val="auto"/>
              </w:rPr>
              <w:t>Page</w:t>
            </w:r>
          </w:p>
        </w:tc>
      </w:tr>
      <w:tr>
        <w:trPr>
          <w:trHeight w:val="181"/>
        </w:trPr>
        <w:tc>
          <w:tcPr>
            <w:tcW w:w="10220" w:type="dxa"/>
            <w:vAlign w:val="bottom"/>
            <w:gridSpan w:val="6"/>
          </w:tcPr>
          <w:p>
            <w:pPr>
              <w:spacing w:after="0" w:line="181" w:lineRule="exact"/>
              <w:rPr>
                <w:rFonts w:ascii="Arial" w:cs="Arial" w:eastAsia="Arial" w:hAnsi="Arial"/>
                <w:sz w:val="16"/>
                <w:szCs w:val="16"/>
                <w:color w:val="0000EE"/>
              </w:rPr>
            </w:pPr>
            <w:hyperlink w:anchor="page21">
              <w:r>
                <w:rPr>
                  <w:rFonts w:ascii="Arial" w:cs="Arial" w:eastAsia="Arial" w:hAnsi="Arial"/>
                  <w:sz w:val="16"/>
                  <w:szCs w:val="16"/>
                  <w:color w:val="0000EE"/>
                </w:rPr>
                <w:t>Unaudited condensed consolidated statements of financial position as of December 31, 2020 and March 31, 2021</w:t>
              </w:r>
            </w:hyperlink>
          </w:p>
        </w:tc>
        <w:tc>
          <w:tcPr>
            <w:tcW w:w="800" w:type="dxa"/>
            <w:vAlign w:val="bottom"/>
          </w:tcPr>
          <w:p>
            <w:pPr>
              <w:spacing w:after="0"/>
              <w:rPr>
                <w:sz w:val="15"/>
                <w:szCs w:val="15"/>
                <w:color w:val="auto"/>
              </w:rPr>
            </w:pPr>
          </w:p>
        </w:tc>
        <w:tc>
          <w:tcPr>
            <w:tcW w:w="220" w:type="dxa"/>
            <w:vAlign w:val="bottom"/>
          </w:tcPr>
          <w:p>
            <w:pPr>
              <w:spacing w:after="0" w:line="181" w:lineRule="exact"/>
              <w:rPr>
                <w:rFonts w:ascii="Arial" w:cs="Arial" w:eastAsia="Arial" w:hAnsi="Arial"/>
                <w:sz w:val="16"/>
                <w:szCs w:val="16"/>
                <w:color w:val="0000EE"/>
                <w:w w:val="83"/>
              </w:rPr>
            </w:pPr>
            <w:hyperlink w:anchor="page21">
              <w:r>
                <w:rPr>
                  <w:rFonts w:ascii="Arial" w:cs="Arial" w:eastAsia="Arial" w:hAnsi="Arial"/>
                  <w:sz w:val="16"/>
                  <w:szCs w:val="16"/>
                  <w:color w:val="0000EE"/>
                  <w:w w:val="83"/>
                </w:rPr>
                <w:t>F-2</w:t>
              </w:r>
            </w:hyperlink>
          </w:p>
        </w:tc>
      </w:tr>
      <w:tr>
        <w:trPr>
          <w:trHeight w:val="20"/>
        </w:trPr>
        <w:tc>
          <w:tcPr>
            <w:tcW w:w="438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183"/>
        </w:trPr>
        <w:tc>
          <w:tcPr>
            <w:tcW w:w="10220" w:type="dxa"/>
            <w:vAlign w:val="bottom"/>
            <w:gridSpan w:val="6"/>
          </w:tcPr>
          <w:p>
            <w:pPr>
              <w:spacing w:after="0" w:line="183" w:lineRule="exact"/>
              <w:rPr>
                <w:rFonts w:ascii="Arial" w:cs="Arial" w:eastAsia="Arial" w:hAnsi="Arial"/>
                <w:sz w:val="16"/>
                <w:szCs w:val="16"/>
                <w:color w:val="0000EE"/>
                <w:w w:val="96"/>
              </w:rPr>
            </w:pPr>
            <w:hyperlink w:anchor="page22">
              <w:r>
                <w:rPr>
                  <w:rFonts w:ascii="Arial" w:cs="Arial" w:eastAsia="Arial" w:hAnsi="Arial"/>
                  <w:sz w:val="16"/>
                  <w:szCs w:val="16"/>
                  <w:color w:val="0000EE"/>
                  <w:w w:val="96"/>
                </w:rPr>
                <w:t>Unaudited condensed consolidated statements of profit or loss and total comprehensive income for the three months ended March 31, 2020 and 2021</w:t>
              </w:r>
            </w:hyperlink>
          </w:p>
        </w:tc>
        <w:tc>
          <w:tcPr>
            <w:tcW w:w="800" w:type="dxa"/>
            <w:vAlign w:val="bottom"/>
          </w:tcPr>
          <w:p>
            <w:pPr>
              <w:spacing w:after="0"/>
              <w:rPr>
                <w:sz w:val="15"/>
                <w:szCs w:val="15"/>
                <w:color w:val="auto"/>
              </w:rPr>
            </w:pPr>
          </w:p>
        </w:tc>
        <w:tc>
          <w:tcPr>
            <w:tcW w:w="220" w:type="dxa"/>
            <w:vAlign w:val="bottom"/>
          </w:tcPr>
          <w:p>
            <w:pPr>
              <w:spacing w:after="0" w:line="183" w:lineRule="exact"/>
              <w:rPr>
                <w:rFonts w:ascii="Arial" w:cs="Arial" w:eastAsia="Arial" w:hAnsi="Arial"/>
                <w:sz w:val="16"/>
                <w:szCs w:val="16"/>
                <w:color w:val="0000EE"/>
                <w:w w:val="83"/>
              </w:rPr>
            </w:pPr>
            <w:hyperlink w:anchor="page22">
              <w:r>
                <w:rPr>
                  <w:rFonts w:ascii="Arial" w:cs="Arial" w:eastAsia="Arial" w:hAnsi="Arial"/>
                  <w:sz w:val="16"/>
                  <w:szCs w:val="16"/>
                  <w:color w:val="0000EE"/>
                  <w:w w:val="83"/>
                </w:rPr>
                <w:t>F-3</w:t>
              </w:r>
            </w:hyperlink>
          </w:p>
        </w:tc>
      </w:tr>
      <w:tr>
        <w:trPr>
          <w:trHeight w:val="183"/>
        </w:trPr>
        <w:tc>
          <w:tcPr>
            <w:tcW w:w="9660" w:type="dxa"/>
            <w:vAlign w:val="bottom"/>
            <w:tcBorders>
              <w:top w:val="single" w:sz="8" w:color="0000EE"/>
            </w:tcBorders>
            <w:gridSpan w:val="5"/>
          </w:tcPr>
          <w:p>
            <w:pPr>
              <w:spacing w:after="0" w:line="183" w:lineRule="exact"/>
              <w:rPr>
                <w:rFonts w:ascii="Arial" w:cs="Arial" w:eastAsia="Arial" w:hAnsi="Arial"/>
                <w:sz w:val="16"/>
                <w:szCs w:val="16"/>
                <w:color w:val="0000EE"/>
              </w:rPr>
            </w:pPr>
            <w:hyperlink w:anchor="page23">
              <w:r>
                <w:rPr>
                  <w:rFonts w:ascii="Arial" w:cs="Arial" w:eastAsia="Arial" w:hAnsi="Arial"/>
                  <w:sz w:val="16"/>
                  <w:szCs w:val="16"/>
                  <w:color w:val="0000EE"/>
                </w:rPr>
                <w:t>Unaudited condensed consolidated statements of changes in partners’ equity for the three months ended March 31, 2020 and 2021</w:t>
              </w:r>
            </w:hyperlink>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Borders>
              <w:top w:val="single" w:sz="8" w:color="0000EE"/>
            </w:tcBorders>
          </w:tcPr>
          <w:p>
            <w:pPr>
              <w:spacing w:after="0" w:line="183" w:lineRule="exact"/>
              <w:rPr>
                <w:rFonts w:ascii="Arial" w:cs="Arial" w:eastAsia="Arial" w:hAnsi="Arial"/>
                <w:sz w:val="16"/>
                <w:szCs w:val="16"/>
                <w:color w:val="0000EE"/>
                <w:w w:val="83"/>
              </w:rPr>
            </w:pPr>
            <w:hyperlink w:anchor="page23">
              <w:r>
                <w:rPr>
                  <w:rFonts w:ascii="Arial" w:cs="Arial" w:eastAsia="Arial" w:hAnsi="Arial"/>
                  <w:sz w:val="16"/>
                  <w:szCs w:val="16"/>
                  <w:color w:val="0000EE"/>
                  <w:w w:val="83"/>
                </w:rPr>
                <w:t>F-4</w:t>
              </w:r>
            </w:hyperlink>
          </w:p>
        </w:tc>
      </w:tr>
      <w:tr>
        <w:trPr>
          <w:trHeight w:val="183"/>
        </w:trPr>
        <w:tc>
          <w:tcPr>
            <w:tcW w:w="8440" w:type="dxa"/>
            <w:vAlign w:val="bottom"/>
            <w:tcBorders>
              <w:top w:val="single" w:sz="8" w:color="0000EE"/>
            </w:tcBorders>
            <w:gridSpan w:val="4"/>
          </w:tcPr>
          <w:p>
            <w:pPr>
              <w:spacing w:after="0" w:line="183" w:lineRule="exact"/>
              <w:rPr>
                <w:rFonts w:ascii="Arial" w:cs="Arial" w:eastAsia="Arial" w:hAnsi="Arial"/>
                <w:sz w:val="16"/>
                <w:szCs w:val="16"/>
                <w:color w:val="0000EE"/>
              </w:rPr>
            </w:pPr>
            <w:hyperlink w:anchor="page24">
              <w:r>
                <w:rPr>
                  <w:rFonts w:ascii="Arial" w:cs="Arial" w:eastAsia="Arial" w:hAnsi="Arial"/>
                  <w:sz w:val="16"/>
                  <w:szCs w:val="16"/>
                  <w:color w:val="0000EE"/>
                </w:rPr>
                <w:t>Unaudited condensed consolidated statements of cash flows for the three months ended March 31, 2020 and 2021</w:t>
              </w:r>
            </w:hyperlink>
          </w:p>
        </w:tc>
        <w:tc>
          <w:tcPr>
            <w:tcW w:w="178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Borders>
              <w:top w:val="single" w:sz="8" w:color="0000EE"/>
            </w:tcBorders>
          </w:tcPr>
          <w:p>
            <w:pPr>
              <w:spacing w:after="0" w:line="183" w:lineRule="exact"/>
              <w:rPr>
                <w:rFonts w:ascii="Arial" w:cs="Arial" w:eastAsia="Arial" w:hAnsi="Arial"/>
                <w:sz w:val="16"/>
                <w:szCs w:val="16"/>
                <w:color w:val="0000EE"/>
                <w:w w:val="83"/>
              </w:rPr>
            </w:pPr>
            <w:hyperlink w:anchor="page24">
              <w:r>
                <w:rPr>
                  <w:rFonts w:ascii="Arial" w:cs="Arial" w:eastAsia="Arial" w:hAnsi="Arial"/>
                  <w:sz w:val="16"/>
                  <w:szCs w:val="16"/>
                  <w:color w:val="0000EE"/>
                  <w:w w:val="83"/>
                </w:rPr>
                <w:t>F-5</w:t>
              </w:r>
            </w:hyperlink>
          </w:p>
        </w:tc>
      </w:tr>
      <w:tr>
        <w:trPr>
          <w:trHeight w:val="183"/>
        </w:trPr>
        <w:tc>
          <w:tcPr>
            <w:tcW w:w="7380" w:type="dxa"/>
            <w:vAlign w:val="bottom"/>
            <w:tcBorders>
              <w:top w:val="single" w:sz="8" w:color="0000EE"/>
            </w:tcBorders>
            <w:gridSpan w:val="3"/>
          </w:tcPr>
          <w:p>
            <w:pPr>
              <w:spacing w:after="0" w:line="183" w:lineRule="exact"/>
              <w:rPr>
                <w:rFonts w:ascii="Arial" w:cs="Arial" w:eastAsia="Arial" w:hAnsi="Arial"/>
                <w:sz w:val="16"/>
                <w:szCs w:val="16"/>
                <w:color w:val="0000EE"/>
              </w:rPr>
            </w:pPr>
            <w:hyperlink w:anchor="page25">
              <w:r>
                <w:rPr>
                  <w:rFonts w:ascii="Arial" w:cs="Arial" w:eastAsia="Arial" w:hAnsi="Arial"/>
                  <w:sz w:val="16"/>
                  <w:szCs w:val="16"/>
                  <w:color w:val="0000EE"/>
                </w:rPr>
                <w:t>Notes to the unaudited condensed consolidated financial statements</w:t>
              </w:r>
            </w:hyperlink>
          </w:p>
        </w:tc>
        <w:tc>
          <w:tcPr>
            <w:tcW w:w="284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Borders>
              <w:top w:val="single" w:sz="8" w:color="0000EE"/>
            </w:tcBorders>
          </w:tcPr>
          <w:p>
            <w:pPr>
              <w:spacing w:after="0" w:line="183" w:lineRule="exact"/>
              <w:rPr>
                <w:rFonts w:ascii="Arial" w:cs="Arial" w:eastAsia="Arial" w:hAnsi="Arial"/>
                <w:sz w:val="16"/>
                <w:szCs w:val="16"/>
                <w:color w:val="0000EE"/>
                <w:w w:val="83"/>
              </w:rPr>
            </w:pPr>
            <w:hyperlink w:anchor="page25">
              <w:r>
                <w:rPr>
                  <w:rFonts w:ascii="Arial" w:cs="Arial" w:eastAsia="Arial" w:hAnsi="Arial"/>
                  <w:sz w:val="16"/>
                  <w:szCs w:val="16"/>
                  <w:color w:val="0000EE"/>
                  <w:w w:val="83"/>
                </w:rPr>
                <w:t>F-6</w:t>
              </w:r>
            </w:hyperlink>
          </w:p>
        </w:tc>
      </w:tr>
      <w:tr>
        <w:trPr>
          <w:trHeight w:val="20"/>
        </w:trPr>
        <w:tc>
          <w:tcPr>
            <w:tcW w:w="4380" w:type="dxa"/>
            <w:vAlign w:val="bottom"/>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20"/>
                <w:szCs w:val="20"/>
                <w:color w:val="auto"/>
              </w:rPr>
            </w:pPr>
            <w:r>
              <w:rPr>
                <w:rFonts w:ascii="Arial" w:cs="Arial" w:eastAsia="Arial" w:hAnsi="Arial"/>
                <w:sz w:val="16"/>
                <w:szCs w:val="16"/>
                <w:b w:val="1"/>
                <w:bCs w:val="1"/>
                <w:color w:val="auto"/>
              </w:rPr>
              <w:t>GasLog Partners LP</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664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640" w:type="dxa"/>
            <w:vAlign w:val="bottom"/>
          </w:tcPr>
          <w:p>
            <w:pPr>
              <w:spacing w:after="0"/>
              <w:rPr>
                <w:sz w:val="20"/>
                <w:szCs w:val="20"/>
                <w:color w:val="auto"/>
              </w:rPr>
            </w:pPr>
            <w:r>
              <w:rPr>
                <w:rFonts w:ascii="Arial" w:cs="Arial" w:eastAsia="Arial" w:hAnsi="Arial"/>
                <w:sz w:val="16"/>
                <w:szCs w:val="16"/>
                <w:b w:val="1"/>
                <w:bCs w:val="1"/>
                <w:color w:val="auto"/>
              </w:rPr>
              <w:t>As of December 31, 2020 and March 31, 2021</w:t>
            </w: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6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December 31,</w:t>
            </w:r>
          </w:p>
        </w:tc>
        <w:tc>
          <w:tcPr>
            <w:tcW w:w="1560" w:type="dxa"/>
            <w:vAlign w:val="bottom"/>
            <w:gridSpan w:val="2"/>
          </w:tcPr>
          <w:p>
            <w:pPr>
              <w:ind w:left="380"/>
              <w:spacing w:after="0"/>
              <w:rPr>
                <w:sz w:val="20"/>
                <w:szCs w:val="20"/>
                <w:color w:val="auto"/>
              </w:rPr>
            </w:pPr>
            <w:r>
              <w:rPr>
                <w:rFonts w:ascii="Arial" w:cs="Arial" w:eastAsia="Arial" w:hAnsi="Arial"/>
                <w:sz w:val="16"/>
                <w:szCs w:val="16"/>
                <w:b w:val="1"/>
                <w:bCs w:val="1"/>
                <w:color w:val="auto"/>
              </w:rPr>
              <w:t>March 31,</w:t>
            </w:r>
          </w:p>
        </w:tc>
      </w:tr>
      <w:tr>
        <w:trPr>
          <w:trHeight w:val="213"/>
        </w:trPr>
        <w:tc>
          <w:tcPr>
            <w:tcW w:w="6640" w:type="dxa"/>
            <w:vAlign w:val="bottom"/>
          </w:tcPr>
          <w:p>
            <w:pPr>
              <w:spacing w:after="0"/>
              <w:rPr>
                <w:sz w:val="18"/>
                <w:szCs w:val="18"/>
                <w:color w:val="auto"/>
              </w:rPr>
            </w:pPr>
          </w:p>
        </w:tc>
        <w:tc>
          <w:tcPr>
            <w:tcW w:w="1260" w:type="dxa"/>
            <w:vAlign w:val="bottom"/>
            <w:gridSpan w:val="2"/>
          </w:tcPr>
          <w:p>
            <w:pPr>
              <w:ind w:left="300"/>
              <w:spacing w:after="0"/>
              <w:rPr>
                <w:sz w:val="20"/>
                <w:szCs w:val="20"/>
                <w:color w:val="auto"/>
              </w:rPr>
            </w:pPr>
            <w:r>
              <w:rPr>
                <w:rFonts w:ascii="Arial" w:cs="Arial" w:eastAsia="Arial" w:hAnsi="Arial"/>
                <w:sz w:val="16"/>
                <w:szCs w:val="16"/>
                <w:b w:val="1"/>
                <w:bCs w:val="1"/>
                <w:color w:val="auto"/>
              </w:rPr>
              <w:t>Note</w:t>
            </w:r>
          </w:p>
        </w:tc>
        <w:tc>
          <w:tcPr>
            <w:tcW w:w="14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320" w:type="dxa"/>
            <w:vAlign w:val="bottom"/>
          </w:tcPr>
          <w:p>
            <w:pPr>
              <w:spacing w:after="0"/>
              <w:rPr>
                <w:sz w:val="18"/>
                <w:szCs w:val="18"/>
                <w:color w:val="auto"/>
              </w:rPr>
            </w:pPr>
          </w:p>
        </w:tc>
        <w:tc>
          <w:tcPr>
            <w:tcW w:w="14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r>
      <w:tr>
        <w:trPr>
          <w:trHeight w:val="213"/>
        </w:trPr>
        <w:tc>
          <w:tcPr>
            <w:tcW w:w="66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920" w:type="dxa"/>
            <w:vAlign w:val="bottom"/>
            <w:tcBorders>
              <w:top w:val="single" w:sz="8" w:color="auto"/>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tcBorders>
            <w:shd w:val="clear" w:color="auto" w:fill="E5FFFF"/>
          </w:tcPr>
          <w:p>
            <w:pPr>
              <w:spacing w:after="0"/>
              <w:rPr>
                <w:sz w:val="18"/>
                <w:szCs w:val="18"/>
                <w:color w:val="auto"/>
              </w:rPr>
            </w:pPr>
          </w:p>
        </w:tc>
        <w:tc>
          <w:tcPr>
            <w:tcW w:w="32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64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assets</w:t>
            </w:r>
          </w:p>
        </w:tc>
        <w:tc>
          <w:tcPr>
            <w:tcW w:w="92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186</w:t>
            </w:r>
          </w:p>
        </w:tc>
        <w:tc>
          <w:tcPr>
            <w:tcW w:w="320" w:type="dxa"/>
            <w:vAlign w:val="bottom"/>
            <w:shd w:val="clear" w:color="auto" w:fill="E5FFFF"/>
          </w:tcPr>
          <w:p>
            <w:pPr>
              <w:spacing w:after="0"/>
              <w:rPr>
                <w:sz w:val="19"/>
                <w:szCs w:val="19"/>
                <w:color w:val="auto"/>
              </w:rPr>
            </w:pPr>
          </w:p>
        </w:tc>
        <w:tc>
          <w:tcPr>
            <w:tcW w:w="15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273</w:t>
            </w: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Tangible fixed assets</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3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2,206,618</w:t>
            </w:r>
          </w:p>
        </w:tc>
        <w:tc>
          <w:tcPr>
            <w:tcW w:w="32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2,188,109</w:t>
            </w:r>
          </w:p>
        </w:tc>
      </w:tr>
      <w:tr>
        <w:trPr>
          <w:trHeight w:val="230"/>
        </w:trPr>
        <w:tc>
          <w:tcPr>
            <w:tcW w:w="6640" w:type="dxa"/>
            <w:vAlign w:val="bottom"/>
            <w:shd w:val="clear" w:color="auto" w:fill="E5FFFF"/>
          </w:tcPr>
          <w:p>
            <w:pPr>
              <w:spacing w:after="0"/>
              <w:rPr>
                <w:sz w:val="20"/>
                <w:szCs w:val="20"/>
                <w:color w:val="auto"/>
              </w:rPr>
            </w:pPr>
            <w:r>
              <w:rPr>
                <w:rFonts w:ascii="Arial" w:cs="Arial" w:eastAsia="Arial" w:hAnsi="Arial"/>
                <w:sz w:val="16"/>
                <w:szCs w:val="16"/>
                <w:color w:val="auto"/>
              </w:rPr>
              <w:t>Right-of-use assets</w:t>
            </w:r>
          </w:p>
        </w:tc>
        <w:tc>
          <w:tcPr>
            <w:tcW w:w="92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516</w:t>
            </w:r>
          </w:p>
        </w:tc>
        <w:tc>
          <w:tcPr>
            <w:tcW w:w="320" w:type="dxa"/>
            <w:vAlign w:val="bottom"/>
            <w:shd w:val="clear" w:color="auto" w:fill="E5FFFF"/>
          </w:tcPr>
          <w:p>
            <w:pPr>
              <w:spacing w:after="0"/>
              <w:rPr>
                <w:sz w:val="19"/>
                <w:szCs w:val="19"/>
                <w:color w:val="auto"/>
              </w:rPr>
            </w:pPr>
          </w:p>
        </w:tc>
        <w:tc>
          <w:tcPr>
            <w:tcW w:w="15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380</w:t>
            </w:r>
          </w:p>
        </w:tc>
      </w:tr>
      <w:tr>
        <w:trPr>
          <w:trHeight w:val="207"/>
        </w:trPr>
        <w:tc>
          <w:tcPr>
            <w:tcW w:w="66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non-current assets</w:t>
            </w:r>
          </w:p>
        </w:tc>
        <w:tc>
          <w:tcPr>
            <w:tcW w:w="920" w:type="dxa"/>
            <w:vAlign w:val="bottom"/>
            <w:tcBorders>
              <w:bottom w:val="single" w:sz="8" w:color="E5FFFF"/>
            </w:tcBorders>
          </w:tcPr>
          <w:p>
            <w:pPr>
              <w:spacing w:after="0"/>
              <w:rPr>
                <w:sz w:val="17"/>
                <w:szCs w:val="17"/>
                <w:color w:val="auto"/>
              </w:rPr>
            </w:pPr>
          </w:p>
        </w:tc>
        <w:tc>
          <w:tcPr>
            <w:tcW w:w="34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2,207,320</w:t>
            </w:r>
          </w:p>
        </w:tc>
        <w:tc>
          <w:tcPr>
            <w:tcW w:w="32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2,188,762</w:t>
            </w:r>
          </w:p>
        </w:tc>
        <w:tc>
          <w:tcPr>
            <w:tcW w:w="100" w:type="dxa"/>
            <w:vAlign w:val="bottom"/>
            <w:tcBorders>
              <w:bottom w:val="single" w:sz="8" w:color="E5FFFF"/>
            </w:tcBorders>
          </w:tcPr>
          <w:p>
            <w:pPr>
              <w:spacing w:after="0"/>
              <w:rPr>
                <w:sz w:val="17"/>
                <w:szCs w:val="17"/>
                <w:color w:val="auto"/>
              </w:rPr>
            </w:pPr>
          </w:p>
        </w:tc>
      </w:tr>
      <w:tr>
        <w:trPr>
          <w:trHeight w:val="212"/>
        </w:trPr>
        <w:tc>
          <w:tcPr>
            <w:tcW w:w="66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Current assets</w:t>
            </w:r>
          </w:p>
        </w:tc>
        <w:tc>
          <w:tcPr>
            <w:tcW w:w="9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4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4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Trade and other receivables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16,265</w:t>
            </w:r>
          </w:p>
        </w:tc>
        <w:tc>
          <w:tcPr>
            <w:tcW w:w="3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15,837</w:t>
            </w:r>
          </w:p>
        </w:tc>
      </w:tr>
      <w:tr>
        <w:trPr>
          <w:trHeight w:val="205"/>
        </w:trPr>
        <w:tc>
          <w:tcPr>
            <w:tcW w:w="6640" w:type="dxa"/>
            <w:vAlign w:val="bottom"/>
            <w:shd w:val="clear" w:color="auto" w:fill="E5FFFF"/>
          </w:tcPr>
          <w:p>
            <w:pPr>
              <w:spacing w:after="0"/>
              <w:rPr>
                <w:sz w:val="20"/>
                <w:szCs w:val="20"/>
                <w:color w:val="auto"/>
              </w:rPr>
            </w:pPr>
            <w:r>
              <w:rPr>
                <w:rFonts w:ascii="Arial" w:cs="Arial" w:eastAsia="Arial" w:hAnsi="Arial"/>
                <w:sz w:val="16"/>
                <w:szCs w:val="16"/>
                <w:color w:val="auto"/>
              </w:rPr>
              <w:t>Due from related parties</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3</w:t>
            </w:r>
          </w:p>
        </w:tc>
        <w:tc>
          <w:tcPr>
            <w:tcW w:w="34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32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571</w:t>
            </w: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Inventories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3,036</w:t>
            </w:r>
          </w:p>
        </w:tc>
        <w:tc>
          <w:tcPr>
            <w:tcW w:w="3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4,246</w:t>
            </w:r>
          </w:p>
        </w:tc>
      </w:tr>
      <w:tr>
        <w:trPr>
          <w:trHeight w:val="219"/>
        </w:trPr>
        <w:tc>
          <w:tcPr>
            <w:tcW w:w="6640" w:type="dxa"/>
            <w:vAlign w:val="bottom"/>
            <w:shd w:val="clear" w:color="auto" w:fill="E5FFFF"/>
          </w:tcPr>
          <w:p>
            <w:pPr>
              <w:spacing w:after="0"/>
              <w:rPr>
                <w:sz w:val="20"/>
                <w:szCs w:val="20"/>
                <w:color w:val="auto"/>
              </w:rPr>
            </w:pPr>
            <w:r>
              <w:rPr>
                <w:rFonts w:ascii="Arial" w:cs="Arial" w:eastAsia="Arial" w:hAnsi="Arial"/>
                <w:sz w:val="16"/>
                <w:szCs w:val="16"/>
                <w:color w:val="auto"/>
              </w:rPr>
              <w:t>Prepayments and other current assets</w:t>
            </w:r>
          </w:p>
        </w:tc>
        <w:tc>
          <w:tcPr>
            <w:tcW w:w="92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2,691</w:t>
            </w:r>
          </w:p>
        </w:tc>
        <w:tc>
          <w:tcPr>
            <w:tcW w:w="320" w:type="dxa"/>
            <w:vAlign w:val="bottom"/>
            <w:shd w:val="clear" w:color="auto" w:fill="E5FFFF"/>
          </w:tcPr>
          <w:p>
            <w:pPr>
              <w:spacing w:after="0"/>
              <w:rPr>
                <w:sz w:val="19"/>
                <w:szCs w:val="19"/>
                <w:color w:val="auto"/>
              </w:rPr>
            </w:pPr>
          </w:p>
        </w:tc>
        <w:tc>
          <w:tcPr>
            <w:tcW w:w="15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2,429</w:t>
            </w:r>
          </w:p>
        </w:tc>
      </w:tr>
      <w:tr>
        <w:trPr>
          <w:trHeight w:val="226"/>
        </w:trPr>
        <w:tc>
          <w:tcPr>
            <w:tcW w:w="66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103,736</w:t>
            </w:r>
          </w:p>
        </w:tc>
        <w:tc>
          <w:tcPr>
            <w:tcW w:w="3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95,094</w:t>
            </w:r>
          </w:p>
        </w:tc>
      </w:tr>
      <w:tr>
        <w:trPr>
          <w:trHeight w:val="213"/>
        </w:trPr>
        <w:tc>
          <w:tcPr>
            <w:tcW w:w="66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current assets</w:t>
            </w:r>
          </w:p>
        </w:tc>
        <w:tc>
          <w:tcPr>
            <w:tcW w:w="92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125,728</w:t>
            </w:r>
          </w:p>
        </w:tc>
        <w:tc>
          <w:tcPr>
            <w:tcW w:w="32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118,177</w:t>
            </w:r>
          </w:p>
        </w:tc>
        <w:tc>
          <w:tcPr>
            <w:tcW w:w="100" w:type="dxa"/>
            <w:vAlign w:val="bottom"/>
            <w:tcBorders>
              <w:top w:val="single" w:sz="8" w:color="E5FFFF"/>
            </w:tcBorders>
            <w:shd w:val="clear" w:color="auto" w:fill="E5FFFF"/>
          </w:tcPr>
          <w:p>
            <w:pPr>
              <w:spacing w:after="0"/>
              <w:rPr>
                <w:sz w:val="18"/>
                <w:szCs w:val="18"/>
                <w:color w:val="auto"/>
              </w:rPr>
            </w:pPr>
          </w:p>
        </w:tc>
      </w:tr>
      <w:tr>
        <w:trPr>
          <w:trHeight w:val="260"/>
        </w:trPr>
        <w:tc>
          <w:tcPr>
            <w:tcW w:w="664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2,333,048</w:t>
            </w:r>
          </w:p>
        </w:tc>
        <w:tc>
          <w:tcPr>
            <w:tcW w:w="320" w:type="dxa"/>
            <w:vAlign w:val="bottom"/>
          </w:tcPr>
          <w:p>
            <w:pPr>
              <w:spacing w:after="0"/>
              <w:rPr>
                <w:sz w:val="22"/>
                <w:szCs w:val="22"/>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2,306,939</w:t>
            </w:r>
          </w:p>
        </w:tc>
      </w:tr>
      <w:tr>
        <w:trPr>
          <w:trHeight w:val="200"/>
        </w:trPr>
        <w:tc>
          <w:tcPr>
            <w:tcW w:w="66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Partners’ equity and liabilities</w:t>
            </w:r>
          </w:p>
        </w:tc>
        <w:tc>
          <w:tcPr>
            <w:tcW w:w="92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spacing w:after="0"/>
              <w:rPr>
                <w:sz w:val="17"/>
                <w:szCs w:val="17"/>
                <w:color w:val="auto"/>
              </w:rPr>
            </w:pPr>
          </w:p>
        </w:tc>
        <w:tc>
          <w:tcPr>
            <w:tcW w:w="32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b w:val="1"/>
                <w:bCs w:val="1"/>
                <w:color w:val="auto"/>
              </w:rPr>
              <w:t>Partners’ equity</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6640" w:type="dxa"/>
            <w:vAlign w:val="bottom"/>
            <w:shd w:val="clear" w:color="auto" w:fill="E5FFFF"/>
          </w:tcPr>
          <w:p>
            <w:pPr>
              <w:spacing w:after="0"/>
              <w:rPr>
                <w:sz w:val="20"/>
                <w:szCs w:val="20"/>
                <w:color w:val="auto"/>
              </w:rPr>
            </w:pPr>
            <w:r>
              <w:rPr>
                <w:rFonts w:ascii="Arial" w:cs="Arial" w:eastAsia="Arial" w:hAnsi="Arial"/>
                <w:sz w:val="16"/>
                <w:szCs w:val="16"/>
                <w:color w:val="auto"/>
              </w:rPr>
              <w:t>Common unitholders (47,517,824 units issued and outstanding as of December 31, 2020 and</w:t>
            </w:r>
          </w:p>
        </w:tc>
        <w:tc>
          <w:tcPr>
            <w:tcW w:w="9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4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4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12"/>
        </w:trPr>
        <w:tc>
          <w:tcPr>
            <w:tcW w:w="6640" w:type="dxa"/>
            <w:vAlign w:val="bottom"/>
            <w:shd w:val="clear" w:color="auto" w:fill="E5FFFF"/>
          </w:tcPr>
          <w:p>
            <w:pPr>
              <w:ind w:left="160"/>
              <w:spacing w:after="0"/>
              <w:rPr>
                <w:sz w:val="20"/>
                <w:szCs w:val="20"/>
                <w:color w:val="auto"/>
              </w:rPr>
            </w:pPr>
            <w:r>
              <w:rPr>
                <w:rFonts w:ascii="Arial" w:cs="Arial" w:eastAsia="Arial" w:hAnsi="Arial"/>
                <w:sz w:val="16"/>
                <w:szCs w:val="16"/>
                <w:color w:val="auto"/>
              </w:rPr>
              <w:t>March 31, 2021)</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5</w:t>
            </w:r>
          </w:p>
        </w:tc>
        <w:tc>
          <w:tcPr>
            <w:tcW w:w="340" w:type="dxa"/>
            <w:vAlign w:val="bottom"/>
            <w:shd w:val="clear" w:color="auto" w:fill="E5FFFF"/>
          </w:tcPr>
          <w:p>
            <w:pPr>
              <w:spacing w:after="0"/>
              <w:rPr>
                <w:sz w:val="18"/>
                <w:szCs w:val="18"/>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594,901</w:t>
            </w:r>
          </w:p>
        </w:tc>
        <w:tc>
          <w:tcPr>
            <w:tcW w:w="32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621,690</w:t>
            </w:r>
          </w:p>
        </w:tc>
      </w:tr>
      <w:tr>
        <w:trPr>
          <w:trHeight w:val="193"/>
        </w:trPr>
        <w:tc>
          <w:tcPr>
            <w:tcW w:w="6640" w:type="dxa"/>
            <w:vAlign w:val="bottom"/>
          </w:tcPr>
          <w:p>
            <w:pPr>
              <w:spacing w:after="0"/>
              <w:rPr>
                <w:sz w:val="20"/>
                <w:szCs w:val="20"/>
                <w:color w:val="auto"/>
              </w:rPr>
            </w:pPr>
            <w:r>
              <w:rPr>
                <w:rFonts w:ascii="Arial" w:cs="Arial" w:eastAsia="Arial" w:hAnsi="Arial"/>
                <w:sz w:val="16"/>
                <w:szCs w:val="16"/>
                <w:color w:val="auto"/>
                <w:w w:val="95"/>
              </w:rPr>
              <w:t>General partner (1,021,336 units issued and outstanding as of December 31, 2020 and March 31,</w:t>
            </w: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6640" w:type="dxa"/>
            <w:vAlign w:val="bottom"/>
          </w:tcPr>
          <w:p>
            <w:pPr>
              <w:ind w:left="160"/>
              <w:spacing w:after="0"/>
              <w:rPr>
                <w:sz w:val="20"/>
                <w:szCs w:val="20"/>
                <w:color w:val="auto"/>
              </w:rPr>
            </w:pPr>
            <w:r>
              <w:rPr>
                <w:rFonts w:ascii="Arial" w:cs="Arial" w:eastAsia="Arial" w:hAnsi="Arial"/>
                <w:sz w:val="16"/>
                <w:szCs w:val="16"/>
                <w:color w:val="auto"/>
              </w:rPr>
              <w:t>2021)</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3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6"/>
                <w:szCs w:val="16"/>
                <w:color w:val="auto"/>
              </w:rPr>
              <w:t>11,028</w:t>
            </w: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11,604</w:t>
            </w:r>
          </w:p>
        </w:tc>
      </w:tr>
      <w:tr>
        <w:trPr>
          <w:trHeight w:val="196"/>
        </w:trPr>
        <w:tc>
          <w:tcPr>
            <w:tcW w:w="6640" w:type="dxa"/>
            <w:vAlign w:val="bottom"/>
            <w:shd w:val="clear" w:color="auto" w:fill="E5FFFF"/>
          </w:tcPr>
          <w:p>
            <w:pPr>
              <w:spacing w:after="0"/>
              <w:rPr>
                <w:sz w:val="20"/>
                <w:szCs w:val="20"/>
                <w:color w:val="auto"/>
              </w:rPr>
            </w:pPr>
            <w:r>
              <w:rPr>
                <w:rFonts w:ascii="Arial" w:cs="Arial" w:eastAsia="Arial" w:hAnsi="Arial"/>
                <w:sz w:val="16"/>
                <w:szCs w:val="16"/>
                <w:color w:val="auto"/>
                <w:w w:val="94"/>
              </w:rPr>
              <w:t>Preference unitholders (5,750,000 Series A Preference Units, 4,600,000 Series B Preference Units</w:t>
            </w:r>
          </w:p>
        </w:tc>
        <w:tc>
          <w:tcPr>
            <w:tcW w:w="9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4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4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6640" w:type="dxa"/>
            <w:vAlign w:val="bottom"/>
            <w:shd w:val="clear" w:color="auto" w:fill="E5FFFF"/>
          </w:tcPr>
          <w:p>
            <w:pPr>
              <w:ind w:left="160"/>
              <w:spacing w:after="0"/>
              <w:rPr>
                <w:sz w:val="20"/>
                <w:szCs w:val="20"/>
                <w:color w:val="auto"/>
              </w:rPr>
            </w:pPr>
            <w:r>
              <w:rPr>
                <w:rFonts w:ascii="Arial" w:cs="Arial" w:eastAsia="Arial" w:hAnsi="Arial"/>
                <w:sz w:val="16"/>
                <w:szCs w:val="16"/>
                <w:color w:val="auto"/>
                <w:w w:val="95"/>
              </w:rPr>
              <w:t>and 4,000,000 Series C Preference Units issued and outstanding as of December 31, 2020 and</w:t>
            </w:r>
          </w:p>
        </w:tc>
        <w:tc>
          <w:tcPr>
            <w:tcW w:w="9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4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4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26"/>
        </w:trPr>
        <w:tc>
          <w:tcPr>
            <w:tcW w:w="6640" w:type="dxa"/>
            <w:vAlign w:val="bottom"/>
            <w:shd w:val="clear" w:color="auto" w:fill="E5FFFF"/>
          </w:tcPr>
          <w:p>
            <w:pPr>
              <w:ind w:left="160"/>
              <w:spacing w:after="0"/>
              <w:rPr>
                <w:sz w:val="20"/>
                <w:szCs w:val="20"/>
                <w:color w:val="auto"/>
              </w:rPr>
            </w:pPr>
            <w:r>
              <w:rPr>
                <w:rFonts w:ascii="Arial" w:cs="Arial" w:eastAsia="Arial" w:hAnsi="Arial"/>
                <w:sz w:val="16"/>
                <w:szCs w:val="16"/>
                <w:color w:val="auto"/>
              </w:rPr>
              <w:t>March 31, 2021)</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5</w:t>
            </w:r>
          </w:p>
        </w:tc>
        <w:tc>
          <w:tcPr>
            <w:tcW w:w="340" w:type="dxa"/>
            <w:vAlign w:val="bottom"/>
            <w:shd w:val="clear" w:color="auto" w:fill="E5FFFF"/>
          </w:tcPr>
          <w:p>
            <w:pPr>
              <w:spacing w:after="0"/>
              <w:rPr>
                <w:sz w:val="19"/>
                <w:szCs w:val="19"/>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347,889</w:t>
            </w:r>
          </w:p>
        </w:tc>
        <w:tc>
          <w:tcPr>
            <w:tcW w:w="320" w:type="dxa"/>
            <w:vAlign w:val="bottom"/>
            <w:shd w:val="clear" w:color="auto" w:fill="E5FFFF"/>
          </w:tcPr>
          <w:p>
            <w:pPr>
              <w:spacing w:after="0"/>
              <w:rPr>
                <w:sz w:val="19"/>
                <w:szCs w:val="19"/>
                <w:color w:val="auto"/>
              </w:rPr>
            </w:pPr>
          </w:p>
        </w:tc>
        <w:tc>
          <w:tcPr>
            <w:tcW w:w="15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347,889</w:t>
            </w:r>
          </w:p>
        </w:tc>
      </w:tr>
      <w:tr>
        <w:trPr>
          <w:trHeight w:val="207"/>
        </w:trPr>
        <w:tc>
          <w:tcPr>
            <w:tcW w:w="66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partners’ equity</w:t>
            </w:r>
          </w:p>
        </w:tc>
        <w:tc>
          <w:tcPr>
            <w:tcW w:w="920" w:type="dxa"/>
            <w:vAlign w:val="bottom"/>
            <w:tcBorders>
              <w:bottom w:val="single" w:sz="8" w:color="E5FFFF"/>
            </w:tcBorders>
          </w:tcPr>
          <w:p>
            <w:pPr>
              <w:spacing w:after="0"/>
              <w:rPr>
                <w:sz w:val="17"/>
                <w:szCs w:val="17"/>
                <w:color w:val="auto"/>
              </w:rPr>
            </w:pPr>
          </w:p>
        </w:tc>
        <w:tc>
          <w:tcPr>
            <w:tcW w:w="34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953,818</w:t>
            </w:r>
          </w:p>
        </w:tc>
        <w:tc>
          <w:tcPr>
            <w:tcW w:w="32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981,183</w:t>
            </w:r>
          </w:p>
        </w:tc>
        <w:tc>
          <w:tcPr>
            <w:tcW w:w="100" w:type="dxa"/>
            <w:vAlign w:val="bottom"/>
            <w:tcBorders>
              <w:bottom w:val="single" w:sz="8" w:color="E5FFFF"/>
            </w:tcBorders>
          </w:tcPr>
          <w:p>
            <w:pPr>
              <w:spacing w:after="0"/>
              <w:rPr>
                <w:sz w:val="17"/>
                <w:szCs w:val="17"/>
                <w:color w:val="auto"/>
              </w:rPr>
            </w:pPr>
          </w:p>
        </w:tc>
      </w:tr>
      <w:tr>
        <w:trPr>
          <w:trHeight w:val="212"/>
        </w:trPr>
        <w:tc>
          <w:tcPr>
            <w:tcW w:w="66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Current liabilities</w:t>
            </w:r>
          </w:p>
        </w:tc>
        <w:tc>
          <w:tcPr>
            <w:tcW w:w="9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4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4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Trade accounts payable</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13,578</w:t>
            </w:r>
          </w:p>
        </w:tc>
        <w:tc>
          <w:tcPr>
            <w:tcW w:w="3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11,825</w:t>
            </w:r>
          </w:p>
        </w:tc>
      </w:tr>
      <w:tr>
        <w:trPr>
          <w:trHeight w:val="205"/>
        </w:trPr>
        <w:tc>
          <w:tcPr>
            <w:tcW w:w="6640" w:type="dxa"/>
            <w:vAlign w:val="bottom"/>
            <w:shd w:val="clear" w:color="auto" w:fill="E5FFFF"/>
          </w:tcPr>
          <w:p>
            <w:pPr>
              <w:spacing w:after="0"/>
              <w:rPr>
                <w:sz w:val="20"/>
                <w:szCs w:val="20"/>
                <w:color w:val="auto"/>
              </w:rPr>
            </w:pPr>
            <w:r>
              <w:rPr>
                <w:rFonts w:ascii="Arial" w:cs="Arial" w:eastAsia="Arial" w:hAnsi="Arial"/>
                <w:sz w:val="16"/>
                <w:szCs w:val="16"/>
                <w:color w:val="auto"/>
              </w:rPr>
              <w:t>Due to related parties</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3</w:t>
            </w:r>
          </w:p>
        </w:tc>
        <w:tc>
          <w:tcPr>
            <w:tcW w:w="34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7,525</w:t>
            </w:r>
          </w:p>
        </w:tc>
        <w:tc>
          <w:tcPr>
            <w:tcW w:w="32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2,181</w:t>
            </w: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Derivative financial instruments—current portion</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3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8,185</w:t>
            </w:r>
          </w:p>
        </w:tc>
        <w:tc>
          <w:tcPr>
            <w:tcW w:w="32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8,031</w:t>
            </w:r>
          </w:p>
        </w:tc>
      </w:tr>
      <w:tr>
        <w:trPr>
          <w:trHeight w:val="203"/>
        </w:trPr>
        <w:tc>
          <w:tcPr>
            <w:tcW w:w="6640" w:type="dxa"/>
            <w:vAlign w:val="bottom"/>
            <w:shd w:val="clear" w:color="auto" w:fill="E5FFFF"/>
          </w:tcPr>
          <w:p>
            <w:pPr>
              <w:spacing w:after="0"/>
              <w:rPr>
                <w:sz w:val="20"/>
                <w:szCs w:val="20"/>
                <w:color w:val="auto"/>
              </w:rPr>
            </w:pPr>
            <w:r>
              <w:rPr>
                <w:rFonts w:ascii="Arial" w:cs="Arial" w:eastAsia="Arial" w:hAnsi="Arial"/>
                <w:sz w:val="16"/>
                <w:szCs w:val="16"/>
                <w:color w:val="auto"/>
              </w:rPr>
              <w:t>Other payables and accruals</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7</w:t>
            </w:r>
          </w:p>
        </w:tc>
        <w:tc>
          <w:tcPr>
            <w:tcW w:w="34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50,679</w:t>
            </w:r>
          </w:p>
        </w:tc>
        <w:tc>
          <w:tcPr>
            <w:tcW w:w="32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42,939</w:t>
            </w: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Borrowings—current portion</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3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104,908</w:t>
            </w:r>
          </w:p>
        </w:tc>
        <w:tc>
          <w:tcPr>
            <w:tcW w:w="32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104,987</w:t>
            </w:r>
          </w:p>
        </w:tc>
      </w:tr>
      <w:tr>
        <w:trPr>
          <w:trHeight w:val="230"/>
        </w:trPr>
        <w:tc>
          <w:tcPr>
            <w:tcW w:w="6640" w:type="dxa"/>
            <w:vAlign w:val="bottom"/>
            <w:shd w:val="clear" w:color="auto" w:fill="E5FFFF"/>
          </w:tcPr>
          <w:p>
            <w:pPr>
              <w:spacing w:after="0"/>
              <w:rPr>
                <w:sz w:val="20"/>
                <w:szCs w:val="20"/>
                <w:color w:val="auto"/>
              </w:rPr>
            </w:pPr>
            <w:r>
              <w:rPr>
                <w:rFonts w:ascii="Arial" w:cs="Arial" w:eastAsia="Arial" w:hAnsi="Arial"/>
                <w:sz w:val="16"/>
                <w:szCs w:val="16"/>
                <w:color w:val="auto"/>
              </w:rPr>
              <w:t>Lease liabilities—current portion</w:t>
            </w:r>
          </w:p>
        </w:tc>
        <w:tc>
          <w:tcPr>
            <w:tcW w:w="92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332</w:t>
            </w:r>
          </w:p>
        </w:tc>
        <w:tc>
          <w:tcPr>
            <w:tcW w:w="320" w:type="dxa"/>
            <w:vAlign w:val="bottom"/>
            <w:shd w:val="clear" w:color="auto" w:fill="E5FFFF"/>
          </w:tcPr>
          <w:p>
            <w:pPr>
              <w:spacing w:after="0"/>
              <w:rPr>
                <w:sz w:val="19"/>
                <w:szCs w:val="19"/>
                <w:color w:val="auto"/>
              </w:rPr>
            </w:pPr>
          </w:p>
        </w:tc>
        <w:tc>
          <w:tcPr>
            <w:tcW w:w="15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265</w:t>
            </w:r>
          </w:p>
        </w:tc>
      </w:tr>
      <w:tr>
        <w:trPr>
          <w:trHeight w:val="207"/>
        </w:trPr>
        <w:tc>
          <w:tcPr>
            <w:tcW w:w="66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liabilities</w:t>
            </w:r>
          </w:p>
        </w:tc>
        <w:tc>
          <w:tcPr>
            <w:tcW w:w="920" w:type="dxa"/>
            <w:vAlign w:val="bottom"/>
            <w:tcBorders>
              <w:bottom w:val="single" w:sz="8" w:color="E5FFFF"/>
            </w:tcBorders>
          </w:tcPr>
          <w:p>
            <w:pPr>
              <w:spacing w:after="0"/>
              <w:rPr>
                <w:sz w:val="17"/>
                <w:szCs w:val="17"/>
                <w:color w:val="auto"/>
              </w:rPr>
            </w:pPr>
          </w:p>
        </w:tc>
        <w:tc>
          <w:tcPr>
            <w:tcW w:w="34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185,207</w:t>
            </w:r>
          </w:p>
        </w:tc>
        <w:tc>
          <w:tcPr>
            <w:tcW w:w="32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170,228</w:t>
            </w:r>
          </w:p>
        </w:tc>
        <w:tc>
          <w:tcPr>
            <w:tcW w:w="100" w:type="dxa"/>
            <w:vAlign w:val="bottom"/>
            <w:tcBorders>
              <w:bottom w:val="single" w:sz="8" w:color="E5FFFF"/>
            </w:tcBorders>
          </w:tcPr>
          <w:p>
            <w:pPr>
              <w:spacing w:after="0"/>
              <w:rPr>
                <w:sz w:val="17"/>
                <w:szCs w:val="17"/>
                <w:color w:val="auto"/>
              </w:rPr>
            </w:pPr>
          </w:p>
        </w:tc>
      </w:tr>
      <w:tr>
        <w:trPr>
          <w:trHeight w:val="212"/>
        </w:trPr>
        <w:tc>
          <w:tcPr>
            <w:tcW w:w="66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Non-current liabilities</w:t>
            </w:r>
          </w:p>
        </w:tc>
        <w:tc>
          <w:tcPr>
            <w:tcW w:w="9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4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4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Derivative financial instruments—non-current portion</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3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12,152</w:t>
            </w:r>
          </w:p>
        </w:tc>
        <w:tc>
          <w:tcPr>
            <w:tcW w:w="32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8,699</w:t>
            </w:r>
          </w:p>
        </w:tc>
      </w:tr>
      <w:tr>
        <w:trPr>
          <w:trHeight w:val="203"/>
        </w:trPr>
        <w:tc>
          <w:tcPr>
            <w:tcW w:w="6640" w:type="dxa"/>
            <w:vAlign w:val="bottom"/>
            <w:shd w:val="clear" w:color="auto" w:fill="E5FFFF"/>
          </w:tcPr>
          <w:p>
            <w:pPr>
              <w:spacing w:after="0"/>
              <w:rPr>
                <w:sz w:val="20"/>
                <w:szCs w:val="20"/>
                <w:color w:val="auto"/>
              </w:rPr>
            </w:pPr>
            <w:r>
              <w:rPr>
                <w:rFonts w:ascii="Arial" w:cs="Arial" w:eastAsia="Arial" w:hAnsi="Arial"/>
                <w:sz w:val="16"/>
                <w:szCs w:val="16"/>
                <w:color w:val="auto"/>
              </w:rPr>
              <w:t>Borrowings—non-current portion</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6</w:t>
            </w:r>
          </w:p>
        </w:tc>
        <w:tc>
          <w:tcPr>
            <w:tcW w:w="34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1,180,635</w:t>
            </w:r>
          </w:p>
        </w:tc>
        <w:tc>
          <w:tcPr>
            <w:tcW w:w="32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1,145,763</w:t>
            </w: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Lease liabilities—non-current portion</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6"/>
                <w:szCs w:val="16"/>
                <w:color w:val="auto"/>
              </w:rPr>
              <w:t>112</w:t>
            </w: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56</w:t>
            </w:r>
          </w:p>
        </w:tc>
      </w:tr>
      <w:tr>
        <w:trPr>
          <w:trHeight w:val="232"/>
        </w:trPr>
        <w:tc>
          <w:tcPr>
            <w:tcW w:w="664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liabilities</w:t>
            </w:r>
          </w:p>
        </w:tc>
        <w:tc>
          <w:tcPr>
            <w:tcW w:w="92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1,124</w:t>
            </w:r>
          </w:p>
        </w:tc>
        <w:tc>
          <w:tcPr>
            <w:tcW w:w="320" w:type="dxa"/>
            <w:vAlign w:val="bottom"/>
            <w:shd w:val="clear" w:color="auto" w:fill="E5FFFF"/>
          </w:tcPr>
          <w:p>
            <w:pPr>
              <w:spacing w:after="0"/>
              <w:rPr>
                <w:sz w:val="20"/>
                <w:szCs w:val="20"/>
                <w:color w:val="auto"/>
              </w:rPr>
            </w:pPr>
          </w:p>
        </w:tc>
        <w:tc>
          <w:tcPr>
            <w:tcW w:w="15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1,010</w:t>
            </w:r>
          </w:p>
        </w:tc>
      </w:tr>
      <w:tr>
        <w:trPr>
          <w:trHeight w:val="207"/>
        </w:trPr>
        <w:tc>
          <w:tcPr>
            <w:tcW w:w="66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non-current liabilities</w:t>
            </w:r>
          </w:p>
        </w:tc>
        <w:tc>
          <w:tcPr>
            <w:tcW w:w="920" w:type="dxa"/>
            <w:vAlign w:val="bottom"/>
            <w:tcBorders>
              <w:bottom w:val="single" w:sz="8" w:color="E5FFFF"/>
            </w:tcBorders>
          </w:tcPr>
          <w:p>
            <w:pPr>
              <w:spacing w:after="0"/>
              <w:rPr>
                <w:sz w:val="17"/>
                <w:szCs w:val="17"/>
                <w:color w:val="auto"/>
              </w:rPr>
            </w:pPr>
          </w:p>
        </w:tc>
        <w:tc>
          <w:tcPr>
            <w:tcW w:w="34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1,194,023</w:t>
            </w:r>
          </w:p>
        </w:tc>
        <w:tc>
          <w:tcPr>
            <w:tcW w:w="32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1,155,528</w:t>
            </w:r>
          </w:p>
        </w:tc>
        <w:tc>
          <w:tcPr>
            <w:tcW w:w="100" w:type="dxa"/>
            <w:vAlign w:val="bottom"/>
            <w:tcBorders>
              <w:bottom w:val="single" w:sz="8" w:color="E5FFFF"/>
            </w:tcBorders>
          </w:tcPr>
          <w:p>
            <w:pPr>
              <w:spacing w:after="0"/>
              <w:rPr>
                <w:sz w:val="17"/>
                <w:szCs w:val="17"/>
                <w:color w:val="auto"/>
              </w:rPr>
            </w:pPr>
          </w:p>
        </w:tc>
      </w:tr>
      <w:tr>
        <w:trPr>
          <w:trHeight w:val="223"/>
        </w:trPr>
        <w:tc>
          <w:tcPr>
            <w:tcW w:w="66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Total partners’ equity and liabilities</w:t>
            </w:r>
          </w:p>
        </w:tc>
        <w:tc>
          <w:tcPr>
            <w:tcW w:w="92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2,333,048</w:t>
            </w:r>
          </w:p>
        </w:tc>
        <w:tc>
          <w:tcPr>
            <w:tcW w:w="320" w:type="dxa"/>
            <w:vAlign w:val="bottom"/>
            <w:shd w:val="clear" w:color="auto" w:fill="E5FFFF"/>
          </w:tcPr>
          <w:p>
            <w:pPr>
              <w:spacing w:after="0"/>
              <w:rPr>
                <w:sz w:val="19"/>
                <w:szCs w:val="19"/>
                <w:color w:val="auto"/>
              </w:rPr>
            </w:pPr>
          </w:p>
        </w:tc>
        <w:tc>
          <w:tcPr>
            <w:tcW w:w="15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b w:val="1"/>
                <w:bCs w:val="1"/>
                <w:color w:val="auto"/>
              </w:rPr>
              <w:t>2,306,939</w:t>
            </w:r>
          </w:p>
        </w:tc>
      </w:tr>
      <w:tr>
        <w:trPr>
          <w:trHeight w:val="20"/>
        </w:trPr>
        <w:tc>
          <w:tcPr>
            <w:tcW w:w="6640" w:type="dxa"/>
            <w:vAlign w:val="bottom"/>
            <w:tcBorders>
              <w:top w:val="single" w:sz="8" w:color="E5FFFF"/>
            </w:tcBorders>
          </w:tcPr>
          <w:p>
            <w:pPr>
              <w:spacing w:after="0" w:line="20" w:lineRule="exact"/>
              <w:rPr>
                <w:sz w:val="1"/>
                <w:szCs w:val="1"/>
                <w:color w:val="auto"/>
              </w:rPr>
            </w:pPr>
          </w:p>
        </w:tc>
        <w:tc>
          <w:tcPr>
            <w:tcW w:w="92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20"/>
                <w:szCs w:val="20"/>
                <w:color w:val="auto"/>
              </w:rPr>
            </w:pPr>
            <w:r>
              <w:rPr>
                <w:rFonts w:ascii="Arial" w:cs="Arial" w:eastAsia="Arial" w:hAnsi="Arial"/>
                <w:sz w:val="16"/>
                <w:szCs w:val="16"/>
                <w:b w:val="1"/>
                <w:bCs w:val="1"/>
                <w:color w:val="auto"/>
              </w:rPr>
              <w:t>GasLog Partners LP</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6640" w:type="dxa"/>
            <w:vAlign w:val="bottom"/>
          </w:tcPr>
          <w:p>
            <w:pPr>
              <w:spacing w:after="0"/>
              <w:rPr>
                <w:sz w:val="20"/>
                <w:szCs w:val="20"/>
                <w:color w:val="auto"/>
              </w:rPr>
            </w:pPr>
            <w:r>
              <w:rPr>
                <w:rFonts w:ascii="Arial" w:cs="Arial" w:eastAsia="Arial" w:hAnsi="Arial"/>
                <w:sz w:val="16"/>
                <w:szCs w:val="16"/>
                <w:b w:val="1"/>
                <w:bCs w:val="1"/>
                <w:color w:val="auto"/>
                <w:w w:val="90"/>
              </w:rPr>
              <w:t>Unaudited condensed consolidated statements of profit or loss and total comprehensive income</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640" w:type="dxa"/>
            <w:vAlign w:val="bottom"/>
          </w:tcPr>
          <w:p>
            <w:pPr>
              <w:spacing w:after="0"/>
              <w:rPr>
                <w:sz w:val="20"/>
                <w:szCs w:val="20"/>
                <w:color w:val="auto"/>
              </w:rPr>
            </w:pPr>
            <w:r>
              <w:rPr>
                <w:rFonts w:ascii="Arial" w:cs="Arial" w:eastAsia="Arial" w:hAnsi="Arial"/>
                <w:sz w:val="16"/>
                <w:szCs w:val="16"/>
                <w:b w:val="1"/>
                <w:bCs w:val="1"/>
                <w:color w:val="auto"/>
              </w:rPr>
              <w:t>For the three months ended March 31, 2020 and 2021</w:t>
            </w: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 except per unit data)</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2"/>
        </w:trPr>
        <w:tc>
          <w:tcPr>
            <w:tcW w:w="6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40" w:type="dxa"/>
            <w:vAlign w:val="bottom"/>
            <w:gridSpan w:val="4"/>
          </w:tcPr>
          <w:p>
            <w:pPr>
              <w:jc w:val="right"/>
              <w:ind w:right="760"/>
              <w:spacing w:after="0"/>
              <w:rPr>
                <w:sz w:val="20"/>
                <w:szCs w:val="20"/>
                <w:color w:val="auto"/>
              </w:rPr>
            </w:pPr>
            <w:r>
              <w:rPr>
                <w:rFonts w:ascii="Arial" w:cs="Arial" w:eastAsia="Arial" w:hAnsi="Arial"/>
                <w:sz w:val="16"/>
                <w:szCs w:val="16"/>
                <w:b w:val="1"/>
                <w:bCs w:val="1"/>
                <w:color w:val="auto"/>
              </w:rPr>
              <w:t>For the three months ended</w:t>
            </w:r>
          </w:p>
        </w:tc>
      </w:tr>
      <w:tr>
        <w:trPr>
          <w:trHeight w:val="219"/>
        </w:trPr>
        <w:tc>
          <w:tcPr>
            <w:tcW w:w="6640" w:type="dxa"/>
            <w:vAlign w:val="bottom"/>
          </w:tcPr>
          <w:p>
            <w:pPr>
              <w:spacing w:after="0"/>
              <w:rPr>
                <w:sz w:val="19"/>
                <w:szCs w:val="19"/>
                <w:color w:val="auto"/>
              </w:rPr>
            </w:pPr>
          </w:p>
        </w:tc>
        <w:tc>
          <w:tcPr>
            <w:tcW w:w="1260" w:type="dxa"/>
            <w:vAlign w:val="bottom"/>
            <w:gridSpan w:val="2"/>
          </w:tcPr>
          <w:p>
            <w:pPr>
              <w:ind w:left="300"/>
              <w:spacing w:after="0"/>
              <w:rPr>
                <w:sz w:val="20"/>
                <w:szCs w:val="20"/>
                <w:color w:val="auto"/>
              </w:rPr>
            </w:pPr>
            <w:r>
              <w:rPr>
                <w:rFonts w:ascii="Arial" w:cs="Arial" w:eastAsia="Arial" w:hAnsi="Arial"/>
                <w:sz w:val="16"/>
                <w:szCs w:val="16"/>
                <w:b w:val="1"/>
                <w:bCs w:val="1"/>
                <w:color w:val="auto"/>
              </w:rPr>
              <w:t>Note</w:t>
            </w:r>
          </w:p>
        </w:tc>
        <w:tc>
          <w:tcPr>
            <w:tcW w:w="17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March 31, 2020</w:t>
            </w:r>
          </w:p>
        </w:tc>
        <w:tc>
          <w:tcPr>
            <w:tcW w:w="15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March 31, 2021</w:t>
            </w:r>
          </w:p>
        </w:tc>
      </w:tr>
      <w:tr>
        <w:trPr>
          <w:trHeight w:val="199"/>
        </w:trPr>
        <w:tc>
          <w:tcPr>
            <w:tcW w:w="66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9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8</w:t>
            </w:r>
          </w:p>
        </w:tc>
        <w:tc>
          <w:tcPr>
            <w:tcW w:w="34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91,353</w:t>
            </w:r>
          </w:p>
        </w:tc>
        <w:tc>
          <w:tcPr>
            <w:tcW w:w="32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87,088</w:t>
            </w:r>
          </w:p>
        </w:tc>
        <w:tc>
          <w:tcPr>
            <w:tcW w:w="100" w:type="dxa"/>
            <w:vAlign w:val="bottom"/>
            <w:tcBorders>
              <w:top w:val="single" w:sz="8" w:color="E5FFFF"/>
            </w:tcBorders>
            <w:shd w:val="clear" w:color="auto" w:fill="E5FFFF"/>
          </w:tcPr>
          <w:p>
            <w:pPr>
              <w:spacing w:after="0"/>
              <w:rPr>
                <w:sz w:val="17"/>
                <w:szCs w:val="17"/>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6"/>
                <w:szCs w:val="16"/>
                <w:color w:val="auto"/>
              </w:rPr>
              <w:t>(3,888)</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(2,079)</w:t>
            </w:r>
          </w:p>
        </w:tc>
      </w:tr>
      <w:tr>
        <w:trPr>
          <w:trHeight w:val="206"/>
        </w:trPr>
        <w:tc>
          <w:tcPr>
            <w:tcW w:w="6640" w:type="dxa"/>
            <w:vAlign w:val="bottom"/>
            <w:shd w:val="clear" w:color="auto" w:fill="E5FFFF"/>
          </w:tcPr>
          <w:p>
            <w:pPr>
              <w:spacing w:after="0"/>
              <w:rPr>
                <w:sz w:val="20"/>
                <w:szCs w:val="20"/>
                <w:color w:val="auto"/>
              </w:rPr>
            </w:pPr>
            <w:r>
              <w:rPr>
                <w:rFonts w:ascii="Arial" w:cs="Arial" w:eastAsia="Arial" w:hAnsi="Arial"/>
                <w:sz w:val="16"/>
                <w:szCs w:val="16"/>
                <w:color w:val="auto"/>
              </w:rPr>
              <w:t>Vessel operating costs</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10</w:t>
            </w:r>
          </w:p>
        </w:tc>
        <w:tc>
          <w:tcPr>
            <w:tcW w:w="34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(19,093)</w:t>
            </w:r>
          </w:p>
        </w:tc>
        <w:tc>
          <w:tcPr>
            <w:tcW w:w="15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(17,807)</w:t>
            </w: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Depreciation</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340" w:type="dxa"/>
            <w:vAlign w:val="bottom"/>
          </w:tcPr>
          <w:p>
            <w:pPr>
              <w:spacing w:after="0"/>
              <w:rPr>
                <w:sz w:val="17"/>
                <w:szCs w:val="17"/>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6"/>
                <w:szCs w:val="16"/>
                <w:color w:val="auto"/>
              </w:rPr>
              <w:t>(20,598)</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(20,686)</w:t>
            </w:r>
          </w:p>
        </w:tc>
      </w:tr>
      <w:tr>
        <w:trPr>
          <w:trHeight w:val="203"/>
        </w:trPr>
        <w:tc>
          <w:tcPr>
            <w:tcW w:w="6640" w:type="dxa"/>
            <w:vAlign w:val="bottom"/>
            <w:shd w:val="clear" w:color="auto" w:fill="E5FFFF"/>
          </w:tcPr>
          <w:p>
            <w:pPr>
              <w:spacing w:after="0"/>
              <w:rPr>
                <w:sz w:val="20"/>
                <w:szCs w:val="20"/>
                <w:color w:val="auto"/>
              </w:rPr>
            </w:pPr>
            <w:r>
              <w:rPr>
                <w:rFonts w:ascii="Arial" w:cs="Arial" w:eastAsia="Arial" w:hAnsi="Arial"/>
                <w:sz w:val="16"/>
                <w:szCs w:val="16"/>
                <w:color w:val="auto"/>
              </w:rPr>
              <w:t>General and administrative expenses</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9</w:t>
            </w:r>
          </w:p>
        </w:tc>
        <w:tc>
          <w:tcPr>
            <w:tcW w:w="34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(4,171)</w:t>
            </w:r>
          </w:p>
        </w:tc>
        <w:tc>
          <w:tcPr>
            <w:tcW w:w="15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(3,071)</w:t>
            </w:r>
          </w:p>
        </w:tc>
      </w:tr>
      <w:tr>
        <w:trPr>
          <w:trHeight w:val="196"/>
        </w:trPr>
        <w:tc>
          <w:tcPr>
            <w:tcW w:w="66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920" w:type="dxa"/>
            <w:vAlign w:val="bottom"/>
            <w:tcBorders>
              <w:bottom w:val="single" w:sz="8" w:color="E5FFFF"/>
            </w:tcBorders>
          </w:tcPr>
          <w:p>
            <w:pPr>
              <w:spacing w:after="0"/>
              <w:rPr>
                <w:sz w:val="17"/>
                <w:szCs w:val="17"/>
                <w:color w:val="auto"/>
              </w:rPr>
            </w:pPr>
          </w:p>
        </w:tc>
        <w:tc>
          <w:tcPr>
            <w:tcW w:w="34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43,603</w:t>
            </w:r>
          </w:p>
        </w:tc>
        <w:tc>
          <w:tcPr>
            <w:tcW w:w="32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43,445</w:t>
            </w:r>
          </w:p>
        </w:tc>
        <w:tc>
          <w:tcPr>
            <w:tcW w:w="100" w:type="dxa"/>
            <w:vAlign w:val="bottom"/>
            <w:tcBorders>
              <w:bottom w:val="single" w:sz="8" w:color="E5FFFF"/>
            </w:tcBorders>
          </w:tcPr>
          <w:p>
            <w:pPr>
              <w:spacing w:after="0"/>
              <w:rPr>
                <w:sz w:val="17"/>
                <w:szCs w:val="17"/>
                <w:color w:val="auto"/>
              </w:rPr>
            </w:pPr>
          </w:p>
        </w:tc>
      </w:tr>
      <w:tr>
        <w:trPr>
          <w:trHeight w:val="196"/>
        </w:trPr>
        <w:tc>
          <w:tcPr>
            <w:tcW w:w="664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12</w:t>
            </w:r>
          </w:p>
        </w:tc>
        <w:tc>
          <w:tcPr>
            <w:tcW w:w="34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(15,513)</w:t>
            </w:r>
          </w:p>
        </w:tc>
        <w:tc>
          <w:tcPr>
            <w:tcW w:w="32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(9,416)</w:t>
            </w:r>
          </w:p>
        </w:tc>
        <w:tc>
          <w:tcPr>
            <w:tcW w:w="100" w:type="dxa"/>
            <w:vAlign w:val="bottom"/>
            <w:shd w:val="clear" w:color="auto" w:fill="E5FFFF"/>
          </w:tcPr>
          <w:p>
            <w:pPr>
              <w:spacing w:after="0"/>
              <w:rPr>
                <w:sz w:val="17"/>
                <w:szCs w:val="17"/>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Financial income</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199</w:t>
            </w:r>
          </w:p>
        </w:tc>
        <w:tc>
          <w:tcPr>
            <w:tcW w:w="3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12</w:t>
            </w:r>
          </w:p>
        </w:tc>
      </w:tr>
      <w:tr>
        <w:trPr>
          <w:trHeight w:val="206"/>
        </w:trPr>
        <w:tc>
          <w:tcPr>
            <w:tcW w:w="6640" w:type="dxa"/>
            <w:vAlign w:val="bottom"/>
            <w:shd w:val="clear" w:color="auto" w:fill="E5FFFF"/>
          </w:tcPr>
          <w:p>
            <w:pPr>
              <w:spacing w:after="0"/>
              <w:rPr>
                <w:sz w:val="20"/>
                <w:szCs w:val="20"/>
                <w:color w:val="auto"/>
              </w:rPr>
            </w:pPr>
            <w:r>
              <w:rPr>
                <w:rFonts w:ascii="Arial" w:cs="Arial" w:eastAsia="Arial" w:hAnsi="Arial"/>
                <w:sz w:val="16"/>
                <w:szCs w:val="16"/>
                <w:color w:val="auto"/>
              </w:rPr>
              <w:t>(Loss)/gain on derivatives</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12</w:t>
            </w:r>
          </w:p>
        </w:tc>
        <w:tc>
          <w:tcPr>
            <w:tcW w:w="34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(14,120)</w:t>
            </w:r>
          </w:p>
        </w:tc>
        <w:tc>
          <w:tcPr>
            <w:tcW w:w="15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1,319</w:t>
            </w:r>
          </w:p>
        </w:tc>
      </w:tr>
      <w:tr>
        <w:trPr>
          <w:trHeight w:val="196"/>
        </w:trPr>
        <w:tc>
          <w:tcPr>
            <w:tcW w:w="66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920" w:type="dxa"/>
            <w:vAlign w:val="bottom"/>
            <w:tcBorders>
              <w:bottom w:val="single" w:sz="8" w:color="E5FFFF"/>
            </w:tcBorders>
          </w:tcPr>
          <w:p>
            <w:pPr>
              <w:spacing w:after="0"/>
              <w:rPr>
                <w:sz w:val="17"/>
                <w:szCs w:val="17"/>
                <w:color w:val="auto"/>
              </w:rPr>
            </w:pPr>
          </w:p>
        </w:tc>
        <w:tc>
          <w:tcPr>
            <w:tcW w:w="34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(29,434)</w:t>
            </w:r>
          </w:p>
        </w:tc>
        <w:tc>
          <w:tcPr>
            <w:tcW w:w="32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(8,085)</w:t>
            </w:r>
          </w:p>
        </w:tc>
        <w:tc>
          <w:tcPr>
            <w:tcW w:w="100" w:type="dxa"/>
            <w:vAlign w:val="bottom"/>
            <w:tcBorders>
              <w:bottom w:val="single" w:sz="8" w:color="E5FFFF"/>
            </w:tcBorders>
          </w:tcPr>
          <w:p>
            <w:pPr>
              <w:spacing w:after="0"/>
              <w:rPr>
                <w:sz w:val="17"/>
                <w:szCs w:val="17"/>
                <w:color w:val="auto"/>
              </w:rPr>
            </w:pPr>
          </w:p>
        </w:tc>
      </w:tr>
      <w:tr>
        <w:trPr>
          <w:trHeight w:val="196"/>
        </w:trPr>
        <w:tc>
          <w:tcPr>
            <w:tcW w:w="66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and total comprehensive income for the period</w:t>
            </w:r>
          </w:p>
        </w:tc>
        <w:tc>
          <w:tcPr>
            <w:tcW w:w="920" w:type="dxa"/>
            <w:vAlign w:val="bottom"/>
            <w:tcBorders>
              <w:bottom w:val="single" w:sz="8" w:color="E5FFFF"/>
            </w:tcBorders>
            <w:shd w:val="clear" w:color="auto" w:fill="E5FFFF"/>
          </w:tcPr>
          <w:p>
            <w:pPr>
              <w:spacing w:after="0"/>
              <w:rPr>
                <w:sz w:val="17"/>
                <w:szCs w:val="17"/>
                <w:color w:val="auto"/>
              </w:rPr>
            </w:pPr>
          </w:p>
        </w:tc>
        <w:tc>
          <w:tcPr>
            <w:tcW w:w="340" w:type="dxa"/>
            <w:vAlign w:val="bottom"/>
            <w:tcBorders>
              <w:bottom w:val="single" w:sz="8" w:color="E5FFFF"/>
            </w:tcBorders>
            <w:shd w:val="clear" w:color="auto" w:fill="E5FFFF"/>
          </w:tcPr>
          <w:p>
            <w:pPr>
              <w:spacing w:after="0"/>
              <w:rPr>
                <w:sz w:val="17"/>
                <w:szCs w:val="17"/>
                <w:color w:val="auto"/>
              </w:rPr>
            </w:pPr>
          </w:p>
        </w:tc>
        <w:tc>
          <w:tcPr>
            <w:tcW w:w="1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14,169</w:t>
            </w:r>
          </w:p>
        </w:tc>
        <w:tc>
          <w:tcPr>
            <w:tcW w:w="320" w:type="dxa"/>
            <w:vAlign w:val="bottom"/>
            <w:tcBorders>
              <w:bottom w:val="single" w:sz="8" w:color="E5FFFF"/>
            </w:tcBorders>
            <w:shd w:val="clear" w:color="auto" w:fill="E5FFFF"/>
          </w:tcPr>
          <w:p>
            <w:pPr>
              <w:spacing w:after="0"/>
              <w:rPr>
                <w:sz w:val="17"/>
                <w:szCs w:val="17"/>
                <w:color w:val="auto"/>
              </w:rPr>
            </w:pPr>
          </w:p>
        </w:tc>
        <w:tc>
          <w:tcPr>
            <w:tcW w:w="1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35,360</w:t>
            </w:r>
          </w:p>
        </w:tc>
        <w:tc>
          <w:tcPr>
            <w:tcW w:w="100" w:type="dxa"/>
            <w:vAlign w:val="bottom"/>
            <w:tcBorders>
              <w:bottom w:val="single" w:sz="8" w:color="E5FFFF"/>
            </w:tcBorders>
            <w:shd w:val="clear" w:color="auto" w:fill="E5FFFF"/>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Earnings per unit, basic and diluted:</w:t>
            </w: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13</w:t>
            </w:r>
          </w:p>
        </w:tc>
        <w:tc>
          <w:tcPr>
            <w:tcW w:w="340" w:type="dxa"/>
            <w:vAlign w:val="bottom"/>
            <w:shd w:val="clear" w:color="auto" w:fill="E5FFFF"/>
          </w:tcPr>
          <w:p>
            <w:pPr>
              <w:spacing w:after="0"/>
              <w:rPr>
                <w:sz w:val="18"/>
                <w:szCs w:val="18"/>
                <w:color w:val="auto"/>
              </w:rPr>
            </w:pPr>
          </w:p>
        </w:tc>
        <w:tc>
          <w:tcPr>
            <w:tcW w:w="14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4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Common unit, basic</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0.14</w:t>
            </w:r>
          </w:p>
        </w:tc>
        <w:tc>
          <w:tcPr>
            <w:tcW w:w="3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0.57</w:t>
            </w:r>
          </w:p>
        </w:tc>
      </w:tr>
      <w:tr>
        <w:trPr>
          <w:trHeight w:val="219"/>
        </w:trPr>
        <w:tc>
          <w:tcPr>
            <w:tcW w:w="6640" w:type="dxa"/>
            <w:vAlign w:val="bottom"/>
            <w:shd w:val="clear" w:color="auto" w:fill="E5FFFF"/>
          </w:tcPr>
          <w:p>
            <w:pPr>
              <w:spacing w:after="0"/>
              <w:rPr>
                <w:sz w:val="20"/>
                <w:szCs w:val="20"/>
                <w:color w:val="auto"/>
              </w:rPr>
            </w:pPr>
            <w:r>
              <w:rPr>
                <w:rFonts w:ascii="Arial" w:cs="Arial" w:eastAsia="Arial" w:hAnsi="Arial"/>
                <w:sz w:val="16"/>
                <w:szCs w:val="16"/>
                <w:color w:val="auto"/>
              </w:rPr>
              <w:t>Common unit, diluted</w:t>
            </w:r>
          </w:p>
        </w:tc>
        <w:tc>
          <w:tcPr>
            <w:tcW w:w="92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0.13</w:t>
            </w:r>
          </w:p>
        </w:tc>
        <w:tc>
          <w:tcPr>
            <w:tcW w:w="320" w:type="dxa"/>
            <w:vAlign w:val="bottom"/>
            <w:shd w:val="clear" w:color="auto" w:fill="E5FFFF"/>
          </w:tcPr>
          <w:p>
            <w:pPr>
              <w:spacing w:after="0"/>
              <w:rPr>
                <w:sz w:val="19"/>
                <w:szCs w:val="19"/>
                <w:color w:val="auto"/>
              </w:rPr>
            </w:pPr>
          </w:p>
        </w:tc>
        <w:tc>
          <w:tcPr>
            <w:tcW w:w="15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0.55</w:t>
            </w:r>
          </w:p>
        </w:tc>
      </w:tr>
      <w:tr>
        <w:trPr>
          <w:trHeight w:val="210"/>
        </w:trPr>
        <w:tc>
          <w:tcPr>
            <w:tcW w:w="6640" w:type="dxa"/>
            <w:vAlign w:val="bottom"/>
          </w:tcPr>
          <w:p>
            <w:pPr>
              <w:spacing w:after="0"/>
              <w:rPr>
                <w:sz w:val="20"/>
                <w:szCs w:val="20"/>
                <w:color w:val="auto"/>
              </w:rPr>
            </w:pPr>
            <w:r>
              <w:rPr>
                <w:rFonts w:ascii="Arial" w:cs="Arial" w:eastAsia="Arial" w:hAnsi="Arial"/>
                <w:sz w:val="16"/>
                <w:szCs w:val="16"/>
                <w:color w:val="auto"/>
              </w:rPr>
              <w:t>General partner unit</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0.14</w:t>
            </w:r>
          </w:p>
        </w:tc>
        <w:tc>
          <w:tcPr>
            <w:tcW w:w="3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0.57</w:t>
            </w: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GasLog Partners 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changes in partners’ equity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2020 and 2021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08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General partner</w:t>
            </w:r>
          </w:p>
        </w:tc>
        <w:tc>
          <w:tcPr>
            <w:tcW w:w="204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rPr>
              <w:t>Common unitholders</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Class B</w:t>
            </w:r>
          </w:p>
        </w:tc>
        <w:tc>
          <w:tcPr>
            <w:tcW w:w="19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Preference</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2080" w:type="dxa"/>
            <w:vAlign w:val="bottom"/>
            <w:gridSpan w:val="4"/>
            <w:vMerge w:val="continue"/>
          </w:tcPr>
          <w:p>
            <w:pPr>
              <w:spacing w:after="0"/>
              <w:rPr>
                <w:sz w:val="14"/>
                <w:szCs w:val="14"/>
                <w:color w:val="auto"/>
              </w:rPr>
            </w:pPr>
          </w:p>
        </w:tc>
        <w:tc>
          <w:tcPr>
            <w:tcW w:w="2040" w:type="dxa"/>
            <w:vAlign w:val="bottom"/>
            <w:gridSpan w:val="4"/>
            <w:vMerge w:val="continue"/>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unitholders</w:t>
            </w:r>
          </w:p>
        </w:tc>
        <w:tc>
          <w:tcPr>
            <w:tcW w:w="19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unitholders</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1040" w:type="dxa"/>
            <w:vAlign w:val="bottom"/>
            <w:tcBorders>
              <w:top w:val="single" w:sz="8" w:color="auto"/>
            </w:tcBorders>
            <w:gridSpan w:val="2"/>
          </w:tcPr>
          <w:p>
            <w:pPr>
              <w:ind w:left="220"/>
              <w:spacing w:after="0" w:line="155" w:lineRule="exact"/>
              <w:rPr>
                <w:sz w:val="20"/>
                <w:szCs w:val="20"/>
                <w:color w:val="auto"/>
              </w:rPr>
            </w:pPr>
            <w:r>
              <w:rPr>
                <w:rFonts w:ascii="Arial" w:cs="Arial" w:eastAsia="Arial" w:hAnsi="Arial"/>
                <w:sz w:val="14"/>
                <w:szCs w:val="14"/>
                <w:b w:val="1"/>
                <w:bCs w:val="1"/>
                <w:color w:val="auto"/>
              </w:rPr>
              <w:t>Units</w:t>
            </w:r>
          </w:p>
        </w:tc>
        <w:tc>
          <w:tcPr>
            <w:tcW w:w="80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Amounts</w:t>
            </w:r>
          </w:p>
        </w:tc>
        <w:tc>
          <w:tcPr>
            <w:tcW w:w="240" w:type="dxa"/>
            <w:vAlign w:val="bottom"/>
          </w:tcPr>
          <w:p>
            <w:pPr>
              <w:spacing w:after="0"/>
              <w:rPr>
                <w:sz w:val="13"/>
                <w:szCs w:val="13"/>
                <w:color w:val="auto"/>
              </w:rPr>
            </w:pPr>
          </w:p>
        </w:tc>
        <w:tc>
          <w:tcPr>
            <w:tcW w:w="1040" w:type="dxa"/>
            <w:vAlign w:val="bottom"/>
            <w:tcBorders>
              <w:top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Units</w:t>
            </w:r>
          </w:p>
        </w:tc>
        <w:tc>
          <w:tcPr>
            <w:tcW w:w="7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Amounts</w:t>
            </w:r>
          </w:p>
        </w:tc>
        <w:tc>
          <w:tcPr>
            <w:tcW w:w="220" w:type="dxa"/>
            <w:vAlign w:val="bottom"/>
          </w:tcPr>
          <w:p>
            <w:pPr>
              <w:spacing w:after="0"/>
              <w:rPr>
                <w:sz w:val="13"/>
                <w:szCs w:val="13"/>
                <w:color w:val="auto"/>
              </w:rPr>
            </w:pPr>
          </w:p>
        </w:tc>
        <w:tc>
          <w:tcPr>
            <w:tcW w:w="7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7"/>
              </w:rPr>
              <w:t>Units</w:t>
            </w:r>
          </w:p>
        </w:tc>
        <w:tc>
          <w:tcPr>
            <w:tcW w:w="220" w:type="dxa"/>
            <w:vAlign w:val="bottom"/>
          </w:tcPr>
          <w:p>
            <w:pPr>
              <w:spacing w:after="0"/>
              <w:rPr>
                <w:sz w:val="13"/>
                <w:szCs w:val="13"/>
                <w:color w:val="auto"/>
              </w:rPr>
            </w:pPr>
          </w:p>
        </w:tc>
        <w:tc>
          <w:tcPr>
            <w:tcW w:w="98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Units</w:t>
            </w:r>
          </w:p>
        </w:tc>
        <w:tc>
          <w:tcPr>
            <w:tcW w:w="76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Amounts</w:t>
            </w:r>
          </w:p>
        </w:tc>
        <w:tc>
          <w:tcPr>
            <w:tcW w:w="220" w:type="dxa"/>
            <w:vAlign w:val="bottom"/>
          </w:tcPr>
          <w:p>
            <w:pPr>
              <w:spacing w:after="0"/>
              <w:rPr>
                <w:sz w:val="13"/>
                <w:szCs w:val="13"/>
                <w:color w:val="auto"/>
              </w:rPr>
            </w:pPr>
          </w:p>
        </w:tc>
        <w:tc>
          <w:tcPr>
            <w:tcW w:w="8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2"/>
        </w:trPr>
        <w:tc>
          <w:tcPr>
            <w:tcW w:w="3280" w:type="dxa"/>
            <w:vAlign w:val="bottom"/>
            <w:tcBorders>
              <w:top w:val="single" w:sz="8" w:color="E5FFFF"/>
            </w:tcBorders>
            <w:shd w:val="clear" w:color="auto" w:fill="E5FFFF"/>
          </w:tcPr>
          <w:p>
            <w:pPr>
              <w:spacing w:after="0" w:line="142" w:lineRule="exact"/>
              <w:rPr>
                <w:sz w:val="20"/>
                <w:szCs w:val="20"/>
                <w:color w:val="auto"/>
              </w:rPr>
            </w:pPr>
            <w:r>
              <w:rPr>
                <w:rFonts w:ascii="Arial" w:cs="Arial" w:eastAsia="Arial" w:hAnsi="Arial"/>
                <w:sz w:val="14"/>
                <w:szCs w:val="14"/>
                <w:b w:val="1"/>
                <w:bCs w:val="1"/>
                <w:color w:val="auto"/>
              </w:rPr>
              <w:t>Balance as of January 1, 2020</w:t>
            </w:r>
          </w:p>
        </w:tc>
        <w:tc>
          <w:tcPr>
            <w:tcW w:w="80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1,021,336</w:t>
            </w:r>
          </w:p>
        </w:tc>
        <w:tc>
          <w:tcPr>
            <w:tcW w:w="240" w:type="dxa"/>
            <w:vAlign w:val="bottom"/>
            <w:tcBorders>
              <w:top w:val="single" w:sz="8" w:color="E5FFFF"/>
            </w:tcBorders>
            <w:shd w:val="clear" w:color="auto" w:fill="E5FFFF"/>
          </w:tcPr>
          <w:p>
            <w:pPr>
              <w:spacing w:after="0"/>
              <w:rPr>
                <w:sz w:val="12"/>
                <w:szCs w:val="12"/>
                <w:color w:val="auto"/>
              </w:rPr>
            </w:pPr>
          </w:p>
        </w:tc>
        <w:tc>
          <w:tcPr>
            <w:tcW w:w="80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11,271</w:t>
            </w:r>
          </w:p>
        </w:tc>
        <w:tc>
          <w:tcPr>
            <w:tcW w:w="240" w:type="dxa"/>
            <w:vAlign w:val="bottom"/>
            <w:tcBorders>
              <w:top w:val="single" w:sz="8" w:color="E5FFFF"/>
            </w:tcBorders>
            <w:shd w:val="clear" w:color="auto" w:fill="E5FFFF"/>
          </w:tcPr>
          <w:p>
            <w:pPr>
              <w:spacing w:after="0"/>
              <w:rPr>
                <w:sz w:val="12"/>
                <w:szCs w:val="12"/>
                <w:color w:val="auto"/>
              </w:rPr>
            </w:pPr>
          </w:p>
        </w:tc>
        <w:tc>
          <w:tcPr>
            <w:tcW w:w="80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46,860,182</w:t>
            </w:r>
          </w:p>
        </w:tc>
        <w:tc>
          <w:tcPr>
            <w:tcW w:w="240" w:type="dxa"/>
            <w:vAlign w:val="bottom"/>
            <w:tcBorders>
              <w:top w:val="single" w:sz="8" w:color="E5FFFF"/>
            </w:tcBorders>
            <w:shd w:val="clear" w:color="auto" w:fill="E5FFFF"/>
          </w:tcPr>
          <w:p>
            <w:pPr>
              <w:spacing w:after="0"/>
              <w:rPr>
                <w:sz w:val="12"/>
                <w:szCs w:val="12"/>
                <w:color w:val="auto"/>
              </w:rPr>
            </w:pPr>
          </w:p>
        </w:tc>
        <w:tc>
          <w:tcPr>
            <w:tcW w:w="78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606,811</w:t>
            </w:r>
          </w:p>
        </w:tc>
        <w:tc>
          <w:tcPr>
            <w:tcW w:w="220" w:type="dxa"/>
            <w:vAlign w:val="bottom"/>
            <w:tcBorders>
              <w:top w:val="single" w:sz="8" w:color="E5FFFF"/>
            </w:tcBorders>
            <w:shd w:val="clear" w:color="auto" w:fill="E5FFFF"/>
          </w:tcPr>
          <w:p>
            <w:pPr>
              <w:spacing w:after="0"/>
              <w:rPr>
                <w:sz w:val="12"/>
                <w:szCs w:val="12"/>
                <w:color w:val="auto"/>
              </w:rPr>
            </w:pPr>
          </w:p>
        </w:tc>
        <w:tc>
          <w:tcPr>
            <w:tcW w:w="78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2,490,000</w:t>
            </w:r>
          </w:p>
        </w:tc>
        <w:tc>
          <w:tcPr>
            <w:tcW w:w="220" w:type="dxa"/>
            <w:vAlign w:val="bottom"/>
            <w:tcBorders>
              <w:top w:val="single" w:sz="8" w:color="E5FFFF"/>
            </w:tcBorders>
            <w:shd w:val="clear" w:color="auto" w:fill="E5FFFF"/>
          </w:tcPr>
          <w:p>
            <w:pPr>
              <w:spacing w:after="0"/>
              <w:rPr>
                <w:sz w:val="12"/>
                <w:szCs w:val="12"/>
                <w:color w:val="auto"/>
              </w:rPr>
            </w:pPr>
          </w:p>
        </w:tc>
        <w:tc>
          <w:tcPr>
            <w:tcW w:w="76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14,350,000</w:t>
            </w:r>
          </w:p>
        </w:tc>
        <w:tc>
          <w:tcPr>
            <w:tcW w:w="220" w:type="dxa"/>
            <w:vAlign w:val="bottom"/>
            <w:tcBorders>
              <w:top w:val="single" w:sz="8" w:color="E5FFFF"/>
            </w:tcBorders>
            <w:shd w:val="clear" w:color="auto" w:fill="E5FFFF"/>
          </w:tcPr>
          <w:p>
            <w:pPr>
              <w:spacing w:after="0"/>
              <w:rPr>
                <w:sz w:val="12"/>
                <w:szCs w:val="12"/>
                <w:color w:val="auto"/>
              </w:rPr>
            </w:pPr>
          </w:p>
        </w:tc>
        <w:tc>
          <w:tcPr>
            <w:tcW w:w="76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347,889</w:t>
            </w:r>
          </w:p>
        </w:tc>
        <w:tc>
          <w:tcPr>
            <w:tcW w:w="220" w:type="dxa"/>
            <w:vAlign w:val="bottom"/>
            <w:tcBorders>
              <w:top w:val="single" w:sz="8" w:color="E5FFFF"/>
            </w:tcBorders>
            <w:shd w:val="clear" w:color="auto" w:fill="E5FFFF"/>
          </w:tcPr>
          <w:p>
            <w:pPr>
              <w:spacing w:after="0"/>
              <w:rPr>
                <w:sz w:val="12"/>
                <w:szCs w:val="12"/>
                <w:color w:val="auto"/>
              </w:rPr>
            </w:pPr>
          </w:p>
        </w:tc>
        <w:tc>
          <w:tcPr>
            <w:tcW w:w="78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965,971</w:t>
            </w:r>
          </w:p>
        </w:tc>
        <w:tc>
          <w:tcPr>
            <w:tcW w:w="100" w:type="dxa"/>
            <w:vAlign w:val="bottom"/>
            <w:tcBorders>
              <w:top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Equity offering costs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8"/>
        </w:trPr>
        <w:tc>
          <w:tcPr>
            <w:tcW w:w="32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Repurchases of common units</w:t>
            </w:r>
          </w:p>
        </w:tc>
        <w:tc>
          <w:tcPr>
            <w:tcW w:w="1040" w:type="dxa"/>
            <w:vAlign w:val="bottom"/>
            <w:gridSpan w:val="2"/>
            <w:shd w:val="clear" w:color="auto" w:fill="E5FF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E5FF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(191,490)</w:t>
            </w:r>
          </w:p>
        </w:tc>
        <w:tc>
          <w:tcPr>
            <w:tcW w:w="100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(996)</w:t>
            </w:r>
          </w:p>
        </w:tc>
        <w:tc>
          <w:tcPr>
            <w:tcW w:w="100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Distributions declared</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(573)</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(26,181)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(7,582)</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(34,336)</w:t>
            </w:r>
          </w:p>
        </w:tc>
        <w:tc>
          <w:tcPr>
            <w:tcW w:w="0" w:type="dxa"/>
            <w:vAlign w:val="bottom"/>
          </w:tcPr>
          <w:p>
            <w:pPr>
              <w:spacing w:after="0"/>
              <w:rPr>
                <w:sz w:val="1"/>
                <w:szCs w:val="1"/>
                <w:color w:val="auto"/>
              </w:rPr>
            </w:pPr>
          </w:p>
        </w:tc>
      </w:tr>
      <w:tr>
        <w:trPr>
          <w:trHeight w:val="149"/>
        </w:trPr>
        <w:tc>
          <w:tcPr>
            <w:tcW w:w="32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w w:val="96"/>
              </w:rPr>
              <w:t>Share-based compensation, net of accrued distribution</w:t>
            </w:r>
          </w:p>
        </w:tc>
        <w:tc>
          <w:tcPr>
            <w:tcW w:w="1040" w:type="dxa"/>
            <w:vAlign w:val="bottom"/>
            <w:gridSpan w:val="2"/>
            <w:shd w:val="clear" w:color="auto" w:fill="E5FF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E5FFFF"/>
          </w:tcPr>
          <w:p>
            <w:pPr>
              <w:jc w:val="right"/>
              <w:ind w:right="240"/>
              <w:spacing w:after="0" w:line="149" w:lineRule="exact"/>
              <w:rPr>
                <w:sz w:val="20"/>
                <w:szCs w:val="20"/>
                <w:color w:val="auto"/>
              </w:rPr>
            </w:pPr>
            <w:r>
              <w:rPr>
                <w:rFonts w:ascii="Arial" w:cs="Arial" w:eastAsia="Arial" w:hAnsi="Arial"/>
                <w:sz w:val="14"/>
                <w:szCs w:val="14"/>
                <w:color w:val="auto"/>
              </w:rPr>
              <w:t>4</w:t>
            </w:r>
          </w:p>
        </w:tc>
        <w:tc>
          <w:tcPr>
            <w:tcW w:w="1040" w:type="dxa"/>
            <w:vAlign w:val="bottom"/>
            <w:gridSpan w:val="2"/>
            <w:shd w:val="clear" w:color="auto" w:fill="E5FF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165</w:t>
            </w:r>
          </w:p>
        </w:tc>
        <w:tc>
          <w:tcPr>
            <w:tcW w:w="100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rPr>
              <w:t>Partnership’s profit and total comprehensive income</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280" w:type="dxa"/>
            <w:vAlign w:val="bottom"/>
          </w:tcPr>
          <w:p>
            <w:pPr>
              <w:ind w:left="160"/>
              <w:spacing w:after="0"/>
              <w:rPr>
                <w:sz w:val="20"/>
                <w:szCs w:val="20"/>
                <w:color w:val="auto"/>
              </w:rPr>
            </w:pPr>
            <w:r>
              <w:rPr>
                <w:rFonts w:ascii="Arial" w:cs="Arial" w:eastAsia="Arial" w:hAnsi="Arial"/>
                <w:sz w:val="14"/>
                <w:szCs w:val="14"/>
                <w:color w:val="auto"/>
              </w:rPr>
              <w:t>(Note 13)</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141</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6,446</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7,582</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14,169</w:t>
            </w:r>
          </w:p>
        </w:tc>
        <w:tc>
          <w:tcPr>
            <w:tcW w:w="0" w:type="dxa"/>
            <w:vAlign w:val="bottom"/>
          </w:tcPr>
          <w:p>
            <w:pPr>
              <w:spacing w:after="0"/>
              <w:rPr>
                <w:sz w:val="1"/>
                <w:szCs w:val="1"/>
                <w:color w:val="auto"/>
              </w:rPr>
            </w:pPr>
          </w:p>
        </w:tc>
      </w:tr>
      <w:tr>
        <w:trPr>
          <w:trHeight w:val="156"/>
        </w:trPr>
        <w:tc>
          <w:tcPr>
            <w:tcW w:w="3280" w:type="dxa"/>
            <w:vAlign w:val="bottom"/>
            <w:tcBorders>
              <w:top w:val="single" w:sz="8" w:color="E5FFFF"/>
              <w:bottom w:val="single" w:sz="8" w:color="E5FFFF"/>
            </w:tcBorders>
            <w:shd w:val="clear" w:color="auto" w:fill="E5FFFF"/>
          </w:tcPr>
          <w:p>
            <w:pPr>
              <w:spacing w:after="0" w:line="155" w:lineRule="exact"/>
              <w:rPr>
                <w:sz w:val="20"/>
                <w:szCs w:val="20"/>
                <w:color w:val="auto"/>
              </w:rPr>
            </w:pPr>
            <w:r>
              <w:rPr>
                <w:rFonts w:ascii="Arial" w:cs="Arial" w:eastAsia="Arial" w:hAnsi="Arial"/>
                <w:sz w:val="14"/>
                <w:szCs w:val="14"/>
                <w:b w:val="1"/>
                <w:bCs w:val="1"/>
                <w:color w:val="auto"/>
              </w:rPr>
              <w:t>Balance as of March 31, 2020</w:t>
            </w:r>
          </w:p>
        </w:tc>
        <w:tc>
          <w:tcPr>
            <w:tcW w:w="80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1,021,336</w:t>
            </w:r>
          </w:p>
        </w:tc>
        <w:tc>
          <w:tcPr>
            <w:tcW w:w="240" w:type="dxa"/>
            <w:vAlign w:val="bottom"/>
            <w:tcBorders>
              <w:top w:val="single" w:sz="8" w:color="E5FFFF"/>
              <w:bottom w:val="single" w:sz="8" w:color="E5FFFF"/>
            </w:tcBorders>
            <w:shd w:val="clear" w:color="auto" w:fill="E5FFFF"/>
          </w:tcPr>
          <w:p>
            <w:pPr>
              <w:spacing w:after="0"/>
              <w:rPr>
                <w:sz w:val="13"/>
                <w:szCs w:val="13"/>
                <w:color w:val="auto"/>
              </w:rPr>
            </w:pPr>
          </w:p>
        </w:tc>
        <w:tc>
          <w:tcPr>
            <w:tcW w:w="80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10,843</w:t>
            </w:r>
          </w:p>
        </w:tc>
        <w:tc>
          <w:tcPr>
            <w:tcW w:w="240" w:type="dxa"/>
            <w:vAlign w:val="bottom"/>
            <w:tcBorders>
              <w:top w:val="single" w:sz="8" w:color="E5FFFF"/>
              <w:bottom w:val="single" w:sz="8" w:color="E5FFFF"/>
            </w:tcBorders>
            <w:shd w:val="clear" w:color="auto" w:fill="E5FFFF"/>
          </w:tcPr>
          <w:p>
            <w:pPr>
              <w:spacing w:after="0"/>
              <w:rPr>
                <w:sz w:val="13"/>
                <w:szCs w:val="13"/>
                <w:color w:val="auto"/>
              </w:rPr>
            </w:pPr>
          </w:p>
        </w:tc>
        <w:tc>
          <w:tcPr>
            <w:tcW w:w="80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46,668,692</w:t>
            </w:r>
          </w:p>
        </w:tc>
        <w:tc>
          <w:tcPr>
            <w:tcW w:w="240" w:type="dxa"/>
            <w:vAlign w:val="bottom"/>
            <w:tcBorders>
              <w:top w:val="single" w:sz="8" w:color="E5FFFF"/>
              <w:bottom w:val="single" w:sz="8" w:color="E5FFFF"/>
            </w:tcBorders>
            <w:shd w:val="clear" w:color="auto" w:fill="E5FFFF"/>
          </w:tcPr>
          <w:p>
            <w:pPr>
              <w:spacing w:after="0"/>
              <w:rPr>
                <w:sz w:val="13"/>
                <w:szCs w:val="13"/>
                <w:color w:val="auto"/>
              </w:rPr>
            </w:pPr>
          </w:p>
        </w:tc>
        <w:tc>
          <w:tcPr>
            <w:tcW w:w="78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586,240</w:t>
            </w:r>
          </w:p>
        </w:tc>
        <w:tc>
          <w:tcPr>
            <w:tcW w:w="220" w:type="dxa"/>
            <w:vAlign w:val="bottom"/>
            <w:tcBorders>
              <w:top w:val="single" w:sz="8" w:color="E5FFFF"/>
              <w:bottom w:val="single" w:sz="8" w:color="E5FFFF"/>
            </w:tcBorders>
            <w:shd w:val="clear" w:color="auto" w:fill="E5FFFF"/>
          </w:tcPr>
          <w:p>
            <w:pPr>
              <w:spacing w:after="0"/>
              <w:rPr>
                <w:sz w:val="13"/>
                <w:szCs w:val="13"/>
                <w:color w:val="auto"/>
              </w:rPr>
            </w:pPr>
          </w:p>
        </w:tc>
        <w:tc>
          <w:tcPr>
            <w:tcW w:w="78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2,490,000</w:t>
            </w:r>
          </w:p>
        </w:tc>
        <w:tc>
          <w:tcPr>
            <w:tcW w:w="220" w:type="dxa"/>
            <w:vAlign w:val="bottom"/>
            <w:tcBorders>
              <w:top w:val="single" w:sz="8" w:color="E5FFFF"/>
              <w:bottom w:val="single" w:sz="8" w:color="E5FFFF"/>
            </w:tcBorders>
            <w:shd w:val="clear" w:color="auto" w:fill="E5FFFF"/>
          </w:tcPr>
          <w:p>
            <w:pPr>
              <w:spacing w:after="0"/>
              <w:rPr>
                <w:sz w:val="13"/>
                <w:szCs w:val="13"/>
                <w:color w:val="auto"/>
              </w:rPr>
            </w:pPr>
          </w:p>
        </w:tc>
        <w:tc>
          <w:tcPr>
            <w:tcW w:w="76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14,350,000</w:t>
            </w:r>
          </w:p>
        </w:tc>
        <w:tc>
          <w:tcPr>
            <w:tcW w:w="220" w:type="dxa"/>
            <w:vAlign w:val="bottom"/>
            <w:tcBorders>
              <w:top w:val="single" w:sz="8" w:color="E5FFFF"/>
              <w:bottom w:val="single" w:sz="8" w:color="E5FFFF"/>
            </w:tcBorders>
            <w:shd w:val="clear" w:color="auto" w:fill="E5FFFF"/>
          </w:tcPr>
          <w:p>
            <w:pPr>
              <w:spacing w:after="0"/>
              <w:rPr>
                <w:sz w:val="13"/>
                <w:szCs w:val="13"/>
                <w:color w:val="auto"/>
              </w:rPr>
            </w:pPr>
          </w:p>
        </w:tc>
        <w:tc>
          <w:tcPr>
            <w:tcW w:w="76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347,889</w:t>
            </w:r>
          </w:p>
        </w:tc>
        <w:tc>
          <w:tcPr>
            <w:tcW w:w="220" w:type="dxa"/>
            <w:vAlign w:val="bottom"/>
            <w:tcBorders>
              <w:top w:val="single" w:sz="8" w:color="E5FFFF"/>
              <w:bottom w:val="single" w:sz="8" w:color="E5FFFF"/>
            </w:tcBorders>
            <w:shd w:val="clear" w:color="auto" w:fill="E5FFFF"/>
          </w:tcPr>
          <w:p>
            <w:pPr>
              <w:spacing w:after="0"/>
              <w:rPr>
                <w:sz w:val="13"/>
                <w:szCs w:val="13"/>
                <w:color w:val="auto"/>
              </w:rPr>
            </w:pPr>
          </w:p>
        </w:tc>
        <w:tc>
          <w:tcPr>
            <w:tcW w:w="78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944,972</w:t>
            </w:r>
          </w:p>
        </w:tc>
        <w:tc>
          <w:tcPr>
            <w:tcW w:w="100" w:type="dxa"/>
            <w:vAlign w:val="bottom"/>
            <w:tcBorders>
              <w:top w:val="single" w:sz="8" w:color="E5FFFF"/>
              <w:bottom w:val="single" w:sz="8" w:color="E5FFFF"/>
            </w:tcBorders>
            <w:shd w:val="clear" w:color="auto" w:fill="E5FF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E5FFFF"/>
          </w:tcPr>
          <w:p>
            <w:pPr>
              <w:spacing w:after="0" w:line="149" w:lineRule="exact"/>
              <w:rPr>
                <w:sz w:val="20"/>
                <w:szCs w:val="20"/>
                <w:color w:val="auto"/>
              </w:rPr>
            </w:pPr>
            <w:r>
              <w:rPr>
                <w:rFonts w:ascii="Arial" w:cs="Arial" w:eastAsia="Arial" w:hAnsi="Arial"/>
                <w:sz w:val="14"/>
                <w:szCs w:val="14"/>
                <w:b w:val="1"/>
                <w:bCs w:val="1"/>
                <w:color w:val="auto"/>
              </w:rPr>
              <w:t>Balance as of January 1, 2021</w:t>
            </w:r>
          </w:p>
        </w:tc>
        <w:tc>
          <w:tcPr>
            <w:tcW w:w="1040" w:type="dxa"/>
            <w:vAlign w:val="bottom"/>
            <w:gridSpan w:val="2"/>
            <w:shd w:val="clear" w:color="auto" w:fill="E5FFFF"/>
          </w:tcPr>
          <w:p>
            <w:pPr>
              <w:jc w:val="right"/>
              <w:ind w:right="240"/>
              <w:spacing w:after="0" w:line="149" w:lineRule="exact"/>
              <w:rPr>
                <w:sz w:val="20"/>
                <w:szCs w:val="20"/>
                <w:color w:val="auto"/>
              </w:rPr>
            </w:pPr>
            <w:r>
              <w:rPr>
                <w:rFonts w:ascii="Arial" w:cs="Arial" w:eastAsia="Arial" w:hAnsi="Arial"/>
                <w:sz w:val="14"/>
                <w:szCs w:val="14"/>
                <w:b w:val="1"/>
                <w:bCs w:val="1"/>
                <w:color w:val="auto"/>
              </w:rPr>
              <w:t>1,021,336</w:t>
            </w:r>
          </w:p>
        </w:tc>
        <w:tc>
          <w:tcPr>
            <w:tcW w:w="1040" w:type="dxa"/>
            <w:vAlign w:val="bottom"/>
            <w:gridSpan w:val="2"/>
            <w:shd w:val="clear" w:color="auto" w:fill="E5FFFF"/>
          </w:tcPr>
          <w:p>
            <w:pPr>
              <w:jc w:val="right"/>
              <w:ind w:right="240"/>
              <w:spacing w:after="0" w:line="149" w:lineRule="exact"/>
              <w:rPr>
                <w:sz w:val="20"/>
                <w:szCs w:val="20"/>
                <w:color w:val="auto"/>
              </w:rPr>
            </w:pPr>
            <w:r>
              <w:rPr>
                <w:rFonts w:ascii="Arial" w:cs="Arial" w:eastAsia="Arial" w:hAnsi="Arial"/>
                <w:sz w:val="14"/>
                <w:szCs w:val="14"/>
                <w:b w:val="1"/>
                <w:bCs w:val="1"/>
                <w:color w:val="auto"/>
              </w:rPr>
              <w:t>11,028</w:t>
            </w:r>
          </w:p>
        </w:tc>
        <w:tc>
          <w:tcPr>
            <w:tcW w:w="1040" w:type="dxa"/>
            <w:vAlign w:val="bottom"/>
            <w:gridSpan w:val="2"/>
            <w:shd w:val="clear" w:color="auto" w:fill="E5FFFF"/>
          </w:tcPr>
          <w:p>
            <w:pPr>
              <w:jc w:val="right"/>
              <w:ind w:right="240"/>
              <w:spacing w:after="0" w:line="149" w:lineRule="exact"/>
              <w:rPr>
                <w:sz w:val="20"/>
                <w:szCs w:val="20"/>
                <w:color w:val="auto"/>
              </w:rPr>
            </w:pPr>
            <w:r>
              <w:rPr>
                <w:rFonts w:ascii="Arial" w:cs="Arial" w:eastAsia="Arial" w:hAnsi="Arial"/>
                <w:sz w:val="14"/>
                <w:szCs w:val="14"/>
                <w:b w:val="1"/>
                <w:bCs w:val="1"/>
                <w:color w:val="auto"/>
              </w:rPr>
              <w:t>47,517,824</w:t>
            </w:r>
          </w:p>
        </w:tc>
        <w:tc>
          <w:tcPr>
            <w:tcW w:w="1000" w:type="dxa"/>
            <w:vAlign w:val="bottom"/>
            <w:gridSpan w:val="2"/>
            <w:shd w:val="clear" w:color="auto" w:fill="E5FFFF"/>
          </w:tcPr>
          <w:p>
            <w:pPr>
              <w:jc w:val="right"/>
              <w:ind w:right="200"/>
              <w:spacing w:after="0" w:line="149" w:lineRule="exact"/>
              <w:rPr>
                <w:sz w:val="20"/>
                <w:szCs w:val="20"/>
                <w:color w:val="auto"/>
              </w:rPr>
            </w:pPr>
            <w:r>
              <w:rPr>
                <w:rFonts w:ascii="Arial" w:cs="Arial" w:eastAsia="Arial" w:hAnsi="Arial"/>
                <w:sz w:val="14"/>
                <w:szCs w:val="14"/>
                <w:b w:val="1"/>
                <w:bCs w:val="1"/>
                <w:color w:val="auto"/>
              </w:rPr>
              <w:t>594,901</w:t>
            </w:r>
          </w:p>
        </w:tc>
        <w:tc>
          <w:tcPr>
            <w:tcW w:w="100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b w:val="1"/>
                <w:bCs w:val="1"/>
                <w:color w:val="auto"/>
              </w:rPr>
              <w:t>2,075,000</w:t>
            </w:r>
          </w:p>
        </w:tc>
        <w:tc>
          <w:tcPr>
            <w:tcW w:w="98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b w:val="1"/>
                <w:bCs w:val="1"/>
                <w:color w:val="auto"/>
              </w:rPr>
              <w:t>14,350,000</w:t>
            </w:r>
          </w:p>
        </w:tc>
        <w:tc>
          <w:tcPr>
            <w:tcW w:w="98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b w:val="1"/>
                <w:bCs w:val="1"/>
                <w:color w:val="auto"/>
              </w:rPr>
              <w:t>347,889</w:t>
            </w:r>
          </w:p>
        </w:tc>
        <w:tc>
          <w:tcPr>
            <w:tcW w:w="8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b w:val="1"/>
                <w:bCs w:val="1"/>
                <w:color w:val="auto"/>
              </w:rPr>
              <w:t>953,818</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Distributions declared (Note 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(7,582)</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(8,067)</w:t>
            </w:r>
          </w:p>
        </w:tc>
        <w:tc>
          <w:tcPr>
            <w:tcW w:w="0" w:type="dxa"/>
            <w:vAlign w:val="bottom"/>
          </w:tcPr>
          <w:p>
            <w:pPr>
              <w:spacing w:after="0"/>
              <w:rPr>
                <w:sz w:val="1"/>
                <w:szCs w:val="1"/>
                <w:color w:val="auto"/>
              </w:rPr>
            </w:pPr>
          </w:p>
        </w:tc>
      </w:tr>
      <w:tr>
        <w:trPr>
          <w:trHeight w:val="148"/>
        </w:trPr>
        <w:tc>
          <w:tcPr>
            <w:tcW w:w="32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w w:val="96"/>
              </w:rPr>
              <w:t>Share-based compensation, net of accrued distribution</w:t>
            </w:r>
          </w:p>
        </w:tc>
        <w:tc>
          <w:tcPr>
            <w:tcW w:w="1040" w:type="dxa"/>
            <w:vAlign w:val="bottom"/>
            <w:gridSpan w:val="2"/>
            <w:shd w:val="clear" w:color="auto" w:fill="E5FF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E5FFFF"/>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1040" w:type="dxa"/>
            <w:vAlign w:val="bottom"/>
            <w:gridSpan w:val="2"/>
            <w:shd w:val="clear" w:color="auto" w:fill="E5FF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70</w:t>
            </w:r>
          </w:p>
        </w:tc>
        <w:tc>
          <w:tcPr>
            <w:tcW w:w="100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rPr>
              <w:t>Partnership’s profit and total comprehensive income</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280" w:type="dxa"/>
            <w:vAlign w:val="bottom"/>
          </w:tcPr>
          <w:p>
            <w:pPr>
              <w:ind w:left="160"/>
              <w:spacing w:after="0"/>
              <w:rPr>
                <w:sz w:val="20"/>
                <w:szCs w:val="20"/>
                <w:color w:val="auto"/>
              </w:rPr>
            </w:pPr>
            <w:r>
              <w:rPr>
                <w:rFonts w:ascii="Arial" w:cs="Arial" w:eastAsia="Arial" w:hAnsi="Arial"/>
                <w:sz w:val="14"/>
                <w:szCs w:val="14"/>
                <w:color w:val="auto"/>
              </w:rPr>
              <w:t>(Note 13)</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584</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27,194</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7,582</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35,360</w:t>
            </w:r>
          </w:p>
        </w:tc>
        <w:tc>
          <w:tcPr>
            <w:tcW w:w="0" w:type="dxa"/>
            <w:vAlign w:val="bottom"/>
          </w:tcPr>
          <w:p>
            <w:pPr>
              <w:spacing w:after="0"/>
              <w:rPr>
                <w:sz w:val="1"/>
                <w:szCs w:val="1"/>
                <w:color w:val="auto"/>
              </w:rPr>
            </w:pPr>
          </w:p>
        </w:tc>
      </w:tr>
      <w:tr>
        <w:trPr>
          <w:trHeight w:val="155"/>
        </w:trPr>
        <w:tc>
          <w:tcPr>
            <w:tcW w:w="3280" w:type="dxa"/>
            <w:vAlign w:val="bottom"/>
            <w:tcBorders>
              <w:top w:val="single" w:sz="8" w:color="E5FFFF"/>
              <w:bottom w:val="single" w:sz="8" w:color="E5FFFF"/>
            </w:tcBorders>
            <w:shd w:val="clear" w:color="auto" w:fill="E5FFFF"/>
          </w:tcPr>
          <w:p>
            <w:pPr>
              <w:spacing w:after="0" w:line="155" w:lineRule="exact"/>
              <w:rPr>
                <w:sz w:val="20"/>
                <w:szCs w:val="20"/>
                <w:color w:val="auto"/>
              </w:rPr>
            </w:pPr>
            <w:r>
              <w:rPr>
                <w:rFonts w:ascii="Arial" w:cs="Arial" w:eastAsia="Arial" w:hAnsi="Arial"/>
                <w:sz w:val="14"/>
                <w:szCs w:val="14"/>
                <w:b w:val="1"/>
                <w:bCs w:val="1"/>
                <w:color w:val="auto"/>
              </w:rPr>
              <w:t>Balance as of March 31, 2021</w:t>
            </w:r>
          </w:p>
        </w:tc>
        <w:tc>
          <w:tcPr>
            <w:tcW w:w="80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1,021,336</w:t>
            </w:r>
          </w:p>
        </w:tc>
        <w:tc>
          <w:tcPr>
            <w:tcW w:w="240" w:type="dxa"/>
            <w:vAlign w:val="bottom"/>
            <w:tcBorders>
              <w:top w:val="single" w:sz="8" w:color="E5FFFF"/>
              <w:bottom w:val="single" w:sz="8" w:color="E5FFFF"/>
            </w:tcBorders>
            <w:shd w:val="clear" w:color="auto" w:fill="E5FFFF"/>
          </w:tcPr>
          <w:p>
            <w:pPr>
              <w:spacing w:after="0"/>
              <w:rPr>
                <w:sz w:val="13"/>
                <w:szCs w:val="13"/>
                <w:color w:val="auto"/>
              </w:rPr>
            </w:pPr>
          </w:p>
        </w:tc>
        <w:tc>
          <w:tcPr>
            <w:tcW w:w="80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11,604</w:t>
            </w:r>
          </w:p>
        </w:tc>
        <w:tc>
          <w:tcPr>
            <w:tcW w:w="240" w:type="dxa"/>
            <w:vAlign w:val="bottom"/>
            <w:tcBorders>
              <w:top w:val="single" w:sz="8" w:color="E5FFFF"/>
              <w:bottom w:val="single" w:sz="8" w:color="E5FFFF"/>
            </w:tcBorders>
            <w:shd w:val="clear" w:color="auto" w:fill="E5FFFF"/>
          </w:tcPr>
          <w:p>
            <w:pPr>
              <w:spacing w:after="0"/>
              <w:rPr>
                <w:sz w:val="13"/>
                <w:szCs w:val="13"/>
                <w:color w:val="auto"/>
              </w:rPr>
            </w:pPr>
          </w:p>
        </w:tc>
        <w:tc>
          <w:tcPr>
            <w:tcW w:w="80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47,517,824</w:t>
            </w:r>
          </w:p>
        </w:tc>
        <w:tc>
          <w:tcPr>
            <w:tcW w:w="240" w:type="dxa"/>
            <w:vAlign w:val="bottom"/>
            <w:tcBorders>
              <w:top w:val="single" w:sz="8" w:color="E5FFFF"/>
              <w:bottom w:val="single" w:sz="8" w:color="E5FFFF"/>
            </w:tcBorders>
            <w:shd w:val="clear" w:color="auto" w:fill="E5FFFF"/>
          </w:tcPr>
          <w:p>
            <w:pPr>
              <w:spacing w:after="0"/>
              <w:rPr>
                <w:sz w:val="13"/>
                <w:szCs w:val="13"/>
                <w:color w:val="auto"/>
              </w:rPr>
            </w:pPr>
          </w:p>
        </w:tc>
        <w:tc>
          <w:tcPr>
            <w:tcW w:w="78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621,690</w:t>
            </w:r>
          </w:p>
        </w:tc>
        <w:tc>
          <w:tcPr>
            <w:tcW w:w="220" w:type="dxa"/>
            <w:vAlign w:val="bottom"/>
            <w:tcBorders>
              <w:top w:val="single" w:sz="8" w:color="E5FFFF"/>
              <w:bottom w:val="single" w:sz="8" w:color="E5FFFF"/>
            </w:tcBorders>
            <w:shd w:val="clear" w:color="auto" w:fill="E5FFFF"/>
          </w:tcPr>
          <w:p>
            <w:pPr>
              <w:spacing w:after="0"/>
              <w:rPr>
                <w:sz w:val="13"/>
                <w:szCs w:val="13"/>
                <w:color w:val="auto"/>
              </w:rPr>
            </w:pPr>
          </w:p>
        </w:tc>
        <w:tc>
          <w:tcPr>
            <w:tcW w:w="78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2,075,000</w:t>
            </w:r>
          </w:p>
        </w:tc>
        <w:tc>
          <w:tcPr>
            <w:tcW w:w="220" w:type="dxa"/>
            <w:vAlign w:val="bottom"/>
            <w:tcBorders>
              <w:top w:val="single" w:sz="8" w:color="E5FFFF"/>
              <w:bottom w:val="single" w:sz="8" w:color="E5FFFF"/>
            </w:tcBorders>
            <w:shd w:val="clear" w:color="auto" w:fill="E5FFFF"/>
          </w:tcPr>
          <w:p>
            <w:pPr>
              <w:spacing w:after="0"/>
              <w:rPr>
                <w:sz w:val="13"/>
                <w:szCs w:val="13"/>
                <w:color w:val="auto"/>
              </w:rPr>
            </w:pPr>
          </w:p>
        </w:tc>
        <w:tc>
          <w:tcPr>
            <w:tcW w:w="76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14,350,000</w:t>
            </w:r>
          </w:p>
        </w:tc>
        <w:tc>
          <w:tcPr>
            <w:tcW w:w="220" w:type="dxa"/>
            <w:vAlign w:val="bottom"/>
            <w:tcBorders>
              <w:top w:val="single" w:sz="8" w:color="E5FFFF"/>
              <w:bottom w:val="single" w:sz="8" w:color="E5FFFF"/>
            </w:tcBorders>
            <w:shd w:val="clear" w:color="auto" w:fill="E5FFFF"/>
          </w:tcPr>
          <w:p>
            <w:pPr>
              <w:spacing w:after="0"/>
              <w:rPr>
                <w:sz w:val="13"/>
                <w:szCs w:val="13"/>
                <w:color w:val="auto"/>
              </w:rPr>
            </w:pPr>
          </w:p>
        </w:tc>
        <w:tc>
          <w:tcPr>
            <w:tcW w:w="76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347,889</w:t>
            </w:r>
          </w:p>
        </w:tc>
        <w:tc>
          <w:tcPr>
            <w:tcW w:w="220" w:type="dxa"/>
            <w:vAlign w:val="bottom"/>
            <w:tcBorders>
              <w:top w:val="single" w:sz="8" w:color="E5FFFF"/>
              <w:bottom w:val="single" w:sz="8" w:color="E5FFFF"/>
            </w:tcBorders>
            <w:shd w:val="clear" w:color="auto" w:fill="E5FFFF"/>
          </w:tcPr>
          <w:p>
            <w:pPr>
              <w:spacing w:after="0"/>
              <w:rPr>
                <w:sz w:val="13"/>
                <w:szCs w:val="13"/>
                <w:color w:val="auto"/>
              </w:rPr>
            </w:pPr>
          </w:p>
        </w:tc>
        <w:tc>
          <w:tcPr>
            <w:tcW w:w="78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981,183</w:t>
            </w:r>
          </w:p>
        </w:tc>
        <w:tc>
          <w:tcPr>
            <w:tcW w:w="100" w:type="dxa"/>
            <w:vAlign w:val="bottom"/>
            <w:tcBorders>
              <w:top w:val="single" w:sz="8" w:color="E5FFFF"/>
              <w:bottom w:val="single" w:sz="8" w:color="E5FFFF"/>
            </w:tcBorders>
            <w:shd w:val="clear" w:color="auto" w:fill="E5FF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20"/>
                <w:szCs w:val="20"/>
                <w:color w:val="auto"/>
              </w:rPr>
            </w:pPr>
            <w:r>
              <w:rPr>
                <w:rFonts w:ascii="Arial" w:cs="Arial" w:eastAsia="Arial" w:hAnsi="Arial"/>
                <w:sz w:val="16"/>
                <w:szCs w:val="16"/>
                <w:b w:val="1"/>
                <w:bCs w:val="1"/>
                <w:color w:val="auto"/>
              </w:rPr>
              <w:t>GasLog Partners LP</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676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6"/>
                <w:szCs w:val="16"/>
                <w:b w:val="1"/>
                <w:bCs w:val="1"/>
                <w:color w:val="auto"/>
              </w:rPr>
              <w:t>For the three months ended March 31, 2020 and 2021</w:t>
            </w: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676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8"/>
        </w:trPr>
        <w:tc>
          <w:tcPr>
            <w:tcW w:w="6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gridSpan w:val="4"/>
          </w:tcPr>
          <w:p>
            <w:pPr>
              <w:jc w:val="right"/>
              <w:ind w:right="500"/>
              <w:spacing w:after="0"/>
              <w:rPr>
                <w:sz w:val="20"/>
                <w:szCs w:val="20"/>
                <w:color w:val="auto"/>
              </w:rPr>
            </w:pPr>
            <w:r>
              <w:rPr>
                <w:rFonts w:ascii="Arial" w:cs="Arial" w:eastAsia="Arial" w:hAnsi="Arial"/>
                <w:sz w:val="16"/>
                <w:szCs w:val="16"/>
                <w:b w:val="1"/>
                <w:bCs w:val="1"/>
                <w:color w:val="auto"/>
              </w:rPr>
              <w:t>For the three months ended</w:t>
            </w:r>
          </w:p>
        </w:tc>
      </w:tr>
      <w:tr>
        <w:trPr>
          <w:trHeight w:val="203"/>
        </w:trPr>
        <w:tc>
          <w:tcPr>
            <w:tcW w:w="6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March 31,</w:t>
            </w:r>
          </w:p>
        </w:tc>
        <w:tc>
          <w:tcPr>
            <w:tcW w:w="13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March 31,</w:t>
            </w:r>
          </w:p>
        </w:tc>
      </w:tr>
      <w:tr>
        <w:trPr>
          <w:trHeight w:val="213"/>
        </w:trPr>
        <w:tc>
          <w:tcPr>
            <w:tcW w:w="676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Note</w:t>
            </w:r>
          </w:p>
        </w:tc>
        <w:tc>
          <w:tcPr>
            <w:tcW w:w="34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5FFFF"/>
            </w:tcBorders>
          </w:tcPr>
          <w:p>
            <w:pPr>
              <w:spacing w:after="0"/>
              <w:rPr>
                <w:sz w:val="18"/>
                <w:szCs w:val="18"/>
                <w:color w:val="auto"/>
              </w:rPr>
            </w:pPr>
          </w:p>
        </w:tc>
      </w:tr>
      <w:tr>
        <w:trPr>
          <w:trHeight w:val="213"/>
        </w:trPr>
        <w:tc>
          <w:tcPr>
            <w:tcW w:w="676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540" w:type="dxa"/>
            <w:vAlign w:val="bottom"/>
            <w:gridSpan w:val="2"/>
            <w:shd w:val="clear" w:color="auto" w:fill="E5FFFF"/>
          </w:tcPr>
          <w:p>
            <w:pPr>
              <w:jc w:val="right"/>
              <w:ind w:right="459"/>
              <w:spacing w:after="0" w:line="212" w:lineRule="exact"/>
              <w:rPr>
                <w:sz w:val="20"/>
                <w:szCs w:val="20"/>
                <w:color w:val="auto"/>
              </w:rPr>
            </w:pPr>
            <w:r>
              <w:rPr>
                <w:rFonts w:ascii="Arial" w:cs="Arial" w:eastAsia="Arial" w:hAnsi="Arial"/>
                <w:sz w:val="14"/>
                <w:szCs w:val="14"/>
                <w:i w:val="1"/>
                <w:iCs w:val="1"/>
                <w:color w:val="auto"/>
              </w:rPr>
              <w:t>(restated)</w:t>
            </w:r>
            <w:r>
              <w:rPr>
                <w:rFonts w:ascii="Arial" w:cs="Arial" w:eastAsia="Arial" w:hAnsi="Arial"/>
                <w:sz w:val="23"/>
                <w:szCs w:val="23"/>
                <w:i w:val="1"/>
                <w:iCs w:val="1"/>
                <w:color w:val="auto"/>
                <w:vertAlign w:val="superscript"/>
              </w:rPr>
              <w:t>(1)</w:t>
            </w:r>
          </w:p>
        </w:tc>
        <w:tc>
          <w:tcPr>
            <w:tcW w:w="12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26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14,169</w:t>
            </w:r>
          </w:p>
        </w:tc>
        <w:tc>
          <w:tcPr>
            <w:tcW w:w="320" w:type="dxa"/>
            <w:vAlign w:val="bottom"/>
            <w:shd w:val="clear" w:color="auto" w:fill="E5FFFF"/>
          </w:tcPr>
          <w:p>
            <w:pPr>
              <w:spacing w:after="0"/>
              <w:rPr>
                <w:sz w:val="19"/>
                <w:szCs w:val="19"/>
                <w:color w:val="auto"/>
              </w:rPr>
            </w:pPr>
          </w:p>
        </w:tc>
        <w:tc>
          <w:tcPr>
            <w:tcW w:w="13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35,360</w:t>
            </w:r>
          </w:p>
        </w:tc>
      </w:tr>
      <w:tr>
        <w:trPr>
          <w:trHeight w:val="213"/>
        </w:trPr>
        <w:tc>
          <w:tcPr>
            <w:tcW w:w="6760" w:type="dxa"/>
            <w:vAlign w:val="bottom"/>
          </w:tcPr>
          <w:p>
            <w:pPr>
              <w:spacing w:after="0"/>
              <w:rPr>
                <w:sz w:val="20"/>
                <w:szCs w:val="20"/>
                <w:color w:val="auto"/>
              </w:rPr>
            </w:pPr>
            <w:r>
              <w:rPr>
                <w:rFonts w:ascii="Arial" w:cs="Arial" w:eastAsia="Arial" w:hAnsi="Arial"/>
                <w:sz w:val="16"/>
                <w:szCs w:val="16"/>
                <w:color w:val="auto"/>
              </w:rPr>
              <w:t>Adjustments for:</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260" w:type="dxa"/>
            <w:vAlign w:val="bottom"/>
            <w:shd w:val="clear" w:color="auto" w:fill="E5FFFF"/>
          </w:tcPr>
          <w:p>
            <w:pPr>
              <w:jc w:val="center"/>
              <w:ind w:left="19"/>
              <w:spacing w:after="0"/>
              <w:rPr>
                <w:sz w:val="20"/>
                <w:szCs w:val="20"/>
                <w:color w:val="auto"/>
              </w:rPr>
            </w:pPr>
            <w:r>
              <w:rPr>
                <w:rFonts w:ascii="Arial" w:cs="Arial" w:eastAsia="Arial" w:hAnsi="Arial"/>
                <w:sz w:val="16"/>
                <w:szCs w:val="16"/>
                <w:color w:val="auto"/>
                <w:w w:val="89"/>
              </w:rPr>
              <w:t>4</w:t>
            </w:r>
          </w:p>
        </w:tc>
        <w:tc>
          <w:tcPr>
            <w:tcW w:w="34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20,598</w:t>
            </w:r>
          </w:p>
        </w:tc>
        <w:tc>
          <w:tcPr>
            <w:tcW w:w="3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20,686</w:t>
            </w:r>
          </w:p>
        </w:tc>
      </w:tr>
      <w:tr>
        <w:trPr>
          <w:trHeight w:val="203"/>
        </w:trPr>
        <w:tc>
          <w:tcPr>
            <w:tcW w:w="6760" w:type="dxa"/>
            <w:vAlign w:val="bottom"/>
          </w:tcPr>
          <w:p>
            <w:pPr>
              <w:spacing w:after="0"/>
              <w:rPr>
                <w:sz w:val="20"/>
                <w:szCs w:val="20"/>
                <w:color w:val="auto"/>
              </w:rPr>
            </w:pPr>
            <w:r>
              <w:rPr>
                <w:rFonts w:ascii="Arial" w:cs="Arial" w:eastAsia="Arial" w:hAnsi="Arial"/>
                <w:sz w:val="16"/>
                <w:szCs w:val="16"/>
                <w:color w:val="auto"/>
              </w:rPr>
              <w:t>Financial costs</w:t>
            </w:r>
          </w:p>
        </w:tc>
        <w:tc>
          <w:tcPr>
            <w:tcW w:w="1260" w:type="dxa"/>
            <w:vAlign w:val="bottom"/>
          </w:tcPr>
          <w:p>
            <w:pPr>
              <w:jc w:val="center"/>
              <w:ind w:left="19"/>
              <w:spacing w:after="0"/>
              <w:rPr>
                <w:sz w:val="20"/>
                <w:szCs w:val="20"/>
                <w:color w:val="auto"/>
              </w:rPr>
            </w:pPr>
            <w:r>
              <w:rPr>
                <w:rFonts w:ascii="Arial" w:cs="Arial" w:eastAsia="Arial" w:hAnsi="Arial"/>
                <w:sz w:val="16"/>
                <w:szCs w:val="16"/>
                <w:color w:val="auto"/>
                <w:w w:val="89"/>
              </w:rPr>
              <w:t>12</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15,513</w:t>
            </w:r>
          </w:p>
        </w:tc>
        <w:tc>
          <w:tcPr>
            <w:tcW w:w="3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9,416</w:t>
            </w:r>
          </w:p>
        </w:tc>
      </w:tr>
      <w:tr>
        <w:trPr>
          <w:trHeight w:val="216"/>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2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540" w:type="dxa"/>
            <w:vAlign w:val="bottom"/>
            <w:gridSpan w:val="2"/>
            <w:shd w:val="clear" w:color="auto" w:fill="E5FFFF"/>
          </w:tcPr>
          <w:p>
            <w:pPr>
              <w:jc w:val="right"/>
              <w:ind w:right="179"/>
              <w:spacing w:after="0"/>
              <w:rPr>
                <w:sz w:val="20"/>
                <w:szCs w:val="20"/>
                <w:color w:val="auto"/>
              </w:rPr>
            </w:pPr>
            <w:r>
              <w:rPr>
                <w:rFonts w:ascii="Arial" w:cs="Arial" w:eastAsia="Arial" w:hAnsi="Arial"/>
                <w:sz w:val="16"/>
                <w:szCs w:val="16"/>
                <w:color w:val="auto"/>
              </w:rPr>
              <w:t>(199)</w:t>
            </w: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(12)</w:t>
            </w:r>
          </w:p>
        </w:tc>
      </w:tr>
      <w:tr>
        <w:trPr>
          <w:trHeight w:val="193"/>
        </w:trPr>
        <w:tc>
          <w:tcPr>
            <w:tcW w:w="6760" w:type="dxa"/>
            <w:vAlign w:val="bottom"/>
          </w:tcPr>
          <w:p>
            <w:pPr>
              <w:spacing w:after="0"/>
              <w:rPr>
                <w:sz w:val="20"/>
                <w:szCs w:val="20"/>
                <w:color w:val="auto"/>
              </w:rPr>
            </w:pPr>
            <w:r>
              <w:rPr>
                <w:rFonts w:ascii="Arial" w:cs="Arial" w:eastAsia="Arial" w:hAnsi="Arial"/>
                <w:sz w:val="16"/>
                <w:szCs w:val="16"/>
                <w:color w:val="auto"/>
                <w:w w:val="98"/>
              </w:rPr>
              <w:t>Loss/(gain) on derivatives (excluding realized loss on forward foreign exchange contracts held for</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6760" w:type="dxa"/>
            <w:vAlign w:val="bottom"/>
          </w:tcPr>
          <w:p>
            <w:pPr>
              <w:ind w:left="160"/>
              <w:spacing w:after="0"/>
              <w:rPr>
                <w:sz w:val="20"/>
                <w:szCs w:val="20"/>
                <w:color w:val="auto"/>
              </w:rPr>
            </w:pPr>
            <w:r>
              <w:rPr>
                <w:rFonts w:ascii="Arial" w:cs="Arial" w:eastAsia="Arial" w:hAnsi="Arial"/>
                <w:sz w:val="16"/>
                <w:szCs w:val="16"/>
                <w:color w:val="auto"/>
              </w:rPr>
              <w:t>trading)</w:t>
            </w:r>
          </w:p>
        </w:tc>
        <w:tc>
          <w:tcPr>
            <w:tcW w:w="1260" w:type="dxa"/>
            <w:vAlign w:val="bottom"/>
          </w:tcPr>
          <w:p>
            <w:pPr>
              <w:jc w:val="center"/>
              <w:ind w:left="19"/>
              <w:spacing w:after="0"/>
              <w:rPr>
                <w:sz w:val="20"/>
                <w:szCs w:val="20"/>
                <w:color w:val="auto"/>
              </w:rPr>
            </w:pPr>
            <w:r>
              <w:rPr>
                <w:rFonts w:ascii="Arial" w:cs="Arial" w:eastAsia="Arial" w:hAnsi="Arial"/>
                <w:sz w:val="16"/>
                <w:szCs w:val="16"/>
                <w:color w:val="auto"/>
                <w:w w:val="89"/>
              </w:rPr>
              <w:t>12</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13,945</w:t>
            </w:r>
          </w:p>
        </w:tc>
        <w:tc>
          <w:tcPr>
            <w:tcW w:w="3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(1,319)</w:t>
            </w:r>
          </w:p>
        </w:tc>
      </w:tr>
      <w:tr>
        <w:trPr>
          <w:trHeight w:val="219"/>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Share-based compensation</w:t>
            </w:r>
          </w:p>
        </w:tc>
        <w:tc>
          <w:tcPr>
            <w:tcW w:w="1260" w:type="dxa"/>
            <w:vAlign w:val="bottom"/>
            <w:shd w:val="clear" w:color="auto" w:fill="E5FFFF"/>
          </w:tcPr>
          <w:p>
            <w:pPr>
              <w:jc w:val="center"/>
              <w:ind w:left="19"/>
              <w:spacing w:after="0"/>
              <w:rPr>
                <w:sz w:val="20"/>
                <w:szCs w:val="20"/>
                <w:color w:val="auto"/>
              </w:rPr>
            </w:pPr>
            <w:r>
              <w:rPr>
                <w:rFonts w:ascii="Arial" w:cs="Arial" w:eastAsia="Arial" w:hAnsi="Arial"/>
                <w:sz w:val="16"/>
                <w:szCs w:val="16"/>
                <w:color w:val="auto"/>
                <w:w w:val="89"/>
              </w:rPr>
              <w:t>9</w:t>
            </w:r>
          </w:p>
        </w:tc>
        <w:tc>
          <w:tcPr>
            <w:tcW w:w="340" w:type="dxa"/>
            <w:vAlign w:val="bottom"/>
            <w:shd w:val="clear" w:color="auto" w:fill="E5FFFF"/>
          </w:tcPr>
          <w:p>
            <w:pPr>
              <w:spacing w:after="0"/>
              <w:rPr>
                <w:sz w:val="19"/>
                <w:szCs w:val="19"/>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297</w:t>
            </w:r>
          </w:p>
        </w:tc>
        <w:tc>
          <w:tcPr>
            <w:tcW w:w="320" w:type="dxa"/>
            <w:vAlign w:val="bottom"/>
            <w:shd w:val="clear" w:color="auto" w:fill="E5FFFF"/>
          </w:tcPr>
          <w:p>
            <w:pPr>
              <w:spacing w:after="0"/>
              <w:rPr>
                <w:sz w:val="19"/>
                <w:szCs w:val="19"/>
                <w:color w:val="auto"/>
              </w:rPr>
            </w:pPr>
          </w:p>
        </w:tc>
        <w:tc>
          <w:tcPr>
            <w:tcW w:w="13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73</w:t>
            </w:r>
          </w:p>
        </w:tc>
      </w:tr>
      <w:tr>
        <w:trPr>
          <w:trHeight w:val="196"/>
        </w:trPr>
        <w:tc>
          <w:tcPr>
            <w:tcW w:w="6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64,323</w:t>
            </w:r>
          </w:p>
        </w:tc>
        <w:tc>
          <w:tcPr>
            <w:tcW w:w="32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64,204</w:t>
            </w:r>
          </w:p>
        </w:tc>
        <w:tc>
          <w:tcPr>
            <w:tcW w:w="100" w:type="dxa"/>
            <w:vAlign w:val="bottom"/>
          </w:tcPr>
          <w:p>
            <w:pPr>
              <w:spacing w:after="0"/>
              <w:rPr>
                <w:sz w:val="17"/>
                <w:szCs w:val="17"/>
                <w:color w:val="auto"/>
              </w:rPr>
            </w:pPr>
          </w:p>
        </w:tc>
      </w:tr>
      <w:tr>
        <w:trPr>
          <w:trHeight w:val="230"/>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Movements in working capital</w:t>
            </w:r>
          </w:p>
        </w:tc>
        <w:tc>
          <w:tcPr>
            <w:tcW w:w="126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540" w:type="dxa"/>
            <w:vAlign w:val="bottom"/>
            <w:gridSpan w:val="2"/>
            <w:shd w:val="clear" w:color="auto" w:fill="E5FFFF"/>
          </w:tcPr>
          <w:p>
            <w:pPr>
              <w:jc w:val="right"/>
              <w:ind w:right="179"/>
              <w:spacing w:after="0"/>
              <w:rPr>
                <w:sz w:val="20"/>
                <w:szCs w:val="20"/>
                <w:color w:val="auto"/>
              </w:rPr>
            </w:pPr>
            <w:r>
              <w:rPr>
                <w:rFonts w:ascii="Arial" w:cs="Arial" w:eastAsia="Arial" w:hAnsi="Arial"/>
                <w:sz w:val="16"/>
                <w:szCs w:val="16"/>
                <w:color w:val="auto"/>
              </w:rPr>
              <w:t>(20,019)</w:t>
            </w: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(8,778)</w:t>
            </w:r>
          </w:p>
        </w:tc>
      </w:tr>
      <w:tr>
        <w:trPr>
          <w:trHeight w:val="207"/>
        </w:trPr>
        <w:tc>
          <w:tcPr>
            <w:tcW w:w="67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260" w:type="dxa"/>
            <w:vAlign w:val="bottom"/>
            <w:tcBorders>
              <w:bottom w:val="single" w:sz="8" w:color="E5FFFF"/>
            </w:tcBorders>
          </w:tcPr>
          <w:p>
            <w:pPr>
              <w:spacing w:after="0"/>
              <w:rPr>
                <w:sz w:val="17"/>
                <w:szCs w:val="17"/>
                <w:color w:val="auto"/>
              </w:rPr>
            </w:pPr>
          </w:p>
        </w:tc>
        <w:tc>
          <w:tcPr>
            <w:tcW w:w="340" w:type="dxa"/>
            <w:vAlign w:val="bottom"/>
            <w:tcBorders>
              <w:bottom w:val="single" w:sz="8" w:color="E5FF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44,304</w:t>
            </w:r>
          </w:p>
        </w:tc>
        <w:tc>
          <w:tcPr>
            <w:tcW w:w="32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55,426</w:t>
            </w:r>
          </w:p>
        </w:tc>
        <w:tc>
          <w:tcPr>
            <w:tcW w:w="100" w:type="dxa"/>
            <w:vAlign w:val="bottom"/>
            <w:tcBorders>
              <w:bottom w:val="single" w:sz="8" w:color="E5FFFF"/>
            </w:tcBorders>
          </w:tcPr>
          <w:p>
            <w:pPr>
              <w:spacing w:after="0"/>
              <w:rPr>
                <w:sz w:val="17"/>
                <w:szCs w:val="17"/>
                <w:color w:val="auto"/>
              </w:rPr>
            </w:pPr>
          </w:p>
        </w:tc>
      </w:tr>
      <w:tr>
        <w:trPr>
          <w:trHeight w:val="212"/>
        </w:trPr>
        <w:tc>
          <w:tcPr>
            <w:tcW w:w="67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2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6"/>
                <w:szCs w:val="16"/>
                <w:color w:val="auto"/>
              </w:rPr>
              <w:t>Payments for tangible fixed assets additions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179"/>
              <w:spacing w:after="0"/>
              <w:rPr>
                <w:sz w:val="20"/>
                <w:szCs w:val="20"/>
                <w:color w:val="auto"/>
              </w:rPr>
            </w:pPr>
            <w:r>
              <w:rPr>
                <w:rFonts w:ascii="Arial" w:cs="Arial" w:eastAsia="Arial" w:hAnsi="Arial"/>
                <w:sz w:val="16"/>
                <w:szCs w:val="16"/>
                <w:color w:val="auto"/>
              </w:rPr>
              <w:t>(5,466)</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(5,685)</w:t>
            </w:r>
          </w:p>
        </w:tc>
      </w:tr>
      <w:tr>
        <w:trPr>
          <w:trHeight w:val="233"/>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 received</w:t>
            </w:r>
          </w:p>
        </w:tc>
        <w:tc>
          <w:tcPr>
            <w:tcW w:w="126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217</w:t>
            </w:r>
          </w:p>
        </w:tc>
        <w:tc>
          <w:tcPr>
            <w:tcW w:w="320" w:type="dxa"/>
            <w:vAlign w:val="bottom"/>
            <w:shd w:val="clear" w:color="auto" w:fill="E5FFFF"/>
          </w:tcPr>
          <w:p>
            <w:pPr>
              <w:spacing w:after="0"/>
              <w:rPr>
                <w:sz w:val="20"/>
                <w:szCs w:val="20"/>
                <w:color w:val="auto"/>
              </w:rPr>
            </w:pPr>
          </w:p>
        </w:tc>
        <w:tc>
          <w:tcPr>
            <w:tcW w:w="13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12</w:t>
            </w:r>
          </w:p>
        </w:tc>
      </w:tr>
      <w:tr>
        <w:trPr>
          <w:trHeight w:val="207"/>
        </w:trPr>
        <w:tc>
          <w:tcPr>
            <w:tcW w:w="67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260" w:type="dxa"/>
            <w:vAlign w:val="bottom"/>
            <w:tcBorders>
              <w:bottom w:val="single" w:sz="8" w:color="E5FFFF"/>
            </w:tcBorders>
          </w:tcPr>
          <w:p>
            <w:pPr>
              <w:spacing w:after="0"/>
              <w:rPr>
                <w:sz w:val="17"/>
                <w:szCs w:val="17"/>
                <w:color w:val="auto"/>
              </w:rPr>
            </w:pPr>
          </w:p>
        </w:tc>
        <w:tc>
          <w:tcPr>
            <w:tcW w:w="340" w:type="dxa"/>
            <w:vAlign w:val="bottom"/>
            <w:tcBorders>
              <w:bottom w:val="single" w:sz="8" w:color="E5FF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(5,249</w:t>
            </w:r>
          </w:p>
        </w:tc>
        <w:tc>
          <w:tcPr>
            <w:tcW w:w="320" w:type="dxa"/>
            <w:vAlign w:val="bottom"/>
            <w:tcBorders>
              <w:bottom w:val="single" w:sz="8" w:color="E5FFFF"/>
            </w:tcBorders>
          </w:tcPr>
          <w:p>
            <w:pPr>
              <w:jc w:val="right"/>
              <w:ind w:right="179"/>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(5,673</w:t>
            </w:r>
          </w:p>
        </w:tc>
        <w:tc>
          <w:tcPr>
            <w:tcW w:w="100" w:type="dxa"/>
            <w:vAlign w:val="bottom"/>
            <w:tcBorders>
              <w:bottom w:val="single" w:sz="8" w:color="E5FFFF"/>
            </w:tcBorders>
          </w:tcPr>
          <w:p>
            <w:pPr>
              <w:jc w:val="right"/>
              <w:ind w:right="20"/>
              <w:spacing w:after="0"/>
              <w:rPr>
                <w:sz w:val="20"/>
                <w:szCs w:val="20"/>
                <w:color w:val="auto"/>
              </w:rPr>
            </w:pPr>
            <w:r>
              <w:rPr>
                <w:rFonts w:ascii="Arial" w:cs="Arial" w:eastAsia="Arial" w:hAnsi="Arial"/>
                <w:sz w:val="8"/>
                <w:szCs w:val="8"/>
                <w:b w:val="1"/>
                <w:bCs w:val="1"/>
                <w:color w:val="auto"/>
                <w:w w:val="73"/>
              </w:rPr>
              <w:t>)</w:t>
            </w:r>
          </w:p>
        </w:tc>
      </w:tr>
      <w:tr>
        <w:trPr>
          <w:trHeight w:val="212"/>
        </w:trPr>
        <w:tc>
          <w:tcPr>
            <w:tcW w:w="67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6"/>
                <w:szCs w:val="16"/>
                <w:color w:val="auto"/>
              </w:rPr>
              <w:t>Borrowings drawdowns</w:t>
            </w:r>
          </w:p>
        </w:tc>
        <w:tc>
          <w:tcPr>
            <w:tcW w:w="1260" w:type="dxa"/>
            <w:vAlign w:val="bottom"/>
          </w:tcPr>
          <w:p>
            <w:pPr>
              <w:jc w:val="center"/>
              <w:ind w:left="19"/>
              <w:spacing w:after="0"/>
              <w:rPr>
                <w:sz w:val="20"/>
                <w:szCs w:val="20"/>
                <w:color w:val="auto"/>
              </w:rPr>
            </w:pPr>
            <w:r>
              <w:rPr>
                <w:rFonts w:ascii="Arial" w:cs="Arial" w:eastAsia="Arial" w:hAnsi="Arial"/>
                <w:sz w:val="16"/>
                <w:szCs w:val="16"/>
                <w:color w:val="auto"/>
                <w:w w:val="89"/>
              </w:rPr>
              <w:t>6</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25,940</w:t>
            </w:r>
          </w:p>
        </w:tc>
        <w:tc>
          <w:tcPr>
            <w:tcW w:w="3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03"/>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Borrowings repayments</w:t>
            </w:r>
          </w:p>
        </w:tc>
        <w:tc>
          <w:tcPr>
            <w:tcW w:w="1260" w:type="dxa"/>
            <w:vAlign w:val="bottom"/>
            <w:shd w:val="clear" w:color="auto" w:fill="E5FFFF"/>
          </w:tcPr>
          <w:p>
            <w:pPr>
              <w:jc w:val="center"/>
              <w:ind w:left="19"/>
              <w:spacing w:after="0"/>
              <w:rPr>
                <w:sz w:val="20"/>
                <w:szCs w:val="20"/>
                <w:color w:val="auto"/>
              </w:rPr>
            </w:pPr>
            <w:r>
              <w:rPr>
                <w:rFonts w:ascii="Arial" w:cs="Arial" w:eastAsia="Arial" w:hAnsi="Arial"/>
                <w:sz w:val="16"/>
                <w:szCs w:val="16"/>
                <w:color w:val="auto"/>
                <w:w w:val="89"/>
              </w:rPr>
              <w:t>6</w:t>
            </w:r>
          </w:p>
        </w:tc>
        <w:tc>
          <w:tcPr>
            <w:tcW w:w="34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79"/>
              <w:spacing w:after="0"/>
              <w:rPr>
                <w:sz w:val="20"/>
                <w:szCs w:val="20"/>
                <w:color w:val="auto"/>
              </w:rPr>
            </w:pPr>
            <w:r>
              <w:rPr>
                <w:rFonts w:ascii="Arial" w:cs="Arial" w:eastAsia="Arial" w:hAnsi="Arial"/>
                <w:sz w:val="16"/>
                <w:szCs w:val="16"/>
                <w:color w:val="auto"/>
              </w:rPr>
              <w:t>(32,675)</w:t>
            </w: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(36,017)</w:t>
            </w:r>
          </w:p>
        </w:tc>
      </w:tr>
      <w:tr>
        <w:trPr>
          <w:trHeight w:val="213"/>
        </w:trPr>
        <w:tc>
          <w:tcPr>
            <w:tcW w:w="6760" w:type="dxa"/>
            <w:vAlign w:val="bottom"/>
          </w:tcPr>
          <w:p>
            <w:pPr>
              <w:spacing w:after="0"/>
              <w:rPr>
                <w:sz w:val="20"/>
                <w:szCs w:val="20"/>
                <w:color w:val="auto"/>
              </w:rPr>
            </w:pPr>
            <w:r>
              <w:rPr>
                <w:rFonts w:ascii="Arial" w:cs="Arial" w:eastAsia="Arial" w:hAnsi="Arial"/>
                <w:sz w:val="16"/>
                <w:szCs w:val="16"/>
                <w:color w:val="auto"/>
              </w:rPr>
              <w:t>Interest paid</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179"/>
              <w:spacing w:after="0"/>
              <w:rPr>
                <w:sz w:val="20"/>
                <w:szCs w:val="20"/>
                <w:color w:val="auto"/>
              </w:rPr>
            </w:pPr>
            <w:r>
              <w:rPr>
                <w:rFonts w:ascii="Arial" w:cs="Arial" w:eastAsia="Arial" w:hAnsi="Arial"/>
                <w:sz w:val="16"/>
                <w:szCs w:val="16"/>
                <w:color w:val="auto"/>
              </w:rPr>
              <w:t>(17,247)</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(14,468)</w:t>
            </w:r>
          </w:p>
        </w:tc>
      </w:tr>
      <w:tr>
        <w:trPr>
          <w:trHeight w:val="219"/>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Payments of cash collateral for interest rate swaps</w:t>
            </w:r>
          </w:p>
        </w:tc>
        <w:tc>
          <w:tcPr>
            <w:tcW w:w="126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540" w:type="dxa"/>
            <w:vAlign w:val="bottom"/>
            <w:gridSpan w:val="2"/>
            <w:shd w:val="clear" w:color="auto" w:fill="E5FFFF"/>
          </w:tcPr>
          <w:p>
            <w:pPr>
              <w:jc w:val="right"/>
              <w:ind w:right="179"/>
              <w:spacing w:after="0"/>
              <w:rPr>
                <w:sz w:val="20"/>
                <w:szCs w:val="20"/>
                <w:color w:val="auto"/>
              </w:rPr>
            </w:pPr>
            <w:r>
              <w:rPr>
                <w:rFonts w:ascii="Arial" w:cs="Arial" w:eastAsia="Arial" w:hAnsi="Arial"/>
                <w:sz w:val="16"/>
                <w:szCs w:val="16"/>
                <w:color w:val="auto"/>
              </w:rPr>
              <w:t>(15,000)</w:t>
            </w:r>
          </w:p>
        </w:tc>
        <w:tc>
          <w:tcPr>
            <w:tcW w:w="134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w:t>
            </w:r>
          </w:p>
        </w:tc>
      </w:tr>
      <w:tr>
        <w:trPr>
          <w:trHeight w:val="216"/>
        </w:trPr>
        <w:tc>
          <w:tcPr>
            <w:tcW w:w="6760" w:type="dxa"/>
            <w:vAlign w:val="bottom"/>
          </w:tcPr>
          <w:p>
            <w:pPr>
              <w:spacing w:after="0"/>
              <w:rPr>
                <w:sz w:val="20"/>
                <w:szCs w:val="20"/>
                <w:color w:val="auto"/>
              </w:rPr>
            </w:pPr>
            <w:r>
              <w:rPr>
                <w:rFonts w:ascii="Arial" w:cs="Arial" w:eastAsia="Arial" w:hAnsi="Arial"/>
                <w:sz w:val="16"/>
                <w:szCs w:val="16"/>
                <w:color w:val="auto"/>
              </w:rPr>
              <w:t>Release of cash collateral for interest rate swaps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280</w:t>
            </w:r>
          </w:p>
        </w:tc>
      </w:tr>
      <w:tr>
        <w:trPr>
          <w:trHeight w:val="216"/>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Payment of loan issuance costs</w:t>
            </w:r>
          </w:p>
        </w:tc>
        <w:tc>
          <w:tcPr>
            <w:tcW w:w="12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540" w:type="dxa"/>
            <w:vAlign w:val="bottom"/>
            <w:gridSpan w:val="2"/>
            <w:shd w:val="clear" w:color="auto" w:fill="E5FFFF"/>
          </w:tcPr>
          <w:p>
            <w:pPr>
              <w:jc w:val="right"/>
              <w:ind w:right="179"/>
              <w:spacing w:after="0"/>
              <w:rPr>
                <w:sz w:val="20"/>
                <w:szCs w:val="20"/>
                <w:color w:val="auto"/>
              </w:rPr>
            </w:pPr>
            <w:r>
              <w:rPr>
                <w:rFonts w:ascii="Arial" w:cs="Arial" w:eastAsia="Arial" w:hAnsi="Arial"/>
                <w:sz w:val="16"/>
                <w:szCs w:val="16"/>
                <w:color w:val="auto"/>
              </w:rPr>
              <w:t>(156)</w:t>
            </w:r>
          </w:p>
        </w:tc>
        <w:tc>
          <w:tcPr>
            <w:tcW w:w="134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w:t>
            </w:r>
          </w:p>
        </w:tc>
      </w:tr>
      <w:tr>
        <w:trPr>
          <w:trHeight w:val="216"/>
        </w:trPr>
        <w:tc>
          <w:tcPr>
            <w:tcW w:w="6760" w:type="dxa"/>
            <w:vAlign w:val="bottom"/>
          </w:tcPr>
          <w:p>
            <w:pPr>
              <w:spacing w:after="0"/>
              <w:rPr>
                <w:sz w:val="20"/>
                <w:szCs w:val="20"/>
                <w:color w:val="auto"/>
              </w:rPr>
            </w:pPr>
            <w:r>
              <w:rPr>
                <w:rFonts w:ascii="Arial" w:cs="Arial" w:eastAsia="Arial" w:hAnsi="Arial"/>
                <w:sz w:val="16"/>
                <w:szCs w:val="16"/>
                <w:color w:val="auto"/>
              </w:rPr>
              <w:t>Repurchases of common units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179"/>
              <w:spacing w:after="0"/>
              <w:rPr>
                <w:sz w:val="20"/>
                <w:szCs w:val="20"/>
                <w:color w:val="auto"/>
              </w:rPr>
            </w:pPr>
            <w:r>
              <w:rPr>
                <w:rFonts w:ascii="Arial" w:cs="Arial" w:eastAsia="Arial" w:hAnsi="Arial"/>
                <w:sz w:val="16"/>
                <w:szCs w:val="16"/>
                <w:color w:val="auto"/>
              </w:rPr>
              <w:t>(996)</w:t>
            </w: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03"/>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Distributions paid</w:t>
            </w:r>
          </w:p>
        </w:tc>
        <w:tc>
          <w:tcPr>
            <w:tcW w:w="1260" w:type="dxa"/>
            <w:vAlign w:val="bottom"/>
            <w:shd w:val="clear" w:color="auto" w:fill="E5FFFF"/>
          </w:tcPr>
          <w:p>
            <w:pPr>
              <w:jc w:val="center"/>
              <w:ind w:left="19"/>
              <w:spacing w:after="0"/>
              <w:rPr>
                <w:sz w:val="20"/>
                <w:szCs w:val="20"/>
                <w:color w:val="auto"/>
              </w:rPr>
            </w:pPr>
            <w:r>
              <w:rPr>
                <w:rFonts w:ascii="Arial" w:cs="Arial" w:eastAsia="Arial" w:hAnsi="Arial"/>
                <w:sz w:val="16"/>
                <w:szCs w:val="16"/>
                <w:color w:val="auto"/>
                <w:w w:val="89"/>
              </w:rPr>
              <w:t>5</w:t>
            </w:r>
          </w:p>
        </w:tc>
        <w:tc>
          <w:tcPr>
            <w:tcW w:w="34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79"/>
              <w:spacing w:after="0"/>
              <w:rPr>
                <w:sz w:val="20"/>
                <w:szCs w:val="20"/>
                <w:color w:val="auto"/>
              </w:rPr>
            </w:pPr>
            <w:r>
              <w:rPr>
                <w:rFonts w:ascii="Arial" w:cs="Arial" w:eastAsia="Arial" w:hAnsi="Arial"/>
                <w:sz w:val="16"/>
                <w:szCs w:val="16"/>
                <w:color w:val="auto"/>
              </w:rPr>
              <w:t>(34,336)</w:t>
            </w: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(8,067)</w:t>
            </w:r>
          </w:p>
        </w:tc>
      </w:tr>
      <w:tr>
        <w:trPr>
          <w:trHeight w:val="226"/>
        </w:trPr>
        <w:tc>
          <w:tcPr>
            <w:tcW w:w="6760" w:type="dxa"/>
            <w:vAlign w:val="bottom"/>
          </w:tcPr>
          <w:p>
            <w:pPr>
              <w:spacing w:after="0"/>
              <w:rPr>
                <w:sz w:val="20"/>
                <w:szCs w:val="20"/>
                <w:color w:val="auto"/>
              </w:rPr>
            </w:pPr>
            <w:r>
              <w:rPr>
                <w:rFonts w:ascii="Arial" w:cs="Arial" w:eastAsia="Arial" w:hAnsi="Arial"/>
                <w:sz w:val="16"/>
                <w:szCs w:val="16"/>
                <w:color w:val="auto"/>
              </w:rPr>
              <w:t>Payments for lease liabilities</w:t>
            </w: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179"/>
              <w:spacing w:after="0"/>
              <w:rPr>
                <w:sz w:val="20"/>
                <w:szCs w:val="20"/>
                <w:color w:val="auto"/>
              </w:rPr>
            </w:pPr>
            <w:r>
              <w:rPr>
                <w:rFonts w:ascii="Arial" w:cs="Arial" w:eastAsia="Arial" w:hAnsi="Arial"/>
                <w:sz w:val="16"/>
                <w:szCs w:val="16"/>
                <w:color w:val="auto"/>
              </w:rPr>
              <w:t>(107)</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(123)</w:t>
            </w:r>
          </w:p>
        </w:tc>
      </w:tr>
      <w:tr>
        <w:trPr>
          <w:trHeight w:val="213"/>
        </w:trPr>
        <w:tc>
          <w:tcPr>
            <w:tcW w:w="67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126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(74,577</w:t>
            </w:r>
          </w:p>
        </w:tc>
        <w:tc>
          <w:tcPr>
            <w:tcW w:w="320" w:type="dxa"/>
            <w:vAlign w:val="bottom"/>
            <w:tcBorders>
              <w:top w:val="single" w:sz="8" w:color="E5FFFF"/>
            </w:tcBorders>
            <w:shd w:val="clear" w:color="auto" w:fill="E5FFFF"/>
          </w:tcPr>
          <w:p>
            <w:pPr>
              <w:jc w:val="right"/>
              <w:ind w:right="179"/>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(58,395</w:t>
            </w:r>
          </w:p>
        </w:tc>
        <w:tc>
          <w:tcPr>
            <w:tcW w:w="100" w:type="dxa"/>
            <w:vAlign w:val="bottom"/>
            <w:tcBorders>
              <w:top w:val="single" w:sz="8" w:color="E5FFFF"/>
            </w:tcBorders>
            <w:shd w:val="clear" w:color="auto" w:fill="E5FFFF"/>
          </w:tcPr>
          <w:p>
            <w:pPr>
              <w:jc w:val="right"/>
              <w:ind w:right="20"/>
              <w:spacing w:after="0"/>
              <w:rPr>
                <w:sz w:val="20"/>
                <w:szCs w:val="20"/>
                <w:color w:val="auto"/>
              </w:rPr>
            </w:pPr>
            <w:r>
              <w:rPr>
                <w:rFonts w:ascii="Arial" w:cs="Arial" w:eastAsia="Arial" w:hAnsi="Arial"/>
                <w:sz w:val="8"/>
                <w:szCs w:val="8"/>
                <w:b w:val="1"/>
                <w:bCs w:val="1"/>
                <w:color w:val="auto"/>
                <w:w w:val="73"/>
              </w:rPr>
              <w:t>)</w:t>
            </w:r>
          </w:p>
        </w:tc>
      </w:tr>
      <w:tr>
        <w:trPr>
          <w:trHeight w:val="207"/>
        </w:trPr>
        <w:tc>
          <w:tcPr>
            <w:tcW w:w="67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1260" w:type="dxa"/>
            <w:vAlign w:val="bottom"/>
            <w:tcBorders>
              <w:bottom w:val="single" w:sz="8" w:color="E5FFFF"/>
            </w:tcBorders>
          </w:tcPr>
          <w:p>
            <w:pPr>
              <w:spacing w:after="0"/>
              <w:rPr>
                <w:sz w:val="17"/>
                <w:szCs w:val="17"/>
                <w:color w:val="auto"/>
              </w:rPr>
            </w:pPr>
          </w:p>
        </w:tc>
        <w:tc>
          <w:tcPr>
            <w:tcW w:w="340" w:type="dxa"/>
            <w:vAlign w:val="bottom"/>
            <w:tcBorders>
              <w:bottom w:val="single" w:sz="8" w:color="E5FF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(35,522</w:t>
            </w:r>
          </w:p>
        </w:tc>
        <w:tc>
          <w:tcPr>
            <w:tcW w:w="320" w:type="dxa"/>
            <w:vAlign w:val="bottom"/>
            <w:tcBorders>
              <w:bottom w:val="single" w:sz="8" w:color="E5FFFF"/>
            </w:tcBorders>
          </w:tcPr>
          <w:p>
            <w:pPr>
              <w:jc w:val="right"/>
              <w:ind w:right="179"/>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(8,642</w:t>
            </w:r>
          </w:p>
        </w:tc>
        <w:tc>
          <w:tcPr>
            <w:tcW w:w="100" w:type="dxa"/>
            <w:vAlign w:val="bottom"/>
            <w:tcBorders>
              <w:bottom w:val="single" w:sz="8" w:color="E5FFFF"/>
            </w:tcBorders>
          </w:tcPr>
          <w:p>
            <w:pPr>
              <w:jc w:val="right"/>
              <w:ind w:right="20"/>
              <w:spacing w:after="0"/>
              <w:rPr>
                <w:sz w:val="20"/>
                <w:szCs w:val="20"/>
                <w:color w:val="auto"/>
              </w:rPr>
            </w:pPr>
            <w:r>
              <w:rPr>
                <w:rFonts w:ascii="Arial" w:cs="Arial" w:eastAsia="Arial" w:hAnsi="Arial"/>
                <w:sz w:val="8"/>
                <w:szCs w:val="8"/>
                <w:b w:val="1"/>
                <w:bCs w:val="1"/>
                <w:color w:val="auto"/>
                <w:w w:val="73"/>
              </w:rPr>
              <w:t>)</w:t>
            </w:r>
          </w:p>
        </w:tc>
      </w:tr>
      <w:tr>
        <w:trPr>
          <w:trHeight w:val="212"/>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 beginning of the period</w:t>
            </w:r>
          </w:p>
        </w:tc>
        <w:tc>
          <w:tcPr>
            <w:tcW w:w="12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96,884</w:t>
            </w:r>
          </w:p>
        </w:tc>
        <w:tc>
          <w:tcPr>
            <w:tcW w:w="320" w:type="dxa"/>
            <w:vAlign w:val="bottom"/>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103,736</w:t>
            </w:r>
          </w:p>
        </w:tc>
        <w:tc>
          <w:tcPr>
            <w:tcW w:w="100" w:type="dxa"/>
            <w:vAlign w:val="bottom"/>
            <w:shd w:val="clear" w:color="auto" w:fill="E5FFFF"/>
          </w:tcPr>
          <w:p>
            <w:pPr>
              <w:spacing w:after="0"/>
              <w:rPr>
                <w:sz w:val="18"/>
                <w:szCs w:val="18"/>
                <w:color w:val="auto"/>
              </w:rPr>
            </w:pPr>
          </w:p>
        </w:tc>
      </w:tr>
      <w:tr>
        <w:trPr>
          <w:trHeight w:val="260"/>
        </w:trPr>
        <w:tc>
          <w:tcPr>
            <w:tcW w:w="6760" w:type="dxa"/>
            <w:vAlign w:val="bottom"/>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61,362</w:t>
            </w:r>
          </w:p>
        </w:tc>
        <w:tc>
          <w:tcPr>
            <w:tcW w:w="320" w:type="dxa"/>
            <w:vAlign w:val="bottom"/>
          </w:tcPr>
          <w:p>
            <w:pPr>
              <w:spacing w:after="0"/>
              <w:rPr>
                <w:sz w:val="22"/>
                <w:szCs w:val="22"/>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95,094</w:t>
            </w:r>
          </w:p>
        </w:tc>
      </w:tr>
      <w:tr>
        <w:trPr>
          <w:trHeight w:val="200"/>
        </w:trPr>
        <w:tc>
          <w:tcPr>
            <w:tcW w:w="676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spacing w:after="0"/>
              <w:rPr>
                <w:sz w:val="17"/>
                <w:szCs w:val="17"/>
                <w:color w:val="auto"/>
              </w:rPr>
            </w:pPr>
          </w:p>
        </w:tc>
        <w:tc>
          <w:tcPr>
            <w:tcW w:w="3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Capital expenditures included in liabilities at the end of the period</w:t>
            </w:r>
          </w:p>
        </w:tc>
        <w:tc>
          <w:tcPr>
            <w:tcW w:w="126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540" w:type="dxa"/>
            <w:vAlign w:val="bottom"/>
            <w:gridSpan w:val="2"/>
            <w:shd w:val="clear" w:color="auto" w:fill="E5FFFF"/>
          </w:tcPr>
          <w:p>
            <w:pPr>
              <w:jc w:val="right"/>
              <w:ind w:right="239"/>
              <w:spacing w:after="0"/>
              <w:rPr>
                <w:sz w:val="20"/>
                <w:szCs w:val="20"/>
                <w:color w:val="auto"/>
              </w:rPr>
            </w:pPr>
            <w:r>
              <w:rPr>
                <w:rFonts w:ascii="Arial" w:cs="Arial" w:eastAsia="Arial" w:hAnsi="Arial"/>
                <w:sz w:val="16"/>
                <w:szCs w:val="16"/>
                <w:color w:val="auto"/>
              </w:rPr>
              <w:t>11,218</w:t>
            </w:r>
          </w:p>
        </w:tc>
        <w:tc>
          <w:tcPr>
            <w:tcW w:w="13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9,617</w:t>
            </w:r>
          </w:p>
        </w:tc>
      </w:tr>
      <w:tr>
        <w:trPr>
          <w:trHeight w:val="213"/>
        </w:trPr>
        <w:tc>
          <w:tcPr>
            <w:tcW w:w="6760" w:type="dxa"/>
            <w:vAlign w:val="bottom"/>
          </w:tcPr>
          <w:p>
            <w:pPr>
              <w:spacing w:after="0"/>
              <w:rPr>
                <w:sz w:val="20"/>
                <w:szCs w:val="20"/>
                <w:color w:val="auto"/>
              </w:rPr>
            </w:pPr>
            <w:r>
              <w:rPr>
                <w:rFonts w:ascii="Arial" w:cs="Arial" w:eastAsia="Arial" w:hAnsi="Arial"/>
                <w:sz w:val="16"/>
                <w:szCs w:val="16"/>
                <w:color w:val="auto"/>
              </w:rPr>
              <w:t>Financing costs included in liabilities at the end of the period</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w:t>
            </w: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136</w:t>
            </w:r>
          </w:p>
        </w:tc>
      </w:tr>
      <w:tr>
        <w:trPr>
          <w:trHeight w:val="219"/>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Offering costs included in liabilities at the end of the period</w:t>
            </w:r>
          </w:p>
        </w:tc>
        <w:tc>
          <w:tcPr>
            <w:tcW w:w="126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w:t>
            </w:r>
          </w:p>
        </w:tc>
        <w:tc>
          <w:tcPr>
            <w:tcW w:w="320" w:type="dxa"/>
            <w:vAlign w:val="bottom"/>
            <w:shd w:val="clear" w:color="auto" w:fill="E5FFFF"/>
          </w:tcPr>
          <w:p>
            <w:pPr>
              <w:spacing w:after="0"/>
              <w:rPr>
                <w:sz w:val="19"/>
                <w:szCs w:val="19"/>
                <w:color w:val="auto"/>
              </w:rPr>
            </w:pPr>
          </w:p>
        </w:tc>
        <w:tc>
          <w:tcPr>
            <w:tcW w:w="134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w:t>
            </w:r>
          </w:p>
        </w:tc>
      </w:tr>
      <w:tr>
        <w:trPr>
          <w:trHeight w:val="231"/>
        </w:trPr>
        <w:tc>
          <w:tcPr>
            <w:tcW w:w="6760" w:type="dxa"/>
            <w:vAlign w:val="bottom"/>
          </w:tcPr>
          <w:p>
            <w:pPr>
              <w:spacing w:after="0"/>
              <w:rPr>
                <w:sz w:val="20"/>
                <w:szCs w:val="20"/>
                <w:color w:val="auto"/>
              </w:rPr>
            </w:pPr>
            <w:r>
              <w:rPr>
                <w:rFonts w:ascii="Arial" w:cs="Arial" w:eastAsia="Arial" w:hAnsi="Arial"/>
                <w:sz w:val="16"/>
                <w:szCs w:val="16"/>
                <w:color w:val="auto"/>
              </w:rPr>
              <w:t>Liabilities related to leases at the end of the period</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w:t>
            </w:r>
          </w:p>
        </w:tc>
        <w:tc>
          <w:tcPr>
            <w:tcW w:w="32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7830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9" w:lineRule="exact"/>
        <w:rPr>
          <w:sz w:val="20"/>
          <w:szCs w:val="20"/>
          <w:color w:val="auto"/>
        </w:rPr>
      </w:pPr>
    </w:p>
    <w:p>
      <w:pPr>
        <w:ind w:left="340" w:right="200" w:hanging="332"/>
        <w:spacing w:after="0" w:line="253"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4"/>
          <w:szCs w:val="14"/>
          <w:color w:val="auto"/>
        </w:rPr>
        <w:t>Restated so as to reflect a change in accounting policy introduced on January 1, 2021, with respect to the reclassification of interest paid and movements of cash collateral for interest rate swaps (Note 2).</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GasLog Partners 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unaudited condensed consolidated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2020 and 2021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Operations</w:t>
      </w:r>
    </w:p>
    <w:p>
      <w:pPr>
        <w:spacing w:after="0" w:line="239" w:lineRule="exact"/>
        <w:rPr>
          <w:sz w:val="20"/>
          <w:szCs w:val="20"/>
          <w:color w:val="auto"/>
        </w:rPr>
      </w:pPr>
    </w:p>
    <w:p>
      <w:pPr>
        <w:ind w:right="40" w:firstLine="324"/>
        <w:spacing w:after="0" w:line="278" w:lineRule="auto"/>
        <w:rPr>
          <w:sz w:val="20"/>
          <w:szCs w:val="20"/>
          <w:color w:val="auto"/>
        </w:rPr>
      </w:pPr>
      <w:r>
        <w:rPr>
          <w:rFonts w:ascii="Arial" w:cs="Arial" w:eastAsia="Arial" w:hAnsi="Arial"/>
          <w:sz w:val="16"/>
          <w:szCs w:val="16"/>
          <w:color w:val="auto"/>
        </w:rPr>
        <w:t>GasLog Partners LP (“GasLog Partners” or the “Partnership”) was formed as a limited partnership under the laws of the Marshall Islands on January 23, 2014, as a wholly owned subsidiary of GasLog Ltd. (“GasLog”) for the purpose of initially acquiring the interests in three liquefied natural gas (“LNG”) carriers (or the “Initial Fleet”) that were contributed to the Partnership by GasLog in connection with the initial public offering of its common units (the “IPO”).</w:t>
      </w:r>
    </w:p>
    <w:p>
      <w:pPr>
        <w:spacing w:after="0" w:line="184" w:lineRule="exact"/>
        <w:rPr>
          <w:sz w:val="20"/>
          <w:szCs w:val="20"/>
          <w:color w:val="auto"/>
        </w:rPr>
      </w:pPr>
    </w:p>
    <w:p>
      <w:pPr>
        <w:jc w:val="both"/>
        <w:ind w:right="540" w:firstLine="324"/>
        <w:spacing w:after="0" w:line="278" w:lineRule="auto"/>
        <w:rPr>
          <w:sz w:val="20"/>
          <w:szCs w:val="20"/>
          <w:color w:val="auto"/>
        </w:rPr>
      </w:pPr>
      <w:r>
        <w:rPr>
          <w:rFonts w:ascii="Arial" w:cs="Arial" w:eastAsia="Arial" w:hAnsi="Arial"/>
          <w:sz w:val="16"/>
          <w:szCs w:val="16"/>
          <w:color w:val="auto"/>
        </w:rPr>
        <w:t>As of March 31, 2021, GasLog holds a 35.3% ownership interest in the Partnership (including 2.0% through its general partner interest).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84" w:lineRule="exact"/>
        <w:rPr>
          <w:sz w:val="20"/>
          <w:szCs w:val="20"/>
          <w:color w:val="auto"/>
        </w:rPr>
      </w:pPr>
    </w:p>
    <w:p>
      <w:pPr>
        <w:ind w:right="100" w:firstLine="324"/>
        <w:spacing w:after="0" w:line="305" w:lineRule="auto"/>
        <w:rPr>
          <w:sz w:val="20"/>
          <w:szCs w:val="20"/>
          <w:color w:val="auto"/>
        </w:rPr>
      </w:pPr>
      <w:r>
        <w:rPr>
          <w:rFonts w:ascii="Arial" w:cs="Arial" w:eastAsia="Arial" w:hAnsi="Arial"/>
          <w:sz w:val="15"/>
          <w:szCs w:val="15"/>
          <w:color w:val="auto"/>
        </w:rPr>
        <w:t>The Partnership’s principal business is the acquisition and operation of LNG vessels, providing LNG transportation services on a worldwide basis primarily under multi-year charters. GasLog LNG Services Ltd. (“GasLog LNG Services” or the “Manager”), a related party and a wholly owned subsidiary of GasLog, incorporated under the laws of Bermuda, provides technical and commercial services to the Partnership. As of March 31, 2021, the Partnership owned 15 LNG vessels.</w:t>
      </w:r>
    </w:p>
    <w:p>
      <w:pPr>
        <w:spacing w:after="0" w:line="166" w:lineRule="exact"/>
        <w:rPr>
          <w:sz w:val="20"/>
          <w:szCs w:val="20"/>
          <w:color w:val="auto"/>
        </w:rPr>
      </w:pPr>
    </w:p>
    <w:p>
      <w:pPr>
        <w:ind w:right="280" w:firstLine="324"/>
        <w:spacing w:after="0" w:line="293" w:lineRule="auto"/>
        <w:rPr>
          <w:sz w:val="20"/>
          <w:szCs w:val="20"/>
          <w:color w:val="auto"/>
        </w:rPr>
      </w:pPr>
      <w:r>
        <w:rPr>
          <w:rFonts w:ascii="Arial" w:cs="Arial" w:eastAsia="Arial" w:hAnsi="Arial"/>
          <w:sz w:val="16"/>
          <w:szCs w:val="16"/>
          <w:color w:val="auto"/>
        </w:rPr>
        <w:t>The accompanying unaudited condensed consolidated financial statements include the financial statements of GasLog Partners and its subsidiaries, which are 100% owned by the Partnership. No new subsidiaries were established or acquired in the three months ended March 31, 2021.</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w:t>
      </w:r>
    </w:p>
    <w:p>
      <w:pPr>
        <w:spacing w:after="0" w:line="23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6"/>
          <w:szCs w:val="16"/>
          <w:color w:val="auto"/>
        </w:rPr>
        <w:t xml:space="preserve">These unaudited condensed consolidated financial statements have been prepared in accordance with International Accounting Standard (“IAS”) 34 </w:t>
      </w:r>
      <w:r>
        <w:rPr>
          <w:rFonts w:ascii="Arial" w:cs="Arial" w:eastAsia="Arial" w:hAnsi="Arial"/>
          <w:sz w:val="16"/>
          <w:szCs w:val="16"/>
          <w:i w:val="1"/>
          <w:iCs w:val="1"/>
          <w:color w:val="auto"/>
        </w:rPr>
        <w:t>Interim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as issued by the International Accounting Standards Board (“IASB”). Certain information and footnote disclosures required by IFRS for a complete set of annual</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have been omitted, and, therefore, these unaudited condensed consolidated financial statements should be read in conjunction with the Partnership’s annual consolidated financial statements for the year ended December 31, 2020, filed on an Annual Report on Form 20-F with the Securities Exchange Commission on March 2, 2021.</w:t>
      </w:r>
    </w:p>
    <w:p>
      <w:pPr>
        <w:spacing w:after="0" w:line="190" w:lineRule="exact"/>
        <w:rPr>
          <w:sz w:val="20"/>
          <w:szCs w:val="20"/>
          <w:color w:val="auto"/>
        </w:rPr>
      </w:pPr>
    </w:p>
    <w:p>
      <w:pPr>
        <w:ind w:right="40" w:firstLine="324"/>
        <w:spacing w:after="0" w:line="271" w:lineRule="auto"/>
        <w:rPr>
          <w:sz w:val="20"/>
          <w:szCs w:val="20"/>
          <w:color w:val="auto"/>
        </w:rPr>
      </w:pPr>
      <w:r>
        <w:rPr>
          <w:rFonts w:ascii="Arial" w:cs="Arial" w:eastAsia="Arial" w:hAnsi="Arial"/>
          <w:sz w:val="16"/>
          <w:szCs w:val="16"/>
          <w:color w:val="auto"/>
        </w:rPr>
        <w:t>The unaudited condensed consolidated financial statements have been prepared on the historical cost basis, except for the revaluation of derivative financial instruments. The same accounting policies and methods of computation have been followed in these unaudited condensed consolidated financial statements as applied in the preparation of the Partnership’s consolidated financial statements for the year ended December 31, 2020, with the exception of a reclassification in the consolidated statements of cash flows that is described below. On May 6, 2021, the Partnership’s board of directors authorized the unaudited condensed consolidated financial statements for issuance.</w:t>
      </w:r>
    </w:p>
    <w:p>
      <w:pPr>
        <w:spacing w:after="0" w:line="190" w:lineRule="exact"/>
        <w:rPr>
          <w:sz w:val="20"/>
          <w:szCs w:val="20"/>
          <w:color w:val="auto"/>
        </w:rPr>
      </w:pPr>
    </w:p>
    <w:p>
      <w:pPr>
        <w:ind w:right="100" w:firstLine="324"/>
        <w:spacing w:after="0" w:line="287" w:lineRule="auto"/>
        <w:rPr>
          <w:sz w:val="20"/>
          <w:szCs w:val="20"/>
          <w:color w:val="auto"/>
        </w:rPr>
      </w:pPr>
      <w:r>
        <w:rPr>
          <w:rFonts w:ascii="Arial" w:cs="Arial" w:eastAsia="Arial" w:hAnsi="Arial"/>
          <w:sz w:val="15"/>
          <w:szCs w:val="15"/>
          <w:color w:val="auto"/>
        </w:rPr>
        <w:t xml:space="preserve">Until December 31, 2020, interest paid and movements of cash collateral were presented in the consolidated statement of cash flows under cash provided by operating activities. IAS 7 </w:t>
      </w:r>
      <w:r>
        <w:rPr>
          <w:rFonts w:ascii="Arial" w:cs="Arial" w:eastAsia="Arial" w:hAnsi="Arial"/>
          <w:sz w:val="15"/>
          <w:szCs w:val="15"/>
          <w:i w:val="1"/>
          <w:iCs w:val="1"/>
          <w:color w:val="auto"/>
        </w:rPr>
        <w:t>Cash Flow Statement</w:t>
      </w:r>
      <w:r>
        <w:rPr>
          <w:rFonts w:ascii="Arial" w:cs="Arial" w:eastAsia="Arial" w:hAnsi="Arial"/>
          <w:sz w:val="15"/>
          <w:szCs w:val="15"/>
          <w:color w:val="auto"/>
        </w:rPr>
        <w:t xml:space="preserve"> does not dictate how interest cash flows should be classified, but rather allows an entity to determine the classification appropriate to its business. The standard permits entities to present payments for interest under either operating or financing activities, provided that the elected presentation is applied consistently from period to period. In 2021, management, after reviewing the Exposure Draft </w:t>
      </w:r>
      <w:r>
        <w:rPr>
          <w:rFonts w:ascii="Arial" w:cs="Arial" w:eastAsia="Arial" w:hAnsi="Arial"/>
          <w:sz w:val="15"/>
          <w:szCs w:val="15"/>
          <w:i w:val="1"/>
          <w:iCs w:val="1"/>
          <w:color w:val="auto"/>
        </w:rPr>
        <w:t>General Presentation and Disclosures</w:t>
      </w:r>
      <w:r>
        <w:rPr>
          <w:rFonts w:ascii="Arial" w:cs="Arial" w:eastAsia="Arial" w:hAnsi="Arial"/>
          <w:sz w:val="15"/>
          <w:szCs w:val="15"/>
          <w:color w:val="auto"/>
        </w:rPr>
        <w:t xml:space="preserve"> issued by the IASB in December 2019, elected to reclassify interest paid including cash paid for interest rate swaps held for trading and the movements of cash collateral related to the Partnership’s interest rate swaps under cash used in financing activities, in conformity with the proposal of the Exposure Draft to reduce presentation alternatives and classify interest paid as a cash flow arising from financing activities. Management believes that the revised classification provides more relevant information to users, as it better reflects management’s view of the financing nature of these transactions. Comparative figures have been retrospectively adjusted to reflect this change in policy in the statement of cash flows,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4540" w:type="dxa"/>
            <w:vAlign w:val="bottom"/>
            <w:gridSpan w:val="5"/>
          </w:tcPr>
          <w:p>
            <w:pPr>
              <w:ind w:left="1760"/>
              <w:spacing w:after="0"/>
              <w:rPr>
                <w:sz w:val="20"/>
                <w:szCs w:val="20"/>
                <w:color w:val="auto"/>
              </w:rPr>
            </w:pPr>
            <w:r>
              <w:rPr>
                <w:rFonts w:ascii="Arial" w:cs="Arial" w:eastAsia="Arial" w:hAnsi="Arial"/>
                <w:sz w:val="16"/>
                <w:szCs w:val="16"/>
                <w:b w:val="1"/>
                <w:bCs w:val="1"/>
                <w:color w:val="auto"/>
              </w:rPr>
              <w:t>Three months ended March 31, 2020</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080" w:type="dxa"/>
            <w:vAlign w:val="bottom"/>
          </w:tcPr>
          <w:p>
            <w:pPr>
              <w:spacing w:after="0"/>
              <w:rPr>
                <w:sz w:val="20"/>
                <w:szCs w:val="20"/>
                <w:color w:val="auto"/>
              </w:rPr>
            </w:pPr>
          </w:p>
        </w:tc>
        <w:tc>
          <w:tcPr>
            <w:tcW w:w="216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w w:val="95"/>
              </w:rPr>
              <w:t>As previously reported</w:t>
            </w:r>
          </w:p>
        </w:tc>
        <w:tc>
          <w:tcPr>
            <w:tcW w:w="2380" w:type="dxa"/>
            <w:vAlign w:val="bottom"/>
            <w:gridSpan w:val="3"/>
          </w:tcPr>
          <w:p>
            <w:pPr>
              <w:ind w:left="440"/>
              <w:spacing w:after="0"/>
              <w:rPr>
                <w:sz w:val="20"/>
                <w:szCs w:val="20"/>
                <w:color w:val="auto"/>
              </w:rPr>
            </w:pPr>
            <w:r>
              <w:rPr>
                <w:rFonts w:ascii="Arial" w:cs="Arial" w:eastAsia="Arial" w:hAnsi="Arial"/>
                <w:sz w:val="16"/>
                <w:szCs w:val="16"/>
                <w:b w:val="1"/>
                <w:bCs w:val="1"/>
                <w:color w:val="auto"/>
              </w:rPr>
              <w:t>Adjustments</w:t>
            </w:r>
          </w:p>
        </w:tc>
        <w:tc>
          <w:tcPr>
            <w:tcW w:w="162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As restated</w:t>
            </w:r>
          </w:p>
        </w:tc>
        <w:tc>
          <w:tcPr>
            <w:tcW w:w="0" w:type="dxa"/>
            <w:vAlign w:val="bottom"/>
          </w:tcPr>
          <w:p>
            <w:pPr>
              <w:spacing w:after="0"/>
              <w:rPr>
                <w:sz w:val="1"/>
                <w:szCs w:val="1"/>
                <w:color w:val="auto"/>
              </w:rPr>
            </w:pPr>
          </w:p>
        </w:tc>
      </w:tr>
      <w:tr>
        <w:trPr>
          <w:trHeight w:val="199"/>
        </w:trPr>
        <w:tc>
          <w:tcPr>
            <w:tcW w:w="50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Net cash provided by operating activities</w:t>
            </w:r>
          </w:p>
        </w:tc>
        <w:tc>
          <w:tcPr>
            <w:tcW w:w="18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12,057</w:t>
            </w:r>
          </w:p>
        </w:tc>
        <w:tc>
          <w:tcPr>
            <w:tcW w:w="360" w:type="dxa"/>
            <w:vAlign w:val="bottom"/>
            <w:tcBorders>
              <w:top w:val="single" w:sz="8" w:color="E5FFFF"/>
            </w:tcBorders>
            <w:shd w:val="clear" w:color="auto" w:fill="E5FFFF"/>
          </w:tcPr>
          <w:p>
            <w:pPr>
              <w:spacing w:after="0"/>
              <w:rPr>
                <w:sz w:val="17"/>
                <w:szCs w:val="17"/>
                <w:color w:val="auto"/>
              </w:rPr>
            </w:pPr>
          </w:p>
        </w:tc>
        <w:tc>
          <w:tcPr>
            <w:tcW w:w="17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32,247</w:t>
            </w:r>
          </w:p>
        </w:tc>
        <w:tc>
          <w:tcPr>
            <w:tcW w:w="32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15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44,304</w:t>
            </w:r>
          </w:p>
        </w:tc>
        <w:tc>
          <w:tcPr>
            <w:tcW w:w="100" w:type="dxa"/>
            <w:vAlign w:val="bottom"/>
            <w:tcBorders>
              <w:top w:val="single" w:sz="8" w:color="E5FFFF"/>
              <w:left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2160" w:type="dxa"/>
            <w:vAlign w:val="bottom"/>
            <w:gridSpan w:val="2"/>
          </w:tcPr>
          <w:p>
            <w:pPr>
              <w:jc w:val="right"/>
              <w:ind w:right="219"/>
              <w:spacing w:after="0"/>
              <w:rPr>
                <w:sz w:val="20"/>
                <w:szCs w:val="20"/>
                <w:color w:val="auto"/>
              </w:rPr>
            </w:pPr>
            <w:r>
              <w:rPr>
                <w:rFonts w:ascii="Arial" w:cs="Arial" w:eastAsia="Arial" w:hAnsi="Arial"/>
                <w:sz w:val="16"/>
                <w:szCs w:val="16"/>
                <w:color w:val="auto"/>
              </w:rPr>
              <w:t>(5,249)</w:t>
            </w:r>
          </w:p>
        </w:tc>
        <w:tc>
          <w:tcPr>
            <w:tcW w:w="2380" w:type="dxa"/>
            <w:vAlign w:val="bottom"/>
            <w:gridSpan w:val="3"/>
          </w:tcPr>
          <w:p>
            <w:pPr>
              <w:jc w:val="right"/>
              <w:ind w:right="60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20"/>
              <w:spacing w:after="0"/>
              <w:rPr>
                <w:sz w:val="20"/>
                <w:szCs w:val="20"/>
                <w:color w:val="auto"/>
              </w:rPr>
            </w:pPr>
            <w:r>
              <w:rPr>
                <w:rFonts w:ascii="Arial" w:cs="Arial" w:eastAsia="Arial" w:hAnsi="Arial"/>
                <w:sz w:val="16"/>
                <w:szCs w:val="16"/>
                <w:color w:val="auto"/>
              </w:rPr>
              <w:t>(5,249)</w:t>
            </w:r>
          </w:p>
        </w:tc>
        <w:tc>
          <w:tcPr>
            <w:tcW w:w="0" w:type="dxa"/>
            <w:vAlign w:val="bottom"/>
          </w:tcPr>
          <w:p>
            <w:pPr>
              <w:spacing w:after="0"/>
              <w:rPr>
                <w:sz w:val="1"/>
                <w:szCs w:val="1"/>
                <w:color w:val="auto"/>
              </w:rPr>
            </w:pPr>
          </w:p>
        </w:tc>
      </w:tr>
      <w:tr>
        <w:trPr>
          <w:trHeight w:val="216"/>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Net cash used in financing activities</w:t>
            </w:r>
          </w:p>
        </w:tc>
        <w:tc>
          <w:tcPr>
            <w:tcW w:w="2160" w:type="dxa"/>
            <w:vAlign w:val="bottom"/>
            <w:gridSpan w:val="2"/>
            <w:shd w:val="clear" w:color="auto" w:fill="E5FFFF"/>
          </w:tcPr>
          <w:p>
            <w:pPr>
              <w:jc w:val="right"/>
              <w:ind w:right="219"/>
              <w:spacing w:after="0"/>
              <w:rPr>
                <w:sz w:val="20"/>
                <w:szCs w:val="20"/>
                <w:color w:val="auto"/>
              </w:rPr>
            </w:pPr>
            <w:r>
              <w:rPr>
                <w:rFonts w:ascii="Arial" w:cs="Arial" w:eastAsia="Arial" w:hAnsi="Arial"/>
                <w:sz w:val="16"/>
                <w:szCs w:val="16"/>
                <w:color w:val="auto"/>
              </w:rPr>
              <w:t>(42,330)</w:t>
            </w:r>
          </w:p>
        </w:tc>
        <w:tc>
          <w:tcPr>
            <w:tcW w:w="210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(32,247)</w:t>
            </w:r>
          </w:p>
        </w:tc>
        <w:tc>
          <w:tcPr>
            <w:tcW w:w="28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(74,577)</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1800" w:type="dxa"/>
            <w:vAlign w:val="bottom"/>
            <w:shd w:val="clear" w:color="auto" w:fill="000000"/>
          </w:tcPr>
          <w:p>
            <w:pPr>
              <w:spacing w:after="0" w:line="20" w:lineRule="exact"/>
              <w:rPr>
                <w:sz w:val="1"/>
                <w:szCs w:val="1"/>
                <w:color w:val="auto"/>
              </w:rPr>
            </w:pPr>
          </w:p>
        </w:tc>
        <w:tc>
          <w:tcPr>
            <w:tcW w:w="3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w w:val="74"/>
              </w:rPr>
              <w:t>)</w:t>
            </w:r>
          </w:p>
        </w:tc>
        <w:tc>
          <w:tcPr>
            <w:tcW w:w="1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ind w:right="2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line="20" w:lineRule="exact"/>
              <w:rPr>
                <w:sz w:val="1"/>
                <w:szCs w:val="1"/>
                <w:color w:val="auto"/>
              </w:rPr>
            </w:pPr>
          </w:p>
        </w:tc>
      </w:tr>
      <w:tr>
        <w:trPr>
          <w:trHeight w:val="196"/>
        </w:trPr>
        <w:tc>
          <w:tcPr>
            <w:tcW w:w="5080" w:type="dxa"/>
            <w:vAlign w:val="bottom"/>
            <w:vMerge w:val="continue"/>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(35,522</w:t>
            </w:r>
          </w:p>
        </w:tc>
        <w:tc>
          <w:tcPr>
            <w:tcW w:w="360" w:type="dxa"/>
            <w:vAlign w:val="bottom"/>
            <w:vMerge w:val="continue"/>
          </w:tcPr>
          <w:p>
            <w:pPr>
              <w:spacing w:after="0"/>
              <w:rPr>
                <w:sz w:val="17"/>
                <w:szCs w:val="17"/>
                <w:color w:val="auto"/>
              </w:rPr>
            </w:pPr>
          </w:p>
        </w:tc>
        <w:tc>
          <w:tcPr>
            <w:tcW w:w="23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(35,522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The critical accounting judgments and key sources of estimation uncertainty were disclosed in the Partnership’s annual consolidated financial statements for the year ended December 31, 2020 and remain unchanged.</w:t>
      </w:r>
    </w:p>
    <w:p>
      <w:pPr>
        <w:spacing w:after="0" w:line="172" w:lineRule="exact"/>
        <w:rPr>
          <w:sz w:val="20"/>
          <w:szCs w:val="20"/>
          <w:color w:val="auto"/>
        </w:rPr>
      </w:pPr>
    </w:p>
    <w:p>
      <w:pPr>
        <w:ind w:right="20" w:firstLine="324"/>
        <w:spacing w:after="0" w:line="278" w:lineRule="auto"/>
        <w:rPr>
          <w:sz w:val="20"/>
          <w:szCs w:val="20"/>
          <w:color w:val="auto"/>
        </w:rPr>
      </w:pPr>
      <w:r>
        <w:rPr>
          <w:rFonts w:ascii="Arial" w:cs="Arial" w:eastAsia="Arial" w:hAnsi="Arial"/>
          <w:sz w:val="16"/>
          <w:szCs w:val="16"/>
          <w:color w:val="auto"/>
        </w:rPr>
        <w:t>The unaudited condensed consolidated financial statements are expressed in thousands of U.S. Dollars (“USD”), which is the functional currency of the Partnership and each of its subsidiaries because their vessels operate in international shipping markets, in which revenues and expenses are primarily settled in USD and the Partnership’s most significant assets and liabilities are paid for and settled in USD.</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5" w:name="page26"/>
    <w:bookmarkEnd w:id="25"/>
    <w:p>
      <w:pPr>
        <w:ind w:left="340"/>
        <w:spacing w:after="0"/>
        <w:rPr>
          <w:sz w:val="20"/>
          <w:szCs w:val="20"/>
          <w:color w:val="auto"/>
        </w:rPr>
      </w:pPr>
      <w:r>
        <w:rPr>
          <w:rFonts w:ascii="Arial" w:cs="Arial" w:eastAsia="Arial" w:hAnsi="Arial"/>
          <w:sz w:val="15"/>
          <w:szCs w:val="15"/>
          <w:color w:val="auto"/>
        </w:rPr>
        <w:t>As of March 31, 2021, the Partnership’s current assets totaled $118,177 while current liabilities totaled $170,228, resulting in a negative working capital position of</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$52,051. Current liabilities include an amount of $19,760 of unearned revenue in relation to vessel hires received in advance (which represents a non-cash liability that will</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be recognized as revenues after March 31, 2021 as the services are rendered). In considering going concern, management has reviewed the Partnership’s future cash</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requirements, covenant compliance and earnings projections, incorporating the negative impact of the COVID-19 pandemic on near-term market rates.</w:t>
      </w:r>
    </w:p>
    <w:p>
      <w:pPr>
        <w:spacing w:after="0" w:line="231" w:lineRule="exact"/>
        <w:rPr>
          <w:sz w:val="20"/>
          <w:szCs w:val="20"/>
          <w:color w:val="auto"/>
        </w:rPr>
      </w:pPr>
    </w:p>
    <w:p>
      <w:pPr>
        <w:ind w:firstLine="324"/>
        <w:spacing w:after="0" w:line="286" w:lineRule="auto"/>
        <w:rPr>
          <w:sz w:val="20"/>
          <w:szCs w:val="20"/>
          <w:color w:val="auto"/>
        </w:rPr>
      </w:pPr>
      <w:r>
        <w:rPr>
          <w:rFonts w:ascii="Arial" w:cs="Arial" w:eastAsia="Arial" w:hAnsi="Arial"/>
          <w:sz w:val="15"/>
          <w:szCs w:val="15"/>
          <w:color w:val="auto"/>
        </w:rPr>
        <w:t>Management monitors the Partnership’s liquidity position throughout the year to ensure that it has access to sufficient funds to meet its forecast cash requirements, including debt service commitments, and to monitor compliance with the financial covenants within its loan facilities. Considering the volatile commercial and financial market conditions experienced over the last twelve months, management anticipates that the Partnership’s primary sources of funds for at least twelve months from the date of this report will be available cash, cash from operations and existing debt facilities. Management believes that these anticipated sources of funds, as well as its decision in 2020 to decrease the common unit distributions and preserve liquidity, will be sufficient for the Partnership to meet its liquidity needs and to comply with its banking covenants for at least twelve months from the date of this report and therefore it is appropriate to prepare the financial statements on a going concern basis. Additionally, the Partnership may enter into new debt facilities in the future, as well as public equity or debt instruments, although there can be no assurance that the Partnership will be able to obtain additional debt or equity financing on terms acceptable to the Partnership, which will also depend on financial, commercial and other factors, as well as a significant recovery in capital market conditions and a sustainable improvement in the LNG charter market, that are beyond the Partnership’s control. The Partnership’s long-term ability to repay its debts and maintain compliance with its debt covenants for at least twelve months from the date of this report without reliance on additional sources of finance is also dependent on a sustainable longer-term recovery in the LNG charter market from the market disruption observed in 2020 as a result of the COVID-19 outbreak.</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Adoption of new and revised IFRS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Standards and interpretations adopted in the current period</w:t>
      </w:r>
    </w:p>
    <w:p>
      <w:pPr>
        <w:spacing w:after="0" w:line="239" w:lineRule="exact"/>
        <w:rPr>
          <w:sz w:val="20"/>
          <w:szCs w:val="20"/>
          <w:color w:val="auto"/>
        </w:rPr>
      </w:pPr>
    </w:p>
    <w:p>
      <w:pPr>
        <w:ind w:right="200" w:firstLine="324"/>
        <w:spacing w:after="0" w:line="273" w:lineRule="auto"/>
        <w:rPr>
          <w:sz w:val="20"/>
          <w:szCs w:val="20"/>
          <w:color w:val="auto"/>
        </w:rPr>
      </w:pPr>
      <w:r>
        <w:rPr>
          <w:rFonts w:ascii="Arial" w:cs="Arial" w:eastAsia="Arial" w:hAnsi="Arial"/>
          <w:sz w:val="16"/>
          <w:szCs w:val="16"/>
          <w:color w:val="auto"/>
        </w:rPr>
        <w:t xml:space="preserve">In August 2020, the IASB issued the Phase 2 amendments to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IFRS 7 </w:t>
      </w:r>
      <w:r>
        <w:rPr>
          <w:rFonts w:ascii="Arial" w:cs="Arial" w:eastAsia="Arial" w:hAnsi="Arial"/>
          <w:sz w:val="16"/>
          <w:szCs w:val="16"/>
          <w:i w:val="1"/>
          <w:iCs w:val="1"/>
          <w:color w:val="auto"/>
        </w:rPr>
        <w:t>Financial Instruments: Disclosures</w:t>
      </w:r>
      <w:r>
        <w:rPr>
          <w:rFonts w:ascii="Arial" w:cs="Arial" w:eastAsia="Arial" w:hAnsi="Arial"/>
          <w:sz w:val="16"/>
          <w:szCs w:val="16"/>
          <w:color w:val="auto"/>
        </w:rPr>
        <w:t>, IFRS 4 and IFRS 16 in connection with the Phase 2 of the interest rate benchmark reform. The amendments address the issues arising from the implementation of the reforms, including the replacement of one benchmark with an alternative one. The amendment is effective for annual periods beginning on or after January 1, 2021. Management anticipates that this amendment will not have a material impact on the Partnership’s consolidated financial statements.</w:t>
      </w:r>
    </w:p>
    <w:p>
      <w:pPr>
        <w:spacing w:after="0" w:line="189"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There were no other IFRS standards or amendments that became effective in the current period which were relevant to the Partnership or material with respect to the Partnership’s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Standards and amendments in issue not yet adopted</w:t>
      </w:r>
    </w:p>
    <w:p>
      <w:pPr>
        <w:spacing w:after="0" w:line="23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5"/>
          <w:szCs w:val="15"/>
          <w:color w:val="auto"/>
        </w:rPr>
        <w:t xml:space="preserve">In January 2020, the IASB issued a narrow-scope amendment to IAS 1 </w:t>
      </w:r>
      <w:r>
        <w:rPr>
          <w:rFonts w:ascii="Arial" w:cs="Arial" w:eastAsia="Arial" w:hAnsi="Arial"/>
          <w:sz w:val="15"/>
          <w:szCs w:val="15"/>
          <w:i w:val="1"/>
          <w:iCs w:val="1"/>
          <w:color w:val="auto"/>
        </w:rPr>
        <w:t>Presentation of Financial Statements</w:t>
      </w:r>
      <w:r>
        <w:rPr>
          <w:rFonts w:ascii="Arial" w:cs="Arial" w:eastAsia="Arial" w:hAnsi="Arial"/>
          <w:sz w:val="15"/>
          <w:szCs w:val="15"/>
          <w:color w:val="auto"/>
        </w:rPr>
        <w:t xml:space="preserve">, to clarify that liabilities are classified as either current or non-current, depending on the rights that exist at the end of the reporting period. Classification is unaffected by the expectations of the entity or events after the reporting date (for example, the receipt of a waiver or a breach of covenant). The amendment also defines the “settlement” of a liability as the extinguishment of a liability with cash, other economic resources or an entity’s own equity instruments. The amendment will be effective for annual periods beginning on or after January 1, 2022 and should be applied retrospectively in accordance with IAS 8 </w:t>
      </w:r>
      <w:r>
        <w:rPr>
          <w:rFonts w:ascii="Arial" w:cs="Arial" w:eastAsia="Arial" w:hAnsi="Arial"/>
          <w:sz w:val="15"/>
          <w:szCs w:val="15"/>
          <w:i w:val="1"/>
          <w:iCs w:val="1"/>
          <w:color w:val="auto"/>
        </w:rPr>
        <w:t>Accounting Policies, Changes in Accounting Estimates and Errors</w:t>
      </w:r>
      <w:r>
        <w:rPr>
          <w:rFonts w:ascii="Arial" w:cs="Arial" w:eastAsia="Arial" w:hAnsi="Arial"/>
          <w:sz w:val="15"/>
          <w:szCs w:val="15"/>
          <w:color w:val="auto"/>
        </w:rPr>
        <w:t>. Earlier application is permitted. Management anticipates that this amendment will not have a material impact on the Partnership’s financial statements.</w:t>
      </w:r>
    </w:p>
    <w:p>
      <w:pPr>
        <w:spacing w:after="0" w:line="176" w:lineRule="exact"/>
        <w:rPr>
          <w:sz w:val="20"/>
          <w:szCs w:val="20"/>
          <w:color w:val="auto"/>
        </w:rPr>
      </w:pPr>
    </w:p>
    <w:p>
      <w:pPr>
        <w:ind w:right="300" w:firstLine="324"/>
        <w:spacing w:after="0" w:line="293" w:lineRule="auto"/>
        <w:rPr>
          <w:sz w:val="20"/>
          <w:szCs w:val="20"/>
          <w:color w:val="auto"/>
        </w:rPr>
      </w:pPr>
      <w:r>
        <w:rPr>
          <w:rFonts w:ascii="Arial" w:cs="Arial" w:eastAsia="Arial" w:hAnsi="Arial"/>
          <w:sz w:val="16"/>
          <w:szCs w:val="16"/>
          <w:color w:val="auto"/>
        </w:rPr>
        <w:t>At the date of authorization of these unaudited condensed consolidated financial statements, there were no other IFRS standards and amendments issued but not yet adopted with an expected material effect on the Partnership’s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Related party transactions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Partnership has the following balances with related parties, which have been included in the unaudited condensed consolidated statements of financial position: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due from related parties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00" w:type="dxa"/>
            <w:vAlign w:val="bottom"/>
            <w:tcBorders>
              <w:bottom w:val="single" w:sz="8" w:color="E5FFFF"/>
            </w:tcBorders>
          </w:tcPr>
          <w:p>
            <w:pPr>
              <w:spacing w:after="0"/>
              <w:rPr>
                <w:sz w:val="18"/>
                <w:szCs w:val="18"/>
                <w:color w:val="auto"/>
              </w:rPr>
            </w:pPr>
          </w:p>
        </w:tc>
        <w:tc>
          <w:tcPr>
            <w:tcW w:w="16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w w:val="91"/>
              </w:rPr>
              <w:t>December 31, 2020</w:t>
            </w: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E5FFFF"/>
            </w:tcBorders>
          </w:tcPr>
          <w:p>
            <w:pPr>
              <w:spacing w:after="0"/>
              <w:rPr>
                <w:sz w:val="18"/>
                <w:szCs w:val="18"/>
                <w:color w:val="auto"/>
              </w:rPr>
            </w:pPr>
          </w:p>
        </w:tc>
        <w:tc>
          <w:tcPr>
            <w:tcW w:w="1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March 31, 2021</w:t>
            </w:r>
          </w:p>
        </w:tc>
        <w:tc>
          <w:tcPr>
            <w:tcW w:w="100" w:type="dxa"/>
            <w:vAlign w:val="bottom"/>
            <w:tcBorders>
              <w:bottom w:val="single" w:sz="8" w:color="E5FFFF"/>
            </w:tcBorders>
            <w:gridSpan w:val="2"/>
          </w:tcPr>
          <w:p>
            <w:pPr>
              <w:spacing w:after="0"/>
              <w:rPr>
                <w:sz w:val="18"/>
                <w:szCs w:val="18"/>
                <w:color w:val="auto"/>
              </w:rPr>
            </w:pPr>
          </w:p>
        </w:tc>
      </w:tr>
      <w:tr>
        <w:trPr>
          <w:trHeight w:val="239"/>
        </w:trPr>
        <w:tc>
          <w:tcPr>
            <w:tcW w:w="7200" w:type="dxa"/>
            <w:vAlign w:val="bottom"/>
            <w:shd w:val="clear" w:color="auto" w:fill="E5FFFF"/>
          </w:tcPr>
          <w:p>
            <w:pPr>
              <w:ind w:left="80"/>
              <w:spacing w:after="0" w:line="240" w:lineRule="exact"/>
              <w:rPr>
                <w:sz w:val="20"/>
                <w:szCs w:val="20"/>
                <w:color w:val="auto"/>
              </w:rPr>
            </w:pPr>
            <w:r>
              <w:rPr>
                <w:rFonts w:ascii="Arial" w:cs="Arial" w:eastAsia="Arial" w:hAnsi="Arial"/>
                <w:sz w:val="16"/>
                <w:szCs w:val="16"/>
                <w:color w:val="auto"/>
              </w:rPr>
              <w:t xml:space="preserve">Due from GasLog </w:t>
            </w:r>
            <w:r>
              <w:rPr>
                <w:rFonts w:ascii="Arial" w:cs="Arial" w:eastAsia="Arial" w:hAnsi="Arial"/>
                <w:sz w:val="26"/>
                <w:szCs w:val="26"/>
                <w:color w:val="auto"/>
                <w:vertAlign w:val="superscript"/>
              </w:rPr>
              <w:t>(a)</w:t>
            </w:r>
          </w:p>
        </w:tc>
        <w:tc>
          <w:tcPr>
            <w:tcW w:w="1600" w:type="dxa"/>
            <w:vAlign w:val="bottom"/>
            <w:tcBorders>
              <w:bottom w:val="single" w:sz="8" w:color="auto"/>
            </w:tcBorders>
            <w:shd w:val="clear" w:color="auto" w:fill="E5FFFF"/>
          </w:tcPr>
          <w:p>
            <w:pPr>
              <w:spacing w:after="0"/>
              <w:rPr>
                <w:sz w:val="20"/>
                <w:szCs w:val="20"/>
                <w:color w:val="auto"/>
              </w:rPr>
            </w:pPr>
          </w:p>
        </w:tc>
        <w:tc>
          <w:tcPr>
            <w:tcW w:w="220" w:type="dxa"/>
            <w:vAlign w:val="bottom"/>
            <w:tcBorders>
              <w:bottom w:val="single" w:sz="8" w:color="auto"/>
            </w:tcBorders>
            <w:shd w:val="clear" w:color="auto" w:fill="E5FFFF"/>
          </w:tcPr>
          <w:p>
            <w:pPr>
              <w:ind w:left="60"/>
              <w:spacing w:after="0"/>
              <w:rPr>
                <w:sz w:val="20"/>
                <w:szCs w:val="20"/>
                <w:color w:val="auto"/>
              </w:rPr>
            </w:pPr>
            <w:r>
              <w:rPr>
                <w:rFonts w:ascii="Arial" w:cs="Arial" w:eastAsia="Arial" w:hAnsi="Arial"/>
                <w:sz w:val="16"/>
                <w:szCs w:val="16"/>
                <w:color w:val="auto"/>
                <w:w w:val="87"/>
              </w:rPr>
              <w:t>—</w:t>
            </w:r>
          </w:p>
        </w:tc>
        <w:tc>
          <w:tcPr>
            <w:tcW w:w="320" w:type="dxa"/>
            <w:vAlign w:val="bottom"/>
            <w:shd w:val="clear" w:color="auto" w:fill="E5FFFF"/>
          </w:tcPr>
          <w:p>
            <w:pPr>
              <w:spacing w:after="0"/>
              <w:rPr>
                <w:sz w:val="20"/>
                <w:szCs w:val="20"/>
                <w:color w:val="auto"/>
              </w:rPr>
            </w:pPr>
          </w:p>
        </w:tc>
        <w:tc>
          <w:tcPr>
            <w:tcW w:w="1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571</w:t>
            </w:r>
          </w:p>
        </w:tc>
        <w:tc>
          <w:tcPr>
            <w:tcW w:w="2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r>
      <w:tr>
        <w:trPr>
          <w:trHeight w:val="207"/>
        </w:trPr>
        <w:tc>
          <w:tcPr>
            <w:tcW w:w="7200" w:type="dxa"/>
            <w:vAlign w:val="bottom"/>
          </w:tcPr>
          <w:p>
            <w:pPr>
              <w:ind w:left="80"/>
              <w:spacing w:after="0"/>
              <w:rPr>
                <w:sz w:val="20"/>
                <w:szCs w:val="20"/>
                <w:color w:val="auto"/>
              </w:rPr>
            </w:pPr>
            <w:r>
              <w:rPr>
                <w:rFonts w:ascii="Arial" w:cs="Arial" w:eastAsia="Arial" w:hAnsi="Arial"/>
                <w:sz w:val="16"/>
                <w:szCs w:val="16"/>
                <w:b w:val="1"/>
                <w:bCs w:val="1"/>
                <w:color w:val="auto"/>
              </w:rPr>
              <w:t>Total</w:t>
            </w:r>
          </w:p>
        </w:tc>
        <w:tc>
          <w:tcPr>
            <w:tcW w:w="1600" w:type="dxa"/>
            <w:vAlign w:val="bottom"/>
          </w:tcPr>
          <w:p>
            <w:pPr>
              <w:spacing w:after="0"/>
              <w:rPr>
                <w:sz w:val="17"/>
                <w:szCs w:val="17"/>
                <w:color w:val="auto"/>
              </w:rPr>
            </w:pPr>
          </w:p>
        </w:tc>
        <w:tc>
          <w:tcPr>
            <w:tcW w:w="5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571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72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due to related parties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00" w:type="dxa"/>
            <w:vAlign w:val="bottom"/>
            <w:tcBorders>
              <w:bottom w:val="single" w:sz="8" w:color="E5FFFF"/>
            </w:tcBorders>
          </w:tcPr>
          <w:p>
            <w:pPr>
              <w:spacing w:after="0"/>
              <w:rPr>
                <w:sz w:val="18"/>
                <w:szCs w:val="18"/>
                <w:color w:val="auto"/>
              </w:rPr>
            </w:pPr>
          </w:p>
        </w:tc>
        <w:tc>
          <w:tcPr>
            <w:tcW w:w="18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December 31, 2020</w:t>
            </w:r>
          </w:p>
        </w:tc>
        <w:tc>
          <w:tcPr>
            <w:tcW w:w="320" w:type="dxa"/>
            <w:vAlign w:val="bottom"/>
            <w:tcBorders>
              <w:bottom w:val="single" w:sz="8" w:color="E5FFFF"/>
            </w:tcBorders>
          </w:tcPr>
          <w:p>
            <w:pPr>
              <w:spacing w:after="0"/>
              <w:rPr>
                <w:sz w:val="18"/>
                <w:szCs w:val="18"/>
                <w:color w:val="auto"/>
              </w:rPr>
            </w:pPr>
          </w:p>
        </w:tc>
        <w:tc>
          <w:tcPr>
            <w:tcW w:w="1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March 31, 2021</w:t>
            </w:r>
          </w:p>
        </w:tc>
        <w:tc>
          <w:tcPr>
            <w:tcW w:w="100" w:type="dxa"/>
            <w:vAlign w:val="bottom"/>
            <w:tcBorders>
              <w:bottom w:val="single" w:sz="8" w:color="E5FFFF"/>
            </w:tcBorders>
          </w:tcPr>
          <w:p>
            <w:pPr>
              <w:spacing w:after="0"/>
              <w:rPr>
                <w:sz w:val="18"/>
                <w:szCs w:val="18"/>
                <w:color w:val="auto"/>
              </w:rPr>
            </w:pPr>
          </w:p>
        </w:tc>
      </w:tr>
      <w:tr>
        <w:trPr>
          <w:trHeight w:val="226"/>
        </w:trPr>
        <w:tc>
          <w:tcPr>
            <w:tcW w:w="7200" w:type="dxa"/>
            <w:vAlign w:val="bottom"/>
            <w:shd w:val="clear" w:color="auto" w:fill="E5FFFF"/>
          </w:tcPr>
          <w:p>
            <w:pPr>
              <w:ind w:left="80"/>
              <w:spacing w:after="0" w:line="226" w:lineRule="exact"/>
              <w:rPr>
                <w:sz w:val="20"/>
                <w:szCs w:val="20"/>
                <w:color w:val="auto"/>
              </w:rPr>
            </w:pPr>
            <w:r>
              <w:rPr>
                <w:rFonts w:ascii="Arial" w:cs="Arial" w:eastAsia="Arial" w:hAnsi="Arial"/>
                <w:sz w:val="16"/>
                <w:szCs w:val="16"/>
                <w:color w:val="auto"/>
              </w:rPr>
              <w:t xml:space="preserve">Due to GasLog LNG Services </w:t>
            </w:r>
            <w:r>
              <w:rPr>
                <w:rFonts w:ascii="Arial" w:cs="Arial" w:eastAsia="Arial" w:hAnsi="Arial"/>
                <w:sz w:val="26"/>
                <w:szCs w:val="26"/>
                <w:color w:val="auto"/>
                <w:vertAlign w:val="superscript"/>
              </w:rPr>
              <w:t>(b)</w:t>
            </w:r>
          </w:p>
        </w:tc>
        <w:tc>
          <w:tcPr>
            <w:tcW w:w="18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7,361</w:t>
            </w:r>
          </w:p>
        </w:tc>
        <w:tc>
          <w:tcPr>
            <w:tcW w:w="320" w:type="dxa"/>
            <w:vAlign w:val="bottom"/>
            <w:shd w:val="clear" w:color="auto" w:fill="E5FFFF"/>
          </w:tcPr>
          <w:p>
            <w:pPr>
              <w:spacing w:after="0"/>
              <w:rPr>
                <w:sz w:val="19"/>
                <w:szCs w:val="19"/>
                <w:color w:val="auto"/>
              </w:rPr>
            </w:pPr>
          </w:p>
        </w:tc>
        <w:tc>
          <w:tcPr>
            <w:tcW w:w="19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2,181</w:t>
            </w:r>
          </w:p>
        </w:tc>
      </w:tr>
      <w:tr>
        <w:trPr>
          <w:trHeight w:val="256"/>
        </w:trPr>
        <w:tc>
          <w:tcPr>
            <w:tcW w:w="7200" w:type="dxa"/>
            <w:vAlign w:val="bottom"/>
          </w:tcPr>
          <w:p>
            <w:pPr>
              <w:ind w:left="80"/>
              <w:spacing w:after="0" w:line="256" w:lineRule="exact"/>
              <w:rPr>
                <w:sz w:val="20"/>
                <w:szCs w:val="20"/>
                <w:color w:val="auto"/>
              </w:rPr>
            </w:pPr>
            <w:r>
              <w:rPr>
                <w:rFonts w:ascii="Arial" w:cs="Arial" w:eastAsia="Arial" w:hAnsi="Arial"/>
                <w:sz w:val="16"/>
                <w:szCs w:val="16"/>
                <w:color w:val="auto"/>
              </w:rPr>
              <w:t xml:space="preserve">Due to GasLog </w:t>
            </w:r>
            <w:r>
              <w:rPr>
                <w:rFonts w:ascii="Arial" w:cs="Arial" w:eastAsia="Arial" w:hAnsi="Arial"/>
                <w:sz w:val="26"/>
                <w:szCs w:val="26"/>
                <w:color w:val="auto"/>
                <w:vertAlign w:val="superscript"/>
              </w:rPr>
              <w:t>(a)</w:t>
            </w:r>
          </w:p>
        </w:tc>
        <w:tc>
          <w:tcPr>
            <w:tcW w:w="1820" w:type="dxa"/>
            <w:vAlign w:val="bottom"/>
          </w:tcPr>
          <w:p>
            <w:pPr>
              <w:jc w:val="right"/>
              <w:spacing w:after="0"/>
              <w:rPr>
                <w:sz w:val="20"/>
                <w:szCs w:val="20"/>
                <w:color w:val="auto"/>
              </w:rPr>
            </w:pPr>
            <w:r>
              <w:rPr>
                <w:rFonts w:ascii="Arial" w:cs="Arial" w:eastAsia="Arial" w:hAnsi="Arial"/>
                <w:sz w:val="16"/>
                <w:szCs w:val="16"/>
                <w:color w:val="auto"/>
              </w:rPr>
              <w:t>164</w:t>
            </w:r>
          </w:p>
        </w:tc>
        <w:tc>
          <w:tcPr>
            <w:tcW w:w="320" w:type="dxa"/>
            <w:vAlign w:val="bottom"/>
          </w:tcPr>
          <w:p>
            <w:pPr>
              <w:spacing w:after="0"/>
              <w:rPr>
                <w:sz w:val="22"/>
                <w:szCs w:val="22"/>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7"/>
        </w:trPr>
        <w:tc>
          <w:tcPr>
            <w:tcW w:w="7200" w:type="dxa"/>
            <w:vAlign w:val="bottom"/>
            <w:tcBorders>
              <w:top w:val="single" w:sz="8" w:color="E5FFFF"/>
              <w:bottom w:val="single" w:sz="8" w:color="E5FFFF"/>
            </w:tcBorders>
            <w:shd w:val="clear" w:color="auto" w:fill="E5FFFF"/>
          </w:tcPr>
          <w:p>
            <w:pPr>
              <w:ind w:left="80"/>
              <w:spacing w:after="0"/>
              <w:rPr>
                <w:sz w:val="20"/>
                <w:szCs w:val="20"/>
                <w:color w:val="auto"/>
              </w:rPr>
            </w:pPr>
            <w:r>
              <w:rPr>
                <w:rFonts w:ascii="Arial" w:cs="Arial" w:eastAsia="Arial" w:hAnsi="Arial"/>
                <w:sz w:val="16"/>
                <w:szCs w:val="16"/>
                <w:b w:val="1"/>
                <w:bCs w:val="1"/>
                <w:color w:val="auto"/>
              </w:rPr>
              <w:t>Total</w:t>
            </w:r>
          </w:p>
        </w:tc>
        <w:tc>
          <w:tcPr>
            <w:tcW w:w="1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7,525</w:t>
            </w:r>
          </w:p>
        </w:tc>
        <w:tc>
          <w:tcPr>
            <w:tcW w:w="320" w:type="dxa"/>
            <w:vAlign w:val="bottom"/>
            <w:tcBorders>
              <w:top w:val="single" w:sz="8" w:color="E5FFFF"/>
              <w:bottom w:val="single" w:sz="8" w:color="E5FFFF"/>
            </w:tcBorders>
            <w:shd w:val="clear" w:color="auto" w:fill="E5FFFF"/>
          </w:tcPr>
          <w:p>
            <w:pPr>
              <w:spacing w:after="0"/>
              <w:rPr>
                <w:sz w:val="17"/>
                <w:szCs w:val="17"/>
                <w:color w:val="auto"/>
              </w:rPr>
            </w:pPr>
          </w:p>
        </w:tc>
        <w:tc>
          <w:tcPr>
            <w:tcW w:w="1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2,181</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r>
      <w:tr>
        <w:trPr>
          <w:trHeight w:val="20"/>
        </w:trPr>
        <w:tc>
          <w:tcPr>
            <w:tcW w:w="72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6" w:name="page27"/>
    <w:bookmarkEnd w:id="26"/>
    <w:p>
      <w:pPr>
        <w:ind w:left="660" w:right="140" w:hanging="328"/>
        <w:spacing w:after="0" w:line="230" w:lineRule="auto"/>
        <w:tabs>
          <w:tab w:leader="none" w:pos="660" w:val="left"/>
        </w:tabs>
        <w:numPr>
          <w:ilvl w:val="0"/>
          <w:numId w:val="13"/>
        </w:numPr>
        <w:rPr>
          <w:rFonts w:ascii="Arial" w:cs="Arial" w:eastAsia="Arial" w:hAnsi="Arial"/>
          <w:sz w:val="12"/>
          <w:szCs w:val="12"/>
          <w:color w:val="auto"/>
        </w:rPr>
      </w:pPr>
      <w:r>
        <w:rPr>
          <w:rFonts w:ascii="Arial" w:cs="Arial" w:eastAsia="Arial" w:hAnsi="Arial"/>
          <w:sz w:val="14"/>
          <w:szCs w:val="14"/>
          <w:color w:val="auto"/>
        </w:rPr>
        <w:t>As of March 31, 2021, the balance represents mainly net amounts advanced to GasLog to cover expenses of the Partnership. As of December 31, 2020, the balance represents mainly payments made by GasLog on behalf of the Partnership.</w:t>
      </w:r>
    </w:p>
    <w:p>
      <w:pPr>
        <w:ind w:left="660" w:hanging="328"/>
        <w:spacing w:after="0"/>
        <w:tabs>
          <w:tab w:leader="none" w:pos="660" w:val="left"/>
        </w:tabs>
        <w:numPr>
          <w:ilvl w:val="0"/>
          <w:numId w:val="13"/>
        </w:numPr>
        <w:rPr>
          <w:rFonts w:ascii="Arial" w:cs="Arial" w:eastAsia="Arial" w:hAnsi="Arial"/>
          <w:sz w:val="12"/>
          <w:szCs w:val="12"/>
          <w:color w:val="auto"/>
        </w:rPr>
      </w:pPr>
      <w:r>
        <w:rPr>
          <w:rFonts w:ascii="Arial" w:cs="Arial" w:eastAsia="Arial" w:hAnsi="Arial"/>
          <w:sz w:val="14"/>
          <w:szCs w:val="14"/>
          <w:color w:val="auto"/>
        </w:rPr>
        <w:t>The balances represent mainly payments made by GasLog LNG Services on behalf of the Partnership.</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Loans due to related parties</w:t>
      </w:r>
    </w:p>
    <w:p>
      <w:pPr>
        <w:spacing w:after="0" w:line="235" w:lineRule="exact"/>
        <w:rPr>
          <w:sz w:val="20"/>
          <w:szCs w:val="20"/>
          <w:color w:val="auto"/>
        </w:rPr>
      </w:pPr>
    </w:p>
    <w:p>
      <w:pPr>
        <w:ind w:right="560" w:firstLine="324"/>
        <w:spacing w:after="0" w:line="293" w:lineRule="auto"/>
        <w:rPr>
          <w:sz w:val="20"/>
          <w:szCs w:val="20"/>
          <w:color w:val="auto"/>
        </w:rPr>
      </w:pPr>
      <w:r>
        <w:rPr>
          <w:rFonts w:ascii="Arial" w:cs="Arial" w:eastAsia="Arial" w:hAnsi="Arial"/>
          <w:sz w:val="16"/>
          <w:szCs w:val="16"/>
          <w:color w:val="auto"/>
        </w:rPr>
        <w:t>The main terms of the revolving credit facility of $30,000 with GasLog (the “Sponsor Credit Facility”) have been disclosed in the annual consolidated financial statements for the year ended December 31, 2020. Refer to Note 6 “Borrowings”.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2020 and March 31, 2021, the amount outstanding under the Sponsor Credit Facility was nil.</w:t>
      </w:r>
    </w:p>
    <w:p>
      <w:pPr>
        <w:spacing w:after="0" w:line="235" w:lineRule="exact"/>
        <w:rPr>
          <w:sz w:val="20"/>
          <w:szCs w:val="20"/>
          <w:color w:val="auto"/>
        </w:rPr>
      </w:pPr>
    </w:p>
    <w:p>
      <w:pPr>
        <w:ind w:right="340" w:firstLine="324"/>
        <w:spacing w:after="0" w:line="278" w:lineRule="auto"/>
        <w:rPr>
          <w:sz w:val="20"/>
          <w:szCs w:val="20"/>
          <w:color w:val="auto"/>
        </w:rPr>
      </w:pPr>
      <w:r>
        <w:rPr>
          <w:rFonts w:ascii="Arial" w:cs="Arial" w:eastAsia="Arial" w:hAnsi="Arial"/>
          <w:sz w:val="16"/>
          <w:szCs w:val="16"/>
          <w:color w:val="auto"/>
        </w:rPr>
        <w:t>The main terms of the Partnership’s related party transactions, including the commercial management agreements, administrative services agreement and ship management agreements with GasLog and GasLog LNG Services, have been disclosed in the annual consolidated financial statements for the year ended December 31, 2020. Refer to Note 13 “Related Party Transactions”.</w:t>
      </w:r>
    </w:p>
    <w:p>
      <w:pPr>
        <w:spacing w:after="0" w:line="184"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Partnership had the following transactions with such related parties, which have been included in the unaudited condensed consolidated statements of profit or loss for the three months ended March 31, 2020 and 2021: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40" w:type="dxa"/>
            <w:vAlign w:val="bottom"/>
            <w:gridSpan w:val="4"/>
          </w:tcPr>
          <w:p>
            <w:pPr>
              <w:ind w:left="76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49"/>
        </w:trPr>
        <w:tc>
          <w:tcPr>
            <w:tcW w:w="226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Company</w:t>
            </w:r>
          </w:p>
        </w:tc>
        <w:tc>
          <w:tcPr>
            <w:tcW w:w="240" w:type="dxa"/>
            <w:vAlign w:val="bottom"/>
            <w:vMerge w:val="restart"/>
          </w:tcPr>
          <w:p>
            <w:pPr>
              <w:spacing w:after="0"/>
              <w:rPr>
                <w:sz w:val="12"/>
                <w:szCs w:val="12"/>
                <w:color w:val="auto"/>
              </w:rPr>
            </w:pPr>
          </w:p>
        </w:tc>
        <w:tc>
          <w:tcPr>
            <w:tcW w:w="224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Details</w:t>
            </w:r>
          </w:p>
        </w:tc>
        <w:tc>
          <w:tcPr>
            <w:tcW w:w="240" w:type="dxa"/>
            <w:vAlign w:val="bottom"/>
            <w:vMerge w:val="restart"/>
          </w:tcPr>
          <w:p>
            <w:pPr>
              <w:spacing w:after="0"/>
              <w:rPr>
                <w:sz w:val="12"/>
                <w:szCs w:val="12"/>
                <w:color w:val="auto"/>
              </w:rPr>
            </w:pPr>
          </w:p>
        </w:tc>
        <w:tc>
          <w:tcPr>
            <w:tcW w:w="270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Account</w:t>
            </w:r>
          </w:p>
        </w:tc>
        <w:tc>
          <w:tcPr>
            <w:tcW w:w="220" w:type="dxa"/>
            <w:vAlign w:val="bottom"/>
            <w:vMerge w:val="restart"/>
          </w:tcPr>
          <w:p>
            <w:pPr>
              <w:spacing w:after="0"/>
              <w:rPr>
                <w:sz w:val="12"/>
                <w:szCs w:val="12"/>
                <w:color w:val="auto"/>
              </w:rPr>
            </w:pPr>
          </w:p>
        </w:tc>
        <w:tc>
          <w:tcPr>
            <w:tcW w:w="1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March 31,</w:t>
            </w:r>
          </w:p>
        </w:tc>
        <w:tc>
          <w:tcPr>
            <w:tcW w:w="1560" w:type="dxa"/>
            <w:vAlign w:val="bottom"/>
            <w:gridSpan w:val="2"/>
          </w:tcPr>
          <w:p>
            <w:pPr>
              <w:ind w:left="420"/>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2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E5FFFF"/>
            </w:tcBorders>
            <w:vMerge w:val="continue"/>
          </w:tcPr>
          <w:p>
            <w:pPr>
              <w:spacing w:after="0"/>
              <w:rPr>
                <w:sz w:val="14"/>
                <w:szCs w:val="14"/>
                <w:color w:val="auto"/>
              </w:rPr>
            </w:pPr>
          </w:p>
        </w:tc>
        <w:tc>
          <w:tcPr>
            <w:tcW w:w="22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E5FFFF"/>
            </w:tcBorders>
            <w:vMerge w:val="continue"/>
          </w:tcPr>
          <w:p>
            <w:pPr>
              <w:spacing w:after="0"/>
              <w:rPr>
                <w:sz w:val="14"/>
                <w:szCs w:val="14"/>
                <w:color w:val="auto"/>
              </w:rPr>
            </w:pPr>
          </w:p>
        </w:tc>
        <w:tc>
          <w:tcPr>
            <w:tcW w:w="27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E5FFFF"/>
            </w:tcBorders>
            <w:vMerge w:val="continue"/>
          </w:tcPr>
          <w:p>
            <w:pPr>
              <w:spacing w:after="0"/>
              <w:rPr>
                <w:sz w:val="14"/>
                <w:szCs w:val="14"/>
                <w:color w:val="auto"/>
              </w:rPr>
            </w:pPr>
          </w:p>
        </w:tc>
        <w:tc>
          <w:tcPr>
            <w:tcW w:w="14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E5FFFF"/>
            </w:tcBorders>
          </w:tcPr>
          <w:p>
            <w:pPr>
              <w:spacing w:after="0"/>
              <w:rPr>
                <w:sz w:val="14"/>
                <w:szCs w:val="14"/>
                <w:color w:val="auto"/>
              </w:rPr>
            </w:pPr>
          </w:p>
        </w:tc>
        <w:tc>
          <w:tcPr>
            <w:tcW w:w="14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E5FF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60" w:type="dxa"/>
            <w:vAlign w:val="bottom"/>
            <w:shd w:val="clear" w:color="auto" w:fill="E5FFFF"/>
          </w:tcPr>
          <w:p>
            <w:pPr>
              <w:spacing w:after="0" w:line="183" w:lineRule="exact"/>
              <w:rPr>
                <w:sz w:val="20"/>
                <w:szCs w:val="20"/>
                <w:color w:val="auto"/>
              </w:rPr>
            </w:pPr>
            <w:r>
              <w:rPr>
                <w:rFonts w:ascii="Arial" w:cs="Arial" w:eastAsia="Arial" w:hAnsi="Arial"/>
                <w:sz w:val="13"/>
                <w:szCs w:val="13"/>
                <w:color w:val="auto"/>
              </w:rPr>
              <w:t>GasLog/ GasLog LNG Services</w:t>
            </w:r>
            <w:r>
              <w:rPr>
                <w:rFonts w:ascii="Arial" w:cs="Arial" w:eastAsia="Arial" w:hAnsi="Arial"/>
                <w:sz w:val="21"/>
                <w:szCs w:val="21"/>
                <w:color w:val="auto"/>
                <w:vertAlign w:val="superscript"/>
              </w:rPr>
              <w:t>(i)</w:t>
            </w:r>
          </w:p>
        </w:tc>
        <w:tc>
          <w:tcPr>
            <w:tcW w:w="240" w:type="dxa"/>
            <w:vAlign w:val="bottom"/>
            <w:shd w:val="clear" w:color="auto" w:fill="E5FFFF"/>
          </w:tcPr>
          <w:p>
            <w:pPr>
              <w:spacing w:after="0"/>
              <w:rPr>
                <w:sz w:val="15"/>
                <w:szCs w:val="15"/>
                <w:color w:val="auto"/>
              </w:rPr>
            </w:pPr>
          </w:p>
        </w:tc>
        <w:tc>
          <w:tcPr>
            <w:tcW w:w="248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Commercial management fees</w:t>
            </w:r>
          </w:p>
        </w:tc>
        <w:tc>
          <w:tcPr>
            <w:tcW w:w="2700" w:type="dxa"/>
            <w:vAlign w:val="bottom"/>
            <w:shd w:val="clear" w:color="auto" w:fill="E5FFFF"/>
          </w:tcPr>
          <w:p>
            <w:pPr>
              <w:spacing w:after="0"/>
              <w:rPr>
                <w:sz w:val="20"/>
                <w:szCs w:val="20"/>
                <w:color w:val="auto"/>
              </w:rPr>
            </w:pPr>
            <w:r>
              <w:rPr>
                <w:rFonts w:ascii="Arial" w:cs="Arial" w:eastAsia="Arial" w:hAnsi="Arial"/>
                <w:sz w:val="14"/>
                <w:szCs w:val="14"/>
                <w:color w:val="auto"/>
              </w:rPr>
              <w:t>General and administrative expenses</w:t>
            </w:r>
          </w:p>
        </w:tc>
        <w:tc>
          <w:tcPr>
            <w:tcW w:w="220" w:type="dxa"/>
            <w:vAlign w:val="bottom"/>
            <w:shd w:val="clear" w:color="auto" w:fill="E5FFFF"/>
          </w:tcPr>
          <w:p>
            <w:pPr>
              <w:spacing w:after="0"/>
              <w:rPr>
                <w:sz w:val="15"/>
                <w:szCs w:val="15"/>
                <w:color w:val="auto"/>
              </w:rPr>
            </w:pPr>
          </w:p>
        </w:tc>
        <w:tc>
          <w:tcPr>
            <w:tcW w:w="178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1,350</w:t>
            </w:r>
          </w:p>
        </w:tc>
        <w:tc>
          <w:tcPr>
            <w:tcW w:w="156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1,350</w:t>
            </w:r>
          </w:p>
        </w:tc>
        <w:tc>
          <w:tcPr>
            <w:tcW w:w="0" w:type="dxa"/>
            <w:vAlign w:val="bottom"/>
          </w:tcPr>
          <w:p>
            <w:pPr>
              <w:spacing w:after="0"/>
              <w:rPr>
                <w:sz w:val="1"/>
                <w:szCs w:val="1"/>
                <w:color w:val="auto"/>
              </w:rPr>
            </w:pPr>
          </w:p>
        </w:tc>
      </w:tr>
      <w:tr>
        <w:trPr>
          <w:trHeight w:val="189"/>
        </w:trPr>
        <w:tc>
          <w:tcPr>
            <w:tcW w:w="2500" w:type="dxa"/>
            <w:vAlign w:val="bottom"/>
            <w:gridSpan w:val="2"/>
          </w:tcPr>
          <w:p>
            <w:pPr>
              <w:spacing w:after="0"/>
              <w:rPr>
                <w:sz w:val="20"/>
                <w:szCs w:val="20"/>
                <w:color w:val="auto"/>
              </w:rPr>
            </w:pPr>
            <w:r>
              <w:rPr>
                <w:rFonts w:ascii="Arial" w:cs="Arial" w:eastAsia="Arial" w:hAnsi="Arial"/>
                <w:sz w:val="14"/>
                <w:szCs w:val="14"/>
                <w:color w:val="auto"/>
              </w:rPr>
              <w:t>GasLog</w:t>
            </w:r>
          </w:p>
        </w:tc>
        <w:tc>
          <w:tcPr>
            <w:tcW w:w="2480" w:type="dxa"/>
            <w:vAlign w:val="bottom"/>
            <w:gridSpan w:val="2"/>
          </w:tcPr>
          <w:p>
            <w:pPr>
              <w:spacing w:after="0" w:line="189" w:lineRule="exact"/>
              <w:rPr>
                <w:sz w:val="20"/>
                <w:szCs w:val="20"/>
                <w:color w:val="auto"/>
              </w:rPr>
            </w:pPr>
            <w:r>
              <w:rPr>
                <w:rFonts w:ascii="Arial" w:cs="Arial" w:eastAsia="Arial" w:hAnsi="Arial"/>
                <w:sz w:val="13"/>
                <w:szCs w:val="13"/>
                <w:color w:val="auto"/>
              </w:rPr>
              <w:t>Administrative services fees</w:t>
            </w:r>
            <w:r>
              <w:rPr>
                <w:rFonts w:ascii="Arial" w:cs="Arial" w:eastAsia="Arial" w:hAnsi="Arial"/>
                <w:sz w:val="21"/>
                <w:szCs w:val="21"/>
                <w:color w:val="auto"/>
                <w:vertAlign w:val="superscript"/>
              </w:rPr>
              <w:t>(ii)</w:t>
            </w:r>
          </w:p>
        </w:tc>
        <w:tc>
          <w:tcPr>
            <w:tcW w:w="2920" w:type="dxa"/>
            <w:vAlign w:val="bottom"/>
            <w:gridSpan w:val="2"/>
          </w:tcPr>
          <w:p>
            <w:pPr>
              <w:spacing w:after="0"/>
              <w:rPr>
                <w:sz w:val="20"/>
                <w:szCs w:val="20"/>
                <w:color w:val="auto"/>
              </w:rPr>
            </w:pPr>
            <w:r>
              <w:rPr>
                <w:rFonts w:ascii="Arial" w:cs="Arial" w:eastAsia="Arial" w:hAnsi="Arial"/>
                <w:sz w:val="14"/>
                <w:szCs w:val="14"/>
                <w:color w:val="auto"/>
              </w:rPr>
              <w:t>General and administrative expenses</w:t>
            </w:r>
          </w:p>
        </w:tc>
        <w:tc>
          <w:tcPr>
            <w:tcW w:w="1780" w:type="dxa"/>
            <w:vAlign w:val="bottom"/>
            <w:gridSpan w:val="2"/>
          </w:tcPr>
          <w:p>
            <w:pPr>
              <w:jc w:val="right"/>
              <w:ind w:right="320"/>
              <w:spacing w:after="0"/>
              <w:rPr>
                <w:sz w:val="20"/>
                <w:szCs w:val="20"/>
                <w:color w:val="auto"/>
              </w:rPr>
            </w:pPr>
            <w:r>
              <w:rPr>
                <w:rFonts w:ascii="Arial" w:cs="Arial" w:eastAsia="Arial" w:hAnsi="Arial"/>
                <w:sz w:val="14"/>
                <w:szCs w:val="14"/>
                <w:color w:val="auto"/>
              </w:rPr>
              <w:t>1,960</w:t>
            </w:r>
          </w:p>
        </w:tc>
        <w:tc>
          <w:tcPr>
            <w:tcW w:w="1560" w:type="dxa"/>
            <w:vAlign w:val="bottom"/>
            <w:gridSpan w:val="2"/>
          </w:tcPr>
          <w:p>
            <w:pPr>
              <w:jc w:val="right"/>
              <w:ind w:right="100"/>
              <w:spacing w:after="0"/>
              <w:rPr>
                <w:sz w:val="20"/>
                <w:szCs w:val="20"/>
                <w:color w:val="auto"/>
              </w:rPr>
            </w:pPr>
            <w:r>
              <w:rPr>
                <w:rFonts w:ascii="Arial" w:cs="Arial" w:eastAsia="Arial" w:hAnsi="Arial"/>
                <w:sz w:val="14"/>
                <w:szCs w:val="14"/>
                <w:color w:val="auto"/>
              </w:rPr>
              <w:t>1,177</w:t>
            </w:r>
          </w:p>
        </w:tc>
        <w:tc>
          <w:tcPr>
            <w:tcW w:w="0" w:type="dxa"/>
            <w:vAlign w:val="bottom"/>
          </w:tcPr>
          <w:p>
            <w:pPr>
              <w:spacing w:after="0"/>
              <w:rPr>
                <w:sz w:val="1"/>
                <w:szCs w:val="1"/>
                <w:color w:val="auto"/>
              </w:rPr>
            </w:pPr>
          </w:p>
        </w:tc>
      </w:tr>
      <w:tr>
        <w:trPr>
          <w:trHeight w:val="148"/>
        </w:trPr>
        <w:tc>
          <w:tcPr>
            <w:tcW w:w="250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GasLog LNG Services</w:t>
            </w:r>
          </w:p>
        </w:tc>
        <w:tc>
          <w:tcPr>
            <w:tcW w:w="248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Management fees</w:t>
            </w:r>
          </w:p>
        </w:tc>
        <w:tc>
          <w:tcPr>
            <w:tcW w:w="29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Vessel operating costs</w:t>
            </w:r>
          </w:p>
        </w:tc>
        <w:tc>
          <w:tcPr>
            <w:tcW w:w="178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1,932</w:t>
            </w:r>
          </w:p>
        </w:tc>
        <w:tc>
          <w:tcPr>
            <w:tcW w:w="156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1,932</w:t>
            </w:r>
          </w:p>
        </w:tc>
        <w:tc>
          <w:tcPr>
            <w:tcW w:w="0" w:type="dxa"/>
            <w:vAlign w:val="bottom"/>
          </w:tcPr>
          <w:p>
            <w:pPr>
              <w:spacing w:after="0"/>
              <w:rPr>
                <w:sz w:val="1"/>
                <w:szCs w:val="1"/>
                <w:color w:val="auto"/>
              </w:rPr>
            </w:pPr>
          </w:p>
        </w:tc>
      </w:tr>
      <w:tr>
        <w:trPr>
          <w:trHeight w:val="148"/>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GasLog LNG Services</w:t>
            </w: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Other vessel operating costs</w:t>
            </w:r>
          </w:p>
        </w:tc>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Vessel operating costs</w:t>
            </w:r>
          </w:p>
        </w:tc>
        <w:tc>
          <w:tcPr>
            <w:tcW w:w="1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w:t>
            </w:r>
          </w:p>
        </w:tc>
        <w:tc>
          <w:tcPr>
            <w:tcW w:w="1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0"/>
        </w:trPr>
        <w:tc>
          <w:tcPr>
            <w:tcW w:w="250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GasLog</w:t>
            </w:r>
          </w:p>
        </w:tc>
        <w:tc>
          <w:tcPr>
            <w:tcW w:w="248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Commitment fee under Sponsor Credit</w:t>
            </w:r>
          </w:p>
        </w:tc>
        <w:tc>
          <w:tcPr>
            <w:tcW w:w="292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Financial costs</w:t>
            </w:r>
          </w:p>
        </w:tc>
        <w:tc>
          <w:tcPr>
            <w:tcW w:w="146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4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6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248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Facility</w:t>
            </w:r>
          </w:p>
        </w:tc>
        <w:tc>
          <w:tcPr>
            <w:tcW w:w="270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78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76</w:t>
            </w:r>
          </w:p>
        </w:tc>
        <w:tc>
          <w:tcPr>
            <w:tcW w:w="156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30"/>
        </w:trPr>
        <w:tc>
          <w:tcPr>
            <w:tcW w:w="2500" w:type="dxa"/>
            <w:vAlign w:val="bottom"/>
            <w:gridSpan w:val="2"/>
          </w:tcPr>
          <w:p>
            <w:pPr>
              <w:spacing w:after="0" w:line="130" w:lineRule="exact"/>
              <w:rPr>
                <w:sz w:val="20"/>
                <w:szCs w:val="20"/>
                <w:color w:val="auto"/>
              </w:rPr>
            </w:pPr>
            <w:r>
              <w:rPr>
                <w:rFonts w:ascii="Arial" w:cs="Arial" w:eastAsia="Arial" w:hAnsi="Arial"/>
                <w:sz w:val="14"/>
                <w:szCs w:val="14"/>
                <w:color w:val="auto"/>
              </w:rPr>
              <w:t>GasLog</w:t>
            </w:r>
          </w:p>
        </w:tc>
        <w:tc>
          <w:tcPr>
            <w:tcW w:w="2480" w:type="dxa"/>
            <w:vAlign w:val="bottom"/>
            <w:gridSpan w:val="2"/>
          </w:tcPr>
          <w:p>
            <w:pPr>
              <w:spacing w:after="0" w:line="130" w:lineRule="exact"/>
              <w:rPr>
                <w:sz w:val="20"/>
                <w:szCs w:val="20"/>
                <w:color w:val="auto"/>
              </w:rPr>
            </w:pPr>
            <w:r>
              <w:rPr>
                <w:rFonts w:ascii="Arial" w:cs="Arial" w:eastAsia="Arial" w:hAnsi="Arial"/>
                <w:sz w:val="14"/>
                <w:szCs w:val="14"/>
                <w:color w:val="auto"/>
              </w:rPr>
              <w:t>Realized loss on interest rate swaps</w:t>
            </w:r>
          </w:p>
        </w:tc>
        <w:tc>
          <w:tcPr>
            <w:tcW w:w="2920" w:type="dxa"/>
            <w:vAlign w:val="bottom"/>
            <w:gridSpan w:val="2"/>
          </w:tcPr>
          <w:p>
            <w:pPr>
              <w:spacing w:after="0" w:line="130" w:lineRule="exact"/>
              <w:rPr>
                <w:sz w:val="20"/>
                <w:szCs w:val="20"/>
                <w:color w:val="auto"/>
              </w:rPr>
            </w:pPr>
            <w:r>
              <w:rPr>
                <w:rFonts w:ascii="Arial" w:cs="Arial" w:eastAsia="Arial" w:hAnsi="Arial"/>
                <w:sz w:val="14"/>
                <w:szCs w:val="14"/>
                <w:color w:val="auto"/>
              </w:rPr>
              <w:t>(Loss)/gain on derivatives</w:t>
            </w:r>
          </w:p>
        </w:tc>
        <w:tc>
          <w:tcPr>
            <w:tcW w:w="1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Arial" w:cs="Arial" w:eastAsia="Arial" w:hAnsi="Arial"/>
                <w:sz w:val="14"/>
                <w:szCs w:val="14"/>
                <w:color w:val="auto"/>
              </w:rPr>
              <w:t>(Note 12)</w:t>
            </w: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4"/>
                <w:szCs w:val="14"/>
                <w:color w:val="auto"/>
              </w:rPr>
              <w:t>293</w:t>
            </w:r>
          </w:p>
        </w:tc>
        <w:tc>
          <w:tcPr>
            <w:tcW w:w="1560" w:type="dxa"/>
            <w:vAlign w:val="bottom"/>
            <w:gridSpan w:val="2"/>
          </w:tcPr>
          <w:p>
            <w:pPr>
              <w:jc w:val="right"/>
              <w:ind w:right="100"/>
              <w:spacing w:after="0"/>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130"/>
        </w:trPr>
        <w:tc>
          <w:tcPr>
            <w:tcW w:w="250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GasLog</w:t>
            </w:r>
          </w:p>
        </w:tc>
        <w:tc>
          <w:tcPr>
            <w:tcW w:w="248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Realized loss on forward foreign</w:t>
            </w:r>
          </w:p>
        </w:tc>
        <w:tc>
          <w:tcPr>
            <w:tcW w:w="292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(Loss)/gain on derivatives</w:t>
            </w:r>
          </w:p>
        </w:tc>
        <w:tc>
          <w:tcPr>
            <w:tcW w:w="146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4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248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exchange contracts held for trading</w:t>
            </w:r>
          </w:p>
        </w:tc>
        <w:tc>
          <w:tcPr>
            <w:tcW w:w="270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46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6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248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(Note 12)</w:t>
            </w:r>
          </w:p>
        </w:tc>
        <w:tc>
          <w:tcPr>
            <w:tcW w:w="270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78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175</w:t>
            </w:r>
          </w:p>
        </w:tc>
        <w:tc>
          <w:tcPr>
            <w:tcW w:w="156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4" w:lineRule="exact"/>
        <w:rPr>
          <w:sz w:val="20"/>
          <w:szCs w:val="20"/>
          <w:color w:val="auto"/>
        </w:rPr>
      </w:pPr>
    </w:p>
    <w:p>
      <w:pPr>
        <w:ind w:left="380" w:right="440" w:hanging="332"/>
        <w:spacing w:after="0" w:line="253" w:lineRule="auto"/>
        <w:tabs>
          <w:tab w:leader="none" w:pos="380" w:val="left"/>
        </w:tabs>
        <w:numPr>
          <w:ilvl w:val="1"/>
          <w:numId w:val="14"/>
        </w:numPr>
        <w:rPr>
          <w:rFonts w:ascii="Arial" w:cs="Arial" w:eastAsia="Arial" w:hAnsi="Arial"/>
          <w:sz w:val="12"/>
          <w:szCs w:val="12"/>
          <w:color w:val="auto"/>
        </w:rPr>
      </w:pPr>
      <w:r>
        <w:rPr>
          <w:rFonts w:ascii="Arial" w:cs="Arial" w:eastAsia="Arial" w:hAnsi="Arial"/>
          <w:sz w:val="14"/>
          <w:szCs w:val="14"/>
          <w:color w:val="auto"/>
        </w:rPr>
        <w:t>Effective July 21, 2020 and October 1, 2020, the commercial management agreements between the vessel-owning entities and GasLog were novated to GasLog LNG Services as the provider of commercial management services.</w:t>
      </w:r>
    </w:p>
    <w:p>
      <w:pPr>
        <w:spacing w:after="0" w:line="106" w:lineRule="exact"/>
        <w:rPr>
          <w:rFonts w:ascii="Arial" w:cs="Arial" w:eastAsia="Arial" w:hAnsi="Arial"/>
          <w:sz w:val="12"/>
          <w:szCs w:val="12"/>
          <w:color w:val="auto"/>
        </w:rPr>
      </w:pPr>
    </w:p>
    <w:p>
      <w:pPr>
        <w:ind w:left="340" w:hanging="332"/>
        <w:spacing w:after="0"/>
        <w:tabs>
          <w:tab w:leader="none" w:pos="340" w:val="left"/>
        </w:tabs>
        <w:numPr>
          <w:ilvl w:val="1"/>
          <w:numId w:val="14"/>
        </w:numPr>
        <w:rPr>
          <w:rFonts w:ascii="Arial" w:cs="Arial" w:eastAsia="Arial" w:hAnsi="Arial"/>
          <w:sz w:val="12"/>
          <w:szCs w:val="12"/>
          <w:color w:val="auto"/>
        </w:rPr>
      </w:pPr>
      <w:r>
        <w:rPr>
          <w:rFonts w:ascii="Arial" w:cs="Arial" w:eastAsia="Arial" w:hAnsi="Arial"/>
          <w:sz w:val="14"/>
          <w:szCs w:val="14"/>
          <w:color w:val="auto"/>
        </w:rPr>
        <w:t>Effective January 1, 2021, the administrative services fee was reduced to $314 per vessel per year, from $523 effective since January 1, 2020.</w:t>
      </w:r>
    </w:p>
    <w:p>
      <w:pPr>
        <w:spacing w:after="0" w:line="221" w:lineRule="exact"/>
        <w:rPr>
          <w:rFonts w:ascii="Arial" w:cs="Arial" w:eastAsia="Arial" w:hAnsi="Arial"/>
          <w:sz w:val="12"/>
          <w:szCs w:val="12"/>
          <w:color w:val="auto"/>
        </w:rPr>
      </w:pPr>
    </w:p>
    <w:p>
      <w:pPr>
        <w:ind w:left="180" w:hanging="172"/>
        <w:spacing w:after="0"/>
        <w:tabs>
          <w:tab w:leader="none" w:pos="18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Tangible Fixed Assets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movement in tangible fixed assets (i.e. vessels and their associated depot spares) is reported in the following table:</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Cost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As of January 1, 2021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Additions</w:t>
      </w:r>
    </w:p>
    <w:p>
      <w:pPr>
        <w:spacing w:after="0" w:line="19" w:lineRule="exact"/>
        <w:rPr>
          <w:sz w:val="20"/>
          <w:szCs w:val="20"/>
          <w:color w:val="auto"/>
        </w:rPr>
      </w:pPr>
    </w:p>
    <w:p>
      <w:pPr>
        <w:ind w:right="1720"/>
        <w:spacing w:after="0" w:line="305" w:lineRule="auto"/>
        <w:rPr>
          <w:sz w:val="20"/>
          <w:szCs w:val="20"/>
          <w:color w:val="auto"/>
        </w:rPr>
      </w:pPr>
      <w:r>
        <w:rPr>
          <w:rFonts w:ascii="Arial" w:cs="Arial" w:eastAsia="Arial" w:hAnsi="Arial"/>
          <w:sz w:val="16"/>
          <w:szCs w:val="16"/>
          <w:color w:val="auto"/>
        </w:rPr>
        <w:t xml:space="preserve">Fully amortized dry-docking component </w:t>
      </w:r>
      <w:r>
        <w:rPr>
          <w:rFonts w:ascii="Arial" w:cs="Arial" w:eastAsia="Arial" w:hAnsi="Arial"/>
          <w:sz w:val="16"/>
          <w:szCs w:val="16"/>
          <w:b w:val="1"/>
          <w:bCs w:val="1"/>
          <w:color w:val="auto"/>
        </w:rPr>
        <w:t>As of March 31, 2021</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Accumulated depreciation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As of January 1, 2021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w:t>
      </w:r>
    </w:p>
    <w:p>
      <w:pPr>
        <w:spacing w:after="0" w:line="19" w:lineRule="exact"/>
        <w:rPr>
          <w:sz w:val="20"/>
          <w:szCs w:val="20"/>
          <w:color w:val="auto"/>
        </w:rPr>
      </w:pPr>
    </w:p>
    <w:p>
      <w:pPr>
        <w:ind w:right="1720"/>
        <w:spacing w:after="0" w:line="305" w:lineRule="auto"/>
        <w:rPr>
          <w:sz w:val="20"/>
          <w:szCs w:val="20"/>
          <w:color w:val="auto"/>
        </w:rPr>
      </w:pPr>
      <w:r>
        <w:rPr>
          <w:rFonts w:ascii="Arial" w:cs="Arial" w:eastAsia="Arial" w:hAnsi="Arial"/>
          <w:sz w:val="16"/>
          <w:szCs w:val="16"/>
          <w:color w:val="auto"/>
        </w:rPr>
        <w:t xml:space="preserve">Fully amortized dry-docking component </w:t>
      </w:r>
      <w:r>
        <w:rPr>
          <w:rFonts w:ascii="Arial" w:cs="Arial" w:eastAsia="Arial" w:hAnsi="Arial"/>
          <w:sz w:val="16"/>
          <w:szCs w:val="16"/>
          <w:b w:val="1"/>
          <w:bCs w:val="1"/>
          <w:color w:val="auto"/>
        </w:rPr>
        <w:t>As of March 31, 2021</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Net book value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of December 31, 2020</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of March 31, 2021</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ind w:left="360"/>
              <w:spacing w:after="0"/>
              <w:rPr>
                <w:sz w:val="20"/>
                <w:szCs w:val="20"/>
                <w:color w:val="auto"/>
              </w:rPr>
            </w:pPr>
            <w:r>
              <w:rPr>
                <w:rFonts w:ascii="Arial" w:cs="Arial" w:eastAsia="Arial" w:hAnsi="Arial"/>
                <w:sz w:val="16"/>
                <w:szCs w:val="16"/>
                <w:b w:val="1"/>
                <w:bCs w:val="1"/>
                <w:color w:val="auto"/>
                <w:w w:val="93"/>
              </w:rPr>
              <w:t>Other tangible</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Total tangible fixed</w:t>
            </w:r>
          </w:p>
        </w:tc>
      </w:tr>
      <w:tr>
        <w:trPr>
          <w:trHeight w:val="213"/>
        </w:trPr>
        <w:tc>
          <w:tcPr>
            <w:tcW w:w="114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w w:val="77"/>
              </w:rPr>
              <w:t>Vessels</w:t>
            </w:r>
          </w:p>
        </w:tc>
        <w:tc>
          <w:tcPr>
            <w:tcW w:w="6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assets</w:t>
            </w:r>
          </w:p>
        </w:tc>
        <w:tc>
          <w:tcPr>
            <w:tcW w:w="3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assets</w:t>
            </w:r>
          </w:p>
        </w:tc>
        <w:tc>
          <w:tcPr>
            <w:tcW w:w="40" w:type="dxa"/>
            <w:vAlign w:val="bottom"/>
          </w:tcPr>
          <w:p>
            <w:pPr>
              <w:spacing w:after="0"/>
              <w:rPr>
                <w:sz w:val="18"/>
                <w:szCs w:val="18"/>
                <w:color w:val="auto"/>
              </w:rPr>
            </w:pPr>
          </w:p>
        </w:tc>
      </w:tr>
      <w:tr>
        <w:trPr>
          <w:trHeight w:val="405"/>
        </w:trPr>
        <w:tc>
          <w:tcPr>
            <w:tcW w:w="1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2,873,829</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w w:val="89"/>
              </w:rPr>
              <w:t>2,719</w:t>
            </w:r>
          </w:p>
        </w:tc>
        <w:tc>
          <w:tcPr>
            <w:tcW w:w="1800" w:type="dxa"/>
            <w:vAlign w:val="bottom"/>
          </w:tcPr>
          <w:p>
            <w:pPr>
              <w:jc w:val="right"/>
              <w:spacing w:after="0"/>
              <w:rPr>
                <w:sz w:val="20"/>
                <w:szCs w:val="20"/>
                <w:color w:val="auto"/>
              </w:rPr>
            </w:pPr>
            <w:r>
              <w:rPr>
                <w:rFonts w:ascii="Arial" w:cs="Arial" w:eastAsia="Arial" w:hAnsi="Arial"/>
                <w:sz w:val="16"/>
                <w:szCs w:val="16"/>
                <w:color w:val="auto"/>
              </w:rPr>
              <w:t>2,876,548</w:t>
            </w:r>
          </w:p>
        </w:tc>
        <w:tc>
          <w:tcPr>
            <w:tcW w:w="40" w:type="dxa"/>
            <w:vAlign w:val="bottom"/>
          </w:tcPr>
          <w:p>
            <w:pPr>
              <w:spacing w:after="0"/>
              <w:rPr>
                <w:sz w:val="24"/>
                <w:szCs w:val="24"/>
                <w:color w:val="auto"/>
              </w:rPr>
            </w:pPr>
          </w:p>
        </w:tc>
      </w:tr>
      <w:tr>
        <w:trPr>
          <w:trHeight w:val="203"/>
        </w:trPr>
        <w:tc>
          <w:tcPr>
            <w:tcW w:w="1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2,041</w:t>
            </w: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2,041</w:t>
            </w:r>
          </w:p>
        </w:tc>
        <w:tc>
          <w:tcPr>
            <w:tcW w:w="40" w:type="dxa"/>
            <w:vAlign w:val="bottom"/>
          </w:tcPr>
          <w:p>
            <w:pPr>
              <w:spacing w:after="0"/>
              <w:rPr>
                <w:sz w:val="17"/>
                <w:szCs w:val="17"/>
                <w:color w:val="auto"/>
              </w:rPr>
            </w:pPr>
          </w:p>
        </w:tc>
      </w:tr>
      <w:tr>
        <w:trPr>
          <w:trHeight w:val="220"/>
        </w:trPr>
        <w:tc>
          <w:tcPr>
            <w:tcW w:w="114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(2,740)</w:t>
            </w:r>
          </w:p>
        </w:tc>
        <w:tc>
          <w:tcPr>
            <w:tcW w:w="140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(2,740)</w:t>
            </w:r>
          </w:p>
        </w:tc>
      </w:tr>
      <w:tr>
        <w:trPr>
          <w:trHeight w:val="202"/>
        </w:trPr>
        <w:tc>
          <w:tcPr>
            <w:tcW w:w="1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2,873,130</w:t>
            </w:r>
          </w:p>
        </w:tc>
        <w:tc>
          <w:tcPr>
            <w:tcW w:w="360" w:type="dxa"/>
            <w:vAlign w:val="bottom"/>
          </w:tcPr>
          <w:p>
            <w:pPr>
              <w:spacing w:after="0"/>
              <w:rPr>
                <w:sz w:val="17"/>
                <w:szCs w:val="17"/>
                <w:color w:val="auto"/>
              </w:rPr>
            </w:pPr>
          </w:p>
        </w:tc>
        <w:tc>
          <w:tcPr>
            <w:tcW w:w="14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2,719</w:t>
            </w:r>
          </w:p>
        </w:tc>
        <w:tc>
          <w:tcPr>
            <w:tcW w:w="320" w:type="dxa"/>
            <w:vAlign w:val="bottom"/>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2,875,849</w:t>
            </w:r>
          </w:p>
        </w:tc>
        <w:tc>
          <w:tcPr>
            <w:tcW w:w="40" w:type="dxa"/>
            <w:vAlign w:val="bottom"/>
          </w:tcPr>
          <w:p>
            <w:pPr>
              <w:spacing w:after="0"/>
              <w:rPr>
                <w:sz w:val="17"/>
                <w:szCs w:val="17"/>
                <w:color w:val="auto"/>
              </w:rPr>
            </w:pPr>
          </w:p>
        </w:tc>
      </w:tr>
      <w:tr>
        <w:trPr>
          <w:trHeight w:val="618"/>
        </w:trPr>
        <w:tc>
          <w:tcPr>
            <w:tcW w:w="1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669,930</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669,930</w:t>
            </w:r>
          </w:p>
        </w:tc>
        <w:tc>
          <w:tcPr>
            <w:tcW w:w="40" w:type="dxa"/>
            <w:vAlign w:val="bottom"/>
          </w:tcPr>
          <w:p>
            <w:pPr>
              <w:spacing w:after="0"/>
              <w:rPr>
                <w:sz w:val="24"/>
                <w:szCs w:val="24"/>
                <w:color w:val="auto"/>
              </w:rPr>
            </w:pPr>
          </w:p>
        </w:tc>
      </w:tr>
      <w:tr>
        <w:trPr>
          <w:trHeight w:val="202"/>
        </w:trPr>
        <w:tc>
          <w:tcPr>
            <w:tcW w:w="1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20,550</w:t>
            </w: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20,550</w:t>
            </w:r>
          </w:p>
        </w:tc>
        <w:tc>
          <w:tcPr>
            <w:tcW w:w="40" w:type="dxa"/>
            <w:vAlign w:val="bottom"/>
          </w:tcPr>
          <w:p>
            <w:pPr>
              <w:spacing w:after="0"/>
              <w:rPr>
                <w:sz w:val="17"/>
                <w:szCs w:val="17"/>
                <w:color w:val="auto"/>
              </w:rPr>
            </w:pPr>
          </w:p>
        </w:tc>
      </w:tr>
      <w:tr>
        <w:trPr>
          <w:trHeight w:val="220"/>
        </w:trPr>
        <w:tc>
          <w:tcPr>
            <w:tcW w:w="114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(2,740)</w:t>
            </w:r>
          </w:p>
        </w:tc>
        <w:tc>
          <w:tcPr>
            <w:tcW w:w="140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(2,740)</w:t>
            </w:r>
          </w:p>
        </w:tc>
      </w:tr>
      <w:tr>
        <w:trPr>
          <w:trHeight w:val="202"/>
        </w:trPr>
        <w:tc>
          <w:tcPr>
            <w:tcW w:w="1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687,740</w:t>
            </w:r>
          </w:p>
        </w:tc>
        <w:tc>
          <w:tcPr>
            <w:tcW w:w="360" w:type="dxa"/>
            <w:vAlign w:val="bottom"/>
          </w:tcPr>
          <w:p>
            <w:pPr>
              <w:spacing w:after="0"/>
              <w:rPr>
                <w:sz w:val="17"/>
                <w:szCs w:val="17"/>
                <w:color w:val="auto"/>
              </w:rPr>
            </w:pPr>
          </w:p>
        </w:tc>
        <w:tc>
          <w:tcPr>
            <w:tcW w:w="14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687,740</w:t>
            </w:r>
          </w:p>
        </w:tc>
        <w:tc>
          <w:tcPr>
            <w:tcW w:w="40" w:type="dxa"/>
            <w:vAlign w:val="bottom"/>
          </w:tcPr>
          <w:p>
            <w:pPr>
              <w:spacing w:after="0"/>
              <w:rPr>
                <w:sz w:val="17"/>
                <w:szCs w:val="17"/>
                <w:color w:val="auto"/>
              </w:rPr>
            </w:pPr>
          </w:p>
        </w:tc>
      </w:tr>
      <w:tr>
        <w:trPr>
          <w:trHeight w:val="638"/>
        </w:trPr>
        <w:tc>
          <w:tcPr>
            <w:tcW w:w="1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89"/>
              </w:rPr>
              <w:t>2,203,899</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9"/>
              </w:rPr>
              <w:t>2,719</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2,206,618</w:t>
            </w:r>
          </w:p>
        </w:tc>
        <w:tc>
          <w:tcPr>
            <w:tcW w:w="40" w:type="dxa"/>
            <w:vAlign w:val="bottom"/>
          </w:tcPr>
          <w:p>
            <w:pPr>
              <w:spacing w:after="0"/>
              <w:rPr>
                <w:sz w:val="24"/>
                <w:szCs w:val="24"/>
                <w:color w:val="auto"/>
              </w:rPr>
            </w:pPr>
          </w:p>
        </w:tc>
      </w:tr>
      <w:tr>
        <w:trPr>
          <w:trHeight w:val="210"/>
        </w:trPr>
        <w:tc>
          <w:tcPr>
            <w:tcW w:w="1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2,185,390</w:t>
            </w:r>
          </w:p>
        </w:tc>
        <w:tc>
          <w:tcPr>
            <w:tcW w:w="360" w:type="dxa"/>
            <w:vAlign w:val="bottom"/>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2,719</w:t>
            </w:r>
          </w:p>
        </w:tc>
        <w:tc>
          <w:tcPr>
            <w:tcW w:w="320" w:type="dxa"/>
            <w:vAlign w:val="bottom"/>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2,188,109</w:t>
            </w:r>
          </w:p>
        </w:tc>
        <w:tc>
          <w:tcPr>
            <w:tcW w:w="40" w:type="dxa"/>
            <w:vAlign w:val="bottom"/>
          </w:tcPr>
          <w:p>
            <w:pPr>
              <w:spacing w:after="0"/>
              <w:rPr>
                <w:sz w:val="18"/>
                <w:szCs w:val="18"/>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-2082165</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-1807845</wp:posOffset>
            </wp:positionV>
            <wp:extent cx="713232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-1542415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-1259205</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-993775</wp:posOffset>
            </wp:positionV>
            <wp:extent cx="713232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-728345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-445135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-170815</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720"/>
            <w:col w:w="6160"/>
          </w:cols>
          <w:pgMar w:left="320" w:top="904" w:right="339" w:bottom="1440" w:gutter="0" w:footer="0" w:header="0"/>
          <w:type w:val="continuous"/>
        </w:sectPr>
      </w:pPr>
    </w:p>
    <w:p>
      <w:pPr>
        <w:spacing w:after="0" w:line="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All vessels have been pledged as collateral under the terms of the Partnership’s credit facilities.</w:t>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7" w:name="page28"/>
    <w:bookmarkEnd w:id="27"/>
    <w:p>
      <w:pPr>
        <w:ind w:right="100" w:firstLine="324"/>
        <w:spacing w:after="0" w:line="293" w:lineRule="auto"/>
        <w:rPr>
          <w:sz w:val="20"/>
          <w:szCs w:val="20"/>
          <w:color w:val="auto"/>
        </w:rPr>
      </w:pPr>
      <w:r>
        <w:rPr>
          <w:rFonts w:ascii="Arial" w:cs="Arial" w:eastAsia="Arial" w:hAnsi="Arial"/>
          <w:sz w:val="16"/>
          <w:szCs w:val="16"/>
          <w:color w:val="auto"/>
        </w:rPr>
        <w:t>As of March 31, 2021, the Partnership concluded that there were no events or circumstances triggering the existence of potential impairment or reversal of impairment of its vessels.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Partners’ Equity</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Partnership’s cash distributions for the three months ended March 31, 2021 are presented in the following table:</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Declaration date</w:t>
            </w:r>
          </w:p>
        </w:tc>
        <w:tc>
          <w:tcPr>
            <w:tcW w:w="2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Type of units</w:t>
            </w:r>
          </w:p>
        </w:tc>
        <w:tc>
          <w:tcPr>
            <w:tcW w:w="3140" w:type="dxa"/>
            <w:vAlign w:val="bottom"/>
            <w:gridSpan w:val="2"/>
          </w:tcPr>
          <w:p>
            <w:pPr>
              <w:ind w:left="800"/>
              <w:spacing w:after="0"/>
              <w:rPr>
                <w:sz w:val="20"/>
                <w:szCs w:val="20"/>
                <w:color w:val="auto"/>
              </w:rPr>
            </w:pPr>
            <w:r>
              <w:rPr>
                <w:rFonts w:ascii="Arial" w:cs="Arial" w:eastAsia="Arial" w:hAnsi="Arial"/>
                <w:sz w:val="16"/>
                <w:szCs w:val="16"/>
                <w:b w:val="1"/>
                <w:bCs w:val="1"/>
                <w:color w:val="auto"/>
              </w:rPr>
              <w:t>Distribution per unit</w:t>
            </w: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Payment date</w:t>
            </w: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Amount paid</w:t>
            </w:r>
          </w:p>
        </w:tc>
      </w:tr>
      <w:tr>
        <w:trPr>
          <w:trHeight w:val="199"/>
        </w:trPr>
        <w:tc>
          <w:tcPr>
            <w:tcW w:w="18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8"/>
              </w:rPr>
              <w:t>January 27, 2021</w:t>
            </w:r>
          </w:p>
        </w:tc>
        <w:tc>
          <w:tcPr>
            <w:tcW w:w="120" w:type="dxa"/>
            <w:vAlign w:val="bottom"/>
            <w:tcBorders>
              <w:top w:val="single" w:sz="8" w:color="E5FFFF"/>
            </w:tcBorders>
            <w:shd w:val="clear" w:color="auto" w:fill="E5FFFF"/>
          </w:tcPr>
          <w:p>
            <w:pPr>
              <w:spacing w:after="0"/>
              <w:rPr>
                <w:sz w:val="17"/>
                <w:szCs w:val="17"/>
                <w:color w:val="auto"/>
              </w:rPr>
            </w:pPr>
          </w:p>
        </w:tc>
        <w:tc>
          <w:tcPr>
            <w:tcW w:w="24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Common</w:t>
            </w:r>
          </w:p>
        </w:tc>
        <w:tc>
          <w:tcPr>
            <w:tcW w:w="120" w:type="dxa"/>
            <w:vAlign w:val="bottom"/>
            <w:tcBorders>
              <w:top w:val="single" w:sz="8" w:color="E5FFFF"/>
            </w:tcBorders>
            <w:shd w:val="clear" w:color="auto" w:fill="E5FFFF"/>
          </w:tcPr>
          <w:p>
            <w:pPr>
              <w:spacing w:after="0"/>
              <w:rPr>
                <w:sz w:val="17"/>
                <w:szCs w:val="17"/>
                <w:color w:val="auto"/>
              </w:rPr>
            </w:pPr>
          </w:p>
        </w:tc>
        <w:tc>
          <w:tcPr>
            <w:tcW w:w="3020" w:type="dxa"/>
            <w:vAlign w:val="bottom"/>
            <w:tcBorders>
              <w:top w:val="single" w:sz="8" w:color="auto"/>
            </w:tcBorders>
            <w:shd w:val="clear" w:color="auto" w:fill="E5FFFF"/>
          </w:tcPr>
          <w:p>
            <w:pPr>
              <w:jc w:val="right"/>
              <w:ind w:right="1239"/>
              <w:spacing w:after="0"/>
              <w:rPr>
                <w:sz w:val="20"/>
                <w:szCs w:val="20"/>
                <w:color w:val="auto"/>
              </w:rPr>
            </w:pPr>
            <w:r>
              <w:rPr>
                <w:rFonts w:ascii="Arial" w:cs="Arial" w:eastAsia="Arial" w:hAnsi="Arial"/>
                <w:sz w:val="16"/>
                <w:szCs w:val="16"/>
                <w:color w:val="auto"/>
              </w:rPr>
              <w:t>$0.01</w:t>
            </w:r>
          </w:p>
        </w:tc>
        <w:tc>
          <w:tcPr>
            <w:tcW w:w="120" w:type="dxa"/>
            <w:vAlign w:val="bottom"/>
            <w:tcBorders>
              <w:top w:val="single" w:sz="8" w:color="E5FFFF"/>
            </w:tcBorders>
            <w:shd w:val="clear" w:color="auto" w:fill="E5FFFF"/>
          </w:tcPr>
          <w:p>
            <w:pPr>
              <w:spacing w:after="0"/>
              <w:rPr>
                <w:sz w:val="17"/>
                <w:szCs w:val="17"/>
                <w:color w:val="auto"/>
              </w:rPr>
            </w:pPr>
          </w:p>
        </w:tc>
        <w:tc>
          <w:tcPr>
            <w:tcW w:w="20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February 11, 2021</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485</w:t>
            </w:r>
          </w:p>
        </w:tc>
      </w:tr>
      <w:tr>
        <w:trPr>
          <w:trHeight w:val="210"/>
        </w:trPr>
        <w:tc>
          <w:tcPr>
            <w:tcW w:w="194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February 19, 2021</w:t>
            </w:r>
          </w:p>
        </w:tc>
        <w:tc>
          <w:tcPr>
            <w:tcW w:w="260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Preference (Series A, B, C)</w:t>
            </w:r>
          </w:p>
        </w:tc>
        <w:tc>
          <w:tcPr>
            <w:tcW w:w="3020" w:type="dxa"/>
            <w:vAlign w:val="bottom"/>
          </w:tcPr>
          <w:p>
            <w:pPr>
              <w:jc w:val="right"/>
              <w:ind w:right="399"/>
              <w:spacing w:after="0"/>
              <w:rPr>
                <w:sz w:val="20"/>
                <w:szCs w:val="20"/>
                <w:color w:val="auto"/>
              </w:rPr>
            </w:pPr>
            <w:r>
              <w:rPr>
                <w:rFonts w:ascii="Arial" w:cs="Arial" w:eastAsia="Arial" w:hAnsi="Arial"/>
                <w:sz w:val="16"/>
                <w:szCs w:val="16"/>
                <w:color w:val="auto"/>
              </w:rPr>
              <w:t>$0.5390625, $0.5125, $0.53125</w:t>
            </w:r>
          </w:p>
        </w:tc>
        <w:tc>
          <w:tcPr>
            <w:tcW w:w="120" w:type="dxa"/>
            <w:vAlign w:val="bottom"/>
          </w:tcPr>
          <w:p>
            <w:pPr>
              <w:spacing w:after="0"/>
              <w:rPr>
                <w:sz w:val="18"/>
                <w:szCs w:val="18"/>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March 15, 2021</w:t>
            </w:r>
          </w:p>
        </w:tc>
        <w:tc>
          <w:tcPr>
            <w:tcW w:w="1340" w:type="dxa"/>
            <w:vAlign w:val="bottom"/>
          </w:tcPr>
          <w:p>
            <w:pPr>
              <w:jc w:val="right"/>
              <w:spacing w:after="0"/>
              <w:rPr>
                <w:sz w:val="20"/>
                <w:szCs w:val="20"/>
                <w:color w:val="auto"/>
              </w:rPr>
            </w:pPr>
            <w:r>
              <w:rPr>
                <w:rFonts w:ascii="Arial" w:cs="Arial" w:eastAsia="Arial" w:hAnsi="Arial"/>
                <w:sz w:val="16"/>
                <w:szCs w:val="16"/>
                <w:color w:val="auto"/>
              </w:rPr>
              <w:t>7,582</w:t>
            </w:r>
          </w:p>
        </w:tc>
      </w:tr>
      <w:tr>
        <w:trPr>
          <w:trHeight w:val="202"/>
        </w:trPr>
        <w:tc>
          <w:tcPr>
            <w:tcW w:w="1820" w:type="dxa"/>
            <w:vAlign w:val="bottom"/>
            <w:tcBorders>
              <w:top w:val="single" w:sz="8" w:color="E5FFFF"/>
              <w:bottom w:val="single" w:sz="8" w:color="E5FFFF"/>
            </w:tcBorders>
            <w:shd w:val="clear" w:color="auto" w:fill="E5FFFF"/>
          </w:tcPr>
          <w:p>
            <w:pPr>
              <w:spacing w:after="0"/>
              <w:rPr>
                <w:sz w:val="17"/>
                <w:szCs w:val="17"/>
                <w:color w:val="auto"/>
              </w:rPr>
            </w:pP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2480" w:type="dxa"/>
            <w:vAlign w:val="bottom"/>
            <w:tcBorders>
              <w:top w:val="single" w:sz="8" w:color="E5FFFF"/>
              <w:bottom w:val="single" w:sz="8" w:color="E5FFFF"/>
            </w:tcBorders>
            <w:shd w:val="clear" w:color="auto" w:fill="E5FFFF"/>
          </w:tcPr>
          <w:p>
            <w:pPr>
              <w:spacing w:after="0"/>
              <w:rPr>
                <w:sz w:val="17"/>
                <w:szCs w:val="17"/>
                <w:color w:val="auto"/>
              </w:rPr>
            </w:pP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3020" w:type="dxa"/>
            <w:vAlign w:val="bottom"/>
            <w:tcBorders>
              <w:top w:val="single" w:sz="8" w:color="E5FFFF"/>
              <w:bottom w:val="single" w:sz="8" w:color="E5FFFF"/>
            </w:tcBorders>
            <w:shd w:val="clear" w:color="auto" w:fill="E5FFFF"/>
          </w:tcPr>
          <w:p>
            <w:pPr>
              <w:spacing w:after="0"/>
              <w:rPr>
                <w:sz w:val="17"/>
                <w:szCs w:val="17"/>
                <w:color w:val="auto"/>
              </w:rPr>
            </w:pP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2000" w:type="dxa"/>
            <w:vAlign w:val="bottom"/>
            <w:tcBorders>
              <w:top w:val="single" w:sz="8" w:color="auto"/>
              <w:bottom w:val="single" w:sz="8" w:color="auto"/>
            </w:tcBorders>
            <w:shd w:val="clear" w:color="auto" w:fill="E5FFFF"/>
          </w:tcPr>
          <w:p>
            <w:pPr>
              <w:jc w:val="center"/>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$8,067</w:t>
            </w:r>
          </w:p>
        </w:tc>
      </w:tr>
      <w:tr>
        <w:trPr>
          <w:trHeight w:val="20"/>
        </w:trPr>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right="280" w:firstLine="324"/>
        <w:spacing w:after="0" w:line="293" w:lineRule="auto"/>
        <w:rPr>
          <w:sz w:val="20"/>
          <w:szCs w:val="20"/>
          <w:color w:val="auto"/>
        </w:rPr>
      </w:pPr>
      <w:r>
        <w:rPr>
          <w:rFonts w:ascii="Arial" w:cs="Arial" w:eastAsia="Arial" w:hAnsi="Arial"/>
          <w:sz w:val="16"/>
          <w:szCs w:val="16"/>
          <w:color w:val="auto"/>
        </w:rPr>
        <w:t>On April 6, 2021, GasLog Partners issued 8,976 common units in connection with the vesting of 5,984 Restricted Common Units (“RCUs”) and 2,992 Performance Common Units (“PCUs”) under its 2015 Long-Term Incentive Plan (the “2015 Plan”) (Note 15).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20"/>
                <w:szCs w:val="20"/>
                <w:color w:val="auto"/>
              </w:rPr>
            </w:pPr>
            <w:r>
              <w:rPr>
                <w:rFonts w:ascii="Arial" w:cs="Arial" w:eastAsia="Arial" w:hAnsi="Arial"/>
                <w:sz w:val="16"/>
                <w:szCs w:val="16"/>
                <w:b w:val="1"/>
                <w:bCs w:val="1"/>
                <w:color w:val="auto"/>
              </w:rPr>
              <w:t>6. Borrowings</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8340" w:type="dxa"/>
            <w:vAlign w:val="bottom"/>
          </w:tcPr>
          <w:p>
            <w:pPr>
              <w:spacing w:after="0"/>
              <w:rPr>
                <w:sz w:val="24"/>
                <w:szCs w:val="24"/>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99"/>
              </w:rPr>
              <w:t>December 31,</w:t>
            </w:r>
          </w:p>
        </w:tc>
        <w:tc>
          <w:tcPr>
            <w:tcW w:w="13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March 31,</w:t>
            </w:r>
          </w:p>
        </w:tc>
      </w:tr>
      <w:tr>
        <w:trPr>
          <w:trHeight w:val="213"/>
        </w:trPr>
        <w:tc>
          <w:tcPr>
            <w:tcW w:w="834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5FFFF"/>
            </w:tcBorders>
          </w:tcPr>
          <w:p>
            <w:pPr>
              <w:spacing w:after="0"/>
              <w:rPr>
                <w:sz w:val="18"/>
                <w:szCs w:val="18"/>
                <w:color w:val="auto"/>
              </w:rPr>
            </w:pPr>
          </w:p>
        </w:tc>
      </w:tr>
      <w:tr>
        <w:trPr>
          <w:trHeight w:val="199"/>
        </w:trPr>
        <w:tc>
          <w:tcPr>
            <w:tcW w:w="8340" w:type="dxa"/>
            <w:vAlign w:val="bottom"/>
            <w:shd w:val="clear" w:color="auto" w:fill="E5FFFF"/>
          </w:tcPr>
          <w:p>
            <w:pPr>
              <w:spacing w:after="0"/>
              <w:rPr>
                <w:sz w:val="20"/>
                <w:szCs w:val="20"/>
                <w:color w:val="auto"/>
              </w:rPr>
            </w:pPr>
            <w:r>
              <w:rPr>
                <w:rFonts w:ascii="Arial" w:cs="Arial" w:eastAsia="Arial" w:hAnsi="Arial"/>
                <w:sz w:val="16"/>
                <w:szCs w:val="16"/>
                <w:color w:val="auto"/>
              </w:rPr>
              <w:t>Amounts due within one year</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109,673</w:t>
            </w:r>
          </w:p>
        </w:tc>
        <w:tc>
          <w:tcPr>
            <w:tcW w:w="3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109,673</w:t>
            </w:r>
          </w:p>
        </w:tc>
        <w:tc>
          <w:tcPr>
            <w:tcW w:w="100" w:type="dxa"/>
            <w:vAlign w:val="bottom"/>
            <w:shd w:val="clear" w:color="auto" w:fill="E5FFFF"/>
          </w:tcPr>
          <w:p>
            <w:pPr>
              <w:spacing w:after="0"/>
              <w:rPr>
                <w:sz w:val="17"/>
                <w:szCs w:val="17"/>
                <w:color w:val="auto"/>
              </w:rPr>
            </w:pPr>
          </w:p>
        </w:tc>
      </w:tr>
      <w:tr>
        <w:trPr>
          <w:trHeight w:val="213"/>
        </w:trPr>
        <w:tc>
          <w:tcPr>
            <w:tcW w:w="8340" w:type="dxa"/>
            <w:vAlign w:val="bottom"/>
          </w:tcPr>
          <w:p>
            <w:pPr>
              <w:spacing w:after="0"/>
              <w:rPr>
                <w:sz w:val="20"/>
                <w:szCs w:val="20"/>
                <w:color w:val="auto"/>
              </w:rPr>
            </w:pPr>
            <w:r>
              <w:rPr>
                <w:rFonts w:ascii="Arial" w:cs="Arial" w:eastAsia="Arial" w:hAnsi="Arial"/>
                <w:sz w:val="16"/>
                <w:szCs w:val="16"/>
                <w:color w:val="auto"/>
              </w:rPr>
              <w:t>Less: unamortized deferred loan issuance costs</w:t>
            </w:r>
          </w:p>
        </w:tc>
        <w:tc>
          <w:tcPr>
            <w:tcW w:w="1560" w:type="dxa"/>
            <w:vAlign w:val="bottom"/>
            <w:gridSpan w:val="2"/>
          </w:tcPr>
          <w:p>
            <w:pPr>
              <w:jc w:val="right"/>
              <w:ind w:right="260"/>
              <w:spacing w:after="0"/>
              <w:rPr>
                <w:sz w:val="20"/>
                <w:szCs w:val="20"/>
                <w:color w:val="auto"/>
              </w:rPr>
            </w:pPr>
            <w:r>
              <w:rPr>
                <w:rFonts w:ascii="Arial" w:cs="Arial" w:eastAsia="Arial" w:hAnsi="Arial"/>
                <w:sz w:val="16"/>
                <w:szCs w:val="16"/>
                <w:color w:val="auto"/>
              </w:rPr>
              <w:t>(4,765)</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(4,686)</w:t>
            </w:r>
          </w:p>
        </w:tc>
      </w:tr>
      <w:tr>
        <w:trPr>
          <w:trHeight w:val="199"/>
        </w:trPr>
        <w:tc>
          <w:tcPr>
            <w:tcW w:w="83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Borrowings – current portion</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104,908</w:t>
            </w:r>
          </w:p>
        </w:tc>
        <w:tc>
          <w:tcPr>
            <w:tcW w:w="3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104,987</w:t>
            </w:r>
          </w:p>
        </w:tc>
        <w:tc>
          <w:tcPr>
            <w:tcW w:w="100" w:type="dxa"/>
            <w:vAlign w:val="bottom"/>
            <w:tcBorders>
              <w:top w:val="single" w:sz="8" w:color="E5FFFF"/>
            </w:tcBorders>
            <w:shd w:val="clear" w:color="auto" w:fill="E5FFFF"/>
          </w:tcPr>
          <w:p>
            <w:pPr>
              <w:spacing w:after="0"/>
              <w:rPr>
                <w:sz w:val="17"/>
                <w:szCs w:val="17"/>
                <w:color w:val="auto"/>
              </w:rPr>
            </w:pPr>
          </w:p>
        </w:tc>
      </w:tr>
      <w:tr>
        <w:trPr>
          <w:trHeight w:val="196"/>
        </w:trPr>
        <w:tc>
          <w:tcPr>
            <w:tcW w:w="8340" w:type="dxa"/>
            <w:vAlign w:val="bottom"/>
          </w:tcPr>
          <w:p>
            <w:pPr>
              <w:spacing w:after="0"/>
              <w:rPr>
                <w:sz w:val="20"/>
                <w:szCs w:val="20"/>
                <w:color w:val="auto"/>
              </w:rPr>
            </w:pPr>
            <w:r>
              <w:rPr>
                <w:rFonts w:ascii="Arial" w:cs="Arial" w:eastAsia="Arial" w:hAnsi="Arial"/>
                <w:sz w:val="16"/>
                <w:szCs w:val="16"/>
                <w:color w:val="auto"/>
              </w:rPr>
              <w:t>Amounts due after one year</w:t>
            </w:r>
          </w:p>
        </w:tc>
        <w:tc>
          <w:tcPr>
            <w:tcW w:w="1240" w:type="dxa"/>
            <w:vAlign w:val="bottom"/>
          </w:tcPr>
          <w:p>
            <w:pPr>
              <w:jc w:val="right"/>
              <w:spacing w:after="0"/>
              <w:rPr>
                <w:sz w:val="20"/>
                <w:szCs w:val="20"/>
                <w:color w:val="auto"/>
              </w:rPr>
            </w:pPr>
            <w:r>
              <w:rPr>
                <w:rFonts w:ascii="Arial" w:cs="Arial" w:eastAsia="Arial" w:hAnsi="Arial"/>
                <w:sz w:val="16"/>
                <w:szCs w:val="16"/>
                <w:color w:val="auto"/>
              </w:rPr>
              <w:t>1,195,241</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1,159,224</w:t>
            </w:r>
          </w:p>
        </w:tc>
        <w:tc>
          <w:tcPr>
            <w:tcW w:w="100" w:type="dxa"/>
            <w:vAlign w:val="bottom"/>
          </w:tcPr>
          <w:p>
            <w:pPr>
              <w:spacing w:after="0"/>
              <w:rPr>
                <w:sz w:val="17"/>
                <w:szCs w:val="17"/>
                <w:color w:val="auto"/>
              </w:rPr>
            </w:pPr>
          </w:p>
        </w:tc>
      </w:tr>
      <w:tr>
        <w:trPr>
          <w:trHeight w:val="216"/>
        </w:trPr>
        <w:tc>
          <w:tcPr>
            <w:tcW w:w="8340" w:type="dxa"/>
            <w:vAlign w:val="bottom"/>
            <w:shd w:val="clear" w:color="auto" w:fill="E5FFFF"/>
          </w:tcPr>
          <w:p>
            <w:pPr>
              <w:spacing w:after="0"/>
              <w:rPr>
                <w:sz w:val="20"/>
                <w:szCs w:val="20"/>
                <w:color w:val="auto"/>
              </w:rPr>
            </w:pPr>
            <w:r>
              <w:rPr>
                <w:rFonts w:ascii="Arial" w:cs="Arial" w:eastAsia="Arial" w:hAnsi="Arial"/>
                <w:sz w:val="16"/>
                <w:szCs w:val="16"/>
                <w:color w:val="auto"/>
              </w:rPr>
              <w:t>Less: unamortized deferred loan issuance costs</w:t>
            </w:r>
          </w:p>
        </w:tc>
        <w:tc>
          <w:tcPr>
            <w:tcW w:w="156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(14,606)</w:t>
            </w:r>
          </w:p>
        </w:tc>
        <w:tc>
          <w:tcPr>
            <w:tcW w:w="13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(13,461)</w:t>
            </w:r>
          </w:p>
        </w:tc>
      </w:tr>
      <w:tr>
        <w:trPr>
          <w:trHeight w:val="196"/>
        </w:trPr>
        <w:tc>
          <w:tcPr>
            <w:tcW w:w="83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Borrowings – non-current portion</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1,180,635</w:t>
            </w:r>
          </w:p>
        </w:tc>
        <w:tc>
          <w:tcPr>
            <w:tcW w:w="32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1,145,763</w:t>
            </w:r>
          </w:p>
        </w:tc>
        <w:tc>
          <w:tcPr>
            <w:tcW w:w="100" w:type="dxa"/>
            <w:vAlign w:val="bottom"/>
            <w:tcBorders>
              <w:bottom w:val="single" w:sz="8" w:color="E5FFFF"/>
            </w:tcBorders>
          </w:tcPr>
          <w:p>
            <w:pPr>
              <w:spacing w:after="0"/>
              <w:rPr>
                <w:sz w:val="17"/>
                <w:szCs w:val="17"/>
                <w:color w:val="auto"/>
              </w:rPr>
            </w:pPr>
          </w:p>
        </w:tc>
      </w:tr>
      <w:tr>
        <w:trPr>
          <w:trHeight w:val="207"/>
        </w:trPr>
        <w:tc>
          <w:tcPr>
            <w:tcW w:w="83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1,285,543</w:t>
            </w:r>
          </w:p>
        </w:tc>
        <w:tc>
          <w:tcPr>
            <w:tcW w:w="320" w:type="dxa"/>
            <w:vAlign w:val="bottom"/>
            <w:tcBorders>
              <w:bottom w:val="single" w:sz="8" w:color="E5FFFF"/>
            </w:tcBorders>
            <w:shd w:val="clear" w:color="auto" w:fill="E5FFFF"/>
          </w:tcPr>
          <w:p>
            <w:pPr>
              <w:spacing w:after="0"/>
              <w:rPr>
                <w:sz w:val="17"/>
                <w:szCs w:val="17"/>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1,250,750</w:t>
            </w:r>
          </w:p>
        </w:tc>
        <w:tc>
          <w:tcPr>
            <w:tcW w:w="100" w:type="dxa"/>
            <w:vAlign w:val="bottom"/>
            <w:tcBorders>
              <w:bottom w:val="single" w:sz="8" w:color="E5FFFF"/>
            </w:tcBorders>
            <w:shd w:val="clear" w:color="auto" w:fill="E5FFFF"/>
          </w:tcPr>
          <w:p>
            <w:pPr>
              <w:spacing w:after="0"/>
              <w:rPr>
                <w:sz w:val="17"/>
                <w:szCs w:val="17"/>
                <w:color w:val="auto"/>
              </w:rPr>
            </w:pPr>
          </w:p>
        </w:tc>
      </w:tr>
      <w:tr>
        <w:trPr>
          <w:trHeight w:val="20"/>
        </w:trPr>
        <w:tc>
          <w:tcPr>
            <w:tcW w:w="8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right="700" w:firstLine="324"/>
        <w:spacing w:after="0" w:line="293" w:lineRule="auto"/>
        <w:rPr>
          <w:sz w:val="20"/>
          <w:szCs w:val="20"/>
          <w:color w:val="auto"/>
        </w:rPr>
      </w:pPr>
      <w:r>
        <w:rPr>
          <w:rFonts w:ascii="Arial" w:cs="Arial" w:eastAsia="Arial" w:hAnsi="Arial"/>
          <w:sz w:val="16"/>
          <w:szCs w:val="16"/>
          <w:color w:val="auto"/>
        </w:rPr>
        <w:t>The main terms of the credit facilities, including financial covenants, and the Sponsor Credit Facility have been disclosed in the annual consolidated financial statements for the year ended December 31, 2020. Refer to Note 6 “Borrowings”.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three months ended March 31, 2021 the Partnership repaid $36,017 in accordance with the repayment terms under its credit facilities.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40" w:type="dxa"/>
            <w:vAlign w:val="bottom"/>
          </w:tcPr>
          <w:p>
            <w:pPr>
              <w:ind w:left="340"/>
              <w:spacing w:after="0"/>
              <w:rPr>
                <w:sz w:val="20"/>
                <w:szCs w:val="20"/>
                <w:color w:val="auto"/>
              </w:rPr>
            </w:pPr>
            <w:r>
              <w:rPr>
                <w:rFonts w:ascii="Arial" w:cs="Arial" w:eastAsia="Arial" w:hAnsi="Arial"/>
                <w:sz w:val="16"/>
                <w:szCs w:val="16"/>
                <w:color w:val="auto"/>
              </w:rPr>
              <w:t>GasLog Partners was in compliance with its financial covenants as of March 31, 2021.</w:t>
            </w: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8340" w:type="dxa"/>
            <w:vAlign w:val="bottom"/>
          </w:tcPr>
          <w:p>
            <w:pPr>
              <w:spacing w:after="0"/>
              <w:rPr>
                <w:sz w:val="20"/>
                <w:szCs w:val="20"/>
                <w:color w:val="auto"/>
              </w:rPr>
            </w:pPr>
            <w:r>
              <w:rPr>
                <w:rFonts w:ascii="Arial" w:cs="Arial" w:eastAsia="Arial" w:hAnsi="Arial"/>
                <w:sz w:val="16"/>
                <w:szCs w:val="16"/>
                <w:b w:val="1"/>
                <w:bCs w:val="1"/>
                <w:color w:val="auto"/>
              </w:rPr>
              <w:t>7. Other Payables and Accruals</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340" w:type="dxa"/>
            <w:vAlign w:val="bottom"/>
          </w:tcPr>
          <w:p>
            <w:pPr>
              <w:ind w:left="340"/>
              <w:spacing w:after="0"/>
              <w:rPr>
                <w:sz w:val="20"/>
                <w:szCs w:val="20"/>
                <w:color w:val="auto"/>
              </w:rPr>
            </w:pPr>
            <w:r>
              <w:rPr>
                <w:rFonts w:ascii="Arial" w:cs="Arial" w:eastAsia="Arial" w:hAnsi="Arial"/>
                <w:sz w:val="16"/>
                <w:szCs w:val="16"/>
                <w:color w:val="auto"/>
              </w:rPr>
              <w:t>An analysis of other payables and accruals is as follows:</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340" w:type="dxa"/>
            <w:vAlign w:val="bottom"/>
          </w:tcPr>
          <w:p>
            <w:pPr>
              <w:spacing w:after="0"/>
              <w:rPr>
                <w:sz w:val="24"/>
                <w:szCs w:val="2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December 31,</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March 31,</w:t>
            </w:r>
          </w:p>
        </w:tc>
        <w:tc>
          <w:tcPr>
            <w:tcW w:w="0" w:type="dxa"/>
            <w:vAlign w:val="bottom"/>
          </w:tcPr>
          <w:p>
            <w:pPr>
              <w:spacing w:after="0"/>
              <w:rPr>
                <w:sz w:val="1"/>
                <w:szCs w:val="1"/>
                <w:color w:val="auto"/>
              </w:rPr>
            </w:pPr>
          </w:p>
        </w:tc>
      </w:tr>
      <w:tr>
        <w:trPr>
          <w:trHeight w:val="213"/>
        </w:trPr>
        <w:tc>
          <w:tcPr>
            <w:tcW w:w="834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3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340" w:type="dxa"/>
            <w:vAlign w:val="bottom"/>
            <w:shd w:val="clear" w:color="auto" w:fill="E5FFFF"/>
          </w:tcPr>
          <w:p>
            <w:pPr>
              <w:spacing w:after="0"/>
              <w:rPr>
                <w:sz w:val="20"/>
                <w:szCs w:val="20"/>
                <w:color w:val="auto"/>
              </w:rPr>
            </w:pPr>
            <w:r>
              <w:rPr>
                <w:rFonts w:ascii="Arial" w:cs="Arial" w:eastAsia="Arial" w:hAnsi="Arial"/>
                <w:sz w:val="16"/>
                <w:szCs w:val="16"/>
                <w:color w:val="auto"/>
              </w:rPr>
              <w:t>Unearned revenue</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25,828</w:t>
            </w:r>
          </w:p>
        </w:tc>
        <w:tc>
          <w:tcPr>
            <w:tcW w:w="3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19,760</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40" w:type="dxa"/>
            <w:vAlign w:val="bottom"/>
          </w:tcPr>
          <w:p>
            <w:pPr>
              <w:spacing w:after="0"/>
              <w:rPr>
                <w:sz w:val="20"/>
                <w:szCs w:val="20"/>
                <w:color w:val="auto"/>
              </w:rPr>
            </w:pPr>
            <w:r>
              <w:rPr>
                <w:rFonts w:ascii="Arial" w:cs="Arial" w:eastAsia="Arial" w:hAnsi="Arial"/>
                <w:sz w:val="16"/>
                <w:szCs w:val="16"/>
                <w:color w:val="auto"/>
              </w:rPr>
              <w:t>Accrued off-hire</w:t>
            </w:r>
          </w:p>
        </w:tc>
        <w:tc>
          <w:tcPr>
            <w:tcW w:w="1240" w:type="dxa"/>
            <w:vAlign w:val="bottom"/>
          </w:tcPr>
          <w:p>
            <w:pPr>
              <w:jc w:val="right"/>
              <w:spacing w:after="0"/>
              <w:rPr>
                <w:sz w:val="20"/>
                <w:szCs w:val="20"/>
                <w:color w:val="auto"/>
              </w:rPr>
            </w:pPr>
            <w:r>
              <w:rPr>
                <w:rFonts w:ascii="Arial" w:cs="Arial" w:eastAsia="Arial" w:hAnsi="Arial"/>
                <w:sz w:val="16"/>
                <w:szCs w:val="16"/>
                <w:color w:val="auto"/>
              </w:rPr>
              <w:t>1,802</w:t>
            </w:r>
          </w:p>
        </w:tc>
        <w:tc>
          <w:tcPr>
            <w:tcW w:w="3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2,301</w:t>
            </w:r>
          </w:p>
        </w:tc>
        <w:tc>
          <w:tcPr>
            <w:tcW w:w="0" w:type="dxa"/>
            <w:vAlign w:val="bottom"/>
          </w:tcPr>
          <w:p>
            <w:pPr>
              <w:spacing w:after="0"/>
              <w:rPr>
                <w:sz w:val="1"/>
                <w:szCs w:val="1"/>
                <w:color w:val="auto"/>
              </w:rPr>
            </w:pPr>
          </w:p>
        </w:tc>
      </w:tr>
      <w:tr>
        <w:trPr>
          <w:trHeight w:val="203"/>
        </w:trPr>
        <w:tc>
          <w:tcPr>
            <w:tcW w:w="8340" w:type="dxa"/>
            <w:vAlign w:val="bottom"/>
            <w:shd w:val="clear" w:color="auto" w:fill="E5FFFF"/>
          </w:tcPr>
          <w:p>
            <w:pPr>
              <w:spacing w:after="0"/>
              <w:rPr>
                <w:sz w:val="20"/>
                <w:szCs w:val="20"/>
                <w:color w:val="auto"/>
              </w:rPr>
            </w:pPr>
            <w:r>
              <w:rPr>
                <w:rFonts w:ascii="Arial" w:cs="Arial" w:eastAsia="Arial" w:hAnsi="Arial"/>
                <w:sz w:val="16"/>
                <w:szCs w:val="16"/>
                <w:color w:val="auto"/>
              </w:rPr>
              <w:t>Accrued purchases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4,187</w:t>
            </w:r>
          </w:p>
        </w:tc>
        <w:tc>
          <w:tcPr>
            <w:tcW w:w="3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3,680</w:t>
            </w:r>
          </w:p>
        </w:tc>
        <w:tc>
          <w:tcPr>
            <w:tcW w:w="0" w:type="dxa"/>
            <w:vAlign w:val="bottom"/>
          </w:tcPr>
          <w:p>
            <w:pPr>
              <w:spacing w:after="0"/>
              <w:rPr>
                <w:sz w:val="1"/>
                <w:szCs w:val="1"/>
                <w:color w:val="auto"/>
              </w:rPr>
            </w:pPr>
          </w:p>
        </w:tc>
      </w:tr>
      <w:tr>
        <w:trPr>
          <w:trHeight w:val="203"/>
        </w:trPr>
        <w:tc>
          <w:tcPr>
            <w:tcW w:w="8340" w:type="dxa"/>
            <w:vAlign w:val="bottom"/>
          </w:tcPr>
          <w:p>
            <w:pPr>
              <w:spacing w:after="0"/>
              <w:rPr>
                <w:sz w:val="20"/>
                <w:szCs w:val="20"/>
                <w:color w:val="auto"/>
              </w:rPr>
            </w:pPr>
            <w:r>
              <w:rPr>
                <w:rFonts w:ascii="Arial" w:cs="Arial" w:eastAsia="Arial" w:hAnsi="Arial"/>
                <w:sz w:val="16"/>
                <w:szCs w:val="16"/>
                <w:color w:val="auto"/>
              </w:rPr>
              <w:t>Accrued interest</w:t>
            </w:r>
          </w:p>
        </w:tc>
        <w:tc>
          <w:tcPr>
            <w:tcW w:w="1240" w:type="dxa"/>
            <w:vAlign w:val="bottom"/>
          </w:tcPr>
          <w:p>
            <w:pPr>
              <w:jc w:val="right"/>
              <w:spacing w:after="0"/>
              <w:rPr>
                <w:sz w:val="20"/>
                <w:szCs w:val="20"/>
                <w:color w:val="auto"/>
              </w:rPr>
            </w:pPr>
            <w:r>
              <w:rPr>
                <w:rFonts w:ascii="Arial" w:cs="Arial" w:eastAsia="Arial" w:hAnsi="Arial"/>
                <w:sz w:val="16"/>
                <w:szCs w:val="16"/>
                <w:color w:val="auto"/>
              </w:rPr>
              <w:t>10,855</w:t>
            </w:r>
          </w:p>
        </w:tc>
        <w:tc>
          <w:tcPr>
            <w:tcW w:w="3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6,932</w:t>
            </w:r>
          </w:p>
        </w:tc>
        <w:tc>
          <w:tcPr>
            <w:tcW w:w="0" w:type="dxa"/>
            <w:vAlign w:val="bottom"/>
          </w:tcPr>
          <w:p>
            <w:pPr>
              <w:spacing w:after="0"/>
              <w:rPr>
                <w:sz w:val="1"/>
                <w:szCs w:val="1"/>
                <w:color w:val="auto"/>
              </w:rPr>
            </w:pPr>
          </w:p>
        </w:tc>
      </w:tr>
      <w:tr>
        <w:trPr>
          <w:trHeight w:val="216"/>
        </w:trPr>
        <w:tc>
          <w:tcPr>
            <w:tcW w:w="8340" w:type="dxa"/>
            <w:vAlign w:val="bottom"/>
            <w:shd w:val="clear" w:color="auto" w:fill="E5FFFF"/>
          </w:tcPr>
          <w:p>
            <w:pPr>
              <w:spacing w:after="0"/>
              <w:rPr>
                <w:sz w:val="20"/>
                <w:szCs w:val="20"/>
                <w:color w:val="auto"/>
              </w:rPr>
            </w:pPr>
            <w:r>
              <w:rPr>
                <w:rFonts w:ascii="Arial" w:cs="Arial" w:eastAsia="Arial" w:hAnsi="Arial"/>
                <w:sz w:val="16"/>
                <w:szCs w:val="16"/>
                <w:color w:val="auto"/>
              </w:rPr>
              <w:t>Other accruals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8,007</w:t>
            </w:r>
          </w:p>
        </w:tc>
        <w:tc>
          <w:tcPr>
            <w:tcW w:w="32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10,266</w:t>
            </w:r>
          </w:p>
        </w:tc>
        <w:tc>
          <w:tcPr>
            <w:tcW w:w="0" w:type="dxa"/>
            <w:vAlign w:val="bottom"/>
          </w:tcPr>
          <w:p>
            <w:pPr>
              <w:spacing w:after="0"/>
              <w:rPr>
                <w:sz w:val="1"/>
                <w:szCs w:val="1"/>
                <w:color w:val="auto"/>
              </w:rPr>
            </w:pPr>
          </w:p>
        </w:tc>
      </w:tr>
      <w:tr>
        <w:trPr>
          <w:trHeight w:val="204"/>
        </w:trPr>
        <w:tc>
          <w:tcPr>
            <w:tcW w:w="83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50,679</w:t>
            </w:r>
          </w:p>
        </w:tc>
        <w:tc>
          <w:tcPr>
            <w:tcW w:w="3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42,939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6"/>
                <w:szCs w:val="16"/>
                <w:b w:val="1"/>
                <w:bCs w:val="1"/>
                <w:color w:val="auto"/>
              </w:rPr>
              <w:t>8. Revenues</w:t>
            </w: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3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340" w:type="dxa"/>
            <w:vAlign w:val="bottom"/>
          </w:tcPr>
          <w:p>
            <w:pPr>
              <w:ind w:left="340"/>
              <w:spacing w:after="0"/>
              <w:rPr>
                <w:sz w:val="20"/>
                <w:szCs w:val="20"/>
                <w:color w:val="auto"/>
              </w:rPr>
            </w:pPr>
            <w:r>
              <w:rPr>
                <w:rFonts w:ascii="Arial" w:cs="Arial" w:eastAsia="Arial" w:hAnsi="Arial"/>
                <w:sz w:val="16"/>
                <w:szCs w:val="16"/>
                <w:color w:val="auto"/>
              </w:rPr>
              <w:t>The Partnership has recognized the following amounts relating to revenues:</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spacing w:after="0"/>
              <w:rPr>
                <w:sz w:val="24"/>
                <w:szCs w:val="24"/>
                <w:color w:val="auto"/>
              </w:rPr>
            </w:pPr>
          </w:p>
        </w:tc>
        <w:tc>
          <w:tcPr>
            <w:tcW w:w="2900" w:type="dxa"/>
            <w:vAlign w:val="bottom"/>
            <w:gridSpan w:val="4"/>
          </w:tcPr>
          <w:p>
            <w:pPr>
              <w:ind w:left="44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33"/>
        </w:trPr>
        <w:tc>
          <w:tcPr>
            <w:tcW w:w="8340" w:type="dxa"/>
            <w:vAlign w:val="bottom"/>
          </w:tcPr>
          <w:p>
            <w:pPr>
              <w:spacing w:after="0"/>
              <w:rPr>
                <w:sz w:val="20"/>
                <w:szCs w:val="20"/>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March 31, 2020</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March 31, 2021</w:t>
            </w:r>
          </w:p>
        </w:tc>
        <w:tc>
          <w:tcPr>
            <w:tcW w:w="0" w:type="dxa"/>
            <w:vAlign w:val="bottom"/>
          </w:tcPr>
          <w:p>
            <w:pPr>
              <w:spacing w:after="0"/>
              <w:rPr>
                <w:sz w:val="1"/>
                <w:szCs w:val="1"/>
                <w:color w:val="auto"/>
              </w:rPr>
            </w:pPr>
          </w:p>
        </w:tc>
      </w:tr>
      <w:tr>
        <w:trPr>
          <w:trHeight w:val="199"/>
        </w:trPr>
        <w:tc>
          <w:tcPr>
            <w:tcW w:w="83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 from long-term time charters</w:t>
            </w: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67,645</w:t>
            </w:r>
          </w:p>
        </w:tc>
        <w:tc>
          <w:tcPr>
            <w:tcW w:w="3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50,034</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40" w:type="dxa"/>
            <w:vAlign w:val="bottom"/>
          </w:tcPr>
          <w:p>
            <w:pPr>
              <w:spacing w:after="0"/>
              <w:rPr>
                <w:sz w:val="20"/>
                <w:szCs w:val="20"/>
                <w:color w:val="auto"/>
              </w:rPr>
            </w:pPr>
            <w:r>
              <w:rPr>
                <w:rFonts w:ascii="Arial" w:cs="Arial" w:eastAsia="Arial" w:hAnsi="Arial"/>
                <w:sz w:val="16"/>
                <w:szCs w:val="16"/>
                <w:color w:val="auto"/>
              </w:rPr>
              <w:t>Revenues from spot time charters</w:t>
            </w:r>
          </w:p>
        </w:tc>
        <w:tc>
          <w:tcPr>
            <w:tcW w:w="1240" w:type="dxa"/>
            <w:vAlign w:val="bottom"/>
          </w:tcPr>
          <w:p>
            <w:pPr>
              <w:jc w:val="right"/>
              <w:spacing w:after="0"/>
              <w:rPr>
                <w:sz w:val="20"/>
                <w:szCs w:val="20"/>
                <w:color w:val="auto"/>
              </w:rPr>
            </w:pPr>
            <w:r>
              <w:rPr>
                <w:rFonts w:ascii="Arial" w:cs="Arial" w:eastAsia="Arial" w:hAnsi="Arial"/>
                <w:sz w:val="16"/>
                <w:szCs w:val="16"/>
                <w:color w:val="auto"/>
              </w:rPr>
              <w:t>23,708</w:t>
            </w: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37,054</w:t>
            </w:r>
          </w:p>
        </w:tc>
        <w:tc>
          <w:tcPr>
            <w:tcW w:w="0" w:type="dxa"/>
            <w:vAlign w:val="bottom"/>
          </w:tcPr>
          <w:p>
            <w:pPr>
              <w:spacing w:after="0"/>
              <w:rPr>
                <w:sz w:val="1"/>
                <w:szCs w:val="1"/>
                <w:color w:val="auto"/>
              </w:rPr>
            </w:pPr>
          </w:p>
        </w:tc>
      </w:tr>
      <w:tr>
        <w:trPr>
          <w:trHeight w:val="210"/>
        </w:trPr>
        <w:tc>
          <w:tcPr>
            <w:tcW w:w="83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91,353</w:t>
            </w:r>
          </w:p>
        </w:tc>
        <w:tc>
          <w:tcPr>
            <w:tcW w:w="320" w:type="dxa"/>
            <w:vAlign w:val="bottom"/>
            <w:tcBorders>
              <w:top w:val="single" w:sz="8" w:color="E5FFFF"/>
              <w:bottom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87,088</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40" w:firstLine="324"/>
        <w:spacing w:after="0" w:line="328" w:lineRule="auto"/>
        <w:rPr>
          <w:sz w:val="20"/>
          <w:szCs w:val="20"/>
          <w:color w:val="auto"/>
        </w:rPr>
      </w:pPr>
      <w:r>
        <w:rPr>
          <w:rFonts w:ascii="Arial" w:cs="Arial" w:eastAsia="Arial" w:hAnsi="Arial"/>
          <w:sz w:val="15"/>
          <w:szCs w:val="15"/>
          <w:color w:val="auto"/>
        </w:rPr>
        <w:t>The Partnership defines long-term time charters as charter party agreements with an initial duration of more than five years (excluding any optional periods), while all charter party agreements of an initial duration of less than (or equal to) five years (excluding any optional periods) are classified as spot time charters.</w:t>
      </w: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9. General and Administrative Expenses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 analysis of general and administrative expenses is as follows:</w:t>
      </w:r>
    </w:p>
    <w:p>
      <w:pPr>
        <w:spacing w:after="0" w:line="244" w:lineRule="exact"/>
        <w:rPr>
          <w:sz w:val="20"/>
          <w:szCs w:val="20"/>
          <w:color w:val="auto"/>
        </w:rPr>
      </w:pPr>
    </w:p>
    <w:tbl>
      <w:tblPr>
        <w:tblLayout w:type="fixed"/>
        <w:tblInd w:w="8420" w:type="dxa"/>
        <w:tblCellMar>
          <w:top w:w="0" w:type="dxa"/>
          <w:left w:w="0" w:type="dxa"/>
          <w:bottom w:w="0" w:type="dxa"/>
          <w:right w:w="0" w:type="dxa"/>
        </w:tblCellMar>
      </w:tblPr>
      <w:tr>
        <w:trPr>
          <w:trHeight w:val="210"/>
        </w:trPr>
        <w:tc>
          <w:tcPr>
            <w:tcW w:w="2300" w:type="dxa"/>
            <w:vAlign w:val="bottom"/>
            <w:gridSpan w:val="2"/>
          </w:tcPr>
          <w:p>
            <w:pPr>
              <w:jc w:val="right"/>
              <w:spacing w:after="0"/>
              <w:rPr>
                <w:sz w:val="20"/>
                <w:szCs w:val="20"/>
                <w:color w:val="auto"/>
              </w:rPr>
            </w:pPr>
            <w:r>
              <w:rPr>
                <w:rFonts w:ascii="Arial" w:cs="Arial" w:eastAsia="Arial" w:hAnsi="Arial"/>
                <w:sz w:val="16"/>
                <w:szCs w:val="16"/>
                <w:b w:val="1"/>
                <w:bCs w:val="1"/>
                <w:color w:val="auto"/>
              </w:rPr>
              <w:t>For the three months ended</w:t>
            </w:r>
          </w:p>
        </w:tc>
        <w:tc>
          <w:tcPr>
            <w:tcW w:w="340" w:type="dxa"/>
            <w:vAlign w:val="bottom"/>
          </w:tcPr>
          <w:p>
            <w:pPr>
              <w:spacing w:after="0"/>
              <w:rPr>
                <w:sz w:val="18"/>
                <w:szCs w:val="18"/>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6"/>
                <w:szCs w:val="16"/>
                <w:b w:val="1"/>
                <w:bCs w:val="1"/>
                <w:color w:val="auto"/>
              </w:rPr>
              <w:t>March 31, 2020</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w w:val="89"/>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services fees (Note 3)</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Commercial management fees (Note 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Other expenses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Vessel Operating Costs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An analysis of vessel operating costs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1,960</w:t>
            </w:r>
          </w:p>
        </w:tc>
        <w:tc>
          <w:tcPr>
            <w:tcW w:w="32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1,177</w:t>
            </w:r>
          </w:p>
        </w:tc>
      </w:tr>
      <w:tr>
        <w:trPr>
          <w:trHeight w:val="203"/>
        </w:trPr>
        <w:tc>
          <w:tcPr>
            <w:tcW w:w="1240" w:type="dxa"/>
            <w:vAlign w:val="bottom"/>
          </w:tcPr>
          <w:p>
            <w:pPr>
              <w:jc w:val="right"/>
              <w:spacing w:after="0"/>
              <w:rPr>
                <w:sz w:val="20"/>
                <w:szCs w:val="20"/>
                <w:color w:val="auto"/>
              </w:rPr>
            </w:pPr>
            <w:r>
              <w:rPr>
                <w:rFonts w:ascii="Arial" w:cs="Arial" w:eastAsia="Arial" w:hAnsi="Arial"/>
                <w:sz w:val="16"/>
                <w:szCs w:val="16"/>
                <w:color w:val="auto"/>
              </w:rPr>
              <w:t>1,350</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1,350</w:t>
            </w:r>
          </w:p>
        </w:tc>
      </w:tr>
      <w:tr>
        <w:trPr>
          <w:trHeight w:val="206"/>
        </w:trPr>
        <w:tc>
          <w:tcPr>
            <w:tcW w:w="1240" w:type="dxa"/>
            <w:vAlign w:val="bottom"/>
          </w:tcPr>
          <w:p>
            <w:pPr>
              <w:jc w:val="right"/>
              <w:spacing w:after="0"/>
              <w:rPr>
                <w:sz w:val="20"/>
                <w:szCs w:val="20"/>
                <w:color w:val="auto"/>
              </w:rPr>
            </w:pPr>
            <w:r>
              <w:rPr>
                <w:rFonts w:ascii="Arial" w:cs="Arial" w:eastAsia="Arial" w:hAnsi="Arial"/>
                <w:sz w:val="16"/>
                <w:szCs w:val="16"/>
                <w:color w:val="auto"/>
              </w:rPr>
              <w:t>297</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9"/>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w:t>
            </w:r>
          </w:p>
        </w:tc>
        <w:tc>
          <w:tcPr>
            <w:tcW w:w="3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w:t>
            </w:r>
          </w:p>
        </w:tc>
      </w:tr>
      <w:tr>
        <w:trPr>
          <w:trHeight w:val="210"/>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4,171</w:t>
            </w:r>
          </w:p>
        </w:tc>
        <w:tc>
          <w:tcPr>
            <w:tcW w:w="3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3,071</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2300" w:type="dxa"/>
            <w:vAlign w:val="bottom"/>
            <w:gridSpan w:val="2"/>
          </w:tcPr>
          <w:p>
            <w:pPr>
              <w:jc w:val="right"/>
              <w:spacing w:after="0"/>
              <w:rPr>
                <w:sz w:val="20"/>
                <w:szCs w:val="20"/>
                <w:color w:val="auto"/>
              </w:rPr>
            </w:pPr>
            <w:r>
              <w:rPr>
                <w:rFonts w:ascii="Arial" w:cs="Arial" w:eastAsia="Arial" w:hAnsi="Arial"/>
                <w:sz w:val="16"/>
                <w:szCs w:val="16"/>
                <w:b w:val="1"/>
                <w:bCs w:val="1"/>
                <w:color w:val="auto"/>
              </w:rPr>
              <w:t>For the three months ended</w:t>
            </w:r>
          </w:p>
        </w:tc>
        <w:tc>
          <w:tcPr>
            <w:tcW w:w="340" w:type="dxa"/>
            <w:vAlign w:val="bottom"/>
          </w:tcPr>
          <w:p>
            <w:pPr>
              <w:spacing w:after="0"/>
              <w:rPr>
                <w:sz w:val="18"/>
                <w:szCs w:val="18"/>
                <w:color w:val="auto"/>
              </w:rPr>
            </w:pPr>
          </w:p>
        </w:tc>
      </w:tr>
      <w:tr>
        <w:trPr>
          <w:trHeight w:val="229"/>
        </w:trPr>
        <w:tc>
          <w:tcPr>
            <w:tcW w:w="1320" w:type="dxa"/>
            <w:vAlign w:val="bottom"/>
          </w:tcPr>
          <w:p>
            <w:pPr>
              <w:spacing w:after="0"/>
              <w:rPr>
                <w:sz w:val="20"/>
                <w:szCs w:val="20"/>
                <w:color w:val="auto"/>
              </w:rPr>
            </w:pPr>
            <w:r>
              <w:rPr>
                <w:rFonts w:ascii="Arial" w:cs="Arial" w:eastAsia="Arial" w:hAnsi="Arial"/>
                <w:sz w:val="16"/>
                <w:szCs w:val="16"/>
                <w:b w:val="1"/>
                <w:bCs w:val="1"/>
                <w:color w:val="auto"/>
              </w:rPr>
              <w:t>March 31, 2020</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w w:val="89"/>
              </w:rPr>
              <w:t>2021</w:t>
            </w:r>
          </w:p>
        </w:tc>
      </w:tr>
    </w:tbl>
    <w:p>
      <w:pPr>
        <w:spacing w:after="0" w:line="1" w:lineRule="exact"/>
        <w:rPr>
          <w:sz w:val="20"/>
          <w:szCs w:val="20"/>
          <w:color w:val="auto"/>
        </w:rPr>
      </w:pPr>
    </w:p>
    <w:p>
      <w:pPr>
        <w:sectPr>
          <w:pgSz w:w="11900" w:h="16838" w:orient="portrait"/>
          <w:cols w:equalWidth="0" w:num="2">
            <w:col w:w="7620" w:space="720"/>
            <w:col w:w="2900"/>
          </w:cols>
          <w:pgMar w:left="320" w:top="909" w:right="3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Crew costs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Technical maintenance expenses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Other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Derivative Financial Instruments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fair value of the Partnership’s derivative liabilities is as follows: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8,839</w:t>
            </w:r>
          </w:p>
        </w:tc>
        <w:tc>
          <w:tcPr>
            <w:tcW w:w="32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8,972</w:t>
            </w:r>
          </w:p>
        </w:tc>
      </w:tr>
      <w:tr>
        <w:trPr>
          <w:trHeight w:val="206"/>
        </w:trPr>
        <w:tc>
          <w:tcPr>
            <w:tcW w:w="1240" w:type="dxa"/>
            <w:vAlign w:val="bottom"/>
          </w:tcPr>
          <w:p>
            <w:pPr>
              <w:jc w:val="right"/>
              <w:spacing w:after="0"/>
              <w:rPr>
                <w:sz w:val="20"/>
                <w:szCs w:val="20"/>
                <w:color w:val="auto"/>
              </w:rPr>
            </w:pPr>
            <w:r>
              <w:rPr>
                <w:rFonts w:ascii="Arial" w:cs="Arial" w:eastAsia="Arial" w:hAnsi="Arial"/>
                <w:sz w:val="16"/>
                <w:szCs w:val="16"/>
                <w:color w:val="auto"/>
              </w:rPr>
              <w:t>5,937</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4,366</w:t>
            </w:r>
          </w:p>
        </w:tc>
      </w:tr>
      <w:tr>
        <w:trPr>
          <w:trHeight w:val="219"/>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4,317</w:t>
            </w:r>
          </w:p>
        </w:tc>
        <w:tc>
          <w:tcPr>
            <w:tcW w:w="3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4,469</w:t>
            </w:r>
          </w:p>
        </w:tc>
      </w:tr>
      <w:tr>
        <w:trPr>
          <w:trHeight w:val="210"/>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19,093</w:t>
            </w:r>
          </w:p>
        </w:tc>
        <w:tc>
          <w:tcPr>
            <w:tcW w:w="3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17,807</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spacing w:after="0"/>
        <w:tabs>
          <w:tab w:leader="none" w:pos="1800" w:val="left"/>
        </w:tabs>
        <w:rPr>
          <w:sz w:val="20"/>
          <w:szCs w:val="20"/>
          <w:color w:val="auto"/>
        </w:rPr>
      </w:pPr>
      <w:r>
        <w:rPr>
          <w:rFonts w:ascii="Arial" w:cs="Arial" w:eastAsia="Arial" w:hAnsi="Arial"/>
          <w:sz w:val="16"/>
          <w:szCs w:val="16"/>
          <w:b w:val="1"/>
          <w:bCs w:val="1"/>
          <w:color w:val="auto"/>
        </w:rPr>
        <w:t>December 31,</w:t>
      </w:r>
      <w:r>
        <w:rPr>
          <w:sz w:val="20"/>
          <w:szCs w:val="20"/>
          <w:color w:val="auto"/>
        </w:rPr>
        <w:tab/>
      </w:r>
      <w:r>
        <w:rPr>
          <w:rFonts w:ascii="Arial" w:cs="Arial" w:eastAsia="Arial" w:hAnsi="Arial"/>
          <w:sz w:val="15"/>
          <w:szCs w:val="15"/>
          <w:b w:val="1"/>
          <w:bCs w:val="1"/>
          <w:color w:val="auto"/>
        </w:rPr>
        <w:t>March 31,</w:t>
      </w:r>
    </w:p>
    <w:p>
      <w:pPr>
        <w:spacing w:after="0" w:line="26" w:lineRule="exact"/>
        <w:rPr>
          <w:sz w:val="20"/>
          <w:szCs w:val="20"/>
          <w:color w:val="auto"/>
        </w:rPr>
      </w:pPr>
    </w:p>
    <w:p>
      <w:pPr>
        <w:ind w:left="460"/>
        <w:spacing w:after="0"/>
        <w:tabs>
          <w:tab w:leader="none" w:pos="200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2021</w:t>
      </w:r>
    </w:p>
    <w:p>
      <w:pPr>
        <w:spacing w:after="0" w:line="19" w:lineRule="exact"/>
        <w:rPr>
          <w:sz w:val="20"/>
          <w:szCs w:val="20"/>
          <w:color w:val="auto"/>
        </w:rPr>
      </w:pPr>
    </w:p>
    <w:p>
      <w:pPr>
        <w:sectPr>
          <w:pgSz w:w="11900" w:h="16838" w:orient="portrait"/>
          <w:cols w:equalWidth="0" w:num="2">
            <w:col w:w="7620" w:space="720"/>
            <w:col w:w="2900"/>
          </w:cols>
          <w:pgMar w:left="320" w:top="909"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3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Derivative liabilities carried at fair value through profit or loss (FVTPL)</w:t>
            </w:r>
          </w:p>
        </w:tc>
        <w:tc>
          <w:tcPr>
            <w:tcW w:w="1240" w:type="dxa"/>
            <w:vAlign w:val="bottom"/>
            <w:tcBorders>
              <w:top w:val="single" w:sz="8" w:color="auto"/>
            </w:tcBorders>
            <w:shd w:val="clear" w:color="auto" w:fill="E5FFFF"/>
          </w:tcPr>
          <w:p>
            <w:pPr>
              <w:spacing w:after="0"/>
              <w:rPr>
                <w:sz w:val="18"/>
                <w:szCs w:val="18"/>
                <w:color w:val="auto"/>
              </w:rPr>
            </w:pPr>
          </w:p>
        </w:tc>
        <w:tc>
          <w:tcPr>
            <w:tcW w:w="32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40" w:type="dxa"/>
            <w:vAlign w:val="bottom"/>
          </w:tcPr>
          <w:p>
            <w:pPr>
              <w:spacing w:after="0"/>
              <w:rPr>
                <w:sz w:val="20"/>
                <w:szCs w:val="20"/>
                <w:color w:val="auto"/>
              </w:rPr>
            </w:pPr>
            <w:r>
              <w:rPr>
                <w:rFonts w:ascii="Arial" w:cs="Arial" w:eastAsia="Arial" w:hAnsi="Arial"/>
                <w:sz w:val="16"/>
                <w:szCs w:val="16"/>
                <w:color w:val="auto"/>
              </w:rPr>
              <w:t>Interest rate swaps</w:t>
            </w:r>
          </w:p>
        </w:tc>
        <w:tc>
          <w:tcPr>
            <w:tcW w:w="1240" w:type="dxa"/>
            <w:vAlign w:val="bottom"/>
          </w:tcPr>
          <w:p>
            <w:pPr>
              <w:jc w:val="right"/>
              <w:spacing w:after="0"/>
              <w:rPr>
                <w:sz w:val="20"/>
                <w:szCs w:val="20"/>
                <w:color w:val="auto"/>
              </w:rPr>
            </w:pPr>
            <w:r>
              <w:rPr>
                <w:rFonts w:ascii="Arial" w:cs="Arial" w:eastAsia="Arial" w:hAnsi="Arial"/>
                <w:sz w:val="16"/>
                <w:szCs w:val="16"/>
                <w:color w:val="auto"/>
              </w:rPr>
              <w:t>20,337</w:t>
            </w: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16,730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20,337</w:t>
            </w:r>
          </w:p>
        </w:tc>
        <w:tc>
          <w:tcPr>
            <w:tcW w:w="320" w:type="dxa"/>
            <w:vAlign w:val="bottom"/>
            <w:tcBorders>
              <w:top w:val="single" w:sz="8" w:color="E5FFFF"/>
              <w:bottom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16,730</w:t>
            </w: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6"/>
                <w:szCs w:val="16"/>
                <w:color w:val="auto"/>
              </w:rPr>
              <w:t>Derivative financial instruments, current liability</w:t>
            </w: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340" w:type="dxa"/>
            <w:vAlign w:val="bottom"/>
            <w:vMerge w:val="continue"/>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8,185</w:t>
            </w:r>
          </w:p>
        </w:tc>
        <w:tc>
          <w:tcPr>
            <w:tcW w:w="32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 non-current liability</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12,152</w:t>
            </w:r>
          </w:p>
        </w:tc>
        <w:tc>
          <w:tcPr>
            <w:tcW w:w="3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8,699</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20,337</w:t>
            </w:r>
          </w:p>
        </w:tc>
        <w:tc>
          <w:tcPr>
            <w:tcW w:w="3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16,730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Interest rate swap agreements</w:t>
      </w:r>
    </w:p>
    <w:p>
      <w:pPr>
        <w:spacing w:after="0" w:line="239" w:lineRule="exact"/>
        <w:rPr>
          <w:sz w:val="20"/>
          <w:szCs w:val="20"/>
          <w:color w:val="auto"/>
        </w:rPr>
      </w:pPr>
    </w:p>
    <w:p>
      <w:pPr>
        <w:ind w:right="280" w:firstLine="324"/>
        <w:spacing w:after="0" w:line="273" w:lineRule="auto"/>
        <w:rPr>
          <w:sz w:val="20"/>
          <w:szCs w:val="20"/>
          <w:color w:val="auto"/>
        </w:rPr>
      </w:pPr>
      <w:r>
        <w:rPr>
          <w:rFonts w:ascii="Arial" w:cs="Arial" w:eastAsia="Arial" w:hAnsi="Arial"/>
          <w:sz w:val="16"/>
          <w:szCs w:val="16"/>
          <w:color w:val="auto"/>
        </w:rPr>
        <w:t>The Partnership enters into interest rate swap agreements which convert the floating interest rate exposure into a fixed interest rate in order to hedge a portion of the Partnership’s exposure to fluctuations in prevailing market interest rates. Under the interest rate swaps, the counterparty effects quarterly floating-rate payments to the Partnership for the notional amount based on the three-month USD London Interbank Offered Rate (“LIBOR”), and the Partnership effects quarterly payments to the counterparty on the notional amount at the respective fixed rates.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Interest rate swaps held for trading</w:t>
      </w:r>
    </w:p>
    <w:p>
      <w:pPr>
        <w:spacing w:after="0" w:line="235"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The principal terms of the Partnership’s interest rate swaps held for trading as of December 31, 2020 have been disclosed in the annual audited consolidated financial statements for the year ended December 31, 2020. Refer to Note 17 “Derivative Financial Instruments”.</w:t>
      </w:r>
    </w:p>
    <w:p>
      <w:pPr>
        <w:spacing w:after="0" w:line="172" w:lineRule="exact"/>
        <w:rPr>
          <w:sz w:val="20"/>
          <w:szCs w:val="20"/>
          <w:color w:val="auto"/>
        </w:rPr>
      </w:pPr>
    </w:p>
    <w:p>
      <w:pPr>
        <w:ind w:right="60" w:firstLine="324"/>
        <w:spacing w:after="0" w:line="271" w:lineRule="auto"/>
        <w:rPr>
          <w:sz w:val="20"/>
          <w:szCs w:val="20"/>
          <w:color w:val="auto"/>
        </w:rPr>
      </w:pPr>
      <w:r>
        <w:rPr>
          <w:rFonts w:ascii="Arial" w:cs="Arial" w:eastAsia="Arial" w:hAnsi="Arial"/>
          <w:sz w:val="16"/>
          <w:szCs w:val="16"/>
          <w:color w:val="auto"/>
        </w:rPr>
        <w:t>The derivative instruments of the Partnership were not designated as cash flow hedging instruments as of March 31, 2021. The change in the fair value of the interest rate swaps for the three months ended March 31, 2021 amounted to a gain of $3,607 (for the three months ended March 31, 2020 a loss of $13,182), which was recognized in profit or loss in the period incurred and is included in (Loss)/gain on derivatives. During the three months ended March 31, 2021, the gain of $3,607 (Note 12), was attributable to changes in the USD LIBOR yield curve, which was used to calculate the present value of the estimated future cash flows, resulting in a decrease in derivative liabilities from interest rate swaps held for trading.</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Forward foreign exchange contracts</w:t>
      </w:r>
    </w:p>
    <w:p>
      <w:pPr>
        <w:spacing w:after="0" w:line="239" w:lineRule="exact"/>
        <w:rPr>
          <w:sz w:val="20"/>
          <w:szCs w:val="20"/>
          <w:color w:val="auto"/>
        </w:rPr>
      </w:pPr>
    </w:p>
    <w:p>
      <w:pPr>
        <w:ind w:right="20" w:firstLine="324"/>
        <w:spacing w:after="0" w:line="273" w:lineRule="auto"/>
        <w:rPr>
          <w:sz w:val="20"/>
          <w:szCs w:val="20"/>
          <w:color w:val="auto"/>
        </w:rPr>
      </w:pPr>
      <w:r>
        <w:rPr>
          <w:rFonts w:ascii="Arial" w:cs="Arial" w:eastAsia="Arial" w:hAnsi="Arial"/>
          <w:sz w:val="16"/>
          <w:szCs w:val="16"/>
          <w:color w:val="auto"/>
        </w:rPr>
        <w:t>The Partnership uses non-deliverable forward foreign exchange contracts to mitigate foreign exchange transaction exposures in Euros (“EUR”) and Singapore Dollars (“SGD”). Under these non-deliverable forward foreign exchange contracts, the counterparties settle the difference between the fixed exchange rate and the prevailing rate on the agreed notional amounts on the respective settlement dates. All forward foreign exchange contracts are considered by management to be part of economic hedge arrangements but have not been formally designated as such.</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type w:val="continuous"/>
        </w:sectPr>
      </w:pPr>
    </w:p>
    <w:bookmarkStart w:id="29" w:name="page30"/>
    <w:bookmarkEnd w:id="29"/>
    <w:p>
      <w:pPr>
        <w:ind w:left="340"/>
        <w:spacing w:after="0"/>
        <w:rPr>
          <w:sz w:val="20"/>
          <w:szCs w:val="20"/>
          <w:color w:val="auto"/>
        </w:rPr>
      </w:pPr>
      <w:r>
        <w:rPr>
          <w:rFonts w:ascii="Arial" w:cs="Arial" w:eastAsia="Arial" w:hAnsi="Arial"/>
          <w:sz w:val="16"/>
          <w:szCs w:val="16"/>
          <w:b w:val="1"/>
          <w:bCs w:val="1"/>
          <w:i w:val="1"/>
          <w:iCs w:val="1"/>
          <w:color w:val="auto"/>
        </w:rPr>
        <w:t>Forward foreign exchange contracts held for trading</w:t>
      </w:r>
    </w:p>
    <w:p>
      <w:pPr>
        <w:spacing w:after="0" w:line="235"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principal terms of the forward foreign exchange contracts held for trading have been disclosed in the annual audited consolidated financial statements for the year ended December 31, 2020. Refer to Note 17 “Derivative Financial Instruments”.</w:t>
      </w:r>
    </w:p>
    <w:p>
      <w:pPr>
        <w:spacing w:after="0" w:line="172" w:lineRule="exact"/>
        <w:rPr>
          <w:sz w:val="20"/>
          <w:szCs w:val="20"/>
          <w:color w:val="auto"/>
        </w:rPr>
      </w:pPr>
    </w:p>
    <w:p>
      <w:pPr>
        <w:jc w:val="both"/>
        <w:ind w:right="180" w:firstLine="324"/>
        <w:spacing w:after="0" w:line="305" w:lineRule="auto"/>
        <w:rPr>
          <w:sz w:val="20"/>
          <w:szCs w:val="20"/>
          <w:color w:val="auto"/>
        </w:rPr>
      </w:pPr>
      <w:r>
        <w:rPr>
          <w:rFonts w:ascii="Arial" w:cs="Arial" w:eastAsia="Arial" w:hAnsi="Arial"/>
          <w:sz w:val="15"/>
          <w:szCs w:val="15"/>
          <w:color w:val="auto"/>
        </w:rPr>
        <w:t>During the three months ended March 31, 2021, the Partnership did not enter any new forward foreign exchange contracts and the change in the fair value of forward foreign exchange contracts for the three months ended March 31, 2021 was nil. The change in the fair value of such contracts for the three months ended March 31, 2020 amounted to a loss of $470, which was recognized in profit or loss in the period incurred and is included in (Loss)/gain on derivatives (Note 12).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20"/>
                <w:szCs w:val="20"/>
                <w:color w:val="auto"/>
              </w:rPr>
            </w:pPr>
            <w:r>
              <w:rPr>
                <w:rFonts w:ascii="Arial" w:cs="Arial" w:eastAsia="Arial" w:hAnsi="Arial"/>
                <w:sz w:val="16"/>
                <w:szCs w:val="16"/>
                <w:b w:val="1"/>
                <w:bCs w:val="1"/>
                <w:color w:val="auto"/>
              </w:rPr>
              <w:t>12. Financial Costs and Loss/(gain) on Derivatives</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8"/>
        </w:trPr>
        <w:tc>
          <w:tcPr>
            <w:tcW w:w="8340" w:type="dxa"/>
            <w:vAlign w:val="bottom"/>
          </w:tcPr>
          <w:p>
            <w:pPr>
              <w:ind w:left="340"/>
              <w:spacing w:after="0"/>
              <w:rPr>
                <w:sz w:val="20"/>
                <w:szCs w:val="20"/>
                <w:color w:val="auto"/>
              </w:rPr>
            </w:pPr>
            <w:r>
              <w:rPr>
                <w:rFonts w:ascii="Arial" w:cs="Arial" w:eastAsia="Arial" w:hAnsi="Arial"/>
                <w:sz w:val="16"/>
                <w:szCs w:val="16"/>
                <w:color w:val="auto"/>
              </w:rPr>
              <w:t>An analysis of financial costs is as follows:</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340" w:type="dxa"/>
            <w:vAlign w:val="bottom"/>
          </w:tcPr>
          <w:p>
            <w:pPr>
              <w:spacing w:after="0"/>
              <w:rPr>
                <w:sz w:val="24"/>
                <w:szCs w:val="24"/>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For the three months ended</w:t>
            </w:r>
          </w:p>
        </w:tc>
      </w:tr>
      <w:tr>
        <w:trPr>
          <w:trHeight w:val="233"/>
        </w:trPr>
        <w:tc>
          <w:tcPr>
            <w:tcW w:w="8340" w:type="dxa"/>
            <w:vAlign w:val="bottom"/>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 2020</w:t>
            </w:r>
          </w:p>
        </w:tc>
        <w:tc>
          <w:tcPr>
            <w:tcW w:w="1340" w:type="dxa"/>
            <w:vAlign w:val="bottom"/>
            <w:gridSpan w:val="3"/>
          </w:tcPr>
          <w:p>
            <w:pPr>
              <w:ind w:left="80"/>
              <w:spacing w:after="0"/>
              <w:rPr>
                <w:sz w:val="20"/>
                <w:szCs w:val="20"/>
                <w:color w:val="auto"/>
              </w:rPr>
            </w:pPr>
            <w:r>
              <w:rPr>
                <w:rFonts w:ascii="Arial" w:cs="Arial" w:eastAsia="Arial" w:hAnsi="Arial"/>
                <w:sz w:val="16"/>
                <w:szCs w:val="16"/>
                <w:b w:val="1"/>
                <w:bCs w:val="1"/>
                <w:color w:val="auto"/>
              </w:rPr>
              <w:t>March 31, 2021</w:t>
            </w:r>
          </w:p>
        </w:tc>
      </w:tr>
      <w:tr>
        <w:trPr>
          <w:trHeight w:val="199"/>
        </w:trPr>
        <w:tc>
          <w:tcPr>
            <w:tcW w:w="83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Amortization and write-off of deferred loan issuance costs</w:t>
            </w: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1,505</w:t>
            </w:r>
          </w:p>
        </w:tc>
        <w:tc>
          <w:tcPr>
            <w:tcW w:w="3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1,224</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r>
      <w:tr>
        <w:trPr>
          <w:trHeight w:val="203"/>
        </w:trPr>
        <w:tc>
          <w:tcPr>
            <w:tcW w:w="8340" w:type="dxa"/>
            <w:vAlign w:val="bottom"/>
          </w:tcPr>
          <w:p>
            <w:pPr>
              <w:spacing w:after="0"/>
              <w:rPr>
                <w:sz w:val="20"/>
                <w:szCs w:val="20"/>
                <w:color w:val="auto"/>
              </w:rPr>
            </w:pPr>
            <w:r>
              <w:rPr>
                <w:rFonts w:ascii="Arial" w:cs="Arial" w:eastAsia="Arial" w:hAnsi="Arial"/>
                <w:sz w:val="16"/>
                <w:szCs w:val="16"/>
                <w:color w:val="auto"/>
              </w:rPr>
              <w:t>Interest expense on loans</w:t>
            </w:r>
          </w:p>
        </w:tc>
        <w:tc>
          <w:tcPr>
            <w:tcW w:w="1240" w:type="dxa"/>
            <w:vAlign w:val="bottom"/>
          </w:tcPr>
          <w:p>
            <w:pPr>
              <w:jc w:val="right"/>
              <w:spacing w:after="0"/>
              <w:rPr>
                <w:sz w:val="20"/>
                <w:szCs w:val="20"/>
                <w:color w:val="auto"/>
              </w:rPr>
            </w:pPr>
            <w:r>
              <w:rPr>
                <w:rFonts w:ascii="Arial" w:cs="Arial" w:eastAsia="Arial" w:hAnsi="Arial"/>
                <w:sz w:val="16"/>
                <w:szCs w:val="16"/>
                <w:color w:val="auto"/>
              </w:rPr>
              <w:t>13,434</w:t>
            </w:r>
          </w:p>
        </w:tc>
        <w:tc>
          <w:tcPr>
            <w:tcW w:w="3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7,883</w:t>
            </w:r>
          </w:p>
        </w:tc>
        <w:tc>
          <w:tcPr>
            <w:tcW w:w="80" w:type="dxa"/>
            <w:vAlign w:val="bottom"/>
          </w:tcPr>
          <w:p>
            <w:pPr>
              <w:spacing w:after="0"/>
              <w:rPr>
                <w:sz w:val="17"/>
                <w:szCs w:val="17"/>
                <w:color w:val="auto"/>
              </w:rPr>
            </w:pPr>
          </w:p>
        </w:tc>
      </w:tr>
      <w:tr>
        <w:trPr>
          <w:trHeight w:val="203"/>
        </w:trPr>
        <w:tc>
          <w:tcPr>
            <w:tcW w:w="8340" w:type="dxa"/>
            <w:vAlign w:val="bottom"/>
            <w:shd w:val="clear" w:color="auto" w:fill="E5FFFF"/>
          </w:tcPr>
          <w:p>
            <w:pPr>
              <w:spacing w:after="0"/>
              <w:rPr>
                <w:sz w:val="20"/>
                <w:szCs w:val="20"/>
                <w:color w:val="auto"/>
              </w:rPr>
            </w:pPr>
            <w:r>
              <w:rPr>
                <w:rFonts w:ascii="Arial" w:cs="Arial" w:eastAsia="Arial" w:hAnsi="Arial"/>
                <w:sz w:val="16"/>
                <w:szCs w:val="16"/>
                <w:color w:val="auto"/>
              </w:rPr>
              <w:t>Lease expense</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w:t>
            </w:r>
          </w:p>
        </w:tc>
        <w:tc>
          <w:tcPr>
            <w:tcW w:w="32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5</w:t>
            </w:r>
          </w:p>
        </w:tc>
        <w:tc>
          <w:tcPr>
            <w:tcW w:w="80" w:type="dxa"/>
            <w:vAlign w:val="bottom"/>
            <w:shd w:val="clear" w:color="auto" w:fill="E5FFFF"/>
          </w:tcPr>
          <w:p>
            <w:pPr>
              <w:spacing w:after="0"/>
              <w:rPr>
                <w:sz w:val="17"/>
                <w:szCs w:val="17"/>
                <w:color w:val="auto"/>
              </w:rPr>
            </w:pPr>
          </w:p>
        </w:tc>
      </w:tr>
      <w:tr>
        <w:trPr>
          <w:trHeight w:val="203"/>
        </w:trPr>
        <w:tc>
          <w:tcPr>
            <w:tcW w:w="8340" w:type="dxa"/>
            <w:vAlign w:val="bottom"/>
          </w:tcPr>
          <w:p>
            <w:pPr>
              <w:spacing w:after="0"/>
              <w:rPr>
                <w:sz w:val="20"/>
                <w:szCs w:val="20"/>
                <w:color w:val="auto"/>
              </w:rPr>
            </w:pPr>
            <w:r>
              <w:rPr>
                <w:rFonts w:ascii="Arial" w:cs="Arial" w:eastAsia="Arial" w:hAnsi="Arial"/>
                <w:sz w:val="16"/>
                <w:szCs w:val="16"/>
                <w:color w:val="auto"/>
              </w:rPr>
              <w:t>Commitment fees</w:t>
            </w:r>
          </w:p>
        </w:tc>
        <w:tc>
          <w:tcPr>
            <w:tcW w:w="1240" w:type="dxa"/>
            <w:vAlign w:val="bottom"/>
          </w:tcPr>
          <w:p>
            <w:pPr>
              <w:jc w:val="right"/>
              <w:spacing w:after="0"/>
              <w:rPr>
                <w:sz w:val="20"/>
                <w:szCs w:val="20"/>
                <w:color w:val="auto"/>
              </w:rPr>
            </w:pPr>
            <w:r>
              <w:rPr>
                <w:rFonts w:ascii="Arial" w:cs="Arial" w:eastAsia="Arial" w:hAnsi="Arial"/>
                <w:sz w:val="16"/>
                <w:szCs w:val="16"/>
                <w:color w:val="auto"/>
              </w:rPr>
              <w:t>130</w:t>
            </w:r>
          </w:p>
        </w:tc>
        <w:tc>
          <w:tcPr>
            <w:tcW w:w="3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7"/>
                <w:szCs w:val="17"/>
                <w:color w:val="auto"/>
              </w:rPr>
            </w:pPr>
          </w:p>
        </w:tc>
      </w:tr>
      <w:tr>
        <w:trPr>
          <w:trHeight w:val="216"/>
        </w:trPr>
        <w:tc>
          <w:tcPr>
            <w:tcW w:w="8340" w:type="dxa"/>
            <w:vAlign w:val="bottom"/>
            <w:shd w:val="clear" w:color="auto" w:fill="E5FFFF"/>
          </w:tcPr>
          <w:p>
            <w:pPr>
              <w:spacing w:after="0"/>
              <w:rPr>
                <w:sz w:val="20"/>
                <w:szCs w:val="20"/>
                <w:color w:val="auto"/>
              </w:rPr>
            </w:pPr>
            <w:r>
              <w:rPr>
                <w:rFonts w:ascii="Arial" w:cs="Arial" w:eastAsia="Arial" w:hAnsi="Arial"/>
                <w:sz w:val="16"/>
                <w:szCs w:val="16"/>
                <w:color w:val="auto"/>
              </w:rPr>
              <w:t>Other financial costs including bank commissions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434</w:t>
            </w:r>
          </w:p>
        </w:tc>
        <w:tc>
          <w:tcPr>
            <w:tcW w:w="3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229</w:t>
            </w:r>
          </w:p>
        </w:tc>
        <w:tc>
          <w:tcPr>
            <w:tcW w:w="80" w:type="dxa"/>
            <w:vAlign w:val="bottom"/>
            <w:shd w:val="clear" w:color="auto" w:fill="E5FFFF"/>
          </w:tcPr>
          <w:p>
            <w:pPr>
              <w:spacing w:after="0"/>
              <w:rPr>
                <w:sz w:val="18"/>
                <w:szCs w:val="18"/>
                <w:color w:val="auto"/>
              </w:rPr>
            </w:pPr>
          </w:p>
        </w:tc>
      </w:tr>
      <w:tr>
        <w:trPr>
          <w:trHeight w:val="207"/>
        </w:trPr>
        <w:tc>
          <w:tcPr>
            <w:tcW w:w="8340" w:type="dxa"/>
            <w:vAlign w:val="bottom"/>
          </w:tcPr>
          <w:p>
            <w:pPr>
              <w:spacing w:after="0"/>
              <w:rPr>
                <w:sz w:val="20"/>
                <w:szCs w:val="20"/>
                <w:color w:val="auto"/>
              </w:rPr>
            </w:pPr>
            <w:r>
              <w:rPr>
                <w:rFonts w:ascii="Arial" w:cs="Arial" w:eastAsia="Arial" w:hAnsi="Arial"/>
                <w:sz w:val="16"/>
                <w:szCs w:val="16"/>
                <w:b w:val="1"/>
                <w:bCs w:val="1"/>
                <w:color w:val="auto"/>
              </w:rPr>
              <w:t>Total financial costs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15,513</w:t>
            </w:r>
          </w:p>
        </w:tc>
        <w:tc>
          <w:tcPr>
            <w:tcW w:w="3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9,416</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8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 analysis of loss/(gain) on derivatives is as follows:</w:t>
      </w:r>
    </w:p>
    <w:p>
      <w:pPr>
        <w:sectPr>
          <w:pgSz w:w="11900" w:h="16838" w:orient="portrait"/>
          <w:cols w:equalWidth="0" w:num="1">
            <w:col w:w="11240"/>
          </w:cols>
          <w:pgMar w:left="320" w:top="9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Unrealized loss/(gain) on interest rate swaps held for trading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Unrealized loss on forward foreign exchange contracts held for trading (Note 11)</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Realized loss on interest rate swaps held for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right="3160"/>
        <w:spacing w:after="0" w:line="305" w:lineRule="auto"/>
        <w:rPr>
          <w:sz w:val="20"/>
          <w:szCs w:val="20"/>
          <w:color w:val="auto"/>
        </w:rPr>
      </w:pPr>
      <w:r>
        <w:rPr>
          <w:rFonts w:ascii="Arial" w:cs="Arial" w:eastAsia="Arial" w:hAnsi="Arial"/>
          <w:sz w:val="16"/>
          <w:szCs w:val="16"/>
          <w:color w:val="auto"/>
        </w:rPr>
        <w:t xml:space="preserve">Realized loss on forward foreign exchange contracts held for trading </w:t>
      </w:r>
      <w:r>
        <w:rPr>
          <w:rFonts w:ascii="Arial" w:cs="Arial" w:eastAsia="Arial" w:hAnsi="Arial"/>
          <w:sz w:val="16"/>
          <w:szCs w:val="16"/>
          <w:b w:val="1"/>
          <w:bCs w:val="1"/>
          <w:color w:val="auto"/>
        </w:rPr>
        <w:t>Total loss/(gain)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Earnings per Unit (“EPU”)</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For the three months ended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56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 2020</w:t>
            </w:r>
          </w:p>
        </w:tc>
        <w:tc>
          <w:tcPr>
            <w:tcW w:w="1280" w:type="dxa"/>
            <w:vAlign w:val="bottom"/>
            <w:gridSpan w:val="3"/>
          </w:tcPr>
          <w:p>
            <w:pPr>
              <w:jc w:val="right"/>
              <w:ind w:right="115"/>
              <w:spacing w:after="0"/>
              <w:rPr>
                <w:sz w:val="20"/>
                <w:szCs w:val="20"/>
                <w:color w:val="auto"/>
              </w:rPr>
            </w:pPr>
            <w:r>
              <w:rPr>
                <w:rFonts w:ascii="Arial" w:cs="Arial" w:eastAsia="Arial" w:hAnsi="Arial"/>
                <w:sz w:val="16"/>
                <w:szCs w:val="16"/>
                <w:b w:val="1"/>
                <w:bCs w:val="1"/>
                <w:color w:val="auto"/>
              </w:rPr>
              <w:t>March 31, 2021</w:t>
            </w:r>
          </w:p>
        </w:tc>
      </w:tr>
      <w:tr>
        <w:trPr>
          <w:trHeight w:val="189"/>
        </w:trPr>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13,182</w:t>
            </w:r>
          </w:p>
        </w:tc>
        <w:tc>
          <w:tcPr>
            <w:tcW w:w="32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(3,607)</w:t>
            </w:r>
          </w:p>
        </w:tc>
        <w:tc>
          <w:tcPr>
            <w:tcW w:w="40" w:type="dxa"/>
            <w:vAlign w:val="bottom"/>
            <w:gridSpan w:val="2"/>
          </w:tcPr>
          <w:p>
            <w:pPr>
              <w:spacing w:after="0"/>
              <w:rPr>
                <w:sz w:val="16"/>
                <w:szCs w:val="16"/>
                <w:color w:val="auto"/>
              </w:rPr>
            </w:pPr>
          </w:p>
        </w:tc>
      </w:tr>
      <w:tr>
        <w:trPr>
          <w:trHeight w:val="203"/>
        </w:trPr>
        <w:tc>
          <w:tcPr>
            <w:tcW w:w="1240" w:type="dxa"/>
            <w:vAlign w:val="bottom"/>
          </w:tcPr>
          <w:p>
            <w:pPr>
              <w:jc w:val="right"/>
              <w:spacing w:after="0"/>
              <w:rPr>
                <w:sz w:val="20"/>
                <w:szCs w:val="20"/>
                <w:color w:val="auto"/>
              </w:rPr>
            </w:pPr>
            <w:r>
              <w:rPr>
                <w:rFonts w:ascii="Arial" w:cs="Arial" w:eastAsia="Arial" w:hAnsi="Arial"/>
                <w:sz w:val="16"/>
                <w:szCs w:val="16"/>
                <w:color w:val="auto"/>
              </w:rPr>
              <w:t>470</w:t>
            </w:r>
          </w:p>
        </w:tc>
        <w:tc>
          <w:tcPr>
            <w:tcW w:w="320" w:type="dxa"/>
            <w:vAlign w:val="bottom"/>
          </w:tcPr>
          <w:p>
            <w:pPr>
              <w:spacing w:after="0"/>
              <w:rPr>
                <w:sz w:val="17"/>
                <w:szCs w:val="17"/>
                <w:color w:val="auto"/>
              </w:rPr>
            </w:pPr>
          </w:p>
        </w:tc>
        <w:tc>
          <w:tcPr>
            <w:tcW w:w="1280" w:type="dxa"/>
            <w:vAlign w:val="bottom"/>
            <w:gridSpan w:val="3"/>
          </w:tcPr>
          <w:p>
            <w:pPr>
              <w:jc w:val="right"/>
              <w:ind w:right="35"/>
              <w:spacing w:after="0"/>
              <w:rPr>
                <w:sz w:val="20"/>
                <w:szCs w:val="20"/>
                <w:color w:val="auto"/>
              </w:rPr>
            </w:pPr>
            <w:r>
              <w:rPr>
                <w:rFonts w:ascii="Arial" w:cs="Arial" w:eastAsia="Arial" w:hAnsi="Arial"/>
                <w:sz w:val="16"/>
                <w:szCs w:val="16"/>
                <w:color w:val="auto"/>
              </w:rPr>
              <w:t>—</w:t>
            </w:r>
          </w:p>
        </w:tc>
      </w:tr>
      <w:tr>
        <w:trPr>
          <w:trHeight w:val="206"/>
        </w:trPr>
        <w:tc>
          <w:tcPr>
            <w:tcW w:w="1240" w:type="dxa"/>
            <w:vAlign w:val="bottom"/>
          </w:tcPr>
          <w:p>
            <w:pPr>
              <w:jc w:val="right"/>
              <w:spacing w:after="0"/>
              <w:rPr>
                <w:sz w:val="20"/>
                <w:szCs w:val="20"/>
                <w:color w:val="auto"/>
              </w:rPr>
            </w:pPr>
            <w:r>
              <w:rPr>
                <w:rFonts w:ascii="Arial" w:cs="Arial" w:eastAsia="Arial" w:hAnsi="Arial"/>
                <w:sz w:val="16"/>
                <w:szCs w:val="16"/>
                <w:color w:val="auto"/>
              </w:rPr>
              <w:t>293</w:t>
            </w:r>
          </w:p>
        </w:tc>
        <w:tc>
          <w:tcPr>
            <w:tcW w:w="3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2,288</w:t>
            </w:r>
          </w:p>
        </w:tc>
        <w:tc>
          <w:tcPr>
            <w:tcW w:w="20" w:type="dxa"/>
            <w:vAlign w:val="bottom"/>
          </w:tcPr>
          <w:p>
            <w:pPr>
              <w:spacing w:after="0"/>
              <w:rPr>
                <w:sz w:val="17"/>
                <w:szCs w:val="17"/>
                <w:color w:val="auto"/>
              </w:rPr>
            </w:pPr>
          </w:p>
        </w:tc>
      </w:tr>
      <w:tr>
        <w:trPr>
          <w:trHeight w:val="216"/>
        </w:trPr>
        <w:tc>
          <w:tcPr>
            <w:tcW w:w="1240" w:type="dxa"/>
            <w:vAlign w:val="bottom"/>
          </w:tcPr>
          <w:p>
            <w:pPr>
              <w:jc w:val="right"/>
              <w:spacing w:after="0"/>
              <w:rPr>
                <w:sz w:val="20"/>
                <w:szCs w:val="20"/>
                <w:color w:val="auto"/>
              </w:rPr>
            </w:pPr>
            <w:r>
              <w:rPr>
                <w:rFonts w:ascii="Arial" w:cs="Arial" w:eastAsia="Arial" w:hAnsi="Arial"/>
                <w:sz w:val="16"/>
                <w:szCs w:val="16"/>
                <w:color w:val="auto"/>
              </w:rPr>
              <w:t>175</w:t>
            </w:r>
          </w:p>
        </w:tc>
        <w:tc>
          <w:tcPr>
            <w:tcW w:w="320" w:type="dxa"/>
            <w:vAlign w:val="bottom"/>
          </w:tcPr>
          <w:p>
            <w:pPr>
              <w:spacing w:after="0"/>
              <w:rPr>
                <w:sz w:val="18"/>
                <w:szCs w:val="18"/>
                <w:color w:val="auto"/>
              </w:rPr>
            </w:pPr>
          </w:p>
        </w:tc>
        <w:tc>
          <w:tcPr>
            <w:tcW w:w="1280" w:type="dxa"/>
            <w:vAlign w:val="bottom"/>
            <w:gridSpan w:val="3"/>
          </w:tcPr>
          <w:p>
            <w:pPr>
              <w:jc w:val="right"/>
              <w:ind w:right="35"/>
              <w:spacing w:after="0"/>
              <w:rPr>
                <w:sz w:val="20"/>
                <w:szCs w:val="20"/>
                <w:color w:val="auto"/>
              </w:rPr>
            </w:pPr>
            <w:r>
              <w:rPr>
                <w:rFonts w:ascii="Arial" w:cs="Arial" w:eastAsia="Arial" w:hAnsi="Arial"/>
                <w:sz w:val="16"/>
                <w:szCs w:val="16"/>
                <w:color w:val="auto"/>
              </w:rPr>
              <w:t>—</w:t>
            </w:r>
          </w:p>
        </w:tc>
      </w:tr>
      <w:tr>
        <w:trPr>
          <w:trHeight w:val="213"/>
        </w:trPr>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14,120</w:t>
            </w:r>
          </w:p>
        </w:tc>
        <w:tc>
          <w:tcPr>
            <w:tcW w:w="320" w:type="dxa"/>
            <w:vAlign w:val="bottom"/>
          </w:tcPr>
          <w:p>
            <w:pPr>
              <w:spacing w:after="0"/>
              <w:rPr>
                <w:sz w:val="18"/>
                <w:szCs w:val="18"/>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(1,319</w:t>
            </w:r>
          </w:p>
        </w:tc>
        <w:tc>
          <w:tcPr>
            <w:tcW w:w="20" w:type="dxa"/>
            <w:vAlign w:val="bottom"/>
            <w:tcBorders>
              <w:bottom w:val="single" w:sz="8" w:color="auto"/>
            </w:tcBorders>
          </w:tcPr>
          <w:p>
            <w:pPr>
              <w:jc w:val="right"/>
              <w:spacing w:after="0"/>
              <w:rPr>
                <w:sz w:val="20"/>
                <w:szCs w:val="20"/>
                <w:color w:val="auto"/>
              </w:rPr>
            </w:pPr>
            <w:r>
              <w:rPr>
                <w:rFonts w:ascii="Arial" w:cs="Arial" w:eastAsia="Arial" w:hAnsi="Arial"/>
                <w:sz w:val="1"/>
                <w:szCs w:val="1"/>
                <w:b w:val="1"/>
                <w:bCs w:val="1"/>
                <w:color w:val="auto"/>
                <w:w w:val="4294967281"/>
              </w:rPr>
              <w:t>)</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86" w:lineRule="exact"/>
        <w:rPr>
          <w:sz w:val="20"/>
          <w:szCs w:val="20"/>
          <w:color w:val="auto"/>
        </w:rPr>
      </w:pPr>
    </w:p>
    <w:p>
      <w:pPr>
        <w:sectPr>
          <w:pgSz w:w="11900" w:h="16838" w:orient="portrait"/>
          <w:cols w:equalWidth="0" w:num="2">
            <w:col w:w="7620" w:space="720"/>
            <w:col w:w="2900"/>
          </w:cols>
          <w:pgMar w:left="320" w:top="913" w:right="339" w:bottom="1440" w:gutter="0" w:footer="0" w:header="0"/>
          <w:type w:val="continuous"/>
        </w:sectPr>
      </w:pPr>
    </w:p>
    <w:p>
      <w:pPr>
        <w:spacing w:after="0" w:line="39"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Partnership calculates earnings per unit by allocating reported profit for each period to each class of units based on the distribution policy for available cash stated in the Partnership Agreement.</w:t>
      </w:r>
    </w:p>
    <w:p>
      <w:pPr>
        <w:spacing w:after="0" w:line="172" w:lineRule="exact"/>
        <w:rPr>
          <w:sz w:val="20"/>
          <w:szCs w:val="20"/>
          <w:color w:val="auto"/>
        </w:rPr>
      </w:pPr>
    </w:p>
    <w:p>
      <w:pPr>
        <w:ind w:right="20" w:firstLine="324"/>
        <w:spacing w:after="0" w:line="305" w:lineRule="auto"/>
        <w:rPr>
          <w:sz w:val="20"/>
          <w:szCs w:val="20"/>
          <w:color w:val="auto"/>
        </w:rPr>
      </w:pPr>
      <w:r>
        <w:rPr>
          <w:rFonts w:ascii="Arial" w:cs="Arial" w:eastAsia="Arial" w:hAnsi="Arial"/>
          <w:sz w:val="15"/>
          <w:szCs w:val="15"/>
          <w:color w:val="auto"/>
        </w:rPr>
        <w:t>Basic earnings per unit is determined by dividing profit for the period, after deducting preference unit distributions, by the weighted average number of units outstanding during the period. Diluted earnings per unit is calculated by dividing the profit of the period attributable to common unitholders by the weighted average number of potential ordinary common units assumed to have been converted into common units, unless such potential ordinary common units have an antidilutive effect.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40" w:type="dxa"/>
            <w:vAlign w:val="bottom"/>
          </w:tcPr>
          <w:p>
            <w:pPr>
              <w:ind w:left="340"/>
              <w:spacing w:after="0"/>
              <w:rPr>
                <w:sz w:val="20"/>
                <w:szCs w:val="20"/>
                <w:color w:val="auto"/>
              </w:rPr>
            </w:pPr>
            <w:r>
              <w:rPr>
                <w:rFonts w:ascii="Arial" w:cs="Arial" w:eastAsia="Arial" w:hAnsi="Arial"/>
                <w:sz w:val="16"/>
                <w:szCs w:val="16"/>
                <w:color w:val="auto"/>
                <w:w w:val="96"/>
              </w:rPr>
              <w:t>Earnings per unit is presented for the period in which the units were outstanding, with earnings calculated as follows:</w:t>
            </w: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2"/>
        </w:trPr>
        <w:tc>
          <w:tcPr>
            <w:tcW w:w="8340" w:type="dxa"/>
            <w:vAlign w:val="bottom"/>
          </w:tcPr>
          <w:p>
            <w:pPr>
              <w:spacing w:after="0"/>
              <w:rPr>
                <w:sz w:val="24"/>
                <w:szCs w:val="24"/>
                <w:color w:val="auto"/>
              </w:rPr>
            </w:pPr>
          </w:p>
        </w:tc>
        <w:tc>
          <w:tcPr>
            <w:tcW w:w="290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For the three months ended</w:t>
            </w:r>
          </w:p>
        </w:tc>
      </w:tr>
      <w:tr>
        <w:trPr>
          <w:trHeight w:val="233"/>
        </w:trPr>
        <w:tc>
          <w:tcPr>
            <w:tcW w:w="8340" w:type="dxa"/>
            <w:vAlign w:val="bottom"/>
          </w:tcPr>
          <w:p>
            <w:pPr>
              <w:spacing w:after="0"/>
              <w:rPr>
                <w:sz w:val="20"/>
                <w:szCs w:val="20"/>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March 31, 2020</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March 31, 2021</w:t>
            </w:r>
          </w:p>
        </w:tc>
      </w:tr>
      <w:tr>
        <w:trPr>
          <w:trHeight w:val="199"/>
        </w:trPr>
        <w:tc>
          <w:tcPr>
            <w:tcW w:w="83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 and Partnership’s profit</w:t>
            </w: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14,169</w:t>
            </w:r>
          </w:p>
        </w:tc>
        <w:tc>
          <w:tcPr>
            <w:tcW w:w="3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35,360</w:t>
            </w:r>
          </w:p>
        </w:tc>
        <w:tc>
          <w:tcPr>
            <w:tcW w:w="100" w:type="dxa"/>
            <w:vAlign w:val="bottom"/>
            <w:tcBorders>
              <w:top w:val="single" w:sz="8" w:color="E5FFFF"/>
            </w:tcBorders>
            <w:shd w:val="clear" w:color="auto" w:fill="E5FFFF"/>
          </w:tcPr>
          <w:p>
            <w:pPr>
              <w:spacing w:after="0"/>
              <w:rPr>
                <w:sz w:val="17"/>
                <w:szCs w:val="17"/>
                <w:color w:val="auto"/>
              </w:rPr>
            </w:pPr>
          </w:p>
        </w:tc>
      </w:tr>
      <w:tr>
        <w:trPr>
          <w:trHeight w:val="213"/>
        </w:trPr>
        <w:tc>
          <w:tcPr>
            <w:tcW w:w="8340" w:type="dxa"/>
            <w:vAlign w:val="bottom"/>
          </w:tcPr>
          <w:p>
            <w:pPr>
              <w:spacing w:after="0"/>
              <w:rPr>
                <w:sz w:val="20"/>
                <w:szCs w:val="20"/>
                <w:color w:val="auto"/>
              </w:rPr>
            </w:pPr>
            <w:r>
              <w:rPr>
                <w:rFonts w:ascii="Arial" w:cs="Arial" w:eastAsia="Arial" w:hAnsi="Arial"/>
                <w:sz w:val="16"/>
                <w:szCs w:val="16"/>
                <w:color w:val="auto"/>
              </w:rPr>
              <w:t>Adjustment for:</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8340" w:type="dxa"/>
            <w:vAlign w:val="bottom"/>
            <w:shd w:val="clear" w:color="auto" w:fill="E5FFFF"/>
          </w:tcPr>
          <w:p>
            <w:pPr>
              <w:spacing w:after="0"/>
              <w:rPr>
                <w:sz w:val="20"/>
                <w:szCs w:val="20"/>
                <w:color w:val="auto"/>
              </w:rPr>
            </w:pPr>
            <w:r>
              <w:rPr>
                <w:rFonts w:ascii="Arial" w:cs="Arial" w:eastAsia="Arial" w:hAnsi="Arial"/>
                <w:sz w:val="16"/>
                <w:szCs w:val="16"/>
                <w:color w:val="auto"/>
              </w:rPr>
              <w:t>Paid and accrued preference unit distributions</w:t>
            </w:r>
          </w:p>
        </w:tc>
        <w:tc>
          <w:tcPr>
            <w:tcW w:w="156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(7,582)</w:t>
            </w:r>
          </w:p>
        </w:tc>
        <w:tc>
          <w:tcPr>
            <w:tcW w:w="13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(7,582)</w:t>
            </w:r>
          </w:p>
        </w:tc>
      </w:tr>
      <w:tr>
        <w:trPr>
          <w:trHeight w:val="247"/>
        </w:trPr>
        <w:tc>
          <w:tcPr>
            <w:tcW w:w="83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Partnership’s profit attributable to:</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6,587</w:t>
            </w:r>
          </w:p>
        </w:tc>
        <w:tc>
          <w:tcPr>
            <w:tcW w:w="320" w:type="dxa"/>
            <w:vAlign w:val="bottom"/>
            <w:tcBorders>
              <w:bottom w:val="single" w:sz="8" w:color="E5FFFF"/>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27,778</w:t>
            </w:r>
          </w:p>
        </w:tc>
        <w:tc>
          <w:tcPr>
            <w:tcW w:w="100" w:type="dxa"/>
            <w:vAlign w:val="bottom"/>
            <w:tcBorders>
              <w:bottom w:val="single" w:sz="8" w:color="E5FFFF"/>
            </w:tcBorders>
          </w:tcPr>
          <w:p>
            <w:pPr>
              <w:spacing w:after="0"/>
              <w:rPr>
                <w:sz w:val="21"/>
                <w:szCs w:val="21"/>
                <w:color w:val="auto"/>
              </w:rPr>
            </w:pPr>
          </w:p>
        </w:tc>
      </w:tr>
      <w:tr>
        <w:trPr>
          <w:trHeight w:val="186"/>
        </w:trPr>
        <w:tc>
          <w:tcPr>
            <w:tcW w:w="8340" w:type="dxa"/>
            <w:vAlign w:val="bottom"/>
            <w:shd w:val="clear" w:color="auto" w:fill="E5FFFF"/>
          </w:tcPr>
          <w:p>
            <w:pPr>
              <w:spacing w:after="0" w:line="180" w:lineRule="exact"/>
              <w:rPr>
                <w:sz w:val="20"/>
                <w:szCs w:val="20"/>
                <w:color w:val="auto"/>
              </w:rPr>
            </w:pPr>
            <w:r>
              <w:rPr>
                <w:rFonts w:ascii="Arial" w:cs="Arial" w:eastAsia="Arial" w:hAnsi="Arial"/>
                <w:sz w:val="16"/>
                <w:szCs w:val="16"/>
                <w:color w:val="auto"/>
              </w:rPr>
              <w:t>Common unitholders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6,446</w:t>
            </w:r>
          </w:p>
        </w:tc>
        <w:tc>
          <w:tcPr>
            <w:tcW w:w="320" w:type="dxa"/>
            <w:vAlign w:val="bottom"/>
            <w:shd w:val="clear" w:color="auto" w:fill="E5FFFF"/>
          </w:tcPr>
          <w:p>
            <w:pPr>
              <w:spacing w:after="0"/>
              <w:rPr>
                <w:sz w:val="16"/>
                <w:szCs w:val="16"/>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27,194</w:t>
            </w:r>
          </w:p>
        </w:tc>
        <w:tc>
          <w:tcPr>
            <w:tcW w:w="100" w:type="dxa"/>
            <w:vAlign w:val="bottom"/>
            <w:shd w:val="clear" w:color="auto" w:fill="E5FFFF"/>
          </w:tcPr>
          <w:p>
            <w:pPr>
              <w:spacing w:after="0"/>
              <w:rPr>
                <w:sz w:val="16"/>
                <w:szCs w:val="16"/>
                <w:color w:val="auto"/>
              </w:rPr>
            </w:pPr>
          </w:p>
        </w:tc>
      </w:tr>
      <w:tr>
        <w:trPr>
          <w:trHeight w:val="203"/>
        </w:trPr>
        <w:tc>
          <w:tcPr>
            <w:tcW w:w="8340" w:type="dxa"/>
            <w:vAlign w:val="bottom"/>
          </w:tcPr>
          <w:p>
            <w:pPr>
              <w:spacing w:after="0"/>
              <w:rPr>
                <w:sz w:val="20"/>
                <w:szCs w:val="20"/>
                <w:color w:val="auto"/>
              </w:rPr>
            </w:pPr>
            <w:r>
              <w:rPr>
                <w:rFonts w:ascii="Arial" w:cs="Arial" w:eastAsia="Arial" w:hAnsi="Arial"/>
                <w:sz w:val="16"/>
                <w:szCs w:val="16"/>
                <w:color w:val="auto"/>
              </w:rPr>
              <w:t>General partner</w:t>
            </w:r>
          </w:p>
        </w:tc>
        <w:tc>
          <w:tcPr>
            <w:tcW w:w="1240" w:type="dxa"/>
            <w:vAlign w:val="bottom"/>
          </w:tcPr>
          <w:p>
            <w:pPr>
              <w:jc w:val="right"/>
              <w:spacing w:after="0"/>
              <w:rPr>
                <w:sz w:val="20"/>
                <w:szCs w:val="20"/>
                <w:color w:val="auto"/>
              </w:rPr>
            </w:pPr>
            <w:r>
              <w:rPr>
                <w:rFonts w:ascii="Arial" w:cs="Arial" w:eastAsia="Arial" w:hAnsi="Arial"/>
                <w:sz w:val="16"/>
                <w:szCs w:val="16"/>
                <w:color w:val="auto"/>
              </w:rPr>
              <w:t>141</w:t>
            </w:r>
          </w:p>
        </w:tc>
        <w:tc>
          <w:tcPr>
            <w:tcW w:w="3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584</w:t>
            </w:r>
          </w:p>
        </w:tc>
      </w:tr>
      <w:tr>
        <w:trPr>
          <w:trHeight w:val="216"/>
        </w:trPr>
        <w:tc>
          <w:tcPr>
            <w:tcW w:w="83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Weighted average number of units outstanding (basic)</w:t>
            </w:r>
          </w:p>
        </w:tc>
        <w:tc>
          <w:tcPr>
            <w:tcW w:w="12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03"/>
        </w:trPr>
        <w:tc>
          <w:tcPr>
            <w:tcW w:w="8340" w:type="dxa"/>
            <w:vAlign w:val="bottom"/>
          </w:tcPr>
          <w:p>
            <w:pPr>
              <w:spacing w:after="0"/>
              <w:rPr>
                <w:sz w:val="20"/>
                <w:szCs w:val="20"/>
                <w:color w:val="auto"/>
              </w:rPr>
            </w:pPr>
            <w:r>
              <w:rPr>
                <w:rFonts w:ascii="Arial" w:cs="Arial" w:eastAsia="Arial" w:hAnsi="Arial"/>
                <w:sz w:val="16"/>
                <w:szCs w:val="16"/>
                <w:color w:val="auto"/>
              </w:rPr>
              <w:t>Common units</w:t>
            </w:r>
          </w:p>
        </w:tc>
        <w:tc>
          <w:tcPr>
            <w:tcW w:w="1240" w:type="dxa"/>
            <w:vAlign w:val="bottom"/>
          </w:tcPr>
          <w:p>
            <w:pPr>
              <w:jc w:val="right"/>
              <w:spacing w:after="0"/>
              <w:rPr>
                <w:sz w:val="20"/>
                <w:szCs w:val="20"/>
                <w:color w:val="auto"/>
              </w:rPr>
            </w:pPr>
            <w:r>
              <w:rPr>
                <w:rFonts w:ascii="Arial" w:cs="Arial" w:eastAsia="Arial" w:hAnsi="Arial"/>
                <w:sz w:val="16"/>
                <w:szCs w:val="16"/>
                <w:color w:val="auto"/>
              </w:rPr>
              <w:t>46,764,077</w:t>
            </w:r>
          </w:p>
        </w:tc>
        <w:tc>
          <w:tcPr>
            <w:tcW w:w="3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47,517,824</w:t>
            </w:r>
          </w:p>
        </w:tc>
      </w:tr>
      <w:tr>
        <w:trPr>
          <w:trHeight w:val="203"/>
        </w:trPr>
        <w:tc>
          <w:tcPr>
            <w:tcW w:w="834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units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1,021,336</w:t>
            </w:r>
          </w:p>
        </w:tc>
        <w:tc>
          <w:tcPr>
            <w:tcW w:w="3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1,021,336</w:t>
            </w:r>
          </w:p>
        </w:tc>
      </w:tr>
      <w:tr>
        <w:trPr>
          <w:trHeight w:val="213"/>
        </w:trPr>
        <w:tc>
          <w:tcPr>
            <w:tcW w:w="8340" w:type="dxa"/>
            <w:vAlign w:val="bottom"/>
          </w:tcPr>
          <w:p>
            <w:pPr>
              <w:spacing w:after="0"/>
              <w:rPr>
                <w:sz w:val="20"/>
                <w:szCs w:val="20"/>
                <w:color w:val="auto"/>
              </w:rPr>
            </w:pPr>
            <w:r>
              <w:rPr>
                <w:rFonts w:ascii="Arial" w:cs="Arial" w:eastAsia="Arial" w:hAnsi="Arial"/>
                <w:sz w:val="16"/>
                <w:szCs w:val="16"/>
                <w:b w:val="1"/>
                <w:bCs w:val="1"/>
                <w:color w:val="auto"/>
              </w:rPr>
              <w:t>Earnings per unit (basic)</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8340" w:type="dxa"/>
            <w:vAlign w:val="bottom"/>
            <w:shd w:val="clear" w:color="auto" w:fill="E5FFFF"/>
          </w:tcPr>
          <w:p>
            <w:pPr>
              <w:spacing w:after="0"/>
              <w:rPr>
                <w:sz w:val="20"/>
                <w:szCs w:val="20"/>
                <w:color w:val="auto"/>
              </w:rPr>
            </w:pPr>
            <w:r>
              <w:rPr>
                <w:rFonts w:ascii="Arial" w:cs="Arial" w:eastAsia="Arial" w:hAnsi="Arial"/>
                <w:sz w:val="16"/>
                <w:szCs w:val="16"/>
                <w:color w:val="auto"/>
              </w:rPr>
              <w:t>Common unitholders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0.14</w:t>
            </w:r>
          </w:p>
        </w:tc>
        <w:tc>
          <w:tcPr>
            <w:tcW w:w="3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0.57</w:t>
            </w:r>
          </w:p>
        </w:tc>
      </w:tr>
      <w:tr>
        <w:trPr>
          <w:trHeight w:val="203"/>
        </w:trPr>
        <w:tc>
          <w:tcPr>
            <w:tcW w:w="8340" w:type="dxa"/>
            <w:vAlign w:val="bottom"/>
          </w:tcPr>
          <w:p>
            <w:pPr>
              <w:spacing w:after="0"/>
              <w:rPr>
                <w:sz w:val="20"/>
                <w:szCs w:val="20"/>
                <w:color w:val="auto"/>
              </w:rPr>
            </w:pPr>
            <w:r>
              <w:rPr>
                <w:rFonts w:ascii="Arial" w:cs="Arial" w:eastAsia="Arial" w:hAnsi="Arial"/>
                <w:sz w:val="16"/>
                <w:szCs w:val="16"/>
                <w:color w:val="auto"/>
              </w:rPr>
              <w:t>General partner</w:t>
            </w:r>
          </w:p>
        </w:tc>
        <w:tc>
          <w:tcPr>
            <w:tcW w:w="1240" w:type="dxa"/>
            <w:vAlign w:val="bottom"/>
          </w:tcPr>
          <w:p>
            <w:pPr>
              <w:jc w:val="right"/>
              <w:spacing w:after="0"/>
              <w:rPr>
                <w:sz w:val="20"/>
                <w:szCs w:val="20"/>
                <w:color w:val="auto"/>
              </w:rPr>
            </w:pPr>
            <w:r>
              <w:rPr>
                <w:rFonts w:ascii="Arial" w:cs="Arial" w:eastAsia="Arial" w:hAnsi="Arial"/>
                <w:sz w:val="16"/>
                <w:szCs w:val="16"/>
                <w:color w:val="auto"/>
              </w:rPr>
              <w:t>0.14</w:t>
            </w:r>
          </w:p>
        </w:tc>
        <w:tc>
          <w:tcPr>
            <w:tcW w:w="3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0.57</w:t>
            </w:r>
          </w:p>
        </w:tc>
      </w:tr>
      <w:tr>
        <w:trPr>
          <w:trHeight w:val="216"/>
        </w:trPr>
        <w:tc>
          <w:tcPr>
            <w:tcW w:w="83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Weighted average number of units outstanding (diluted)</w:t>
            </w:r>
          </w:p>
        </w:tc>
        <w:tc>
          <w:tcPr>
            <w:tcW w:w="12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03"/>
        </w:trPr>
        <w:tc>
          <w:tcPr>
            <w:tcW w:w="8340" w:type="dxa"/>
            <w:vAlign w:val="bottom"/>
          </w:tcPr>
          <w:p>
            <w:pPr>
              <w:spacing w:after="0"/>
              <w:rPr>
                <w:sz w:val="20"/>
                <w:szCs w:val="20"/>
                <w:color w:val="auto"/>
              </w:rPr>
            </w:pPr>
            <w:r>
              <w:rPr>
                <w:rFonts w:ascii="Arial" w:cs="Arial" w:eastAsia="Arial" w:hAnsi="Arial"/>
                <w:sz w:val="16"/>
                <w:szCs w:val="16"/>
                <w:color w:val="auto"/>
              </w:rPr>
              <w:t>Common units*</w:t>
            </w:r>
          </w:p>
        </w:tc>
        <w:tc>
          <w:tcPr>
            <w:tcW w:w="1240" w:type="dxa"/>
            <w:vAlign w:val="bottom"/>
          </w:tcPr>
          <w:p>
            <w:pPr>
              <w:jc w:val="right"/>
              <w:spacing w:after="0"/>
              <w:rPr>
                <w:sz w:val="20"/>
                <w:szCs w:val="20"/>
                <w:color w:val="auto"/>
              </w:rPr>
            </w:pPr>
            <w:r>
              <w:rPr>
                <w:rFonts w:ascii="Arial" w:cs="Arial" w:eastAsia="Arial" w:hAnsi="Arial"/>
                <w:sz w:val="16"/>
                <w:szCs w:val="16"/>
                <w:color w:val="auto"/>
              </w:rPr>
              <w:t>49,297,745</w:t>
            </w:r>
          </w:p>
        </w:tc>
        <w:tc>
          <w:tcPr>
            <w:tcW w:w="3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49,687,334</w:t>
            </w:r>
          </w:p>
        </w:tc>
      </w:tr>
      <w:tr>
        <w:trPr>
          <w:trHeight w:val="203"/>
        </w:trPr>
        <w:tc>
          <w:tcPr>
            <w:tcW w:w="834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units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1,021,336</w:t>
            </w:r>
          </w:p>
        </w:tc>
        <w:tc>
          <w:tcPr>
            <w:tcW w:w="3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1,021,336</w:t>
            </w:r>
          </w:p>
        </w:tc>
      </w:tr>
      <w:tr>
        <w:trPr>
          <w:trHeight w:val="213"/>
        </w:trPr>
        <w:tc>
          <w:tcPr>
            <w:tcW w:w="8340" w:type="dxa"/>
            <w:vAlign w:val="bottom"/>
          </w:tcPr>
          <w:p>
            <w:pPr>
              <w:spacing w:after="0"/>
              <w:rPr>
                <w:sz w:val="20"/>
                <w:szCs w:val="20"/>
                <w:color w:val="auto"/>
              </w:rPr>
            </w:pPr>
            <w:r>
              <w:rPr>
                <w:rFonts w:ascii="Arial" w:cs="Arial" w:eastAsia="Arial" w:hAnsi="Arial"/>
                <w:sz w:val="16"/>
                <w:szCs w:val="16"/>
                <w:b w:val="1"/>
                <w:bCs w:val="1"/>
                <w:color w:val="auto"/>
              </w:rPr>
              <w:t>Earnings per unit (diluted)</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8340" w:type="dxa"/>
            <w:vAlign w:val="bottom"/>
            <w:shd w:val="clear" w:color="auto" w:fill="E5FFFF"/>
          </w:tcPr>
          <w:p>
            <w:pPr>
              <w:spacing w:after="0"/>
              <w:rPr>
                <w:sz w:val="20"/>
                <w:szCs w:val="20"/>
                <w:color w:val="auto"/>
              </w:rPr>
            </w:pPr>
            <w:r>
              <w:rPr>
                <w:rFonts w:ascii="Arial" w:cs="Arial" w:eastAsia="Arial" w:hAnsi="Arial"/>
                <w:sz w:val="16"/>
                <w:szCs w:val="16"/>
                <w:color w:val="auto"/>
              </w:rPr>
              <w:t>Common unitholders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0.13</w:t>
            </w:r>
          </w:p>
        </w:tc>
        <w:tc>
          <w:tcPr>
            <w:tcW w:w="3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0.55</w:t>
            </w:r>
          </w:p>
        </w:tc>
      </w:tr>
      <w:tr>
        <w:trPr>
          <w:trHeight w:val="206"/>
        </w:trPr>
        <w:tc>
          <w:tcPr>
            <w:tcW w:w="8340" w:type="dxa"/>
            <w:vAlign w:val="bottom"/>
          </w:tcPr>
          <w:p>
            <w:pPr>
              <w:spacing w:after="0"/>
              <w:rPr>
                <w:sz w:val="20"/>
                <w:szCs w:val="20"/>
                <w:color w:val="auto"/>
              </w:rPr>
            </w:pPr>
            <w:r>
              <w:rPr>
                <w:rFonts w:ascii="Arial" w:cs="Arial" w:eastAsia="Arial" w:hAnsi="Arial"/>
                <w:sz w:val="16"/>
                <w:szCs w:val="16"/>
                <w:color w:val="auto"/>
              </w:rPr>
              <w:t>General partner</w:t>
            </w:r>
          </w:p>
        </w:tc>
        <w:tc>
          <w:tcPr>
            <w:tcW w:w="1240" w:type="dxa"/>
            <w:vAlign w:val="bottom"/>
          </w:tcPr>
          <w:p>
            <w:pPr>
              <w:jc w:val="right"/>
              <w:spacing w:after="0"/>
              <w:rPr>
                <w:sz w:val="20"/>
                <w:szCs w:val="20"/>
                <w:color w:val="auto"/>
              </w:rPr>
            </w:pPr>
            <w:r>
              <w:rPr>
                <w:rFonts w:ascii="Arial" w:cs="Arial" w:eastAsia="Arial" w:hAnsi="Arial"/>
                <w:sz w:val="16"/>
                <w:szCs w:val="16"/>
                <w:color w:val="auto"/>
              </w:rPr>
              <w:t>0.14</w:t>
            </w:r>
          </w:p>
        </w:tc>
        <w:tc>
          <w:tcPr>
            <w:tcW w:w="3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0.57</w:t>
            </w: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type w:val="continuous"/>
        </w:sectPr>
      </w:pPr>
    </w:p>
    <w:bookmarkStart w:id="30" w:name="page31"/>
    <w:bookmarkEnd w:id="30"/>
    <w:p>
      <w:pPr>
        <w:ind w:left="200" w:right="140" w:hanging="192"/>
        <w:spacing w:after="0" w:line="238" w:lineRule="auto"/>
        <w:tabs>
          <w:tab w:leader="none" w:pos="2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unvested awards with respect to the 2015 Plan and Class B units. After the conversion of the first tranche of 415,000 Class B units on July 1, 2020, the remaining 2,075,000 Class B units will become eligible for conversion on a one-for-one basis into common units at GasLog’s option in five tranches of 415,000 units per annum on July 1 of 2021, 2022, 2023, 2024 and 2025.</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Commitments and Contingencies</w:t>
      </w:r>
    </w:p>
    <w:p>
      <w:pPr>
        <w:spacing w:after="0" w:line="239" w:lineRule="exact"/>
        <w:rPr>
          <w:sz w:val="20"/>
          <w:szCs w:val="20"/>
          <w:color w:val="auto"/>
        </w:rPr>
      </w:pPr>
    </w:p>
    <w:p>
      <w:pPr>
        <w:ind w:firstLine="324"/>
        <w:spacing w:after="0" w:line="278" w:lineRule="auto"/>
        <w:rPr>
          <w:sz w:val="20"/>
          <w:szCs w:val="20"/>
          <w:color w:val="auto"/>
        </w:rPr>
      </w:pPr>
      <w:r>
        <w:rPr>
          <w:rFonts w:ascii="Arial" w:cs="Arial" w:eastAsia="Arial" w:hAnsi="Arial"/>
          <w:sz w:val="16"/>
          <w:szCs w:val="16"/>
          <w:color w:val="auto"/>
        </w:rPr>
        <w:t>Future gross minimum lease payments receivable in relation to non-cancellable time charter agreements for vessels in operation as of March 31, 2021 are as follows (30 off-hire days are assumed when each vessel will undergo scheduled dry-docking; in addition, early redelivery of the vessels by the charterers or any exercise of the charterers’ options to extend the terms of the charters are not accounted for):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0" w:type="dxa"/>
            <w:vAlign w:val="bottom"/>
          </w:tcPr>
          <w:p>
            <w:pPr>
              <w:spacing w:after="0"/>
              <w:rPr>
                <w:sz w:val="20"/>
                <w:szCs w:val="20"/>
                <w:color w:val="auto"/>
              </w:rPr>
            </w:pPr>
            <w:r>
              <w:rPr>
                <w:rFonts w:ascii="Arial" w:cs="Arial" w:eastAsia="Arial" w:hAnsi="Arial"/>
                <w:sz w:val="16"/>
                <w:szCs w:val="16"/>
                <w:b w:val="1"/>
                <w:bCs w:val="1"/>
                <w:i w:val="1"/>
                <w:iCs w:val="1"/>
                <w:color w:val="auto"/>
              </w:rPr>
              <w:t>Period</w:t>
            </w:r>
          </w:p>
        </w:tc>
        <w:tc>
          <w:tcPr>
            <w:tcW w:w="330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Arial" w:cs="Arial" w:eastAsia="Arial" w:hAnsi="Arial"/>
                <w:sz w:val="16"/>
                <w:szCs w:val="16"/>
                <w:b w:val="1"/>
                <w:bCs w:val="1"/>
                <w:color w:val="auto"/>
              </w:rPr>
              <w:t>March 31, 2021</w:t>
            </w:r>
          </w:p>
        </w:tc>
      </w:tr>
      <w:tr>
        <w:trPr>
          <w:trHeight w:val="199"/>
        </w:trPr>
        <w:tc>
          <w:tcPr>
            <w:tcW w:w="66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Not later than one year</w:t>
            </w:r>
          </w:p>
        </w:tc>
        <w:tc>
          <w:tcPr>
            <w:tcW w:w="3300" w:type="dxa"/>
            <w:vAlign w:val="bottom"/>
            <w:tcBorders>
              <w:top w:val="single" w:sz="8" w:color="E5FFFF"/>
            </w:tcBorders>
            <w:shd w:val="clear" w:color="auto" w:fill="E5FFFF"/>
          </w:tcPr>
          <w:p>
            <w:pPr>
              <w:spacing w:after="0"/>
              <w:rPr>
                <w:sz w:val="17"/>
                <w:szCs w:val="17"/>
                <w:color w:val="auto"/>
              </w:rPr>
            </w:pPr>
          </w:p>
        </w:tc>
        <w:tc>
          <w:tcPr>
            <w:tcW w:w="400" w:type="dxa"/>
            <w:vAlign w:val="bottom"/>
            <w:tcBorders>
              <w:top w:val="single" w:sz="8" w:color="auto"/>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156,414</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6600" w:type="dxa"/>
            <w:vAlign w:val="bottom"/>
          </w:tcPr>
          <w:p>
            <w:pPr>
              <w:spacing w:after="0"/>
              <w:rPr>
                <w:sz w:val="20"/>
                <w:szCs w:val="20"/>
                <w:color w:val="auto"/>
              </w:rPr>
            </w:pPr>
            <w:r>
              <w:rPr>
                <w:rFonts w:ascii="Arial" w:cs="Arial" w:eastAsia="Arial" w:hAnsi="Arial"/>
                <w:sz w:val="16"/>
                <w:szCs w:val="16"/>
                <w:color w:val="auto"/>
              </w:rPr>
              <w:t>Later than one year and not later than two years</w:t>
            </w:r>
          </w:p>
        </w:tc>
        <w:tc>
          <w:tcPr>
            <w:tcW w:w="3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137,194</w:t>
            </w:r>
          </w:p>
        </w:tc>
      </w:tr>
      <w:tr>
        <w:trPr>
          <w:trHeight w:val="203"/>
        </w:trPr>
        <w:tc>
          <w:tcPr>
            <w:tcW w:w="6600" w:type="dxa"/>
            <w:vAlign w:val="bottom"/>
            <w:shd w:val="clear" w:color="auto" w:fill="E5FFFF"/>
          </w:tcPr>
          <w:p>
            <w:pPr>
              <w:spacing w:after="0"/>
              <w:rPr>
                <w:sz w:val="20"/>
                <w:szCs w:val="20"/>
                <w:color w:val="auto"/>
              </w:rPr>
            </w:pPr>
            <w:r>
              <w:rPr>
                <w:rFonts w:ascii="Arial" w:cs="Arial" w:eastAsia="Arial" w:hAnsi="Arial"/>
                <w:sz w:val="16"/>
                <w:szCs w:val="16"/>
                <w:color w:val="auto"/>
              </w:rPr>
              <w:t>Later than two years and not later than three years</w:t>
            </w:r>
          </w:p>
        </w:tc>
        <w:tc>
          <w:tcPr>
            <w:tcW w:w="330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9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102,146</w:t>
            </w:r>
          </w:p>
        </w:tc>
      </w:tr>
      <w:tr>
        <w:trPr>
          <w:trHeight w:val="203"/>
        </w:trPr>
        <w:tc>
          <w:tcPr>
            <w:tcW w:w="6600" w:type="dxa"/>
            <w:vAlign w:val="bottom"/>
          </w:tcPr>
          <w:p>
            <w:pPr>
              <w:spacing w:after="0"/>
              <w:rPr>
                <w:sz w:val="20"/>
                <w:szCs w:val="20"/>
                <w:color w:val="auto"/>
              </w:rPr>
            </w:pPr>
            <w:r>
              <w:rPr>
                <w:rFonts w:ascii="Arial" w:cs="Arial" w:eastAsia="Arial" w:hAnsi="Arial"/>
                <w:sz w:val="16"/>
                <w:szCs w:val="16"/>
                <w:color w:val="auto"/>
              </w:rPr>
              <w:t>Later than three years and not later than four years</w:t>
            </w:r>
          </w:p>
        </w:tc>
        <w:tc>
          <w:tcPr>
            <w:tcW w:w="3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50,280</w:t>
            </w:r>
          </w:p>
        </w:tc>
      </w:tr>
      <w:tr>
        <w:trPr>
          <w:trHeight w:val="203"/>
        </w:trPr>
        <w:tc>
          <w:tcPr>
            <w:tcW w:w="6600" w:type="dxa"/>
            <w:vAlign w:val="bottom"/>
            <w:shd w:val="clear" w:color="auto" w:fill="E5FFFF"/>
          </w:tcPr>
          <w:p>
            <w:pPr>
              <w:spacing w:after="0"/>
              <w:rPr>
                <w:sz w:val="20"/>
                <w:szCs w:val="20"/>
                <w:color w:val="auto"/>
              </w:rPr>
            </w:pPr>
            <w:r>
              <w:rPr>
                <w:rFonts w:ascii="Arial" w:cs="Arial" w:eastAsia="Arial" w:hAnsi="Arial"/>
                <w:sz w:val="16"/>
                <w:szCs w:val="16"/>
                <w:color w:val="auto"/>
              </w:rPr>
              <w:t>Later than four years and not later than five years</w:t>
            </w:r>
          </w:p>
        </w:tc>
        <w:tc>
          <w:tcPr>
            <w:tcW w:w="330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9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50,211</w:t>
            </w:r>
          </w:p>
        </w:tc>
      </w:tr>
      <w:tr>
        <w:trPr>
          <w:trHeight w:val="213"/>
        </w:trPr>
        <w:tc>
          <w:tcPr>
            <w:tcW w:w="6600" w:type="dxa"/>
            <w:vAlign w:val="bottom"/>
          </w:tcPr>
          <w:p>
            <w:pPr>
              <w:spacing w:after="0"/>
              <w:rPr>
                <w:sz w:val="20"/>
                <w:szCs w:val="20"/>
                <w:color w:val="auto"/>
              </w:rPr>
            </w:pPr>
            <w:r>
              <w:rPr>
                <w:rFonts w:ascii="Arial" w:cs="Arial" w:eastAsia="Arial" w:hAnsi="Arial"/>
                <w:sz w:val="16"/>
                <w:szCs w:val="16"/>
                <w:color w:val="auto"/>
              </w:rPr>
              <w:t>Later than five years</w:t>
            </w:r>
          </w:p>
        </w:tc>
        <w:tc>
          <w:tcPr>
            <w:tcW w:w="3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4,203</w:t>
            </w:r>
          </w:p>
        </w:tc>
      </w:tr>
      <w:tr>
        <w:trPr>
          <w:trHeight w:val="210"/>
        </w:trPr>
        <w:tc>
          <w:tcPr>
            <w:tcW w:w="66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3300" w:type="dxa"/>
            <w:vAlign w:val="bottom"/>
            <w:tcBorders>
              <w:top w:val="single" w:sz="8" w:color="E5FFFF"/>
              <w:bottom w:val="single" w:sz="8" w:color="E5FFFF"/>
            </w:tcBorders>
            <w:shd w:val="clear" w:color="auto" w:fill="E5FFFF"/>
          </w:tcPr>
          <w:p>
            <w:pPr>
              <w:spacing w:after="0"/>
              <w:rPr>
                <w:sz w:val="18"/>
                <w:szCs w:val="18"/>
                <w:color w:val="auto"/>
              </w:rPr>
            </w:pPr>
          </w:p>
        </w:tc>
        <w:tc>
          <w:tcPr>
            <w:tcW w:w="400" w:type="dxa"/>
            <w:vAlign w:val="bottom"/>
            <w:tcBorders>
              <w:top w:val="single" w:sz="8" w:color="auto"/>
              <w:bottom w:val="single" w:sz="8" w:color="auto"/>
            </w:tcBorders>
            <w:shd w:val="clear" w:color="auto" w:fill="E5FFFF"/>
          </w:tcPr>
          <w:p>
            <w:pPr>
              <w:jc w:val="right"/>
              <w:ind w:right="242"/>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500,448</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right="40" w:firstLine="324"/>
        <w:spacing w:after="0" w:line="369" w:lineRule="auto"/>
        <w:rPr>
          <w:sz w:val="20"/>
          <w:szCs w:val="20"/>
          <w:color w:val="auto"/>
        </w:rPr>
      </w:pPr>
      <w:r>
        <w:rPr>
          <w:rFonts w:ascii="Arial" w:cs="Arial" w:eastAsia="Arial" w:hAnsi="Arial"/>
          <w:sz w:val="14"/>
          <w:szCs w:val="14"/>
          <w:color w:val="auto"/>
        </w:rPr>
        <w:t>In September 2017 and July 2018, GasLog LNG Services entered into maintenance agreements with Wartsila Greece S.A. in respect of eight of the Partnership’s LNG carriers. The agreements ensure dynamic maintenance planning, technical support, security of spare parts supply, specialist technical personnel and performance monitoring.</w:t>
      </w:r>
    </w:p>
    <w:p>
      <w:pPr>
        <w:spacing w:after="0" w:line="126" w:lineRule="exact"/>
        <w:rPr>
          <w:sz w:val="20"/>
          <w:szCs w:val="20"/>
          <w:color w:val="auto"/>
        </w:rPr>
      </w:pPr>
    </w:p>
    <w:p>
      <w:pPr>
        <w:ind w:right="80" w:firstLine="324"/>
        <w:spacing w:after="0" w:line="305" w:lineRule="auto"/>
        <w:rPr>
          <w:sz w:val="20"/>
          <w:szCs w:val="20"/>
          <w:color w:val="auto"/>
        </w:rPr>
      </w:pPr>
      <w:r>
        <w:rPr>
          <w:rFonts w:ascii="Arial" w:cs="Arial" w:eastAsia="Arial" w:hAnsi="Arial"/>
          <w:sz w:val="15"/>
          <w:szCs w:val="15"/>
          <w:color w:val="auto"/>
        </w:rPr>
        <w:t>In March 2019, GasLog LNG Services entered into an agreement with Samsung Heavy Industries Co., Ltd. (“Samsung”) in respect of eleven of the Partnership’s LNG carriers. The agreement covers the supply of ballast water management systems on board the vessels by Samsung and associated field, commissioning and engineering services for a firm period of six years. As of March 31, 2021, ballast water management systems had been installed on six out of the eleven vessels.</w:t>
      </w:r>
    </w:p>
    <w:p>
      <w:pPr>
        <w:spacing w:after="0" w:line="166" w:lineRule="exact"/>
        <w:rPr>
          <w:sz w:val="20"/>
          <w:szCs w:val="20"/>
          <w:color w:val="auto"/>
        </w:rPr>
      </w:pPr>
    </w:p>
    <w:p>
      <w:pPr>
        <w:ind w:right="220" w:firstLine="324"/>
        <w:spacing w:after="0" w:line="305" w:lineRule="auto"/>
        <w:rPr>
          <w:sz w:val="20"/>
          <w:szCs w:val="20"/>
          <w:color w:val="auto"/>
        </w:rPr>
      </w:pPr>
      <w:r>
        <w:rPr>
          <w:rFonts w:ascii="Arial" w:cs="Arial" w:eastAsia="Arial" w:hAnsi="Arial"/>
          <w:sz w:val="15"/>
          <w:szCs w:val="15"/>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Subsequent Events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April 6, 2021, GasLog Partners issued 8,976 common units in connection with the vesting of 5,984 RCUs and 2,992 PCUs under its 2015 Plan.</w:t>
      </w:r>
    </w:p>
    <w:p>
      <w:pPr>
        <w:spacing w:after="0" w:line="235" w:lineRule="exact"/>
        <w:rPr>
          <w:sz w:val="20"/>
          <w:szCs w:val="20"/>
          <w:color w:val="auto"/>
        </w:rPr>
      </w:pPr>
    </w:p>
    <w:p>
      <w:pPr>
        <w:ind w:right="40" w:firstLine="324"/>
        <w:spacing w:after="0" w:line="278" w:lineRule="auto"/>
        <w:rPr>
          <w:sz w:val="20"/>
          <w:szCs w:val="20"/>
          <w:color w:val="auto"/>
        </w:rPr>
      </w:pPr>
      <w:r>
        <w:rPr>
          <w:rFonts w:ascii="Arial" w:cs="Arial" w:eastAsia="Arial" w:hAnsi="Arial"/>
          <w:sz w:val="16"/>
          <w:szCs w:val="16"/>
          <w:color w:val="auto"/>
        </w:rPr>
        <w:t>On April 28, 2021, the board of directors of GasLog Partners approved and declared a quarterly cash distribution of $0.01 per common unit for the quarter ended March 31, 2021. The cash distribution is payable on May 13, 2021 to all unitholders of record as of May 10, 2021. The aggregate amount of the declared distribution will be $485 based on the number of units issued and outstanding as of March 31, 2021.</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99"/>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Roman"/>
      <w:start w:val="1"/>
    </w:lvl>
  </w:abstractNum>
  <w:abstractNum w:abstractNumId="14">
    <w:nsid w:val="41A7C4C9"/>
    <w:multiLevelType w:val="hybridMultilevel"/>
    <w:lvl w:ilvl="0">
      <w:lvlJc w:val="left"/>
      <w:lvlText w:val="%1."/>
      <w:numFmt w:val="decimal"/>
      <w:start w:val="4"/>
    </w:lvl>
    <w:lvl w:ilvl="1">
      <w:lvlJc w:val="left"/>
      <w:lvlText w:val="%2"/>
      <w:numFmt w:val="lowerRoman"/>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2021-05-06T06:00:03Z</dcterms:created>
  <dcterms:modified xsi:type="dcterms:W3CDTF">2021-05-06T06:00:03Z</dcterms:modified>
</cp:coreProperties>
</file>