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9"/>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ind w:right="-9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9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999"/>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1220" w:right="24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999"/>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99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999"/>
        <w:spacing w:after="0"/>
        <w:rPr>
          <w:sz w:val="20"/>
          <w:szCs w:val="20"/>
          <w:color w:val="auto"/>
        </w:rPr>
      </w:pPr>
      <w:r>
        <w:rPr>
          <w:rFonts w:ascii="Arial" w:cs="Arial" w:eastAsia="Arial" w:hAnsi="Arial"/>
          <w:sz w:val="18"/>
          <w:szCs w:val="18"/>
          <w:color w:val="auto"/>
        </w:rPr>
        <w:t>Gildo Pastor Center</w:t>
      </w:r>
    </w:p>
    <w:p>
      <w:pPr>
        <w:spacing w:after="0" w:line="23" w:lineRule="exact"/>
        <w:rPr>
          <w:sz w:val="24"/>
          <w:szCs w:val="24"/>
          <w:color w:val="auto"/>
        </w:rPr>
      </w:pPr>
    </w:p>
    <w:p>
      <w:pPr>
        <w:jc w:val="center"/>
        <w:ind w:right="-999"/>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999"/>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999"/>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Arial" w:cs="Arial" w:eastAsia="Arial" w:hAnsi="Arial"/>
          <w:sz w:val="14"/>
          <w:szCs w:val="14"/>
          <w:color w:val="auto"/>
        </w:rPr>
        <w:t>x</w:t>
      </w:r>
      <w:r>
        <w:rPr>
          <w:rFonts w:ascii="Arial" w:cs="Arial" w:eastAsia="Arial" w:hAnsi="Arial"/>
          <w:sz w:val="16"/>
          <w:szCs w:val="16"/>
          <w:color w:val="auto"/>
        </w:rPr>
        <w:t xml:space="preserve"> Form 40-F </w:t>
      </w:r>
      <w:r>
        <w:rPr>
          <w:rFonts w:ascii="Arial" w:cs="Arial" w:eastAsia="Arial" w:hAnsi="Arial"/>
          <w:sz w:val="14"/>
          <w:szCs w:val="14"/>
          <w:color w:val="auto"/>
        </w:rPr>
        <w:t>o</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Arial" w:cs="Arial" w:eastAsia="Arial" w:hAnsi="Arial"/>
          <w:sz w:val="16"/>
          <w:szCs w:val="16"/>
          <w:color w:val="auto"/>
        </w:rPr>
        <w:t>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440"/>
          </w:cols>
          <w:pgMar w:left="240" w:top="445" w:right="121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60" w:firstLine="389"/>
        <w:spacing w:after="0" w:line="257" w:lineRule="auto"/>
        <w:rPr>
          <w:sz w:val="20"/>
          <w:szCs w:val="20"/>
          <w:color w:val="auto"/>
        </w:rPr>
      </w:pPr>
      <w:r>
        <w:rPr>
          <w:rFonts w:ascii="Arial" w:cs="Arial" w:eastAsia="Arial" w:hAnsi="Arial"/>
          <w:sz w:val="18"/>
          <w:szCs w:val="18"/>
          <w:color w:val="auto"/>
        </w:rPr>
        <w:t>Exhibits 3.2 and 10.1 to this Report on Form 6-K shall be incorporated by reference into our registration statement on Form F-3, as declared effective by the Securities and Exchange Commission on October 10, 2017 (Registration No. 333-220736), as amended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360" w:type="dxa"/>
            <w:vAlign w:val="bottom"/>
          </w:tcPr>
          <w:p>
            <w:pPr>
              <w:ind w:left="3040"/>
              <w:spacing w:after="0"/>
              <w:rPr>
                <w:sz w:val="20"/>
                <w:szCs w:val="20"/>
                <w:color w:val="auto"/>
              </w:rPr>
            </w:pPr>
            <w:r>
              <w:rPr>
                <w:rFonts w:ascii="Arial" w:cs="Arial" w:eastAsia="Arial" w:hAnsi="Arial"/>
                <w:sz w:val="18"/>
                <w:szCs w:val="18"/>
                <w:color w:val="auto"/>
              </w:rPr>
              <w:t>EXHIBIT LIST</w:t>
            </w:r>
          </w:p>
        </w:tc>
      </w:tr>
      <w:tr>
        <w:trPr>
          <w:trHeight w:val="392"/>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72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9360" w:type="dxa"/>
            <w:vAlign w:val="bottom"/>
          </w:tcPr>
          <w:p>
            <w:pPr>
              <w:spacing w:after="0"/>
              <w:rPr>
                <w:sz w:val="24"/>
                <w:szCs w:val="24"/>
                <w:color w:val="auto"/>
              </w:rPr>
            </w:pP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19"/>
                <w:szCs w:val="19"/>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Sixth Amended and Restated Agreement of Limited Partnership of GasLog Partners LP</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0"/>
                <w:szCs w:val="20"/>
                <w:color w:val="auto"/>
              </w:rPr>
            </w:pPr>
          </w:p>
        </w:tc>
        <w:tc>
          <w:tcPr>
            <w:tcW w:w="10200" w:type="dxa"/>
            <w:vAlign w:val="bottom"/>
            <w:gridSpan w:val="2"/>
          </w:tcPr>
          <w:p>
            <w:pPr>
              <w:spacing w:after="0"/>
              <w:rPr>
                <w:sz w:val="20"/>
                <w:szCs w:val="20"/>
                <w:color w:val="auto"/>
              </w:rPr>
            </w:pPr>
            <w:r>
              <w:rPr>
                <w:rFonts w:ascii="Arial" w:cs="Arial" w:eastAsia="Arial" w:hAnsi="Arial"/>
                <w:sz w:val="18"/>
                <w:szCs w:val="18"/>
                <w:color w:val="auto"/>
              </w:rPr>
              <w:t>Exchange Agreement by and among GasLog Partners LP, GasLog Partners GP LLC and GasLog Ltd. dated June 24, 2019</w:t>
            </w:r>
          </w:p>
        </w:tc>
      </w:tr>
      <w:tr>
        <w:trPr>
          <w:trHeight w:val="348"/>
        </w:trPr>
        <w:tc>
          <w:tcPr>
            <w:tcW w:w="5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9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780" w:firstLine="38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24, 2019</w:t>
      </w:r>
    </w:p>
    <w:p>
      <w:pPr>
        <w:spacing w:after="0" w:line="225"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tcPr>
          <w:p>
            <w:pPr>
              <w:ind w:left="5360"/>
              <w:spacing w:after="0"/>
              <w:rPr>
                <w:sz w:val="20"/>
                <w:szCs w:val="20"/>
                <w:color w:val="auto"/>
              </w:rPr>
            </w:pPr>
            <w:r>
              <w:rPr>
                <w:rFonts w:ascii="Arial" w:cs="Arial" w:eastAsia="Arial" w:hAnsi="Arial"/>
                <w:sz w:val="18"/>
                <w:szCs w:val="18"/>
                <w:color w:val="auto"/>
              </w:rPr>
              <w:t>by</w:t>
            </w:r>
          </w:p>
        </w:tc>
        <w:tc>
          <w:tcPr>
            <w:tcW w:w="5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Andrew Orekar</w:t>
            </w:r>
          </w:p>
        </w:tc>
        <w:tc>
          <w:tcPr>
            <w:tcW w:w="40" w:type="dxa"/>
            <w:vAlign w:val="bottom"/>
          </w:tcPr>
          <w:p>
            <w:pPr>
              <w:spacing w:after="0"/>
              <w:rPr>
                <w:sz w:val="20"/>
                <w:szCs w:val="20"/>
                <w:color w:val="auto"/>
              </w:rPr>
            </w:pPr>
          </w:p>
        </w:tc>
      </w:tr>
      <w:tr>
        <w:trPr>
          <w:trHeight w:val="195"/>
        </w:trPr>
        <w:tc>
          <w:tcPr>
            <w:tcW w:w="5920" w:type="dxa"/>
            <w:vAlign w:val="bottom"/>
          </w:tcPr>
          <w:p>
            <w:pPr>
              <w:spacing w:after="0"/>
              <w:rPr>
                <w:sz w:val="16"/>
                <w:szCs w:val="16"/>
                <w:color w:val="auto"/>
              </w:rPr>
            </w:pPr>
          </w:p>
        </w:tc>
        <w:tc>
          <w:tcPr>
            <w:tcW w:w="7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ind w:left="160"/>
              <w:spacing w:after="0" w:line="195" w:lineRule="exact"/>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6"/>
                <w:szCs w:val="16"/>
                <w:color w:val="auto"/>
              </w:rPr>
            </w:pPr>
          </w:p>
        </w:tc>
      </w:tr>
      <w:tr>
        <w:trPr>
          <w:trHeight w:val="230"/>
        </w:trPr>
        <w:tc>
          <w:tcPr>
            <w:tcW w:w="592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Title:</w:t>
            </w:r>
          </w:p>
        </w:tc>
        <w:tc>
          <w:tcPr>
            <w:tcW w:w="4760" w:type="dxa"/>
            <w:vAlign w:val="bottom"/>
          </w:tcPr>
          <w:p>
            <w:pPr>
              <w:ind w:left="16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59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182880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SIXTH AMENDED AND RESTATED</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AGREEMENT OF LIMITED PARTNERSHIP</w:t>
      </w:r>
    </w:p>
    <w:p>
      <w:pPr>
        <w:spacing w:after="0" w:line="182"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2618105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2635250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2847975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1"/>
        </w:trPr>
        <w:tc>
          <w:tcPr>
            <w:tcW w:w="1640" w:type="dxa"/>
            <w:vAlign w:val="bottom"/>
          </w:tcPr>
          <w:p>
            <w:pPr>
              <w:spacing w:after="0"/>
              <w:rPr>
                <w:sz w:val="24"/>
                <w:szCs w:val="24"/>
                <w:color w:val="auto"/>
              </w:rPr>
            </w:pPr>
          </w:p>
        </w:tc>
        <w:tc>
          <w:tcPr>
            <w:tcW w:w="8800" w:type="dxa"/>
            <w:vAlign w:val="bottom"/>
          </w:tcPr>
          <w:p>
            <w:pPr>
              <w:ind w:left="2920"/>
              <w:spacing w:after="0"/>
              <w:rPr>
                <w:sz w:val="20"/>
                <w:szCs w:val="20"/>
                <w:color w:val="auto"/>
              </w:rPr>
            </w:pPr>
            <w:r>
              <w:rPr>
                <w:rFonts w:ascii="Arial" w:cs="Arial" w:eastAsia="Arial" w:hAnsi="Arial"/>
                <w:sz w:val="22"/>
                <w:szCs w:val="22"/>
                <w:b w:val="1"/>
                <w:bCs w:val="1"/>
                <w:color w:val="auto"/>
              </w:rPr>
              <w:t>TABLE OF CONTENTS</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9"/>
        </w:trPr>
        <w:tc>
          <w:tcPr>
            <w:tcW w:w="164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22"/>
        </w:trPr>
        <w:tc>
          <w:tcPr>
            <w:tcW w:w="10440" w:type="dxa"/>
            <w:vAlign w:val="bottom"/>
            <w:gridSpan w:val="2"/>
          </w:tcPr>
          <w:p>
            <w:pPr>
              <w:spacing w:after="0"/>
              <w:rPr>
                <w:sz w:val="20"/>
                <w:szCs w:val="20"/>
                <w:color w:val="auto"/>
              </w:rPr>
            </w:pPr>
            <w:r>
              <w:rPr>
                <w:rFonts w:ascii="Arial" w:cs="Arial" w:eastAsia="Arial" w:hAnsi="Arial"/>
                <w:sz w:val="22"/>
                <w:szCs w:val="22"/>
                <w:color w:val="auto"/>
              </w:rPr>
              <w:t>ARTICLE I DEFINITIONS AND CONSTRUCTION</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306"/>
        </w:trPr>
        <w:tc>
          <w:tcPr>
            <w:tcW w:w="1640" w:type="dxa"/>
            <w:vAlign w:val="bottom"/>
          </w:tcPr>
          <w:p>
            <w:pPr>
              <w:ind w:left="300"/>
              <w:spacing w:after="0"/>
              <w:rPr>
                <w:sz w:val="20"/>
                <w:szCs w:val="20"/>
                <w:color w:val="auto"/>
              </w:rPr>
            </w:pPr>
            <w:r>
              <w:rPr>
                <w:rFonts w:ascii="Arial" w:cs="Arial" w:eastAsia="Arial" w:hAnsi="Arial"/>
                <w:sz w:val="22"/>
                <w:szCs w:val="22"/>
                <w:color w:val="auto"/>
              </w:rPr>
              <w:t>Section 1.1.</w:t>
            </w:r>
          </w:p>
        </w:tc>
        <w:tc>
          <w:tcPr>
            <w:tcW w:w="8800" w:type="dxa"/>
            <w:vAlign w:val="bottom"/>
          </w:tcPr>
          <w:p>
            <w:pPr>
              <w:ind w:left="340"/>
              <w:spacing w:after="0"/>
              <w:rPr>
                <w:sz w:val="20"/>
                <w:szCs w:val="20"/>
                <w:color w:val="auto"/>
              </w:rPr>
            </w:pPr>
            <w:r>
              <w:rPr>
                <w:rFonts w:ascii="Arial" w:cs="Arial" w:eastAsia="Arial" w:hAnsi="Arial"/>
                <w:sz w:val="22"/>
                <w:szCs w:val="22"/>
                <w:color w:val="auto"/>
              </w:rPr>
              <w:t>Definitions</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w:t>
            </w:r>
          </w:p>
        </w:tc>
      </w:tr>
      <w:tr>
        <w:trPr>
          <w:trHeight w:val="275"/>
        </w:trPr>
        <w:tc>
          <w:tcPr>
            <w:tcW w:w="1640" w:type="dxa"/>
            <w:vAlign w:val="bottom"/>
          </w:tcPr>
          <w:p>
            <w:pPr>
              <w:ind w:left="300"/>
              <w:spacing w:after="0"/>
              <w:rPr>
                <w:sz w:val="20"/>
                <w:szCs w:val="20"/>
                <w:color w:val="auto"/>
              </w:rPr>
            </w:pPr>
            <w:r>
              <w:rPr>
                <w:rFonts w:ascii="Arial" w:cs="Arial" w:eastAsia="Arial" w:hAnsi="Arial"/>
                <w:sz w:val="22"/>
                <w:szCs w:val="22"/>
                <w:color w:val="auto"/>
              </w:rPr>
              <w:t>Section 1.2.</w:t>
            </w:r>
          </w:p>
        </w:tc>
        <w:tc>
          <w:tcPr>
            <w:tcW w:w="8800" w:type="dxa"/>
            <w:vAlign w:val="bottom"/>
          </w:tcPr>
          <w:p>
            <w:pPr>
              <w:ind w:left="340"/>
              <w:spacing w:after="0"/>
              <w:rPr>
                <w:sz w:val="20"/>
                <w:szCs w:val="20"/>
                <w:color w:val="auto"/>
              </w:rPr>
            </w:pPr>
            <w:r>
              <w:rPr>
                <w:rFonts w:ascii="Arial" w:cs="Arial" w:eastAsia="Arial" w:hAnsi="Arial"/>
                <w:sz w:val="22"/>
                <w:szCs w:val="22"/>
                <w:color w:val="auto"/>
              </w:rPr>
              <w:t>Construction</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459"/>
        </w:trPr>
        <w:tc>
          <w:tcPr>
            <w:tcW w:w="10440" w:type="dxa"/>
            <w:vAlign w:val="bottom"/>
            <w:gridSpan w:val="2"/>
          </w:tcPr>
          <w:p>
            <w:pPr>
              <w:spacing w:after="0"/>
              <w:rPr>
                <w:sz w:val="20"/>
                <w:szCs w:val="20"/>
                <w:color w:val="auto"/>
              </w:rPr>
            </w:pPr>
            <w:r>
              <w:rPr>
                <w:rFonts w:ascii="Arial" w:cs="Arial" w:eastAsia="Arial" w:hAnsi="Arial"/>
                <w:sz w:val="22"/>
                <w:szCs w:val="22"/>
                <w:color w:val="auto"/>
              </w:rPr>
              <w:t>ARTICLE II ORGANIZATION</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306"/>
        </w:trPr>
        <w:tc>
          <w:tcPr>
            <w:tcW w:w="1640" w:type="dxa"/>
            <w:vAlign w:val="bottom"/>
          </w:tcPr>
          <w:p>
            <w:pPr>
              <w:ind w:left="300"/>
              <w:spacing w:after="0"/>
              <w:rPr>
                <w:sz w:val="20"/>
                <w:szCs w:val="20"/>
                <w:color w:val="auto"/>
              </w:rPr>
            </w:pPr>
            <w:r>
              <w:rPr>
                <w:rFonts w:ascii="Arial" w:cs="Arial" w:eastAsia="Arial" w:hAnsi="Arial"/>
                <w:sz w:val="22"/>
                <w:szCs w:val="22"/>
                <w:color w:val="auto"/>
              </w:rPr>
              <w:t>Section 2.1.</w:t>
            </w:r>
          </w:p>
        </w:tc>
        <w:tc>
          <w:tcPr>
            <w:tcW w:w="8800" w:type="dxa"/>
            <w:vAlign w:val="bottom"/>
          </w:tcPr>
          <w:p>
            <w:pPr>
              <w:ind w:left="340"/>
              <w:spacing w:after="0"/>
              <w:rPr>
                <w:sz w:val="20"/>
                <w:szCs w:val="20"/>
                <w:color w:val="auto"/>
              </w:rPr>
            </w:pPr>
            <w:r>
              <w:rPr>
                <w:rFonts w:ascii="Arial" w:cs="Arial" w:eastAsia="Arial" w:hAnsi="Arial"/>
                <w:sz w:val="22"/>
                <w:szCs w:val="22"/>
                <w:color w:val="auto"/>
              </w:rPr>
              <w:t>Formation</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20</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2.2.</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Name</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20</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2.3.</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Registered Office; Registered Agent; Principal Office; Other Offices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2.4.</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Purpose and Business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2.5.</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Powers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2.6.</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Term</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21</w:t>
            </w:r>
          </w:p>
        </w:tc>
      </w:tr>
      <w:tr>
        <w:trPr>
          <w:trHeight w:val="275"/>
        </w:trPr>
        <w:tc>
          <w:tcPr>
            <w:tcW w:w="1640" w:type="dxa"/>
            <w:vAlign w:val="bottom"/>
          </w:tcPr>
          <w:p>
            <w:pPr>
              <w:ind w:left="300"/>
              <w:spacing w:after="0"/>
              <w:rPr>
                <w:sz w:val="20"/>
                <w:szCs w:val="20"/>
                <w:color w:val="auto"/>
              </w:rPr>
            </w:pPr>
            <w:r>
              <w:rPr>
                <w:rFonts w:ascii="Arial" w:cs="Arial" w:eastAsia="Arial" w:hAnsi="Arial"/>
                <w:sz w:val="22"/>
                <w:szCs w:val="22"/>
                <w:color w:val="auto"/>
              </w:rPr>
              <w:t>Section 2.7.</w:t>
            </w:r>
          </w:p>
        </w:tc>
        <w:tc>
          <w:tcPr>
            <w:tcW w:w="8800" w:type="dxa"/>
            <w:vAlign w:val="bottom"/>
          </w:tcPr>
          <w:p>
            <w:pPr>
              <w:ind w:left="340"/>
              <w:spacing w:after="0"/>
              <w:rPr>
                <w:sz w:val="20"/>
                <w:szCs w:val="20"/>
                <w:color w:val="auto"/>
              </w:rPr>
            </w:pPr>
            <w:r>
              <w:rPr>
                <w:rFonts w:ascii="Arial" w:cs="Arial" w:eastAsia="Arial" w:hAnsi="Arial"/>
                <w:sz w:val="22"/>
                <w:szCs w:val="22"/>
                <w:color w:val="auto"/>
              </w:rPr>
              <w:t>Title to Partnership Assets</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21</w:t>
            </w:r>
          </w:p>
        </w:tc>
      </w:tr>
      <w:tr>
        <w:trPr>
          <w:trHeight w:val="459"/>
        </w:trPr>
        <w:tc>
          <w:tcPr>
            <w:tcW w:w="10440" w:type="dxa"/>
            <w:vAlign w:val="bottom"/>
            <w:gridSpan w:val="2"/>
          </w:tcPr>
          <w:p>
            <w:pPr>
              <w:spacing w:after="0"/>
              <w:rPr>
                <w:sz w:val="20"/>
                <w:szCs w:val="20"/>
                <w:color w:val="auto"/>
              </w:rPr>
            </w:pPr>
            <w:r>
              <w:rPr>
                <w:rFonts w:ascii="Arial" w:cs="Arial" w:eastAsia="Arial" w:hAnsi="Arial"/>
                <w:sz w:val="22"/>
                <w:szCs w:val="22"/>
                <w:color w:val="auto"/>
              </w:rPr>
              <w:t>ARTICLE III RIGHTS OF LIMITED PARTNERS</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306"/>
        </w:trPr>
        <w:tc>
          <w:tcPr>
            <w:tcW w:w="1640" w:type="dxa"/>
            <w:vAlign w:val="bottom"/>
          </w:tcPr>
          <w:p>
            <w:pPr>
              <w:ind w:left="300"/>
              <w:spacing w:after="0"/>
              <w:rPr>
                <w:sz w:val="20"/>
                <w:szCs w:val="20"/>
                <w:color w:val="auto"/>
              </w:rPr>
            </w:pPr>
            <w:r>
              <w:rPr>
                <w:rFonts w:ascii="Arial" w:cs="Arial" w:eastAsia="Arial" w:hAnsi="Arial"/>
                <w:sz w:val="22"/>
                <w:szCs w:val="22"/>
                <w:color w:val="auto"/>
              </w:rPr>
              <w:t>Section 3.1.</w:t>
            </w:r>
          </w:p>
        </w:tc>
        <w:tc>
          <w:tcPr>
            <w:tcW w:w="8800" w:type="dxa"/>
            <w:vAlign w:val="bottom"/>
          </w:tcPr>
          <w:p>
            <w:pPr>
              <w:ind w:left="340"/>
              <w:spacing w:after="0"/>
              <w:rPr>
                <w:sz w:val="20"/>
                <w:szCs w:val="20"/>
                <w:color w:val="auto"/>
              </w:rPr>
            </w:pPr>
            <w:r>
              <w:rPr>
                <w:rFonts w:ascii="Arial" w:cs="Arial" w:eastAsia="Arial" w:hAnsi="Arial"/>
                <w:sz w:val="22"/>
                <w:szCs w:val="22"/>
                <w:color w:val="auto"/>
              </w:rPr>
              <w:t>Limitation of Liability</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3.2.</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Management of Business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3.3.</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Outside Activities of the Limited Partners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22</w:t>
            </w:r>
          </w:p>
        </w:tc>
      </w:tr>
      <w:tr>
        <w:trPr>
          <w:trHeight w:val="275"/>
        </w:trPr>
        <w:tc>
          <w:tcPr>
            <w:tcW w:w="1640" w:type="dxa"/>
            <w:vAlign w:val="bottom"/>
          </w:tcPr>
          <w:p>
            <w:pPr>
              <w:ind w:left="300"/>
              <w:spacing w:after="0"/>
              <w:rPr>
                <w:sz w:val="20"/>
                <w:szCs w:val="20"/>
                <w:color w:val="auto"/>
              </w:rPr>
            </w:pPr>
            <w:r>
              <w:rPr>
                <w:rFonts w:ascii="Arial" w:cs="Arial" w:eastAsia="Arial" w:hAnsi="Arial"/>
                <w:sz w:val="22"/>
                <w:szCs w:val="22"/>
                <w:color w:val="auto"/>
              </w:rPr>
              <w:t>Section 3.4.</w:t>
            </w:r>
          </w:p>
        </w:tc>
        <w:tc>
          <w:tcPr>
            <w:tcW w:w="8800" w:type="dxa"/>
            <w:vAlign w:val="bottom"/>
          </w:tcPr>
          <w:p>
            <w:pPr>
              <w:ind w:left="340"/>
              <w:spacing w:after="0"/>
              <w:rPr>
                <w:sz w:val="20"/>
                <w:szCs w:val="20"/>
                <w:color w:val="auto"/>
              </w:rPr>
            </w:pPr>
            <w:r>
              <w:rPr>
                <w:rFonts w:ascii="Arial" w:cs="Arial" w:eastAsia="Arial" w:hAnsi="Arial"/>
                <w:sz w:val="22"/>
                <w:szCs w:val="22"/>
                <w:color w:val="auto"/>
              </w:rPr>
              <w:t>Rights of Limited Partners</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22</w:t>
            </w:r>
          </w:p>
        </w:tc>
      </w:tr>
      <w:tr>
        <w:trPr>
          <w:trHeight w:val="459"/>
        </w:trPr>
        <w:tc>
          <w:tcPr>
            <w:tcW w:w="10440" w:type="dxa"/>
            <w:vAlign w:val="bottom"/>
            <w:gridSpan w:val="2"/>
          </w:tcPr>
          <w:p>
            <w:pPr>
              <w:spacing w:after="0"/>
              <w:rPr>
                <w:sz w:val="20"/>
                <w:szCs w:val="20"/>
                <w:color w:val="auto"/>
              </w:rPr>
            </w:pPr>
            <w:r>
              <w:rPr>
                <w:rFonts w:ascii="Arial" w:cs="Arial" w:eastAsia="Arial" w:hAnsi="Arial"/>
                <w:sz w:val="22"/>
                <w:szCs w:val="22"/>
                <w:color w:val="auto"/>
              </w:rPr>
              <w:t>ARTICLE IV CERTIFICATES; RECORD HOLDERS; TRANSFER OF PARTNERSHIP INTERESTS</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306"/>
        </w:trPr>
        <w:tc>
          <w:tcPr>
            <w:tcW w:w="1640" w:type="dxa"/>
            <w:vAlign w:val="bottom"/>
          </w:tcPr>
          <w:p>
            <w:pPr>
              <w:ind w:left="300"/>
              <w:spacing w:after="0"/>
              <w:rPr>
                <w:sz w:val="20"/>
                <w:szCs w:val="20"/>
                <w:color w:val="auto"/>
              </w:rPr>
            </w:pPr>
            <w:r>
              <w:rPr>
                <w:rFonts w:ascii="Arial" w:cs="Arial" w:eastAsia="Arial" w:hAnsi="Arial"/>
                <w:sz w:val="22"/>
                <w:szCs w:val="22"/>
                <w:color w:val="auto"/>
              </w:rPr>
              <w:t>Section 4.1.</w:t>
            </w:r>
          </w:p>
        </w:tc>
        <w:tc>
          <w:tcPr>
            <w:tcW w:w="8800" w:type="dxa"/>
            <w:vAlign w:val="bottom"/>
          </w:tcPr>
          <w:p>
            <w:pPr>
              <w:ind w:left="340"/>
              <w:spacing w:after="0"/>
              <w:rPr>
                <w:sz w:val="20"/>
                <w:szCs w:val="20"/>
                <w:color w:val="auto"/>
              </w:rPr>
            </w:pPr>
            <w:r>
              <w:rPr>
                <w:rFonts w:ascii="Arial" w:cs="Arial" w:eastAsia="Arial" w:hAnsi="Arial"/>
                <w:sz w:val="22"/>
                <w:szCs w:val="22"/>
                <w:color w:val="auto"/>
              </w:rPr>
              <w:t>Certificates</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23</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4.2.</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Mutilated, Destroyed, Lost or Stolen Certificates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23</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4.3.</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Record Holders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4.4.</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Transfer Generally</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24</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4.5.</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Registration and Transfer of Limited Partner Interests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25</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4.6.</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Transfer of the General Partner’s General Partner Interest</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26</w:t>
            </w:r>
          </w:p>
        </w:tc>
      </w:tr>
      <w:tr>
        <w:trPr>
          <w:trHeight w:val="275"/>
        </w:trPr>
        <w:tc>
          <w:tcPr>
            <w:tcW w:w="1640" w:type="dxa"/>
            <w:vAlign w:val="bottom"/>
          </w:tcPr>
          <w:p>
            <w:pPr>
              <w:ind w:left="300"/>
              <w:spacing w:after="0"/>
              <w:rPr>
                <w:sz w:val="20"/>
                <w:szCs w:val="20"/>
                <w:color w:val="auto"/>
              </w:rPr>
            </w:pPr>
            <w:r>
              <w:rPr>
                <w:rFonts w:ascii="Arial" w:cs="Arial" w:eastAsia="Arial" w:hAnsi="Arial"/>
                <w:sz w:val="22"/>
                <w:szCs w:val="22"/>
                <w:color w:val="auto"/>
              </w:rPr>
              <w:t>Section 4.7.</w:t>
            </w:r>
          </w:p>
        </w:tc>
        <w:tc>
          <w:tcPr>
            <w:tcW w:w="8800" w:type="dxa"/>
            <w:vAlign w:val="bottom"/>
          </w:tcPr>
          <w:p>
            <w:pPr>
              <w:ind w:left="340"/>
              <w:spacing w:after="0"/>
              <w:rPr>
                <w:sz w:val="20"/>
                <w:szCs w:val="20"/>
                <w:color w:val="auto"/>
              </w:rPr>
            </w:pPr>
            <w:r>
              <w:rPr>
                <w:rFonts w:ascii="Arial" w:cs="Arial" w:eastAsia="Arial" w:hAnsi="Arial"/>
                <w:sz w:val="22"/>
                <w:szCs w:val="22"/>
                <w:color w:val="auto"/>
              </w:rPr>
              <w:t>Restrictions on Transfers</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459"/>
        </w:trPr>
        <w:tc>
          <w:tcPr>
            <w:tcW w:w="10440" w:type="dxa"/>
            <w:vAlign w:val="bottom"/>
            <w:gridSpan w:val="2"/>
          </w:tcPr>
          <w:p>
            <w:pPr>
              <w:spacing w:after="0"/>
              <w:rPr>
                <w:sz w:val="20"/>
                <w:szCs w:val="20"/>
                <w:color w:val="auto"/>
              </w:rPr>
            </w:pPr>
            <w:r>
              <w:rPr>
                <w:rFonts w:ascii="Arial" w:cs="Arial" w:eastAsia="Arial" w:hAnsi="Arial"/>
                <w:sz w:val="22"/>
                <w:szCs w:val="22"/>
                <w:color w:val="auto"/>
              </w:rPr>
              <w:t>ARTICLE V CAPITAL CONTRIBUTIONS AND ISSUANCE OF PARTNERSHIP INTERESTS</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306"/>
        </w:trPr>
        <w:tc>
          <w:tcPr>
            <w:tcW w:w="1640" w:type="dxa"/>
            <w:vAlign w:val="bottom"/>
          </w:tcPr>
          <w:p>
            <w:pPr>
              <w:ind w:left="300"/>
              <w:spacing w:after="0"/>
              <w:rPr>
                <w:sz w:val="20"/>
                <w:szCs w:val="20"/>
                <w:color w:val="auto"/>
              </w:rPr>
            </w:pPr>
            <w:r>
              <w:rPr>
                <w:rFonts w:ascii="Arial" w:cs="Arial" w:eastAsia="Arial" w:hAnsi="Arial"/>
                <w:sz w:val="22"/>
                <w:szCs w:val="22"/>
                <w:color w:val="auto"/>
              </w:rPr>
              <w:t>Section 5.1.</w:t>
            </w:r>
          </w:p>
        </w:tc>
        <w:tc>
          <w:tcPr>
            <w:tcW w:w="8800" w:type="dxa"/>
            <w:vAlign w:val="bottom"/>
          </w:tcPr>
          <w:p>
            <w:pPr>
              <w:ind w:left="340"/>
              <w:spacing w:after="0"/>
              <w:rPr>
                <w:sz w:val="20"/>
                <w:szCs w:val="20"/>
                <w:color w:val="auto"/>
              </w:rPr>
            </w:pPr>
            <w:r>
              <w:rPr>
                <w:rFonts w:ascii="Arial" w:cs="Arial" w:eastAsia="Arial" w:hAnsi="Arial"/>
                <w:sz w:val="22"/>
                <w:szCs w:val="22"/>
                <w:color w:val="auto"/>
              </w:rPr>
              <w:t>Contributions Prior to the Closing Date</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27</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5.2.</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w w:val="97"/>
              </w:rPr>
              <w:t>Initial Unit Issuances; Tax Election; Initial Contributors and Redemption of Common Units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27</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5.3.</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Interest and Withdrawal</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5.4.</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Issuances of Additional Partnership Interests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28</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5.5.</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Limitations on Issuance of Additional Partnership Interests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5.6.</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Limited Preemptive Right</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29</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5.7.</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Splits and Combinations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30</w:t>
            </w:r>
          </w:p>
        </w:tc>
      </w:tr>
      <w:tr>
        <w:trPr>
          <w:trHeight w:val="243"/>
        </w:trPr>
        <w:tc>
          <w:tcPr>
            <w:tcW w:w="1640" w:type="dxa"/>
            <w:vAlign w:val="bottom"/>
          </w:tcPr>
          <w:p>
            <w:pPr>
              <w:ind w:left="300"/>
              <w:spacing w:after="0" w:line="243" w:lineRule="exact"/>
              <w:rPr>
                <w:sz w:val="20"/>
                <w:szCs w:val="20"/>
                <w:color w:val="auto"/>
              </w:rPr>
            </w:pPr>
            <w:r>
              <w:rPr>
                <w:rFonts w:ascii="Arial" w:cs="Arial" w:eastAsia="Arial" w:hAnsi="Arial"/>
                <w:sz w:val="22"/>
                <w:szCs w:val="22"/>
                <w:color w:val="auto"/>
              </w:rPr>
              <w:t>Section 5.8.</w:t>
            </w:r>
          </w:p>
        </w:tc>
        <w:tc>
          <w:tcPr>
            <w:tcW w:w="8800" w:type="dxa"/>
            <w:vAlign w:val="bottom"/>
          </w:tcPr>
          <w:p>
            <w:pPr>
              <w:ind w:left="340"/>
              <w:spacing w:after="0" w:line="243" w:lineRule="exact"/>
              <w:rPr>
                <w:sz w:val="20"/>
                <w:szCs w:val="20"/>
                <w:color w:val="auto"/>
              </w:rPr>
            </w:pPr>
            <w:r>
              <w:rPr>
                <w:rFonts w:ascii="Arial" w:cs="Arial" w:eastAsia="Arial" w:hAnsi="Arial"/>
                <w:sz w:val="22"/>
                <w:szCs w:val="22"/>
                <w:color w:val="auto"/>
              </w:rPr>
              <w:t>Fully Paid and Non-Assessable Nature of Limited Partner Interests</w:t>
            </w:r>
          </w:p>
        </w:tc>
        <w:tc>
          <w:tcPr>
            <w:tcW w:w="9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31</w:t>
            </w:r>
          </w:p>
        </w:tc>
      </w:tr>
      <w:tr>
        <w:trPr>
          <w:trHeight w:val="275"/>
        </w:trPr>
        <w:tc>
          <w:tcPr>
            <w:tcW w:w="1640" w:type="dxa"/>
            <w:vAlign w:val="bottom"/>
          </w:tcPr>
          <w:p>
            <w:pPr>
              <w:ind w:left="300"/>
              <w:spacing w:after="0"/>
              <w:rPr>
                <w:sz w:val="20"/>
                <w:szCs w:val="20"/>
                <w:color w:val="auto"/>
              </w:rPr>
            </w:pPr>
            <w:r>
              <w:rPr>
                <w:rFonts w:ascii="Arial" w:cs="Arial" w:eastAsia="Arial" w:hAnsi="Arial"/>
                <w:sz w:val="22"/>
                <w:szCs w:val="22"/>
                <w:color w:val="auto"/>
              </w:rPr>
              <w:t>Section 5.9.</w:t>
            </w:r>
          </w:p>
        </w:tc>
        <w:tc>
          <w:tcPr>
            <w:tcW w:w="8800" w:type="dxa"/>
            <w:vAlign w:val="bottom"/>
          </w:tcPr>
          <w:p>
            <w:pPr>
              <w:ind w:left="340"/>
              <w:spacing w:after="0"/>
              <w:rPr>
                <w:sz w:val="20"/>
                <w:szCs w:val="20"/>
                <w:color w:val="auto"/>
              </w:rPr>
            </w:pPr>
            <w:r>
              <w:rPr>
                <w:rFonts w:ascii="Arial" w:cs="Arial" w:eastAsia="Arial" w:hAnsi="Arial"/>
                <w:sz w:val="22"/>
                <w:szCs w:val="22"/>
                <w:color w:val="auto"/>
              </w:rPr>
              <w:t>Establishment of Class B Units</w:t>
            </w:r>
          </w:p>
        </w:tc>
        <w:tc>
          <w:tcPr>
            <w:tcW w:w="980" w:type="dxa"/>
            <w:vAlign w:val="bottom"/>
            <w:gridSpan w:val="2"/>
          </w:tcPr>
          <w:p>
            <w:pPr>
              <w:jc w:val="right"/>
              <w:spacing w:after="0"/>
              <w:rPr>
                <w:sz w:val="20"/>
                <w:szCs w:val="20"/>
                <w:color w:val="auto"/>
              </w:rPr>
            </w:pPr>
            <w:r>
              <w:rPr>
                <w:rFonts w:ascii="Arial" w:cs="Arial" w:eastAsia="Arial" w:hAnsi="Arial"/>
                <w:sz w:val="22"/>
                <w:szCs w:val="22"/>
                <w:color w:val="auto"/>
              </w:rPr>
              <w:t>31</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3"/>
        </w:trPr>
        <w:tc>
          <w:tcPr>
            <w:tcW w:w="170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22"/>
        </w:trPr>
        <w:tc>
          <w:tcPr>
            <w:tcW w:w="10260" w:type="dxa"/>
            <w:vAlign w:val="bottom"/>
            <w:gridSpan w:val="2"/>
          </w:tcPr>
          <w:p>
            <w:pPr>
              <w:spacing w:after="0"/>
              <w:rPr>
                <w:sz w:val="20"/>
                <w:szCs w:val="20"/>
                <w:color w:val="auto"/>
              </w:rPr>
            </w:pPr>
            <w:r>
              <w:rPr>
                <w:rFonts w:ascii="Arial" w:cs="Arial" w:eastAsia="Arial" w:hAnsi="Arial"/>
                <w:sz w:val="22"/>
                <w:szCs w:val="22"/>
                <w:color w:val="auto"/>
              </w:rPr>
              <w:t>ARTICLE VI DISTRIBUTIONS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33</w:t>
            </w:r>
          </w:p>
        </w:tc>
      </w:tr>
      <w:tr>
        <w:trPr>
          <w:trHeight w:val="306"/>
        </w:trPr>
        <w:tc>
          <w:tcPr>
            <w:tcW w:w="1700" w:type="dxa"/>
            <w:vAlign w:val="bottom"/>
          </w:tcPr>
          <w:p>
            <w:pPr>
              <w:ind w:left="300"/>
              <w:spacing w:after="0"/>
              <w:rPr>
                <w:sz w:val="20"/>
                <w:szCs w:val="20"/>
                <w:color w:val="auto"/>
              </w:rPr>
            </w:pPr>
            <w:r>
              <w:rPr>
                <w:rFonts w:ascii="Arial" w:cs="Arial" w:eastAsia="Arial" w:hAnsi="Arial"/>
                <w:sz w:val="22"/>
                <w:szCs w:val="22"/>
                <w:color w:val="auto"/>
              </w:rPr>
              <w:t>Section 6.1.</w:t>
            </w:r>
          </w:p>
        </w:tc>
        <w:tc>
          <w:tcPr>
            <w:tcW w:w="8560" w:type="dxa"/>
            <w:vAlign w:val="bottom"/>
          </w:tcPr>
          <w:p>
            <w:pPr>
              <w:ind w:left="280"/>
              <w:spacing w:after="0"/>
              <w:rPr>
                <w:sz w:val="20"/>
                <w:szCs w:val="20"/>
                <w:color w:val="auto"/>
              </w:rPr>
            </w:pPr>
            <w:r>
              <w:rPr>
                <w:rFonts w:ascii="Arial" w:cs="Arial" w:eastAsia="Arial" w:hAnsi="Arial"/>
                <w:sz w:val="22"/>
                <w:szCs w:val="22"/>
                <w:color w:val="auto"/>
              </w:rPr>
              <w:t>Allocations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33</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6.2.</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Requirement and Characterization of Distributions; Distributions to Record Holders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33</w:t>
            </w:r>
          </w:p>
        </w:tc>
      </w:tr>
      <w:tr>
        <w:trPr>
          <w:trHeight w:val="275"/>
        </w:trPr>
        <w:tc>
          <w:tcPr>
            <w:tcW w:w="1700" w:type="dxa"/>
            <w:vAlign w:val="bottom"/>
          </w:tcPr>
          <w:p>
            <w:pPr>
              <w:ind w:left="300"/>
              <w:spacing w:after="0"/>
              <w:rPr>
                <w:sz w:val="20"/>
                <w:szCs w:val="20"/>
                <w:color w:val="auto"/>
              </w:rPr>
            </w:pPr>
            <w:r>
              <w:rPr>
                <w:rFonts w:ascii="Arial" w:cs="Arial" w:eastAsia="Arial" w:hAnsi="Arial"/>
                <w:sz w:val="22"/>
                <w:szCs w:val="22"/>
                <w:color w:val="auto"/>
              </w:rPr>
              <w:t>Section 6.3.</w:t>
            </w:r>
          </w:p>
        </w:tc>
        <w:tc>
          <w:tcPr>
            <w:tcW w:w="8560" w:type="dxa"/>
            <w:vAlign w:val="bottom"/>
          </w:tcPr>
          <w:p>
            <w:pPr>
              <w:ind w:left="280"/>
              <w:spacing w:after="0"/>
              <w:rPr>
                <w:sz w:val="20"/>
                <w:szCs w:val="20"/>
                <w:color w:val="auto"/>
              </w:rPr>
            </w:pPr>
            <w:r>
              <w:rPr>
                <w:rFonts w:ascii="Arial" w:cs="Arial" w:eastAsia="Arial" w:hAnsi="Arial"/>
                <w:sz w:val="22"/>
                <w:szCs w:val="22"/>
                <w:color w:val="auto"/>
              </w:rPr>
              <w:t>Distributions of Available Cash</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459"/>
        </w:trPr>
        <w:tc>
          <w:tcPr>
            <w:tcW w:w="10260" w:type="dxa"/>
            <w:vAlign w:val="bottom"/>
            <w:gridSpan w:val="2"/>
          </w:tcPr>
          <w:p>
            <w:pPr>
              <w:spacing w:after="0"/>
              <w:rPr>
                <w:sz w:val="20"/>
                <w:szCs w:val="20"/>
                <w:color w:val="auto"/>
              </w:rPr>
            </w:pPr>
            <w:r>
              <w:rPr>
                <w:rFonts w:ascii="Arial" w:cs="Arial" w:eastAsia="Arial" w:hAnsi="Arial"/>
                <w:sz w:val="22"/>
                <w:szCs w:val="22"/>
                <w:color w:val="auto"/>
              </w:rPr>
              <w:t>ARTICLE VII MANAGEMENT AND OPERATION OF BUSINESS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306"/>
        </w:trPr>
        <w:tc>
          <w:tcPr>
            <w:tcW w:w="1700" w:type="dxa"/>
            <w:vAlign w:val="bottom"/>
          </w:tcPr>
          <w:p>
            <w:pPr>
              <w:ind w:left="300"/>
              <w:spacing w:after="0"/>
              <w:rPr>
                <w:sz w:val="20"/>
                <w:szCs w:val="20"/>
                <w:color w:val="auto"/>
              </w:rPr>
            </w:pPr>
            <w:r>
              <w:rPr>
                <w:rFonts w:ascii="Arial" w:cs="Arial" w:eastAsia="Arial" w:hAnsi="Arial"/>
                <w:sz w:val="22"/>
                <w:szCs w:val="22"/>
                <w:color w:val="auto"/>
              </w:rPr>
              <w:t>Section 7.1.</w:t>
            </w:r>
          </w:p>
        </w:tc>
        <w:tc>
          <w:tcPr>
            <w:tcW w:w="8560" w:type="dxa"/>
            <w:vAlign w:val="bottom"/>
          </w:tcPr>
          <w:p>
            <w:pPr>
              <w:ind w:left="280"/>
              <w:spacing w:after="0"/>
              <w:rPr>
                <w:sz w:val="20"/>
                <w:szCs w:val="20"/>
                <w:color w:val="auto"/>
              </w:rPr>
            </w:pPr>
            <w:r>
              <w:rPr>
                <w:rFonts w:ascii="Arial" w:cs="Arial" w:eastAsia="Arial" w:hAnsi="Arial"/>
                <w:sz w:val="22"/>
                <w:szCs w:val="22"/>
                <w:color w:val="auto"/>
              </w:rPr>
              <w:t>Management</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34</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7.2.</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Election and Appointment; Term; Manner of Acting</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35</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7.3.</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Nominations of Elected Directors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7.4.</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Removal of Members of Board of Directors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7.5.</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Resignations of Members of the Board of Directors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37</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7.6.</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Vacancies on the Board of Directors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7.7.</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Meetings; Committees; Chairman</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38</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7.8.</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Officers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39</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7.9.</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Compensation of Directors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7.10.</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Certificate of Limited Partnership</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7.11.</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Restrictions on the Authority of the Board of Directors and the General Partner</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40</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7.12.</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Reimbursement of the General Partner</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41</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7.13.</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Outside Activities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42</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7.14.</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w w:val="98"/>
              </w:rPr>
              <w:t>Loans from the General Partner; Loans or Contributions from the Partnership or Group</w:t>
            </w: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43"/>
        </w:trPr>
        <w:tc>
          <w:tcPr>
            <w:tcW w:w="1700" w:type="dxa"/>
            <w:vAlign w:val="bottom"/>
          </w:tcPr>
          <w:p>
            <w:pPr>
              <w:spacing w:after="0"/>
              <w:rPr>
                <w:sz w:val="21"/>
                <w:szCs w:val="21"/>
                <w:color w:val="auto"/>
              </w:rPr>
            </w:pPr>
          </w:p>
        </w:tc>
        <w:tc>
          <w:tcPr>
            <w:tcW w:w="8560" w:type="dxa"/>
            <w:vAlign w:val="bottom"/>
          </w:tcPr>
          <w:p>
            <w:pPr>
              <w:ind w:left="540"/>
              <w:spacing w:after="0" w:line="243" w:lineRule="exact"/>
              <w:rPr>
                <w:sz w:val="20"/>
                <w:szCs w:val="20"/>
                <w:color w:val="auto"/>
              </w:rPr>
            </w:pPr>
            <w:r>
              <w:rPr>
                <w:rFonts w:ascii="Arial" w:cs="Arial" w:eastAsia="Arial" w:hAnsi="Arial"/>
                <w:sz w:val="22"/>
                <w:szCs w:val="22"/>
                <w:color w:val="auto"/>
              </w:rPr>
              <w:t>Members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7.15.</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Indemnification</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43</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7.16.</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Liability of Indemnitees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45</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7.17.</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Resolution of Conflicts of Interest; Standards of Conduct and Modification of Duties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46</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7.18.</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Other Matters Concerning the General Partner and the Board of Directors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7.19.</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Purchase or Sale of Partnership Interests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48</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7.20.</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Registration Rights of the General Partner and its Affiliates</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49</w:t>
            </w:r>
          </w:p>
        </w:tc>
      </w:tr>
      <w:tr>
        <w:trPr>
          <w:trHeight w:val="275"/>
        </w:trPr>
        <w:tc>
          <w:tcPr>
            <w:tcW w:w="1700" w:type="dxa"/>
            <w:vAlign w:val="bottom"/>
          </w:tcPr>
          <w:p>
            <w:pPr>
              <w:ind w:left="300"/>
              <w:spacing w:after="0"/>
              <w:rPr>
                <w:sz w:val="20"/>
                <w:szCs w:val="20"/>
                <w:color w:val="auto"/>
              </w:rPr>
            </w:pPr>
            <w:r>
              <w:rPr>
                <w:rFonts w:ascii="Arial" w:cs="Arial" w:eastAsia="Arial" w:hAnsi="Arial"/>
                <w:sz w:val="22"/>
                <w:szCs w:val="22"/>
                <w:color w:val="auto"/>
              </w:rPr>
              <w:t>Section 7.21.</w:t>
            </w:r>
          </w:p>
        </w:tc>
        <w:tc>
          <w:tcPr>
            <w:tcW w:w="8560" w:type="dxa"/>
            <w:vAlign w:val="bottom"/>
          </w:tcPr>
          <w:p>
            <w:pPr>
              <w:ind w:left="280"/>
              <w:spacing w:after="0"/>
              <w:rPr>
                <w:sz w:val="20"/>
                <w:szCs w:val="20"/>
                <w:color w:val="auto"/>
              </w:rPr>
            </w:pPr>
            <w:r>
              <w:rPr>
                <w:rFonts w:ascii="Arial" w:cs="Arial" w:eastAsia="Arial" w:hAnsi="Arial"/>
                <w:sz w:val="22"/>
                <w:szCs w:val="22"/>
                <w:color w:val="auto"/>
              </w:rPr>
              <w:t>Reliance by Third Parties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51</w:t>
            </w:r>
          </w:p>
        </w:tc>
      </w:tr>
      <w:tr>
        <w:trPr>
          <w:trHeight w:val="459"/>
        </w:trPr>
        <w:tc>
          <w:tcPr>
            <w:tcW w:w="10260" w:type="dxa"/>
            <w:vAlign w:val="bottom"/>
            <w:gridSpan w:val="2"/>
          </w:tcPr>
          <w:p>
            <w:pPr>
              <w:spacing w:after="0"/>
              <w:rPr>
                <w:sz w:val="20"/>
                <w:szCs w:val="20"/>
                <w:color w:val="auto"/>
              </w:rPr>
            </w:pPr>
            <w:r>
              <w:rPr>
                <w:rFonts w:ascii="Arial" w:cs="Arial" w:eastAsia="Arial" w:hAnsi="Arial"/>
                <w:sz w:val="22"/>
                <w:szCs w:val="22"/>
                <w:color w:val="auto"/>
              </w:rPr>
              <w:t>ARTICLE VIII BOOKS, RECORDS, ACCOUNTING AND REPORTS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306"/>
        </w:trPr>
        <w:tc>
          <w:tcPr>
            <w:tcW w:w="1700" w:type="dxa"/>
            <w:vAlign w:val="bottom"/>
          </w:tcPr>
          <w:p>
            <w:pPr>
              <w:ind w:left="300"/>
              <w:spacing w:after="0"/>
              <w:rPr>
                <w:sz w:val="20"/>
                <w:szCs w:val="20"/>
                <w:color w:val="auto"/>
              </w:rPr>
            </w:pPr>
            <w:r>
              <w:rPr>
                <w:rFonts w:ascii="Arial" w:cs="Arial" w:eastAsia="Arial" w:hAnsi="Arial"/>
                <w:sz w:val="22"/>
                <w:szCs w:val="22"/>
                <w:color w:val="auto"/>
              </w:rPr>
              <w:t>Section 8.1.</w:t>
            </w:r>
          </w:p>
        </w:tc>
        <w:tc>
          <w:tcPr>
            <w:tcW w:w="8560" w:type="dxa"/>
            <w:vAlign w:val="bottom"/>
          </w:tcPr>
          <w:p>
            <w:pPr>
              <w:ind w:left="280"/>
              <w:spacing w:after="0"/>
              <w:rPr>
                <w:sz w:val="20"/>
                <w:szCs w:val="20"/>
                <w:color w:val="auto"/>
              </w:rPr>
            </w:pPr>
            <w:r>
              <w:rPr>
                <w:rFonts w:ascii="Arial" w:cs="Arial" w:eastAsia="Arial" w:hAnsi="Arial"/>
                <w:sz w:val="22"/>
                <w:szCs w:val="22"/>
                <w:color w:val="auto"/>
              </w:rPr>
              <w:t>Records and Accounting</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8.2.</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Fiscal Year</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52</w:t>
            </w:r>
          </w:p>
        </w:tc>
      </w:tr>
      <w:tr>
        <w:trPr>
          <w:trHeight w:val="275"/>
        </w:trPr>
        <w:tc>
          <w:tcPr>
            <w:tcW w:w="1700" w:type="dxa"/>
            <w:vAlign w:val="bottom"/>
          </w:tcPr>
          <w:p>
            <w:pPr>
              <w:ind w:left="300"/>
              <w:spacing w:after="0"/>
              <w:rPr>
                <w:sz w:val="20"/>
                <w:szCs w:val="20"/>
                <w:color w:val="auto"/>
              </w:rPr>
            </w:pPr>
            <w:r>
              <w:rPr>
                <w:rFonts w:ascii="Arial" w:cs="Arial" w:eastAsia="Arial" w:hAnsi="Arial"/>
                <w:sz w:val="22"/>
                <w:szCs w:val="22"/>
                <w:color w:val="auto"/>
              </w:rPr>
              <w:t>Section 8.3.</w:t>
            </w:r>
          </w:p>
        </w:tc>
        <w:tc>
          <w:tcPr>
            <w:tcW w:w="8560" w:type="dxa"/>
            <w:vAlign w:val="bottom"/>
          </w:tcPr>
          <w:p>
            <w:pPr>
              <w:ind w:left="280"/>
              <w:spacing w:after="0"/>
              <w:rPr>
                <w:sz w:val="20"/>
                <w:szCs w:val="20"/>
                <w:color w:val="auto"/>
              </w:rPr>
            </w:pPr>
            <w:r>
              <w:rPr>
                <w:rFonts w:ascii="Arial" w:cs="Arial" w:eastAsia="Arial" w:hAnsi="Arial"/>
                <w:sz w:val="22"/>
                <w:szCs w:val="22"/>
                <w:color w:val="auto"/>
              </w:rPr>
              <w:t>Reports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52</w:t>
            </w:r>
          </w:p>
        </w:tc>
      </w:tr>
      <w:tr>
        <w:trPr>
          <w:trHeight w:val="459"/>
        </w:trPr>
        <w:tc>
          <w:tcPr>
            <w:tcW w:w="10260" w:type="dxa"/>
            <w:vAlign w:val="bottom"/>
            <w:gridSpan w:val="2"/>
          </w:tcPr>
          <w:p>
            <w:pPr>
              <w:spacing w:after="0"/>
              <w:rPr>
                <w:sz w:val="20"/>
                <w:szCs w:val="20"/>
                <w:color w:val="auto"/>
              </w:rPr>
            </w:pPr>
            <w:r>
              <w:rPr>
                <w:rFonts w:ascii="Arial" w:cs="Arial" w:eastAsia="Arial" w:hAnsi="Arial"/>
                <w:sz w:val="22"/>
                <w:szCs w:val="22"/>
                <w:color w:val="auto"/>
              </w:rPr>
              <w:t>ARTICLE IX TAX MATTERS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306"/>
        </w:trPr>
        <w:tc>
          <w:tcPr>
            <w:tcW w:w="1700" w:type="dxa"/>
            <w:vAlign w:val="bottom"/>
          </w:tcPr>
          <w:p>
            <w:pPr>
              <w:ind w:left="300"/>
              <w:spacing w:after="0"/>
              <w:rPr>
                <w:sz w:val="20"/>
                <w:szCs w:val="20"/>
                <w:color w:val="auto"/>
              </w:rPr>
            </w:pPr>
            <w:r>
              <w:rPr>
                <w:rFonts w:ascii="Arial" w:cs="Arial" w:eastAsia="Arial" w:hAnsi="Arial"/>
                <w:sz w:val="22"/>
                <w:szCs w:val="22"/>
                <w:color w:val="auto"/>
              </w:rPr>
              <w:t>Section 9.1.</w:t>
            </w:r>
          </w:p>
        </w:tc>
        <w:tc>
          <w:tcPr>
            <w:tcW w:w="8560" w:type="dxa"/>
            <w:vAlign w:val="bottom"/>
          </w:tcPr>
          <w:p>
            <w:pPr>
              <w:ind w:left="280"/>
              <w:spacing w:after="0"/>
              <w:rPr>
                <w:sz w:val="20"/>
                <w:szCs w:val="20"/>
                <w:color w:val="auto"/>
              </w:rPr>
            </w:pPr>
            <w:r>
              <w:rPr>
                <w:rFonts w:ascii="Arial" w:cs="Arial" w:eastAsia="Arial" w:hAnsi="Arial"/>
                <w:sz w:val="22"/>
                <w:szCs w:val="22"/>
                <w:color w:val="auto"/>
              </w:rPr>
              <w:t>Tax Elections and Information</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243"/>
        </w:trPr>
        <w:tc>
          <w:tcPr>
            <w:tcW w:w="1700" w:type="dxa"/>
            <w:vAlign w:val="bottom"/>
          </w:tcPr>
          <w:p>
            <w:pPr>
              <w:ind w:left="300"/>
              <w:spacing w:after="0" w:line="243" w:lineRule="exact"/>
              <w:rPr>
                <w:sz w:val="20"/>
                <w:szCs w:val="20"/>
                <w:color w:val="auto"/>
              </w:rPr>
            </w:pPr>
            <w:r>
              <w:rPr>
                <w:rFonts w:ascii="Arial" w:cs="Arial" w:eastAsia="Arial" w:hAnsi="Arial"/>
                <w:sz w:val="22"/>
                <w:szCs w:val="22"/>
                <w:color w:val="auto"/>
              </w:rPr>
              <w:t>Section 9.2.</w:t>
            </w:r>
          </w:p>
        </w:tc>
        <w:tc>
          <w:tcPr>
            <w:tcW w:w="8560" w:type="dxa"/>
            <w:vAlign w:val="bottom"/>
          </w:tcPr>
          <w:p>
            <w:pPr>
              <w:ind w:left="280"/>
              <w:spacing w:after="0" w:line="243" w:lineRule="exact"/>
              <w:rPr>
                <w:sz w:val="20"/>
                <w:szCs w:val="20"/>
                <w:color w:val="auto"/>
              </w:rPr>
            </w:pPr>
            <w:r>
              <w:rPr>
                <w:rFonts w:ascii="Arial" w:cs="Arial" w:eastAsia="Arial" w:hAnsi="Arial"/>
                <w:sz w:val="22"/>
                <w:szCs w:val="22"/>
                <w:color w:val="auto"/>
              </w:rPr>
              <w:t>Tax Withholding</w:t>
            </w:r>
          </w:p>
        </w:tc>
        <w:tc>
          <w:tcPr>
            <w:tcW w:w="11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53</w:t>
            </w:r>
          </w:p>
        </w:tc>
      </w:tr>
      <w:tr>
        <w:trPr>
          <w:trHeight w:val="275"/>
        </w:trPr>
        <w:tc>
          <w:tcPr>
            <w:tcW w:w="1700" w:type="dxa"/>
            <w:vAlign w:val="bottom"/>
          </w:tcPr>
          <w:p>
            <w:pPr>
              <w:ind w:left="300"/>
              <w:spacing w:after="0"/>
              <w:rPr>
                <w:sz w:val="20"/>
                <w:szCs w:val="20"/>
                <w:color w:val="auto"/>
              </w:rPr>
            </w:pPr>
            <w:r>
              <w:rPr>
                <w:rFonts w:ascii="Arial" w:cs="Arial" w:eastAsia="Arial" w:hAnsi="Arial"/>
                <w:sz w:val="22"/>
                <w:szCs w:val="22"/>
                <w:color w:val="auto"/>
              </w:rPr>
              <w:t>Section 9.3.</w:t>
            </w:r>
          </w:p>
        </w:tc>
        <w:tc>
          <w:tcPr>
            <w:tcW w:w="8560" w:type="dxa"/>
            <w:vAlign w:val="bottom"/>
          </w:tcPr>
          <w:p>
            <w:pPr>
              <w:ind w:left="280"/>
              <w:spacing w:after="0"/>
              <w:rPr>
                <w:sz w:val="20"/>
                <w:szCs w:val="20"/>
                <w:color w:val="auto"/>
              </w:rPr>
            </w:pPr>
            <w:r>
              <w:rPr>
                <w:rFonts w:ascii="Arial" w:cs="Arial" w:eastAsia="Arial" w:hAnsi="Arial"/>
                <w:sz w:val="22"/>
                <w:szCs w:val="22"/>
                <w:color w:val="auto"/>
              </w:rPr>
              <w:t>Conduct of Operations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459"/>
        </w:trPr>
        <w:tc>
          <w:tcPr>
            <w:tcW w:w="10260" w:type="dxa"/>
            <w:vAlign w:val="bottom"/>
            <w:gridSpan w:val="2"/>
          </w:tcPr>
          <w:p>
            <w:pPr>
              <w:spacing w:after="0"/>
              <w:rPr>
                <w:sz w:val="20"/>
                <w:szCs w:val="20"/>
                <w:color w:val="auto"/>
              </w:rPr>
            </w:pPr>
            <w:r>
              <w:rPr>
                <w:rFonts w:ascii="Arial" w:cs="Arial" w:eastAsia="Arial" w:hAnsi="Arial"/>
                <w:sz w:val="22"/>
                <w:szCs w:val="22"/>
                <w:color w:val="auto"/>
              </w:rPr>
              <w:t>ARTICLE X ADMISSION OF PARTNERS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53</w:t>
            </w:r>
          </w:p>
        </w:tc>
      </w:tr>
      <w:tr>
        <w:trPr>
          <w:trHeight w:val="338"/>
        </w:trPr>
        <w:tc>
          <w:tcPr>
            <w:tcW w:w="1700" w:type="dxa"/>
            <w:vAlign w:val="bottom"/>
          </w:tcPr>
          <w:p>
            <w:pPr>
              <w:ind w:left="300"/>
              <w:spacing w:after="0"/>
              <w:rPr>
                <w:sz w:val="20"/>
                <w:szCs w:val="20"/>
                <w:color w:val="auto"/>
              </w:rPr>
            </w:pPr>
            <w:r>
              <w:rPr>
                <w:rFonts w:ascii="Arial" w:cs="Arial" w:eastAsia="Arial" w:hAnsi="Arial"/>
                <w:sz w:val="22"/>
                <w:szCs w:val="22"/>
                <w:color w:val="auto"/>
              </w:rPr>
              <w:t>Section 10.1.</w:t>
            </w:r>
          </w:p>
        </w:tc>
        <w:tc>
          <w:tcPr>
            <w:tcW w:w="8560" w:type="dxa"/>
            <w:vAlign w:val="bottom"/>
          </w:tcPr>
          <w:p>
            <w:pPr>
              <w:ind w:left="280"/>
              <w:spacing w:after="0"/>
              <w:rPr>
                <w:sz w:val="20"/>
                <w:szCs w:val="20"/>
                <w:color w:val="auto"/>
              </w:rPr>
            </w:pPr>
            <w:r>
              <w:rPr>
                <w:rFonts w:ascii="Arial" w:cs="Arial" w:eastAsia="Arial" w:hAnsi="Arial"/>
                <w:sz w:val="22"/>
                <w:szCs w:val="22"/>
                <w:color w:val="auto"/>
              </w:rPr>
              <w:t>Admission of Initial Limited Partners</w:t>
            </w:r>
          </w:p>
        </w:tc>
        <w:tc>
          <w:tcPr>
            <w:tcW w:w="1160" w:type="dxa"/>
            <w:vAlign w:val="bottom"/>
            <w:gridSpan w:val="2"/>
          </w:tcPr>
          <w:p>
            <w:pPr>
              <w:jc w:val="right"/>
              <w:spacing w:after="0"/>
              <w:rPr>
                <w:sz w:val="20"/>
                <w:szCs w:val="20"/>
                <w:color w:val="auto"/>
              </w:rPr>
            </w:pPr>
            <w:r>
              <w:rPr>
                <w:rFonts w:ascii="Arial" w:cs="Arial" w:eastAsia="Arial" w:hAnsi="Arial"/>
                <w:sz w:val="22"/>
                <w:szCs w:val="22"/>
                <w:color w:val="auto"/>
              </w:rPr>
              <w:t>53</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c>
          <w:tcPr>
            <w:tcW w:w="40" w:type="dxa"/>
            <w:vAlign w:val="bottom"/>
          </w:tcPr>
          <w:p>
            <w:pPr>
              <w:spacing w:after="0"/>
              <w:rPr>
                <w:sz w:val="21"/>
                <w:szCs w:val="21"/>
                <w:color w:val="auto"/>
              </w:rPr>
            </w:pPr>
          </w:p>
        </w:tc>
      </w:tr>
      <w:tr>
        <w:trPr>
          <w:trHeight w:val="391"/>
        </w:trPr>
        <w:tc>
          <w:tcPr>
            <w:tcW w:w="1760" w:type="dxa"/>
            <w:vAlign w:val="bottom"/>
          </w:tcPr>
          <w:p>
            <w:pPr>
              <w:ind w:left="300"/>
              <w:spacing w:after="0"/>
              <w:rPr>
                <w:sz w:val="20"/>
                <w:szCs w:val="20"/>
                <w:color w:val="auto"/>
              </w:rPr>
            </w:pPr>
            <w:r>
              <w:rPr>
                <w:rFonts w:ascii="Arial" w:cs="Arial" w:eastAsia="Arial" w:hAnsi="Arial"/>
                <w:sz w:val="22"/>
                <w:szCs w:val="22"/>
                <w:color w:val="auto"/>
              </w:rPr>
              <w:t>Section 10.2.</w:t>
            </w:r>
          </w:p>
        </w:tc>
        <w:tc>
          <w:tcPr>
            <w:tcW w:w="8760" w:type="dxa"/>
            <w:vAlign w:val="bottom"/>
          </w:tcPr>
          <w:p>
            <w:pPr>
              <w:ind w:left="220"/>
              <w:spacing w:after="0"/>
              <w:rPr>
                <w:sz w:val="20"/>
                <w:szCs w:val="20"/>
                <w:color w:val="auto"/>
              </w:rPr>
            </w:pPr>
            <w:r>
              <w:rPr>
                <w:rFonts w:ascii="Arial" w:cs="Arial" w:eastAsia="Arial" w:hAnsi="Arial"/>
                <w:sz w:val="22"/>
                <w:szCs w:val="22"/>
                <w:color w:val="auto"/>
              </w:rPr>
              <w:t>Admission of Additional Limited Partners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53</w:t>
            </w:r>
          </w:p>
        </w:tc>
        <w:tc>
          <w:tcPr>
            <w:tcW w:w="40" w:type="dxa"/>
            <w:vAlign w:val="bottom"/>
          </w:tcPr>
          <w:p>
            <w:pPr>
              <w:spacing w:after="0"/>
              <w:rPr>
                <w:sz w:val="24"/>
                <w:szCs w:val="24"/>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10.3.</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Admission of Successor General Partner</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54</w:t>
            </w:r>
          </w:p>
        </w:tc>
        <w:tc>
          <w:tcPr>
            <w:tcW w:w="40" w:type="dxa"/>
            <w:vAlign w:val="bottom"/>
          </w:tcPr>
          <w:p>
            <w:pPr>
              <w:spacing w:after="0"/>
              <w:rPr>
                <w:sz w:val="21"/>
                <w:szCs w:val="21"/>
                <w:color w:val="auto"/>
              </w:rPr>
            </w:pPr>
          </w:p>
        </w:tc>
      </w:tr>
      <w:tr>
        <w:trPr>
          <w:trHeight w:val="275"/>
        </w:trPr>
        <w:tc>
          <w:tcPr>
            <w:tcW w:w="1760" w:type="dxa"/>
            <w:vAlign w:val="bottom"/>
          </w:tcPr>
          <w:p>
            <w:pPr>
              <w:ind w:left="300"/>
              <w:spacing w:after="0"/>
              <w:rPr>
                <w:sz w:val="20"/>
                <w:szCs w:val="20"/>
                <w:color w:val="auto"/>
              </w:rPr>
            </w:pPr>
            <w:r>
              <w:rPr>
                <w:rFonts w:ascii="Arial" w:cs="Arial" w:eastAsia="Arial" w:hAnsi="Arial"/>
                <w:sz w:val="22"/>
                <w:szCs w:val="22"/>
                <w:color w:val="auto"/>
              </w:rPr>
              <w:t>Section 10.4.</w:t>
            </w:r>
          </w:p>
        </w:tc>
        <w:tc>
          <w:tcPr>
            <w:tcW w:w="8760" w:type="dxa"/>
            <w:vAlign w:val="bottom"/>
          </w:tcPr>
          <w:p>
            <w:pPr>
              <w:ind w:left="220"/>
              <w:spacing w:after="0"/>
              <w:rPr>
                <w:sz w:val="20"/>
                <w:szCs w:val="20"/>
                <w:color w:val="auto"/>
              </w:rPr>
            </w:pPr>
            <w:r>
              <w:rPr>
                <w:rFonts w:ascii="Arial" w:cs="Arial" w:eastAsia="Arial" w:hAnsi="Arial"/>
                <w:sz w:val="22"/>
                <w:szCs w:val="22"/>
                <w:color w:val="auto"/>
              </w:rPr>
              <w:t>Amendment of Agreement and Certificate of Limited Partnership</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54</w:t>
            </w:r>
          </w:p>
        </w:tc>
        <w:tc>
          <w:tcPr>
            <w:tcW w:w="40" w:type="dxa"/>
            <w:vAlign w:val="bottom"/>
          </w:tcPr>
          <w:p>
            <w:pPr>
              <w:spacing w:after="0"/>
              <w:rPr>
                <w:sz w:val="23"/>
                <w:szCs w:val="23"/>
                <w:color w:val="auto"/>
              </w:rPr>
            </w:pPr>
          </w:p>
        </w:tc>
      </w:tr>
      <w:tr>
        <w:trPr>
          <w:trHeight w:val="459"/>
        </w:trPr>
        <w:tc>
          <w:tcPr>
            <w:tcW w:w="10520" w:type="dxa"/>
            <w:vAlign w:val="bottom"/>
            <w:gridSpan w:val="2"/>
          </w:tcPr>
          <w:p>
            <w:pPr>
              <w:spacing w:after="0"/>
              <w:rPr>
                <w:sz w:val="20"/>
                <w:szCs w:val="20"/>
                <w:color w:val="auto"/>
              </w:rPr>
            </w:pPr>
            <w:r>
              <w:rPr>
                <w:rFonts w:ascii="Arial" w:cs="Arial" w:eastAsia="Arial" w:hAnsi="Arial"/>
                <w:sz w:val="22"/>
                <w:szCs w:val="22"/>
                <w:color w:val="auto"/>
              </w:rPr>
              <w:t>ARTICLE XI WITHDRAWAL OR REMOVAL OF PARTNERS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55</w:t>
            </w:r>
          </w:p>
        </w:tc>
        <w:tc>
          <w:tcPr>
            <w:tcW w:w="40" w:type="dxa"/>
            <w:vAlign w:val="bottom"/>
          </w:tcPr>
          <w:p>
            <w:pPr>
              <w:spacing w:after="0"/>
              <w:rPr>
                <w:sz w:val="24"/>
                <w:szCs w:val="24"/>
                <w:color w:val="auto"/>
              </w:rPr>
            </w:pPr>
          </w:p>
        </w:tc>
      </w:tr>
      <w:tr>
        <w:trPr>
          <w:trHeight w:val="306"/>
        </w:trPr>
        <w:tc>
          <w:tcPr>
            <w:tcW w:w="1760" w:type="dxa"/>
            <w:vAlign w:val="bottom"/>
          </w:tcPr>
          <w:p>
            <w:pPr>
              <w:ind w:left="300"/>
              <w:spacing w:after="0"/>
              <w:rPr>
                <w:sz w:val="20"/>
                <w:szCs w:val="20"/>
                <w:color w:val="auto"/>
              </w:rPr>
            </w:pPr>
            <w:r>
              <w:rPr>
                <w:rFonts w:ascii="Arial" w:cs="Arial" w:eastAsia="Arial" w:hAnsi="Arial"/>
                <w:sz w:val="22"/>
                <w:szCs w:val="22"/>
                <w:color w:val="auto"/>
              </w:rPr>
              <w:t>Section 11.1.</w:t>
            </w:r>
          </w:p>
        </w:tc>
        <w:tc>
          <w:tcPr>
            <w:tcW w:w="8760" w:type="dxa"/>
            <w:vAlign w:val="bottom"/>
          </w:tcPr>
          <w:p>
            <w:pPr>
              <w:ind w:left="220"/>
              <w:spacing w:after="0"/>
              <w:rPr>
                <w:sz w:val="20"/>
                <w:szCs w:val="20"/>
                <w:color w:val="auto"/>
              </w:rPr>
            </w:pPr>
            <w:r>
              <w:rPr>
                <w:rFonts w:ascii="Arial" w:cs="Arial" w:eastAsia="Arial" w:hAnsi="Arial"/>
                <w:sz w:val="22"/>
                <w:szCs w:val="22"/>
                <w:color w:val="auto"/>
              </w:rPr>
              <w:t>Withdrawal of the General Partner</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55</w:t>
            </w:r>
          </w:p>
        </w:tc>
        <w:tc>
          <w:tcPr>
            <w:tcW w:w="40" w:type="dxa"/>
            <w:vAlign w:val="bottom"/>
          </w:tcPr>
          <w:p>
            <w:pPr>
              <w:spacing w:after="0"/>
              <w:rPr>
                <w:sz w:val="24"/>
                <w:szCs w:val="24"/>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11.2.</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Removal of the General Partner</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56</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11.3.</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Interest of Departing General Partner and Successor General Partner</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57</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11.4.</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Conversion of Class B Units Upon General Partner’s Removal Without Cause</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59</w:t>
            </w:r>
          </w:p>
        </w:tc>
        <w:tc>
          <w:tcPr>
            <w:tcW w:w="40" w:type="dxa"/>
            <w:vAlign w:val="bottom"/>
          </w:tcPr>
          <w:p>
            <w:pPr>
              <w:spacing w:after="0"/>
              <w:rPr>
                <w:sz w:val="21"/>
                <w:szCs w:val="21"/>
                <w:color w:val="auto"/>
              </w:rPr>
            </w:pPr>
          </w:p>
        </w:tc>
      </w:tr>
      <w:tr>
        <w:trPr>
          <w:trHeight w:val="275"/>
        </w:trPr>
        <w:tc>
          <w:tcPr>
            <w:tcW w:w="1760" w:type="dxa"/>
            <w:vAlign w:val="bottom"/>
          </w:tcPr>
          <w:p>
            <w:pPr>
              <w:ind w:left="300"/>
              <w:spacing w:after="0"/>
              <w:rPr>
                <w:sz w:val="20"/>
                <w:szCs w:val="20"/>
                <w:color w:val="auto"/>
              </w:rPr>
            </w:pPr>
            <w:r>
              <w:rPr>
                <w:rFonts w:ascii="Arial" w:cs="Arial" w:eastAsia="Arial" w:hAnsi="Arial"/>
                <w:sz w:val="22"/>
                <w:szCs w:val="22"/>
                <w:color w:val="auto"/>
              </w:rPr>
              <w:t>Section 11.5.</w:t>
            </w:r>
          </w:p>
        </w:tc>
        <w:tc>
          <w:tcPr>
            <w:tcW w:w="8760" w:type="dxa"/>
            <w:vAlign w:val="bottom"/>
          </w:tcPr>
          <w:p>
            <w:pPr>
              <w:ind w:left="220"/>
              <w:spacing w:after="0"/>
              <w:rPr>
                <w:sz w:val="20"/>
                <w:szCs w:val="20"/>
                <w:color w:val="auto"/>
              </w:rPr>
            </w:pPr>
            <w:r>
              <w:rPr>
                <w:rFonts w:ascii="Arial" w:cs="Arial" w:eastAsia="Arial" w:hAnsi="Arial"/>
                <w:sz w:val="22"/>
                <w:szCs w:val="22"/>
                <w:color w:val="auto"/>
              </w:rPr>
              <w:t>Withdrawal of Limited Partners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59</w:t>
            </w:r>
          </w:p>
        </w:tc>
        <w:tc>
          <w:tcPr>
            <w:tcW w:w="40" w:type="dxa"/>
            <w:vAlign w:val="bottom"/>
          </w:tcPr>
          <w:p>
            <w:pPr>
              <w:spacing w:after="0"/>
              <w:rPr>
                <w:sz w:val="23"/>
                <w:szCs w:val="23"/>
                <w:color w:val="auto"/>
              </w:rPr>
            </w:pPr>
          </w:p>
        </w:tc>
      </w:tr>
      <w:tr>
        <w:trPr>
          <w:trHeight w:val="459"/>
        </w:trPr>
        <w:tc>
          <w:tcPr>
            <w:tcW w:w="10520" w:type="dxa"/>
            <w:vAlign w:val="bottom"/>
            <w:gridSpan w:val="2"/>
          </w:tcPr>
          <w:p>
            <w:pPr>
              <w:spacing w:after="0"/>
              <w:rPr>
                <w:sz w:val="20"/>
                <w:szCs w:val="20"/>
                <w:color w:val="auto"/>
              </w:rPr>
            </w:pPr>
            <w:r>
              <w:rPr>
                <w:rFonts w:ascii="Arial" w:cs="Arial" w:eastAsia="Arial" w:hAnsi="Arial"/>
                <w:sz w:val="22"/>
                <w:szCs w:val="22"/>
                <w:color w:val="auto"/>
              </w:rPr>
              <w:t>ARTICLE XII DISSOLUTION AND LIQUIDATION</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59</w:t>
            </w:r>
          </w:p>
        </w:tc>
        <w:tc>
          <w:tcPr>
            <w:tcW w:w="40" w:type="dxa"/>
            <w:vAlign w:val="bottom"/>
          </w:tcPr>
          <w:p>
            <w:pPr>
              <w:spacing w:after="0"/>
              <w:rPr>
                <w:sz w:val="24"/>
                <w:szCs w:val="24"/>
                <w:color w:val="auto"/>
              </w:rPr>
            </w:pPr>
          </w:p>
        </w:tc>
      </w:tr>
      <w:tr>
        <w:trPr>
          <w:trHeight w:val="306"/>
        </w:trPr>
        <w:tc>
          <w:tcPr>
            <w:tcW w:w="1760" w:type="dxa"/>
            <w:vAlign w:val="bottom"/>
          </w:tcPr>
          <w:p>
            <w:pPr>
              <w:ind w:left="300"/>
              <w:spacing w:after="0"/>
              <w:rPr>
                <w:sz w:val="20"/>
                <w:szCs w:val="20"/>
                <w:color w:val="auto"/>
              </w:rPr>
            </w:pPr>
            <w:r>
              <w:rPr>
                <w:rFonts w:ascii="Arial" w:cs="Arial" w:eastAsia="Arial" w:hAnsi="Arial"/>
                <w:sz w:val="22"/>
                <w:szCs w:val="22"/>
                <w:color w:val="auto"/>
              </w:rPr>
              <w:t>Section 12.1.</w:t>
            </w:r>
          </w:p>
        </w:tc>
        <w:tc>
          <w:tcPr>
            <w:tcW w:w="8760" w:type="dxa"/>
            <w:vAlign w:val="bottom"/>
          </w:tcPr>
          <w:p>
            <w:pPr>
              <w:ind w:left="220"/>
              <w:spacing w:after="0"/>
              <w:rPr>
                <w:sz w:val="20"/>
                <w:szCs w:val="20"/>
                <w:color w:val="auto"/>
              </w:rPr>
            </w:pPr>
            <w:r>
              <w:rPr>
                <w:rFonts w:ascii="Arial" w:cs="Arial" w:eastAsia="Arial" w:hAnsi="Arial"/>
                <w:sz w:val="22"/>
                <w:szCs w:val="22"/>
                <w:color w:val="auto"/>
              </w:rPr>
              <w:t>Dissolution</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59</w:t>
            </w:r>
          </w:p>
        </w:tc>
        <w:tc>
          <w:tcPr>
            <w:tcW w:w="40" w:type="dxa"/>
            <w:vAlign w:val="bottom"/>
          </w:tcPr>
          <w:p>
            <w:pPr>
              <w:spacing w:after="0"/>
              <w:rPr>
                <w:sz w:val="24"/>
                <w:szCs w:val="24"/>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12.2.</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Continuation of the Business of the Partnership After Dissolution</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59</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12.3.</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Liquidating Trustee</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60</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12.4.</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Liquidation</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61</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12.5.</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Cancellation of Certificate of Limited Partnership</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61</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12.6.</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Return of Contributions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62</w:t>
            </w:r>
          </w:p>
        </w:tc>
        <w:tc>
          <w:tcPr>
            <w:tcW w:w="40" w:type="dxa"/>
            <w:vAlign w:val="bottom"/>
          </w:tcPr>
          <w:p>
            <w:pPr>
              <w:spacing w:after="0"/>
              <w:rPr>
                <w:sz w:val="21"/>
                <w:szCs w:val="21"/>
                <w:color w:val="auto"/>
              </w:rPr>
            </w:pPr>
          </w:p>
        </w:tc>
      </w:tr>
      <w:tr>
        <w:trPr>
          <w:trHeight w:val="275"/>
        </w:trPr>
        <w:tc>
          <w:tcPr>
            <w:tcW w:w="1760" w:type="dxa"/>
            <w:vAlign w:val="bottom"/>
          </w:tcPr>
          <w:p>
            <w:pPr>
              <w:ind w:left="300"/>
              <w:spacing w:after="0"/>
              <w:rPr>
                <w:sz w:val="20"/>
                <w:szCs w:val="20"/>
                <w:color w:val="auto"/>
              </w:rPr>
            </w:pPr>
            <w:r>
              <w:rPr>
                <w:rFonts w:ascii="Arial" w:cs="Arial" w:eastAsia="Arial" w:hAnsi="Arial"/>
                <w:sz w:val="22"/>
                <w:szCs w:val="22"/>
                <w:color w:val="auto"/>
              </w:rPr>
              <w:t>Section 12.7.</w:t>
            </w:r>
          </w:p>
        </w:tc>
        <w:tc>
          <w:tcPr>
            <w:tcW w:w="8760" w:type="dxa"/>
            <w:vAlign w:val="bottom"/>
          </w:tcPr>
          <w:p>
            <w:pPr>
              <w:ind w:left="220"/>
              <w:spacing w:after="0"/>
              <w:rPr>
                <w:sz w:val="20"/>
                <w:szCs w:val="20"/>
                <w:color w:val="auto"/>
              </w:rPr>
            </w:pPr>
            <w:r>
              <w:rPr>
                <w:rFonts w:ascii="Arial" w:cs="Arial" w:eastAsia="Arial" w:hAnsi="Arial"/>
                <w:sz w:val="22"/>
                <w:szCs w:val="22"/>
                <w:color w:val="auto"/>
              </w:rPr>
              <w:t>Waiver of Partition</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62</w:t>
            </w:r>
          </w:p>
        </w:tc>
        <w:tc>
          <w:tcPr>
            <w:tcW w:w="40" w:type="dxa"/>
            <w:vAlign w:val="bottom"/>
          </w:tcPr>
          <w:p>
            <w:pPr>
              <w:spacing w:after="0"/>
              <w:rPr>
                <w:sz w:val="23"/>
                <w:szCs w:val="23"/>
                <w:color w:val="auto"/>
              </w:rPr>
            </w:pPr>
          </w:p>
        </w:tc>
      </w:tr>
      <w:tr>
        <w:trPr>
          <w:trHeight w:val="486"/>
        </w:trPr>
        <w:tc>
          <w:tcPr>
            <w:tcW w:w="10520" w:type="dxa"/>
            <w:vAlign w:val="bottom"/>
            <w:gridSpan w:val="2"/>
          </w:tcPr>
          <w:p>
            <w:pPr>
              <w:spacing w:after="0"/>
              <w:rPr>
                <w:sz w:val="20"/>
                <w:szCs w:val="20"/>
                <w:color w:val="auto"/>
              </w:rPr>
            </w:pPr>
            <w:r>
              <w:rPr>
                <w:rFonts w:ascii="Arial" w:cs="Arial" w:eastAsia="Arial" w:hAnsi="Arial"/>
                <w:sz w:val="22"/>
                <w:szCs w:val="22"/>
                <w:color w:val="auto"/>
              </w:rPr>
              <w:t>ARTICLE XIII AMENDMENT OF PARTNERSHIP AGREEMENT; MEETINGS; RECORD DATE</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62</w:t>
            </w:r>
          </w:p>
        </w:tc>
        <w:tc>
          <w:tcPr>
            <w:tcW w:w="40" w:type="dxa"/>
            <w:vAlign w:val="bottom"/>
          </w:tcPr>
          <w:p>
            <w:pPr>
              <w:spacing w:after="0"/>
              <w:rPr>
                <w:sz w:val="24"/>
                <w:szCs w:val="24"/>
                <w:color w:val="auto"/>
              </w:rPr>
            </w:pPr>
          </w:p>
        </w:tc>
      </w:tr>
      <w:tr>
        <w:trPr>
          <w:trHeight w:val="401"/>
        </w:trPr>
        <w:tc>
          <w:tcPr>
            <w:tcW w:w="1760" w:type="dxa"/>
            <w:vAlign w:val="bottom"/>
          </w:tcPr>
          <w:p>
            <w:pPr>
              <w:ind w:left="300"/>
              <w:spacing w:after="0"/>
              <w:rPr>
                <w:sz w:val="20"/>
                <w:szCs w:val="20"/>
                <w:color w:val="auto"/>
              </w:rPr>
            </w:pPr>
            <w:r>
              <w:rPr>
                <w:rFonts w:ascii="Arial" w:cs="Arial" w:eastAsia="Arial" w:hAnsi="Arial"/>
                <w:sz w:val="22"/>
                <w:szCs w:val="22"/>
                <w:color w:val="auto"/>
              </w:rPr>
              <w:t>Section 13.1.</w:t>
            </w:r>
          </w:p>
        </w:tc>
        <w:tc>
          <w:tcPr>
            <w:tcW w:w="8760" w:type="dxa"/>
            <w:vAlign w:val="bottom"/>
          </w:tcPr>
          <w:p>
            <w:pPr>
              <w:ind w:left="220"/>
              <w:spacing w:after="0"/>
              <w:rPr>
                <w:sz w:val="20"/>
                <w:szCs w:val="20"/>
                <w:color w:val="auto"/>
              </w:rPr>
            </w:pPr>
            <w:r>
              <w:rPr>
                <w:rFonts w:ascii="Arial" w:cs="Arial" w:eastAsia="Arial" w:hAnsi="Arial"/>
                <w:sz w:val="22"/>
                <w:szCs w:val="22"/>
                <w:color w:val="auto"/>
                <w:w w:val="94"/>
              </w:rPr>
              <w:t>Amendments to be Adopted Without Approval of the Limited Partners or the General Partner</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62</w:t>
            </w:r>
          </w:p>
        </w:tc>
        <w:tc>
          <w:tcPr>
            <w:tcW w:w="40" w:type="dxa"/>
            <w:vAlign w:val="bottom"/>
          </w:tcPr>
          <w:p>
            <w:pPr>
              <w:spacing w:after="0"/>
              <w:rPr>
                <w:sz w:val="24"/>
                <w:szCs w:val="24"/>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13.2.</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Amendment Procedures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63</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13.3.</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Amendment Requirements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64</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13.4.</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Special Meetings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13.5.</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Notice of a Meeting</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13.6.</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Record Date</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65</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13.7.</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Adjournment</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13.8.</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Waiver of Notice; Approval of Meeting; Approval of Minutes</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13.9.</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Quorum and Voting</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66</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13.10.</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Conduct of a Meeting</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67</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13.11.</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Action Without a Meeting</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67</w:t>
            </w:r>
          </w:p>
        </w:tc>
        <w:tc>
          <w:tcPr>
            <w:tcW w:w="40" w:type="dxa"/>
            <w:vAlign w:val="bottom"/>
          </w:tcPr>
          <w:p>
            <w:pPr>
              <w:spacing w:after="0"/>
              <w:rPr>
                <w:sz w:val="21"/>
                <w:szCs w:val="21"/>
                <w:color w:val="auto"/>
              </w:rPr>
            </w:pPr>
          </w:p>
        </w:tc>
      </w:tr>
      <w:tr>
        <w:trPr>
          <w:trHeight w:val="275"/>
        </w:trPr>
        <w:tc>
          <w:tcPr>
            <w:tcW w:w="1760" w:type="dxa"/>
            <w:vAlign w:val="bottom"/>
          </w:tcPr>
          <w:p>
            <w:pPr>
              <w:ind w:left="300"/>
              <w:spacing w:after="0"/>
              <w:rPr>
                <w:sz w:val="20"/>
                <w:szCs w:val="20"/>
                <w:color w:val="auto"/>
              </w:rPr>
            </w:pPr>
            <w:r>
              <w:rPr>
                <w:rFonts w:ascii="Arial" w:cs="Arial" w:eastAsia="Arial" w:hAnsi="Arial"/>
                <w:sz w:val="22"/>
                <w:szCs w:val="22"/>
                <w:color w:val="auto"/>
              </w:rPr>
              <w:t>Section 13.12.</w:t>
            </w:r>
          </w:p>
        </w:tc>
        <w:tc>
          <w:tcPr>
            <w:tcW w:w="8760" w:type="dxa"/>
            <w:vAlign w:val="bottom"/>
          </w:tcPr>
          <w:p>
            <w:pPr>
              <w:ind w:left="220"/>
              <w:spacing w:after="0"/>
              <w:rPr>
                <w:sz w:val="20"/>
                <w:szCs w:val="20"/>
                <w:color w:val="auto"/>
              </w:rPr>
            </w:pPr>
            <w:r>
              <w:rPr>
                <w:rFonts w:ascii="Arial" w:cs="Arial" w:eastAsia="Arial" w:hAnsi="Arial"/>
                <w:sz w:val="22"/>
                <w:szCs w:val="22"/>
                <w:color w:val="auto"/>
              </w:rPr>
              <w:t>Right to Vote and Related Matters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67</w:t>
            </w:r>
          </w:p>
        </w:tc>
        <w:tc>
          <w:tcPr>
            <w:tcW w:w="40" w:type="dxa"/>
            <w:vAlign w:val="bottom"/>
          </w:tcPr>
          <w:p>
            <w:pPr>
              <w:spacing w:after="0"/>
              <w:rPr>
                <w:sz w:val="23"/>
                <w:szCs w:val="23"/>
                <w:color w:val="auto"/>
              </w:rPr>
            </w:pPr>
          </w:p>
        </w:tc>
      </w:tr>
      <w:tr>
        <w:trPr>
          <w:trHeight w:val="459"/>
        </w:trPr>
        <w:tc>
          <w:tcPr>
            <w:tcW w:w="10520" w:type="dxa"/>
            <w:vAlign w:val="bottom"/>
            <w:gridSpan w:val="2"/>
          </w:tcPr>
          <w:p>
            <w:pPr>
              <w:spacing w:after="0"/>
              <w:rPr>
                <w:sz w:val="20"/>
                <w:szCs w:val="20"/>
                <w:color w:val="auto"/>
              </w:rPr>
            </w:pPr>
            <w:r>
              <w:rPr>
                <w:rFonts w:ascii="Arial" w:cs="Arial" w:eastAsia="Arial" w:hAnsi="Arial"/>
                <w:sz w:val="22"/>
                <w:szCs w:val="22"/>
                <w:color w:val="auto"/>
              </w:rPr>
              <w:t>ARTICLE XIV MERGER, CONSOLIDATION OR CONVERSION</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68</w:t>
            </w:r>
          </w:p>
        </w:tc>
        <w:tc>
          <w:tcPr>
            <w:tcW w:w="40" w:type="dxa"/>
            <w:vAlign w:val="bottom"/>
          </w:tcPr>
          <w:p>
            <w:pPr>
              <w:spacing w:after="0"/>
              <w:rPr>
                <w:sz w:val="24"/>
                <w:szCs w:val="24"/>
                <w:color w:val="auto"/>
              </w:rPr>
            </w:pPr>
          </w:p>
        </w:tc>
      </w:tr>
      <w:tr>
        <w:trPr>
          <w:trHeight w:val="306"/>
        </w:trPr>
        <w:tc>
          <w:tcPr>
            <w:tcW w:w="1760" w:type="dxa"/>
            <w:vAlign w:val="bottom"/>
          </w:tcPr>
          <w:p>
            <w:pPr>
              <w:ind w:left="300"/>
              <w:spacing w:after="0"/>
              <w:rPr>
                <w:sz w:val="20"/>
                <w:szCs w:val="20"/>
                <w:color w:val="auto"/>
              </w:rPr>
            </w:pPr>
            <w:r>
              <w:rPr>
                <w:rFonts w:ascii="Arial" w:cs="Arial" w:eastAsia="Arial" w:hAnsi="Arial"/>
                <w:sz w:val="22"/>
                <w:szCs w:val="22"/>
                <w:color w:val="auto"/>
              </w:rPr>
              <w:t>Section 14.1.</w:t>
            </w:r>
          </w:p>
        </w:tc>
        <w:tc>
          <w:tcPr>
            <w:tcW w:w="8760" w:type="dxa"/>
            <w:vAlign w:val="bottom"/>
          </w:tcPr>
          <w:p>
            <w:pPr>
              <w:ind w:left="220"/>
              <w:spacing w:after="0"/>
              <w:rPr>
                <w:sz w:val="20"/>
                <w:szCs w:val="20"/>
                <w:color w:val="auto"/>
              </w:rPr>
            </w:pPr>
            <w:r>
              <w:rPr>
                <w:rFonts w:ascii="Arial" w:cs="Arial" w:eastAsia="Arial" w:hAnsi="Arial"/>
                <w:sz w:val="22"/>
                <w:szCs w:val="22"/>
                <w:color w:val="auto"/>
              </w:rPr>
              <w:t>Authority</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68</w:t>
            </w:r>
          </w:p>
        </w:tc>
        <w:tc>
          <w:tcPr>
            <w:tcW w:w="40" w:type="dxa"/>
            <w:vAlign w:val="bottom"/>
          </w:tcPr>
          <w:p>
            <w:pPr>
              <w:spacing w:after="0"/>
              <w:rPr>
                <w:sz w:val="24"/>
                <w:szCs w:val="24"/>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14.2.</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Procedure for Merger, Consolidation or Conversion</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68</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14.3.</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Approval by Limited Partners of Merger, Consolidation or Conversion</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70</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14.4.</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Certificate of Merger or Conversion</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71</w:t>
            </w:r>
          </w:p>
        </w:tc>
        <w:tc>
          <w:tcPr>
            <w:tcW w:w="40" w:type="dxa"/>
            <w:vAlign w:val="bottom"/>
          </w:tcPr>
          <w:p>
            <w:pPr>
              <w:spacing w:after="0"/>
              <w:rPr>
                <w:sz w:val="21"/>
                <w:szCs w:val="21"/>
                <w:color w:val="auto"/>
              </w:rPr>
            </w:pPr>
          </w:p>
        </w:tc>
      </w:tr>
      <w:tr>
        <w:trPr>
          <w:trHeight w:val="243"/>
        </w:trPr>
        <w:tc>
          <w:tcPr>
            <w:tcW w:w="1760" w:type="dxa"/>
            <w:vAlign w:val="bottom"/>
          </w:tcPr>
          <w:p>
            <w:pPr>
              <w:ind w:left="300"/>
              <w:spacing w:after="0" w:line="243" w:lineRule="exact"/>
              <w:rPr>
                <w:sz w:val="20"/>
                <w:szCs w:val="20"/>
                <w:color w:val="auto"/>
              </w:rPr>
            </w:pPr>
            <w:r>
              <w:rPr>
                <w:rFonts w:ascii="Arial" w:cs="Arial" w:eastAsia="Arial" w:hAnsi="Arial"/>
                <w:sz w:val="22"/>
                <w:szCs w:val="22"/>
                <w:color w:val="auto"/>
              </w:rPr>
              <w:t>Section 14.5.</w:t>
            </w:r>
          </w:p>
        </w:tc>
        <w:tc>
          <w:tcPr>
            <w:tcW w:w="8760" w:type="dxa"/>
            <w:vAlign w:val="bottom"/>
          </w:tcPr>
          <w:p>
            <w:pPr>
              <w:ind w:left="220"/>
              <w:spacing w:after="0" w:line="243" w:lineRule="exact"/>
              <w:rPr>
                <w:sz w:val="20"/>
                <w:szCs w:val="20"/>
                <w:color w:val="auto"/>
              </w:rPr>
            </w:pPr>
            <w:r>
              <w:rPr>
                <w:rFonts w:ascii="Arial" w:cs="Arial" w:eastAsia="Arial" w:hAnsi="Arial"/>
                <w:sz w:val="22"/>
                <w:szCs w:val="22"/>
                <w:color w:val="auto"/>
              </w:rPr>
              <w:t>Amendment of Partnership Agreement</w:t>
            </w:r>
          </w:p>
        </w:tc>
        <w:tc>
          <w:tcPr>
            <w:tcW w:w="9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71</w:t>
            </w:r>
          </w:p>
        </w:tc>
        <w:tc>
          <w:tcPr>
            <w:tcW w:w="40" w:type="dxa"/>
            <w:vAlign w:val="bottom"/>
          </w:tcPr>
          <w:p>
            <w:pPr>
              <w:spacing w:after="0"/>
              <w:rPr>
                <w:sz w:val="21"/>
                <w:szCs w:val="21"/>
                <w:color w:val="auto"/>
              </w:rPr>
            </w:pPr>
          </w:p>
        </w:tc>
      </w:tr>
      <w:tr>
        <w:trPr>
          <w:trHeight w:val="275"/>
        </w:trPr>
        <w:tc>
          <w:tcPr>
            <w:tcW w:w="1760" w:type="dxa"/>
            <w:vAlign w:val="bottom"/>
          </w:tcPr>
          <w:p>
            <w:pPr>
              <w:ind w:left="300"/>
              <w:spacing w:after="0"/>
              <w:rPr>
                <w:sz w:val="20"/>
                <w:szCs w:val="20"/>
                <w:color w:val="auto"/>
              </w:rPr>
            </w:pPr>
            <w:r>
              <w:rPr>
                <w:rFonts w:ascii="Arial" w:cs="Arial" w:eastAsia="Arial" w:hAnsi="Arial"/>
                <w:sz w:val="22"/>
                <w:szCs w:val="22"/>
                <w:color w:val="auto"/>
              </w:rPr>
              <w:t>Section 14.6.</w:t>
            </w:r>
          </w:p>
        </w:tc>
        <w:tc>
          <w:tcPr>
            <w:tcW w:w="8760" w:type="dxa"/>
            <w:vAlign w:val="bottom"/>
          </w:tcPr>
          <w:p>
            <w:pPr>
              <w:ind w:left="220"/>
              <w:spacing w:after="0"/>
              <w:rPr>
                <w:sz w:val="20"/>
                <w:szCs w:val="20"/>
                <w:color w:val="auto"/>
              </w:rPr>
            </w:pPr>
            <w:r>
              <w:rPr>
                <w:rFonts w:ascii="Arial" w:cs="Arial" w:eastAsia="Arial" w:hAnsi="Arial"/>
                <w:sz w:val="22"/>
                <w:szCs w:val="22"/>
                <w:color w:val="auto"/>
              </w:rPr>
              <w:t>Effect of Merger, Consolidation or Conversion</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71</w:t>
            </w:r>
          </w:p>
        </w:tc>
        <w:tc>
          <w:tcPr>
            <w:tcW w:w="40" w:type="dxa"/>
            <w:vAlign w:val="bottom"/>
          </w:tcPr>
          <w:p>
            <w:pPr>
              <w:spacing w:after="0"/>
              <w:rPr>
                <w:sz w:val="23"/>
                <w:szCs w:val="23"/>
                <w:color w:val="auto"/>
              </w:rPr>
            </w:pPr>
          </w:p>
        </w:tc>
      </w:tr>
      <w:tr>
        <w:trPr>
          <w:trHeight w:val="459"/>
        </w:trPr>
        <w:tc>
          <w:tcPr>
            <w:tcW w:w="10520" w:type="dxa"/>
            <w:vAlign w:val="bottom"/>
            <w:gridSpan w:val="2"/>
          </w:tcPr>
          <w:p>
            <w:pPr>
              <w:spacing w:after="0"/>
              <w:rPr>
                <w:sz w:val="20"/>
                <w:szCs w:val="20"/>
                <w:color w:val="auto"/>
              </w:rPr>
            </w:pPr>
            <w:r>
              <w:rPr>
                <w:rFonts w:ascii="Arial" w:cs="Arial" w:eastAsia="Arial" w:hAnsi="Arial"/>
                <w:sz w:val="22"/>
                <w:szCs w:val="22"/>
                <w:color w:val="auto"/>
              </w:rPr>
              <w:t>ARTICLE XV RIGHT TO ACQUIRE LIMITED PARTNER INTERESTS</w:t>
            </w:r>
          </w:p>
        </w:tc>
        <w:tc>
          <w:tcPr>
            <w:tcW w:w="900" w:type="dxa"/>
            <w:vAlign w:val="bottom"/>
            <w:gridSpan w:val="2"/>
          </w:tcPr>
          <w:p>
            <w:pPr>
              <w:jc w:val="right"/>
              <w:spacing w:after="0"/>
              <w:rPr>
                <w:sz w:val="20"/>
                <w:szCs w:val="20"/>
                <w:color w:val="auto"/>
              </w:rPr>
            </w:pPr>
            <w:r>
              <w:rPr>
                <w:rFonts w:ascii="Arial" w:cs="Arial" w:eastAsia="Arial" w:hAnsi="Arial"/>
                <w:sz w:val="22"/>
                <w:szCs w:val="22"/>
                <w:color w:val="auto"/>
              </w:rPr>
              <w:t>72</w:t>
            </w:r>
          </w:p>
        </w:tc>
        <w:tc>
          <w:tcPr>
            <w:tcW w:w="40" w:type="dxa"/>
            <w:vAlign w:val="bottom"/>
          </w:tcPr>
          <w:p>
            <w:pPr>
              <w:spacing w:after="0"/>
              <w:rPr>
                <w:sz w:val="24"/>
                <w:szCs w:val="24"/>
                <w:color w:val="auto"/>
              </w:rPr>
            </w:pPr>
          </w:p>
        </w:tc>
      </w:tr>
      <w:tr>
        <w:trPr>
          <w:trHeight w:val="459"/>
        </w:trPr>
        <w:tc>
          <w:tcPr>
            <w:tcW w:w="1760" w:type="dxa"/>
            <w:vAlign w:val="bottom"/>
          </w:tcPr>
          <w:p>
            <w:pPr>
              <w:spacing w:after="0"/>
              <w:rPr>
                <w:sz w:val="24"/>
                <w:szCs w:val="24"/>
                <w:color w:val="auto"/>
              </w:rPr>
            </w:pPr>
          </w:p>
        </w:tc>
        <w:tc>
          <w:tcPr>
            <w:tcW w:w="8760" w:type="dxa"/>
            <w:vAlign w:val="bottom"/>
          </w:tcPr>
          <w:p>
            <w:pPr>
              <w:ind w:left="3860"/>
              <w:spacing w:after="0"/>
              <w:rPr>
                <w:sz w:val="20"/>
                <w:szCs w:val="20"/>
                <w:color w:val="auto"/>
              </w:rPr>
            </w:pPr>
            <w:r>
              <w:rPr>
                <w:rFonts w:ascii="Arial" w:cs="Arial" w:eastAsia="Arial" w:hAnsi="Arial"/>
                <w:sz w:val="22"/>
                <w:szCs w:val="22"/>
                <w:color w:val="auto"/>
              </w:rPr>
              <w:t>iii</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2"/>
        </w:trPr>
        <w:tc>
          <w:tcPr>
            <w:tcW w:w="1760" w:type="dxa"/>
            <w:vAlign w:val="bottom"/>
            <w:tcBorders>
              <w:bottom w:val="single" w:sz="8" w:color="808080"/>
            </w:tcBorders>
          </w:tcPr>
          <w:p>
            <w:pPr>
              <w:spacing w:after="0"/>
              <w:rPr>
                <w:sz w:val="10"/>
                <w:szCs w:val="10"/>
                <w:color w:val="auto"/>
              </w:rPr>
            </w:pPr>
          </w:p>
        </w:tc>
        <w:tc>
          <w:tcPr>
            <w:tcW w:w="876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05"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162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422"/>
        </w:trPr>
        <w:tc>
          <w:tcPr>
            <w:tcW w:w="1620" w:type="dxa"/>
            <w:vAlign w:val="bottom"/>
          </w:tcPr>
          <w:p>
            <w:pPr>
              <w:ind w:left="300"/>
              <w:spacing w:after="0"/>
              <w:rPr>
                <w:sz w:val="20"/>
                <w:szCs w:val="20"/>
                <w:color w:val="auto"/>
              </w:rPr>
            </w:pPr>
            <w:r>
              <w:rPr>
                <w:rFonts w:ascii="Arial" w:cs="Arial" w:eastAsia="Arial" w:hAnsi="Arial"/>
                <w:sz w:val="22"/>
                <w:szCs w:val="22"/>
                <w:color w:val="auto"/>
              </w:rPr>
              <w:t>Section 15.1.</w:t>
            </w:r>
          </w:p>
        </w:tc>
        <w:tc>
          <w:tcPr>
            <w:tcW w:w="8600" w:type="dxa"/>
            <w:vAlign w:val="bottom"/>
          </w:tcPr>
          <w:p>
            <w:pPr>
              <w:ind w:left="360"/>
              <w:spacing w:after="0"/>
              <w:rPr>
                <w:sz w:val="20"/>
                <w:szCs w:val="20"/>
                <w:color w:val="auto"/>
              </w:rPr>
            </w:pPr>
            <w:r>
              <w:rPr>
                <w:rFonts w:ascii="Arial" w:cs="Arial" w:eastAsia="Arial" w:hAnsi="Arial"/>
                <w:sz w:val="22"/>
                <w:szCs w:val="22"/>
                <w:color w:val="auto"/>
              </w:rPr>
              <w:t>Right to Acquire Limited Partner Interests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72</w:t>
            </w:r>
          </w:p>
        </w:tc>
      </w:tr>
      <w:tr>
        <w:trPr>
          <w:trHeight w:val="428"/>
        </w:trPr>
        <w:tc>
          <w:tcPr>
            <w:tcW w:w="10220" w:type="dxa"/>
            <w:vAlign w:val="bottom"/>
            <w:gridSpan w:val="2"/>
          </w:tcPr>
          <w:p>
            <w:pPr>
              <w:spacing w:after="0"/>
              <w:rPr>
                <w:sz w:val="20"/>
                <w:szCs w:val="20"/>
                <w:color w:val="auto"/>
              </w:rPr>
            </w:pPr>
            <w:r>
              <w:rPr>
                <w:rFonts w:ascii="Arial" w:cs="Arial" w:eastAsia="Arial" w:hAnsi="Arial"/>
                <w:sz w:val="22"/>
                <w:szCs w:val="22"/>
                <w:color w:val="auto"/>
              </w:rPr>
              <w:t>ARTICLE XVI SERIES A CUMULATIVE REDEEMABLE PERPETUAL FIXED TO FLOATING RATE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5"/>
        </w:trPr>
        <w:tc>
          <w:tcPr>
            <w:tcW w:w="1620" w:type="dxa"/>
            <w:vAlign w:val="bottom"/>
          </w:tcPr>
          <w:p>
            <w:pPr>
              <w:spacing w:after="0"/>
              <w:rPr>
                <w:sz w:val="23"/>
                <w:szCs w:val="23"/>
                <w:color w:val="auto"/>
              </w:rPr>
            </w:pPr>
          </w:p>
        </w:tc>
        <w:tc>
          <w:tcPr>
            <w:tcW w:w="8600" w:type="dxa"/>
            <w:vAlign w:val="bottom"/>
          </w:tcPr>
          <w:p>
            <w:pPr>
              <w:ind w:left="80"/>
              <w:spacing w:after="0"/>
              <w:rPr>
                <w:sz w:val="20"/>
                <w:szCs w:val="20"/>
                <w:color w:val="auto"/>
              </w:rPr>
            </w:pPr>
            <w:r>
              <w:rPr>
                <w:rFonts w:ascii="Arial" w:cs="Arial" w:eastAsia="Arial" w:hAnsi="Arial"/>
                <w:sz w:val="22"/>
                <w:szCs w:val="22"/>
                <w:color w:val="auto"/>
              </w:rPr>
              <w:t>PREFERENCE UNITS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74</w:t>
            </w:r>
          </w:p>
        </w:tc>
      </w:tr>
      <w:tr>
        <w:trPr>
          <w:trHeight w:val="306"/>
        </w:trPr>
        <w:tc>
          <w:tcPr>
            <w:tcW w:w="1620" w:type="dxa"/>
            <w:vAlign w:val="bottom"/>
          </w:tcPr>
          <w:p>
            <w:pPr>
              <w:ind w:left="300"/>
              <w:spacing w:after="0"/>
              <w:rPr>
                <w:sz w:val="20"/>
                <w:szCs w:val="20"/>
                <w:color w:val="auto"/>
              </w:rPr>
            </w:pPr>
            <w:r>
              <w:rPr>
                <w:rFonts w:ascii="Arial" w:cs="Arial" w:eastAsia="Arial" w:hAnsi="Arial"/>
                <w:sz w:val="22"/>
                <w:szCs w:val="22"/>
                <w:color w:val="auto"/>
              </w:rPr>
              <w:t>Section 16.1.</w:t>
            </w:r>
          </w:p>
        </w:tc>
        <w:tc>
          <w:tcPr>
            <w:tcW w:w="8600" w:type="dxa"/>
            <w:vAlign w:val="bottom"/>
          </w:tcPr>
          <w:p>
            <w:pPr>
              <w:ind w:left="360"/>
              <w:spacing w:after="0"/>
              <w:rPr>
                <w:sz w:val="20"/>
                <w:szCs w:val="20"/>
                <w:color w:val="auto"/>
              </w:rPr>
            </w:pPr>
            <w:r>
              <w:rPr>
                <w:rFonts w:ascii="Arial" w:cs="Arial" w:eastAsia="Arial" w:hAnsi="Arial"/>
                <w:sz w:val="22"/>
                <w:szCs w:val="22"/>
                <w:color w:val="auto"/>
              </w:rPr>
              <w:t>Designations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74</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16.2.</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Units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16.3.</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Distributions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74</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16.4.</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Liquidation Rights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76</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16.5.</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Voting Rights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77</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16.6.</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Optional Redemption</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79</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16.7.</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Rank</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16.8.</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No Sinking Fund</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16.9.</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Record Holders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w w:val="92"/>
              </w:rPr>
              <w:t>Section 16.10.</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Notices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81</w:t>
            </w:r>
          </w:p>
        </w:tc>
      </w:tr>
      <w:tr>
        <w:trPr>
          <w:trHeight w:val="275"/>
        </w:trPr>
        <w:tc>
          <w:tcPr>
            <w:tcW w:w="1620" w:type="dxa"/>
            <w:vAlign w:val="bottom"/>
          </w:tcPr>
          <w:p>
            <w:pPr>
              <w:ind w:left="300"/>
              <w:spacing w:after="0"/>
              <w:rPr>
                <w:sz w:val="20"/>
                <w:szCs w:val="20"/>
                <w:color w:val="auto"/>
              </w:rPr>
            </w:pPr>
            <w:r>
              <w:rPr>
                <w:rFonts w:ascii="Arial" w:cs="Arial" w:eastAsia="Arial" w:hAnsi="Arial"/>
                <w:sz w:val="22"/>
                <w:szCs w:val="22"/>
                <w:color w:val="auto"/>
                <w:w w:val="92"/>
              </w:rPr>
              <w:t>Section 16.11.</w:t>
            </w:r>
          </w:p>
        </w:tc>
        <w:tc>
          <w:tcPr>
            <w:tcW w:w="8600" w:type="dxa"/>
            <w:vAlign w:val="bottom"/>
          </w:tcPr>
          <w:p>
            <w:pPr>
              <w:ind w:left="360"/>
              <w:spacing w:after="0"/>
              <w:rPr>
                <w:sz w:val="20"/>
                <w:szCs w:val="20"/>
                <w:color w:val="auto"/>
              </w:rPr>
            </w:pPr>
            <w:r>
              <w:rPr>
                <w:rFonts w:ascii="Arial" w:cs="Arial" w:eastAsia="Arial" w:hAnsi="Arial"/>
                <w:sz w:val="22"/>
                <w:szCs w:val="22"/>
                <w:color w:val="auto"/>
              </w:rPr>
              <w:t>Other Rights; Fiduciary Duties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81</w:t>
            </w:r>
          </w:p>
        </w:tc>
      </w:tr>
      <w:tr>
        <w:trPr>
          <w:trHeight w:val="428"/>
        </w:trPr>
        <w:tc>
          <w:tcPr>
            <w:tcW w:w="10220" w:type="dxa"/>
            <w:vAlign w:val="bottom"/>
            <w:gridSpan w:val="2"/>
          </w:tcPr>
          <w:p>
            <w:pPr>
              <w:spacing w:after="0"/>
              <w:rPr>
                <w:sz w:val="20"/>
                <w:szCs w:val="20"/>
                <w:color w:val="auto"/>
              </w:rPr>
            </w:pPr>
            <w:r>
              <w:rPr>
                <w:rFonts w:ascii="Arial" w:cs="Arial" w:eastAsia="Arial" w:hAnsi="Arial"/>
                <w:sz w:val="22"/>
                <w:szCs w:val="22"/>
                <w:color w:val="auto"/>
              </w:rPr>
              <w:t>ARTICLE XVII SERIES B CUMULATIVE REDEEMABLE PERPETUAL FIXED TO FLOATING RATE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5"/>
        </w:trPr>
        <w:tc>
          <w:tcPr>
            <w:tcW w:w="1620" w:type="dxa"/>
            <w:vAlign w:val="bottom"/>
          </w:tcPr>
          <w:p>
            <w:pPr>
              <w:spacing w:after="0"/>
              <w:rPr>
                <w:sz w:val="23"/>
                <w:szCs w:val="23"/>
                <w:color w:val="auto"/>
              </w:rPr>
            </w:pPr>
          </w:p>
        </w:tc>
        <w:tc>
          <w:tcPr>
            <w:tcW w:w="8600" w:type="dxa"/>
            <w:vAlign w:val="bottom"/>
          </w:tcPr>
          <w:p>
            <w:pPr>
              <w:ind w:left="80"/>
              <w:spacing w:after="0"/>
              <w:rPr>
                <w:sz w:val="20"/>
                <w:szCs w:val="20"/>
                <w:color w:val="auto"/>
              </w:rPr>
            </w:pPr>
            <w:r>
              <w:rPr>
                <w:rFonts w:ascii="Arial" w:cs="Arial" w:eastAsia="Arial" w:hAnsi="Arial"/>
                <w:sz w:val="22"/>
                <w:szCs w:val="22"/>
                <w:color w:val="auto"/>
              </w:rPr>
              <w:t>PREFERENCE UNITS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81</w:t>
            </w:r>
          </w:p>
        </w:tc>
      </w:tr>
      <w:tr>
        <w:trPr>
          <w:trHeight w:val="306"/>
        </w:trPr>
        <w:tc>
          <w:tcPr>
            <w:tcW w:w="1620" w:type="dxa"/>
            <w:vAlign w:val="bottom"/>
          </w:tcPr>
          <w:p>
            <w:pPr>
              <w:ind w:left="300"/>
              <w:spacing w:after="0"/>
              <w:rPr>
                <w:sz w:val="20"/>
                <w:szCs w:val="20"/>
                <w:color w:val="auto"/>
              </w:rPr>
            </w:pPr>
            <w:r>
              <w:rPr>
                <w:rFonts w:ascii="Arial" w:cs="Arial" w:eastAsia="Arial" w:hAnsi="Arial"/>
                <w:sz w:val="22"/>
                <w:szCs w:val="22"/>
                <w:color w:val="auto"/>
              </w:rPr>
              <w:t>Section 17.1.</w:t>
            </w:r>
          </w:p>
        </w:tc>
        <w:tc>
          <w:tcPr>
            <w:tcW w:w="8600" w:type="dxa"/>
            <w:vAlign w:val="bottom"/>
          </w:tcPr>
          <w:p>
            <w:pPr>
              <w:ind w:left="360"/>
              <w:spacing w:after="0"/>
              <w:rPr>
                <w:sz w:val="20"/>
                <w:szCs w:val="20"/>
                <w:color w:val="auto"/>
              </w:rPr>
            </w:pPr>
            <w:r>
              <w:rPr>
                <w:rFonts w:ascii="Arial" w:cs="Arial" w:eastAsia="Arial" w:hAnsi="Arial"/>
                <w:sz w:val="22"/>
                <w:szCs w:val="22"/>
                <w:color w:val="auto"/>
              </w:rPr>
              <w:t>Designations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81</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17.2.</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Units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17.3.</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Distributions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82</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17.4.</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Liquidation Rights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85</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17.5.</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Voting Rights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86</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17.6.</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Optional Redemption</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87</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17.7.</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Rank</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17.8.</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No Sinking Fund</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17.9.</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Record Holders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w w:val="92"/>
              </w:rPr>
              <w:t>Section 17.10.</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Notices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89</w:t>
            </w:r>
          </w:p>
        </w:tc>
      </w:tr>
      <w:tr>
        <w:trPr>
          <w:trHeight w:val="275"/>
        </w:trPr>
        <w:tc>
          <w:tcPr>
            <w:tcW w:w="1620" w:type="dxa"/>
            <w:vAlign w:val="bottom"/>
          </w:tcPr>
          <w:p>
            <w:pPr>
              <w:ind w:left="300"/>
              <w:spacing w:after="0"/>
              <w:rPr>
                <w:sz w:val="20"/>
                <w:szCs w:val="20"/>
                <w:color w:val="auto"/>
              </w:rPr>
            </w:pPr>
            <w:r>
              <w:rPr>
                <w:rFonts w:ascii="Arial" w:cs="Arial" w:eastAsia="Arial" w:hAnsi="Arial"/>
                <w:sz w:val="22"/>
                <w:szCs w:val="22"/>
                <w:color w:val="auto"/>
                <w:w w:val="92"/>
              </w:rPr>
              <w:t>Section 17.11.</w:t>
            </w:r>
          </w:p>
        </w:tc>
        <w:tc>
          <w:tcPr>
            <w:tcW w:w="8600" w:type="dxa"/>
            <w:vAlign w:val="bottom"/>
          </w:tcPr>
          <w:p>
            <w:pPr>
              <w:ind w:left="360"/>
              <w:spacing w:after="0"/>
              <w:rPr>
                <w:sz w:val="20"/>
                <w:szCs w:val="20"/>
                <w:color w:val="auto"/>
              </w:rPr>
            </w:pPr>
            <w:r>
              <w:rPr>
                <w:rFonts w:ascii="Arial" w:cs="Arial" w:eastAsia="Arial" w:hAnsi="Arial"/>
                <w:sz w:val="22"/>
                <w:szCs w:val="22"/>
                <w:color w:val="auto"/>
              </w:rPr>
              <w:t>Other Rights; Fiduciary Duties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89</w:t>
            </w:r>
          </w:p>
        </w:tc>
      </w:tr>
      <w:tr>
        <w:trPr>
          <w:trHeight w:val="428"/>
        </w:trPr>
        <w:tc>
          <w:tcPr>
            <w:tcW w:w="10220" w:type="dxa"/>
            <w:vAlign w:val="bottom"/>
            <w:gridSpan w:val="2"/>
          </w:tcPr>
          <w:p>
            <w:pPr>
              <w:spacing w:after="0"/>
              <w:rPr>
                <w:sz w:val="20"/>
                <w:szCs w:val="20"/>
                <w:color w:val="auto"/>
              </w:rPr>
            </w:pPr>
            <w:r>
              <w:rPr>
                <w:rFonts w:ascii="Arial" w:cs="Arial" w:eastAsia="Arial" w:hAnsi="Arial"/>
                <w:sz w:val="22"/>
                <w:szCs w:val="22"/>
                <w:color w:val="auto"/>
              </w:rPr>
              <w:t>ARTICLE XVIII SERIES C CUMULATIVE REDEEMABLE PERPETUAL FIXED TO FLOATING RATE</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5"/>
        </w:trPr>
        <w:tc>
          <w:tcPr>
            <w:tcW w:w="1620" w:type="dxa"/>
            <w:vAlign w:val="bottom"/>
          </w:tcPr>
          <w:p>
            <w:pPr>
              <w:spacing w:after="0"/>
              <w:rPr>
                <w:sz w:val="23"/>
                <w:szCs w:val="23"/>
                <w:color w:val="auto"/>
              </w:rPr>
            </w:pPr>
          </w:p>
        </w:tc>
        <w:tc>
          <w:tcPr>
            <w:tcW w:w="8600" w:type="dxa"/>
            <w:vAlign w:val="bottom"/>
          </w:tcPr>
          <w:p>
            <w:pPr>
              <w:ind w:left="80"/>
              <w:spacing w:after="0"/>
              <w:rPr>
                <w:sz w:val="20"/>
                <w:szCs w:val="20"/>
                <w:color w:val="auto"/>
              </w:rPr>
            </w:pPr>
            <w:r>
              <w:rPr>
                <w:rFonts w:ascii="Arial" w:cs="Arial" w:eastAsia="Arial" w:hAnsi="Arial"/>
                <w:sz w:val="22"/>
                <w:szCs w:val="22"/>
                <w:color w:val="auto"/>
              </w:rPr>
              <w:t>PREFERENCE UNITS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90</w:t>
            </w:r>
          </w:p>
        </w:tc>
      </w:tr>
      <w:tr>
        <w:trPr>
          <w:trHeight w:val="306"/>
        </w:trPr>
        <w:tc>
          <w:tcPr>
            <w:tcW w:w="1620" w:type="dxa"/>
            <w:vAlign w:val="bottom"/>
          </w:tcPr>
          <w:p>
            <w:pPr>
              <w:ind w:left="300"/>
              <w:spacing w:after="0"/>
              <w:rPr>
                <w:sz w:val="20"/>
                <w:szCs w:val="20"/>
                <w:color w:val="auto"/>
              </w:rPr>
            </w:pPr>
            <w:r>
              <w:rPr>
                <w:rFonts w:ascii="Arial" w:cs="Arial" w:eastAsia="Arial" w:hAnsi="Arial"/>
                <w:sz w:val="22"/>
                <w:szCs w:val="22"/>
                <w:color w:val="auto"/>
              </w:rPr>
              <w:t>Section 18.1.</w:t>
            </w:r>
          </w:p>
        </w:tc>
        <w:tc>
          <w:tcPr>
            <w:tcW w:w="8600" w:type="dxa"/>
            <w:vAlign w:val="bottom"/>
          </w:tcPr>
          <w:p>
            <w:pPr>
              <w:ind w:left="360"/>
              <w:spacing w:after="0"/>
              <w:rPr>
                <w:sz w:val="20"/>
                <w:szCs w:val="20"/>
                <w:color w:val="auto"/>
              </w:rPr>
            </w:pPr>
            <w:r>
              <w:rPr>
                <w:rFonts w:ascii="Arial" w:cs="Arial" w:eastAsia="Arial" w:hAnsi="Arial"/>
                <w:sz w:val="22"/>
                <w:szCs w:val="22"/>
                <w:color w:val="auto"/>
              </w:rPr>
              <w:t>Designations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90</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18.2.</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Units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18.3.</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Distributions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90</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18.4.</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Liquidation Rights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93</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18.5.</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Voting Rights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94</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18.6.</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Optional Redemption</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95</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18.7.</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Rank</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18.8.</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No Sinking Fund</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rPr>
              <w:t>Section 18.9.</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Record Holders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43"/>
        </w:trPr>
        <w:tc>
          <w:tcPr>
            <w:tcW w:w="1620" w:type="dxa"/>
            <w:vAlign w:val="bottom"/>
          </w:tcPr>
          <w:p>
            <w:pPr>
              <w:ind w:left="300"/>
              <w:spacing w:after="0" w:line="243" w:lineRule="exact"/>
              <w:rPr>
                <w:sz w:val="20"/>
                <w:szCs w:val="20"/>
                <w:color w:val="auto"/>
              </w:rPr>
            </w:pPr>
            <w:r>
              <w:rPr>
                <w:rFonts w:ascii="Arial" w:cs="Arial" w:eastAsia="Arial" w:hAnsi="Arial"/>
                <w:sz w:val="22"/>
                <w:szCs w:val="22"/>
                <w:color w:val="auto"/>
                <w:w w:val="92"/>
              </w:rPr>
              <w:t>Section 18.10.</w:t>
            </w:r>
          </w:p>
        </w:tc>
        <w:tc>
          <w:tcPr>
            <w:tcW w:w="8600" w:type="dxa"/>
            <w:vAlign w:val="bottom"/>
          </w:tcPr>
          <w:p>
            <w:pPr>
              <w:ind w:left="360"/>
              <w:spacing w:after="0" w:line="243" w:lineRule="exact"/>
              <w:rPr>
                <w:sz w:val="20"/>
                <w:szCs w:val="20"/>
                <w:color w:val="auto"/>
              </w:rPr>
            </w:pPr>
            <w:r>
              <w:rPr>
                <w:rFonts w:ascii="Arial" w:cs="Arial" w:eastAsia="Arial" w:hAnsi="Arial"/>
                <w:sz w:val="22"/>
                <w:szCs w:val="22"/>
                <w:color w:val="auto"/>
              </w:rPr>
              <w:t>Notices</w:t>
            </w:r>
          </w:p>
        </w:tc>
        <w:tc>
          <w:tcPr>
            <w:tcW w:w="120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97</w:t>
            </w:r>
          </w:p>
        </w:tc>
      </w:tr>
      <w:tr>
        <w:trPr>
          <w:trHeight w:val="275"/>
        </w:trPr>
        <w:tc>
          <w:tcPr>
            <w:tcW w:w="1620" w:type="dxa"/>
            <w:vAlign w:val="bottom"/>
          </w:tcPr>
          <w:p>
            <w:pPr>
              <w:ind w:left="300"/>
              <w:spacing w:after="0"/>
              <w:rPr>
                <w:sz w:val="20"/>
                <w:szCs w:val="20"/>
                <w:color w:val="auto"/>
              </w:rPr>
            </w:pPr>
            <w:r>
              <w:rPr>
                <w:rFonts w:ascii="Arial" w:cs="Arial" w:eastAsia="Arial" w:hAnsi="Arial"/>
                <w:sz w:val="22"/>
                <w:szCs w:val="22"/>
                <w:color w:val="auto"/>
                <w:w w:val="92"/>
              </w:rPr>
              <w:t>Section 18.11.</w:t>
            </w:r>
          </w:p>
        </w:tc>
        <w:tc>
          <w:tcPr>
            <w:tcW w:w="8600" w:type="dxa"/>
            <w:vAlign w:val="bottom"/>
          </w:tcPr>
          <w:p>
            <w:pPr>
              <w:ind w:left="360"/>
              <w:spacing w:after="0"/>
              <w:rPr>
                <w:sz w:val="20"/>
                <w:szCs w:val="20"/>
                <w:color w:val="auto"/>
              </w:rPr>
            </w:pPr>
            <w:r>
              <w:rPr>
                <w:rFonts w:ascii="Arial" w:cs="Arial" w:eastAsia="Arial" w:hAnsi="Arial"/>
                <w:sz w:val="22"/>
                <w:szCs w:val="22"/>
                <w:color w:val="auto"/>
              </w:rPr>
              <w:t>Other Rights; Fiduciary Duties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98</w:t>
            </w:r>
          </w:p>
        </w:tc>
      </w:tr>
      <w:tr>
        <w:trPr>
          <w:trHeight w:val="459"/>
        </w:trPr>
        <w:tc>
          <w:tcPr>
            <w:tcW w:w="10220" w:type="dxa"/>
            <w:vAlign w:val="bottom"/>
            <w:gridSpan w:val="2"/>
          </w:tcPr>
          <w:p>
            <w:pPr>
              <w:spacing w:after="0"/>
              <w:rPr>
                <w:sz w:val="20"/>
                <w:szCs w:val="20"/>
                <w:color w:val="auto"/>
              </w:rPr>
            </w:pPr>
            <w:r>
              <w:rPr>
                <w:rFonts w:ascii="Arial" w:cs="Arial" w:eastAsia="Arial" w:hAnsi="Arial"/>
                <w:sz w:val="22"/>
                <w:szCs w:val="22"/>
                <w:color w:val="auto"/>
              </w:rPr>
              <w:t>ARTICLE XIX GENERAL PROVISIONS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98</w:t>
            </w:r>
          </w:p>
        </w:tc>
      </w:tr>
      <w:tr>
        <w:trPr>
          <w:trHeight w:val="338"/>
        </w:trPr>
        <w:tc>
          <w:tcPr>
            <w:tcW w:w="1620" w:type="dxa"/>
            <w:vAlign w:val="bottom"/>
          </w:tcPr>
          <w:p>
            <w:pPr>
              <w:ind w:left="300"/>
              <w:spacing w:after="0"/>
              <w:rPr>
                <w:sz w:val="20"/>
                <w:szCs w:val="20"/>
                <w:color w:val="auto"/>
              </w:rPr>
            </w:pPr>
            <w:r>
              <w:rPr>
                <w:rFonts w:ascii="Arial" w:cs="Arial" w:eastAsia="Arial" w:hAnsi="Arial"/>
                <w:sz w:val="22"/>
                <w:szCs w:val="22"/>
                <w:color w:val="auto"/>
              </w:rPr>
              <w:t>Section 19.1.</w:t>
            </w:r>
          </w:p>
        </w:tc>
        <w:tc>
          <w:tcPr>
            <w:tcW w:w="8600" w:type="dxa"/>
            <w:vAlign w:val="bottom"/>
          </w:tcPr>
          <w:p>
            <w:pPr>
              <w:ind w:left="360"/>
              <w:spacing w:after="0"/>
              <w:rPr>
                <w:sz w:val="20"/>
                <w:szCs w:val="20"/>
                <w:color w:val="auto"/>
              </w:rPr>
            </w:pPr>
            <w:r>
              <w:rPr>
                <w:rFonts w:ascii="Arial" w:cs="Arial" w:eastAsia="Arial" w:hAnsi="Arial"/>
                <w:sz w:val="22"/>
                <w:szCs w:val="22"/>
                <w:color w:val="auto"/>
              </w:rPr>
              <w:t>Addresses and Notices</w:t>
            </w:r>
          </w:p>
        </w:tc>
        <w:tc>
          <w:tcPr>
            <w:tcW w:w="1200" w:type="dxa"/>
            <w:vAlign w:val="bottom"/>
            <w:gridSpan w:val="2"/>
          </w:tcPr>
          <w:p>
            <w:pPr>
              <w:jc w:val="right"/>
              <w:spacing w:after="0"/>
              <w:rPr>
                <w:sz w:val="20"/>
                <w:szCs w:val="20"/>
                <w:color w:val="auto"/>
              </w:rPr>
            </w:pPr>
            <w:r>
              <w:rPr>
                <w:rFonts w:ascii="Arial" w:cs="Arial" w:eastAsia="Arial" w:hAnsi="Arial"/>
                <w:sz w:val="22"/>
                <w:szCs w:val="22"/>
                <w:color w:val="auto"/>
              </w:rPr>
              <w:t>98</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0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680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22"/>
                <w:szCs w:val="22"/>
                <w:color w:val="auto"/>
                <w:w w:val="77"/>
              </w:rPr>
              <w:t>Page</w:t>
            </w:r>
          </w:p>
        </w:tc>
      </w:tr>
      <w:tr>
        <w:trPr>
          <w:trHeight w:val="391"/>
        </w:trPr>
        <w:tc>
          <w:tcPr>
            <w:tcW w:w="1460" w:type="dxa"/>
            <w:vAlign w:val="bottom"/>
          </w:tcPr>
          <w:p>
            <w:pPr>
              <w:spacing w:after="0"/>
              <w:rPr>
                <w:sz w:val="20"/>
                <w:szCs w:val="20"/>
                <w:color w:val="auto"/>
              </w:rPr>
            </w:pPr>
            <w:r>
              <w:rPr>
                <w:rFonts w:ascii="Arial" w:cs="Arial" w:eastAsia="Arial" w:hAnsi="Arial"/>
                <w:sz w:val="22"/>
                <w:szCs w:val="22"/>
                <w:color w:val="auto"/>
              </w:rPr>
              <w:t>Section 19.2.</w:t>
            </w:r>
          </w:p>
        </w:tc>
        <w:tc>
          <w:tcPr>
            <w:tcW w:w="6800" w:type="dxa"/>
            <w:vAlign w:val="bottom"/>
          </w:tcPr>
          <w:p>
            <w:pPr>
              <w:ind w:left="220"/>
              <w:spacing w:after="0"/>
              <w:rPr>
                <w:sz w:val="20"/>
                <w:szCs w:val="20"/>
                <w:color w:val="auto"/>
              </w:rPr>
            </w:pPr>
            <w:r>
              <w:rPr>
                <w:rFonts w:ascii="Arial" w:cs="Arial" w:eastAsia="Arial" w:hAnsi="Arial"/>
                <w:sz w:val="22"/>
                <w:szCs w:val="22"/>
                <w:color w:val="auto"/>
              </w:rPr>
              <w:t>Further Action</w:t>
            </w:r>
          </w:p>
        </w:tc>
        <w:tc>
          <w:tcPr>
            <w:tcW w:w="2860" w:type="dxa"/>
            <w:vAlign w:val="bottom"/>
            <w:gridSpan w:val="2"/>
          </w:tcPr>
          <w:p>
            <w:pPr>
              <w:jc w:val="right"/>
              <w:spacing w:after="0"/>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19.3.</w:t>
            </w:r>
          </w:p>
        </w:tc>
        <w:tc>
          <w:tcPr>
            <w:tcW w:w="6800" w:type="dxa"/>
            <w:vAlign w:val="bottom"/>
          </w:tcPr>
          <w:p>
            <w:pPr>
              <w:ind w:left="220"/>
              <w:spacing w:after="0" w:line="243" w:lineRule="exact"/>
              <w:rPr>
                <w:sz w:val="20"/>
                <w:szCs w:val="20"/>
                <w:color w:val="auto"/>
              </w:rPr>
            </w:pPr>
            <w:r>
              <w:rPr>
                <w:rFonts w:ascii="Arial" w:cs="Arial" w:eastAsia="Arial" w:hAnsi="Arial"/>
                <w:sz w:val="22"/>
                <w:szCs w:val="22"/>
                <w:color w:val="auto"/>
              </w:rPr>
              <w:t>Binding Effect</w:t>
            </w:r>
          </w:p>
        </w:tc>
        <w:tc>
          <w:tcPr>
            <w:tcW w:w="2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19.4.</w:t>
            </w:r>
          </w:p>
        </w:tc>
        <w:tc>
          <w:tcPr>
            <w:tcW w:w="6800" w:type="dxa"/>
            <w:vAlign w:val="bottom"/>
          </w:tcPr>
          <w:p>
            <w:pPr>
              <w:ind w:left="220"/>
              <w:spacing w:after="0" w:line="243" w:lineRule="exact"/>
              <w:rPr>
                <w:sz w:val="20"/>
                <w:szCs w:val="20"/>
                <w:color w:val="auto"/>
              </w:rPr>
            </w:pPr>
            <w:r>
              <w:rPr>
                <w:rFonts w:ascii="Arial" w:cs="Arial" w:eastAsia="Arial" w:hAnsi="Arial"/>
                <w:sz w:val="22"/>
                <w:szCs w:val="22"/>
                <w:color w:val="auto"/>
              </w:rPr>
              <w:t>Integration</w:t>
            </w:r>
          </w:p>
        </w:tc>
        <w:tc>
          <w:tcPr>
            <w:tcW w:w="2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19.5.</w:t>
            </w:r>
          </w:p>
        </w:tc>
        <w:tc>
          <w:tcPr>
            <w:tcW w:w="6800" w:type="dxa"/>
            <w:vAlign w:val="bottom"/>
          </w:tcPr>
          <w:p>
            <w:pPr>
              <w:ind w:left="220"/>
              <w:spacing w:after="0" w:line="243" w:lineRule="exact"/>
              <w:rPr>
                <w:sz w:val="20"/>
                <w:szCs w:val="20"/>
                <w:color w:val="auto"/>
              </w:rPr>
            </w:pPr>
            <w:r>
              <w:rPr>
                <w:rFonts w:ascii="Arial" w:cs="Arial" w:eastAsia="Arial" w:hAnsi="Arial"/>
                <w:sz w:val="22"/>
                <w:szCs w:val="22"/>
                <w:color w:val="auto"/>
              </w:rPr>
              <w:t>Creditors</w:t>
            </w:r>
          </w:p>
        </w:tc>
        <w:tc>
          <w:tcPr>
            <w:tcW w:w="2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19.6.</w:t>
            </w:r>
          </w:p>
        </w:tc>
        <w:tc>
          <w:tcPr>
            <w:tcW w:w="6800" w:type="dxa"/>
            <w:vAlign w:val="bottom"/>
          </w:tcPr>
          <w:p>
            <w:pPr>
              <w:ind w:left="220"/>
              <w:spacing w:after="0" w:line="243" w:lineRule="exact"/>
              <w:rPr>
                <w:sz w:val="20"/>
                <w:szCs w:val="20"/>
                <w:color w:val="auto"/>
              </w:rPr>
            </w:pPr>
            <w:r>
              <w:rPr>
                <w:rFonts w:ascii="Arial" w:cs="Arial" w:eastAsia="Arial" w:hAnsi="Arial"/>
                <w:sz w:val="22"/>
                <w:szCs w:val="22"/>
                <w:color w:val="auto"/>
              </w:rPr>
              <w:t>Waiver</w:t>
            </w:r>
          </w:p>
        </w:tc>
        <w:tc>
          <w:tcPr>
            <w:tcW w:w="2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19.7.</w:t>
            </w:r>
          </w:p>
        </w:tc>
        <w:tc>
          <w:tcPr>
            <w:tcW w:w="6800" w:type="dxa"/>
            <w:vAlign w:val="bottom"/>
          </w:tcPr>
          <w:p>
            <w:pPr>
              <w:ind w:left="220"/>
              <w:spacing w:after="0" w:line="243" w:lineRule="exact"/>
              <w:rPr>
                <w:sz w:val="20"/>
                <w:szCs w:val="20"/>
                <w:color w:val="auto"/>
              </w:rPr>
            </w:pPr>
            <w:r>
              <w:rPr>
                <w:rFonts w:ascii="Arial" w:cs="Arial" w:eastAsia="Arial" w:hAnsi="Arial"/>
                <w:sz w:val="22"/>
                <w:szCs w:val="22"/>
                <w:color w:val="auto"/>
              </w:rPr>
              <w:t>Counterparts</w:t>
            </w:r>
          </w:p>
        </w:tc>
        <w:tc>
          <w:tcPr>
            <w:tcW w:w="2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19.8.</w:t>
            </w:r>
          </w:p>
        </w:tc>
        <w:tc>
          <w:tcPr>
            <w:tcW w:w="6800" w:type="dxa"/>
            <w:vAlign w:val="bottom"/>
          </w:tcPr>
          <w:p>
            <w:pPr>
              <w:ind w:left="220"/>
              <w:spacing w:after="0" w:line="243" w:lineRule="exact"/>
              <w:rPr>
                <w:sz w:val="20"/>
                <w:szCs w:val="20"/>
                <w:color w:val="auto"/>
              </w:rPr>
            </w:pPr>
            <w:r>
              <w:rPr>
                <w:rFonts w:ascii="Arial" w:cs="Arial" w:eastAsia="Arial" w:hAnsi="Arial"/>
                <w:sz w:val="22"/>
                <w:szCs w:val="22"/>
                <w:color w:val="auto"/>
              </w:rPr>
              <w:t>Applicable Law; Forum, Venue and Jurisdiction</w:t>
            </w:r>
          </w:p>
        </w:tc>
        <w:tc>
          <w:tcPr>
            <w:tcW w:w="2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99</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19.9.</w:t>
            </w:r>
          </w:p>
        </w:tc>
        <w:tc>
          <w:tcPr>
            <w:tcW w:w="6800" w:type="dxa"/>
            <w:vAlign w:val="bottom"/>
          </w:tcPr>
          <w:p>
            <w:pPr>
              <w:ind w:left="220"/>
              <w:spacing w:after="0" w:line="243" w:lineRule="exact"/>
              <w:rPr>
                <w:sz w:val="20"/>
                <w:szCs w:val="20"/>
                <w:color w:val="auto"/>
              </w:rPr>
            </w:pPr>
            <w:r>
              <w:rPr>
                <w:rFonts w:ascii="Arial" w:cs="Arial" w:eastAsia="Arial" w:hAnsi="Arial"/>
                <w:sz w:val="22"/>
                <w:szCs w:val="22"/>
                <w:color w:val="auto"/>
              </w:rPr>
              <w:t>Invalidity of Provisions</w:t>
            </w:r>
          </w:p>
        </w:tc>
        <w:tc>
          <w:tcPr>
            <w:tcW w:w="2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19.10.</w:t>
            </w:r>
          </w:p>
        </w:tc>
        <w:tc>
          <w:tcPr>
            <w:tcW w:w="6800" w:type="dxa"/>
            <w:vAlign w:val="bottom"/>
          </w:tcPr>
          <w:p>
            <w:pPr>
              <w:ind w:left="220"/>
              <w:spacing w:after="0" w:line="243" w:lineRule="exact"/>
              <w:rPr>
                <w:sz w:val="20"/>
                <w:szCs w:val="20"/>
                <w:color w:val="auto"/>
              </w:rPr>
            </w:pPr>
            <w:r>
              <w:rPr>
                <w:rFonts w:ascii="Arial" w:cs="Arial" w:eastAsia="Arial" w:hAnsi="Arial"/>
                <w:sz w:val="22"/>
                <w:szCs w:val="22"/>
                <w:color w:val="auto"/>
              </w:rPr>
              <w:t>Consent of Partners</w:t>
            </w:r>
          </w:p>
        </w:tc>
        <w:tc>
          <w:tcPr>
            <w:tcW w:w="2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Section 19.11.</w:t>
            </w:r>
          </w:p>
        </w:tc>
        <w:tc>
          <w:tcPr>
            <w:tcW w:w="6800" w:type="dxa"/>
            <w:vAlign w:val="bottom"/>
          </w:tcPr>
          <w:p>
            <w:pPr>
              <w:ind w:left="220"/>
              <w:spacing w:after="0" w:line="243" w:lineRule="exact"/>
              <w:rPr>
                <w:sz w:val="20"/>
                <w:szCs w:val="20"/>
                <w:color w:val="auto"/>
              </w:rPr>
            </w:pPr>
            <w:r>
              <w:rPr>
                <w:rFonts w:ascii="Arial" w:cs="Arial" w:eastAsia="Arial" w:hAnsi="Arial"/>
                <w:sz w:val="22"/>
                <w:szCs w:val="22"/>
                <w:color w:val="auto"/>
              </w:rPr>
              <w:t>Facsimile Signatures</w:t>
            </w:r>
          </w:p>
        </w:tc>
        <w:tc>
          <w:tcPr>
            <w:tcW w:w="286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100</w:t>
            </w:r>
          </w:p>
        </w:tc>
      </w:tr>
      <w:tr>
        <w:trPr>
          <w:trHeight w:val="275"/>
        </w:trPr>
        <w:tc>
          <w:tcPr>
            <w:tcW w:w="1460" w:type="dxa"/>
            <w:vAlign w:val="bottom"/>
          </w:tcPr>
          <w:p>
            <w:pPr>
              <w:spacing w:after="0"/>
              <w:rPr>
                <w:sz w:val="20"/>
                <w:szCs w:val="20"/>
                <w:color w:val="auto"/>
              </w:rPr>
            </w:pPr>
            <w:r>
              <w:rPr>
                <w:rFonts w:ascii="Arial" w:cs="Arial" w:eastAsia="Arial" w:hAnsi="Arial"/>
                <w:sz w:val="22"/>
                <w:szCs w:val="22"/>
                <w:color w:val="auto"/>
              </w:rPr>
              <w:t>Section 19.12.</w:t>
            </w:r>
          </w:p>
        </w:tc>
        <w:tc>
          <w:tcPr>
            <w:tcW w:w="6800" w:type="dxa"/>
            <w:vAlign w:val="bottom"/>
          </w:tcPr>
          <w:p>
            <w:pPr>
              <w:ind w:left="220"/>
              <w:spacing w:after="0"/>
              <w:rPr>
                <w:sz w:val="20"/>
                <w:szCs w:val="20"/>
                <w:color w:val="auto"/>
              </w:rPr>
            </w:pPr>
            <w:r>
              <w:rPr>
                <w:rFonts w:ascii="Arial" w:cs="Arial" w:eastAsia="Arial" w:hAnsi="Arial"/>
                <w:sz w:val="22"/>
                <w:szCs w:val="22"/>
                <w:color w:val="auto"/>
              </w:rPr>
              <w:t>Third-Party Beneficiaries</w:t>
            </w:r>
          </w:p>
        </w:tc>
        <w:tc>
          <w:tcPr>
            <w:tcW w:w="2860" w:type="dxa"/>
            <w:vAlign w:val="bottom"/>
            <w:gridSpan w:val="2"/>
          </w:tcPr>
          <w:p>
            <w:pPr>
              <w:jc w:val="right"/>
              <w:spacing w:after="0"/>
              <w:rPr>
                <w:sz w:val="20"/>
                <w:szCs w:val="20"/>
                <w:color w:val="auto"/>
              </w:rPr>
            </w:pPr>
            <w:r>
              <w:rPr>
                <w:rFonts w:ascii="Arial" w:cs="Arial" w:eastAsia="Arial" w:hAnsi="Arial"/>
                <w:sz w:val="22"/>
                <w:szCs w:val="22"/>
                <w:color w:val="auto"/>
              </w:rPr>
              <w:t>101</w:t>
            </w:r>
          </w:p>
        </w:tc>
      </w:tr>
    </w:tbl>
    <w:p>
      <w:pPr>
        <w:spacing w:after="0" w:line="185" w:lineRule="exact"/>
        <w:rPr>
          <w:sz w:val="20"/>
          <w:szCs w:val="20"/>
          <w:color w:val="auto"/>
        </w:rPr>
      </w:pPr>
    </w:p>
    <w:p>
      <w:pPr>
        <w:jc w:val="center"/>
        <w:ind w:right="300"/>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73660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540" w:top="305" w:right="2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22"/>
          <w:szCs w:val="22"/>
          <w:b w:val="1"/>
          <w:bCs w:val="1"/>
          <w:color w:val="auto"/>
        </w:rPr>
        <w:t>SIXTH AMENDED AND RESTATED</w:t>
      </w:r>
    </w:p>
    <w:p>
      <w:pPr>
        <w:spacing w:after="0" w:line="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AGREEMENT OF LIMITED PARTNERSHIP</w:t>
      </w:r>
    </w:p>
    <w:p>
      <w:pPr>
        <w:jc w:val="center"/>
        <w:ind w:right="-39"/>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p>
      <w:pPr>
        <w:ind w:right="320" w:firstLine="1297"/>
        <w:spacing w:after="0" w:line="252" w:lineRule="auto"/>
        <w:rPr>
          <w:sz w:val="20"/>
          <w:szCs w:val="20"/>
          <w:color w:val="auto"/>
        </w:rPr>
      </w:pPr>
      <w:r>
        <w:rPr>
          <w:rFonts w:ascii="Arial" w:cs="Arial" w:eastAsia="Arial" w:hAnsi="Arial"/>
          <w:sz w:val="21"/>
          <w:szCs w:val="21"/>
          <w:color w:val="auto"/>
        </w:rPr>
        <w:t>THIS SIXTH AMENDED AND RESTATED AGREEMENT OF LIMITED PARTNERSHIP OF GASLOG PARTNERS LP, dated as of June 24, 2019, is entered into by and between GasLog Partners GP LLC, a Marshall Islands limited liability company, as the General Partner and the Limited Partners, together with any other Persons who become Partners in the Partnership or parties hereto as provided herein, and is effective as of the Effective Time.</w:t>
      </w:r>
    </w:p>
    <w:p>
      <w:pPr>
        <w:spacing w:after="0" w:line="174" w:lineRule="exact"/>
        <w:rPr>
          <w:sz w:val="20"/>
          <w:szCs w:val="20"/>
          <w:color w:val="auto"/>
        </w:rPr>
      </w:pPr>
    </w:p>
    <w:p>
      <w:pPr>
        <w:ind w:right="140" w:firstLine="1297"/>
        <w:spacing w:after="0" w:line="328" w:lineRule="auto"/>
        <w:rPr>
          <w:sz w:val="20"/>
          <w:szCs w:val="20"/>
          <w:color w:val="auto"/>
        </w:rPr>
      </w:pPr>
      <w:r>
        <w:rPr>
          <w:rFonts w:ascii="Arial" w:cs="Arial" w:eastAsia="Arial" w:hAnsi="Arial"/>
          <w:sz w:val="19"/>
          <w:szCs w:val="19"/>
          <w:color w:val="auto"/>
        </w:rPr>
        <w:t>WHEREAS, the General Partner and the other parties thereto entered into that certain Fifth Amended and Restated Agreement of Limited Partnership of the Partnership (the “</w:t>
      </w:r>
      <w:r>
        <w:rPr>
          <w:rFonts w:ascii="Arial" w:cs="Arial" w:eastAsia="Arial" w:hAnsi="Arial"/>
          <w:sz w:val="19"/>
          <w:szCs w:val="19"/>
          <w:b w:val="1"/>
          <w:bCs w:val="1"/>
          <w:color w:val="auto"/>
        </w:rPr>
        <w:t>Fifth Amended Agreement</w:t>
      </w:r>
      <w:r>
        <w:rPr>
          <w:rFonts w:ascii="Arial" w:cs="Arial" w:eastAsia="Arial" w:hAnsi="Arial"/>
          <w:sz w:val="19"/>
          <w:szCs w:val="19"/>
          <w:color w:val="auto"/>
        </w:rPr>
        <w:t>”) on November 27, 2018;</w:t>
      </w:r>
    </w:p>
    <w:p>
      <w:pPr>
        <w:spacing w:after="0" w:line="105" w:lineRule="exact"/>
        <w:rPr>
          <w:sz w:val="20"/>
          <w:szCs w:val="20"/>
          <w:color w:val="auto"/>
        </w:rPr>
      </w:pPr>
    </w:p>
    <w:p>
      <w:pPr>
        <w:ind w:right="60" w:firstLine="1297"/>
        <w:spacing w:after="0" w:line="287" w:lineRule="auto"/>
        <w:rPr>
          <w:sz w:val="20"/>
          <w:szCs w:val="20"/>
          <w:color w:val="auto"/>
        </w:rPr>
      </w:pPr>
      <w:r>
        <w:rPr>
          <w:rFonts w:ascii="Arial" w:cs="Arial" w:eastAsia="Arial" w:hAnsi="Arial"/>
          <w:sz w:val="19"/>
          <w:szCs w:val="19"/>
          <w:color w:val="auto"/>
        </w:rPr>
        <w:t>WHEREAS, the Partnership, GasLog and the General Partner have entered into that certain Exchange Agreement, dated as of June 24, 2019 and effective as of the Effective Time (the “</w:t>
      </w:r>
      <w:r>
        <w:rPr>
          <w:rFonts w:ascii="Arial" w:cs="Arial" w:eastAsia="Arial" w:hAnsi="Arial"/>
          <w:sz w:val="19"/>
          <w:szCs w:val="19"/>
          <w:b w:val="1"/>
          <w:bCs w:val="1"/>
          <w:color w:val="auto"/>
        </w:rPr>
        <w:t>Exchange Agreement</w:t>
      </w:r>
      <w:r>
        <w:rPr>
          <w:rFonts w:ascii="Arial" w:cs="Arial" w:eastAsia="Arial" w:hAnsi="Arial"/>
          <w:sz w:val="19"/>
          <w:szCs w:val="19"/>
          <w:color w:val="auto"/>
        </w:rPr>
        <w:t>”), whereby GasLog has agreed to contribute to the Partnership its Incentive Distribution Rights under the Fifth Amended Agreement in exchange for the issuance by the Partnership to GasLog of (i) 2,532,911 Common Units and (ii) 2,490,000 Class B Units;</w:t>
      </w:r>
    </w:p>
    <w:p>
      <w:pPr>
        <w:spacing w:after="0" w:line="143" w:lineRule="exact"/>
        <w:rPr>
          <w:sz w:val="20"/>
          <w:szCs w:val="20"/>
          <w:color w:val="auto"/>
        </w:rPr>
      </w:pPr>
    </w:p>
    <w:p>
      <w:pPr>
        <w:ind w:right="80" w:firstLine="1297"/>
        <w:spacing w:after="0" w:line="275" w:lineRule="auto"/>
        <w:rPr>
          <w:sz w:val="20"/>
          <w:szCs w:val="20"/>
          <w:color w:val="auto"/>
        </w:rPr>
      </w:pPr>
      <w:r>
        <w:rPr>
          <w:rFonts w:ascii="Arial" w:cs="Arial" w:eastAsia="Arial" w:hAnsi="Arial"/>
          <w:sz w:val="19"/>
          <w:szCs w:val="19"/>
          <w:color w:val="auto"/>
        </w:rPr>
        <w:t xml:space="preserve">WHEREAS, Section 13.1(h)(iii) of the Fifth Amended Agreement provides that the Partnership’s Board of Directors, without the approval of any Limited Partner, may amend any provision of the Fifth Amended Agreement, and execute, swear to, acknowledge, deliver, file and record whatever documents may be required in connection therewith, to reflect an amendment that the Board of Directors determines to be necessary or appropriate for the authorization of additional Partnership Interests or rights to acquire Partnership Interests, including any amendment that the Board of Directors determines is necessary or appropriate in connection with any modification of the Incentive Distribution Rights made in connection with the issuance of additional Partnership Interests or rights to acquire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 that any such modifications to the Incentive Distribution Rights and the related issuance of Partnership Interests have received Special Approval; and</w:t>
      </w:r>
    </w:p>
    <w:p>
      <w:pPr>
        <w:spacing w:after="0" w:line="158"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WHEREAS, the Board of Directors has adopted this Agreement pursuant to Section 13.1(h)(iii) of the Fifth Amended Agreement after having determined that the amendments to the Fifth Amended Agreement (i) are necessary or appropriate in connection with a modification of the Incentive Distribution Rights made in connection with the issuance of additional Partnership Interests or rights to acquire Partnership Interests, and such modifications to the Incentive Distributions Rights and the related issuance of Partnership Interests contemplated by this Agreement have received Special Approval, and (ii) to the extent not necessary or appropriate in connection with a modification of the Incentive Distribution Rights made in connection with the issuance of additional Partnership Interests or rights to acquire Partnership Interests, do not, as determined by the Board of Directors, adversely affect the rights of the Limited Partners (including any particular class or series of Partnership Interests as compared to other classes or series of Partnership Interests) in any material respect.</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10" w:name="page11"/>
    <w:bookmarkEnd w:id="10"/>
    <w:p>
      <w:pPr>
        <w:ind w:right="740" w:firstLine="1297"/>
        <w:spacing w:after="0" w:line="251" w:lineRule="auto"/>
        <w:rPr>
          <w:sz w:val="20"/>
          <w:szCs w:val="20"/>
          <w:color w:val="auto"/>
        </w:rPr>
      </w:pPr>
      <w:r>
        <w:rPr>
          <w:rFonts w:ascii="Arial" w:cs="Arial" w:eastAsia="Arial" w:hAnsi="Arial"/>
          <w:sz w:val="22"/>
          <w:szCs w:val="22"/>
          <w:color w:val="auto"/>
        </w:rPr>
        <w:t>NOW, THEREFORE, the Board of Directors and the General Partner do hereby amend and restate the Fifth Amended Agreement to provide, in its entirety, as follows: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DEFINITIONS AND CONSTRUCTION</w:t>
      </w:r>
    </w:p>
    <w:p>
      <w:pPr>
        <w:spacing w:after="0" w:line="188"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i w:val="1"/>
          <w:iCs w:val="1"/>
          <w:color w:val="auto"/>
        </w:rPr>
        <w:t>Definitions</w:t>
      </w:r>
      <w:r>
        <w:rPr>
          <w:rFonts w:ascii="Arial" w:cs="Arial" w:eastAsia="Arial" w:hAnsi="Arial"/>
          <w:sz w:val="22"/>
          <w:szCs w:val="22"/>
          <w:color w:val="auto"/>
        </w:rPr>
        <w:t>. The following definitions shall be for all purposes, unless otherwise clearly indicated to the contrary, applied to the terms used in this Agreement.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with respect to any Person, any other Person that directly or indirectly through one or more</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intermediaries controls, is controlled by or is under common control with, the Person in question. As used herein, the term</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w:t>
      </w:r>
      <w:r>
        <w:rPr>
          <w:rFonts w:ascii="Arial" w:cs="Arial" w:eastAsia="Arial" w:hAnsi="Arial"/>
          <w:sz w:val="19"/>
          <w:szCs w:val="19"/>
          <w:color w:val="auto"/>
        </w:rPr>
        <w:t>” means the possession, direct or indirect, of the power to direct or cause the direction of the management and policies of a</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Person, whether through ownership of voting securities, by contract or otherwise.</w:t>
      </w:r>
    </w:p>
    <w:p>
      <w:pPr>
        <w:spacing w:after="0" w:line="188" w:lineRule="exact"/>
        <w:rPr>
          <w:sz w:val="20"/>
          <w:szCs w:val="20"/>
          <w:color w:val="auto"/>
        </w:rPr>
      </w:pPr>
    </w:p>
    <w:p>
      <w:pPr>
        <w:ind w:right="7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Agreed Value</w:t>
      </w:r>
      <w:r>
        <w:rPr>
          <w:rFonts w:ascii="Arial" w:cs="Arial" w:eastAsia="Arial" w:hAnsi="Arial"/>
          <w:sz w:val="22"/>
          <w:szCs w:val="22"/>
          <w:color w:val="auto"/>
        </w:rPr>
        <w:t>” means the fair market value of the applicable property or other consideration at the time of contribution or distribution, as the case may be, as determined by the Board of Directors.</w:t>
      </w:r>
    </w:p>
    <w:p>
      <w:pPr>
        <w:spacing w:after="0" w:line="173"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means this Sixth Amended and Restated Agreement of Limited Partnership of GasLog Partners LP, as it may be amended, supplemented or restated from time to time.</w:t>
      </w:r>
    </w:p>
    <w:p>
      <w:pPr>
        <w:spacing w:after="0" w:line="173" w:lineRule="exact"/>
        <w:rPr>
          <w:sz w:val="20"/>
          <w:szCs w:val="20"/>
          <w:color w:val="auto"/>
        </w:rPr>
      </w:pPr>
    </w:p>
    <w:p>
      <w:pPr>
        <w:jc w:val="both"/>
        <w:ind w:right="1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Annual Meeting</w:t>
      </w:r>
      <w:r>
        <w:rPr>
          <w:rFonts w:ascii="Arial" w:cs="Arial" w:eastAsia="Arial" w:hAnsi="Arial"/>
          <w:sz w:val="22"/>
          <w:szCs w:val="22"/>
          <w:color w:val="auto"/>
        </w:rPr>
        <w:t xml:space="preserve">” means the meeting of Limited Partners to be held every year, commencing in 2015, to elect the Elected Directors as provided in </w:t>
      </w:r>
      <w:r>
        <w:rPr>
          <w:rFonts w:ascii="Arial" w:cs="Arial" w:eastAsia="Arial" w:hAnsi="Arial"/>
          <w:sz w:val="22"/>
          <w:szCs w:val="22"/>
          <w:u w:val="single" w:color="auto"/>
          <w:color w:val="auto"/>
        </w:rPr>
        <w:t>Section 7.2</w:t>
      </w:r>
      <w:r>
        <w:rPr>
          <w:rFonts w:ascii="Arial" w:cs="Arial" w:eastAsia="Arial" w:hAnsi="Arial"/>
          <w:sz w:val="22"/>
          <w:szCs w:val="22"/>
          <w:color w:val="auto"/>
        </w:rPr>
        <w:t xml:space="preserve"> and to vote on any other matters brought before the meeting in accordance with this Agreement.</w:t>
      </w:r>
    </w:p>
    <w:p>
      <w:pPr>
        <w:spacing w:after="0" w:line="186" w:lineRule="exact"/>
        <w:rPr>
          <w:sz w:val="20"/>
          <w:szCs w:val="20"/>
          <w:color w:val="auto"/>
        </w:rPr>
      </w:pPr>
    </w:p>
    <w:p>
      <w:pPr>
        <w:ind w:right="94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Appointed Directors</w:t>
      </w:r>
      <w:r>
        <w:rPr>
          <w:rFonts w:ascii="Arial" w:cs="Arial" w:eastAsia="Arial" w:hAnsi="Arial"/>
          <w:sz w:val="21"/>
          <w:szCs w:val="21"/>
          <w:color w:val="auto"/>
        </w:rPr>
        <w:t xml:space="preserve">” means the members of the Board of Directors appointed by the General Partner in accordance with the provisions of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w:t>
      </w:r>
    </w:p>
    <w:p>
      <w:pPr>
        <w:spacing w:after="0" w:line="151"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b w:val="1"/>
          <w:bCs w:val="1"/>
          <w:i w:val="1"/>
          <w:iCs w:val="1"/>
          <w:color w:val="auto"/>
        </w:rPr>
        <w:t xml:space="preserve">“Arrears” </w:t>
      </w:r>
      <w:r>
        <w:rPr>
          <w:rFonts w:ascii="Arial" w:cs="Arial" w:eastAsia="Arial" w:hAnsi="Arial"/>
          <w:sz w:val="22"/>
          <w:szCs w:val="22"/>
          <w:color w:val="auto"/>
        </w:rPr>
        <w:t>means, with respect to Preference Distributions on any series of Preference Units for any Quarter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respect to the initial Preference Distribution, for the initial Preference Distribution Period with respect to such series), that the full cumulative Preference Distributions through the most recent Preference Distribution Payment Date have not been paid on all Outstanding Preference Units of such series.</w:t>
      </w:r>
    </w:p>
    <w:p>
      <w:pPr>
        <w:spacing w:after="0" w:line="185"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Associate</w:t>
      </w:r>
      <w:r>
        <w:rPr>
          <w:rFonts w:ascii="Arial" w:cs="Arial" w:eastAsia="Arial" w:hAnsi="Arial"/>
          <w:sz w:val="19"/>
          <w:szCs w:val="19"/>
          <w:color w:val="auto"/>
        </w:rPr>
        <w:t>” means, when used to indicate a relationship with any Person: (a) any corporation or organization of which such Person is a director, officer, manager, general partner or managing member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 such Person, or any relative of such spouse, who has the same principal residence as such Person.</w:t>
      </w:r>
    </w:p>
    <w:p>
      <w:pPr>
        <w:spacing w:after="0" w:line="148"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Audit Committee</w:t>
      </w:r>
      <w:r>
        <w:rPr>
          <w:rFonts w:ascii="Arial" w:cs="Arial" w:eastAsia="Arial" w:hAnsi="Arial"/>
          <w:sz w:val="22"/>
          <w:szCs w:val="22"/>
          <w:color w:val="auto"/>
        </w:rPr>
        <w:t>” means a committee of the Board of Directors, which, within one year of the effective date of the Registration Statement, will be composed of a minimum of three members of the Board of Directors then serving who meet the independence standards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1" w:name="page12"/>
    <w:bookmarkEnd w:id="11"/>
    <w:p>
      <w:pPr>
        <w:ind w:right="260"/>
        <w:spacing w:after="0" w:line="258" w:lineRule="auto"/>
        <w:rPr>
          <w:sz w:val="20"/>
          <w:szCs w:val="20"/>
          <w:color w:val="auto"/>
        </w:rPr>
      </w:pPr>
      <w:r>
        <w:rPr>
          <w:rFonts w:ascii="Arial" w:cs="Arial" w:eastAsia="Arial" w:hAnsi="Arial"/>
          <w:sz w:val="21"/>
          <w:szCs w:val="21"/>
          <w:color w:val="auto"/>
        </w:rPr>
        <w:t>required of directors who serve on an audit committee of a board of directors established by the Exchange Act, and the rules and regulations of the Commission thereunder and meet the standards for audit committee composition established by the National Securities Exchange on which the Common Units are listed or admitted to trading.</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Available Cash</w:t>
      </w:r>
      <w:r>
        <w:rPr>
          <w:rFonts w:ascii="Arial" w:cs="Arial" w:eastAsia="Arial" w:hAnsi="Arial"/>
          <w:sz w:val="22"/>
          <w:szCs w:val="22"/>
          <w:color w:val="auto"/>
        </w:rPr>
        <w:t>” means, with respect to any Quarter ending prior to the Liquidation Date:</w:t>
      </w:r>
    </w:p>
    <w:p>
      <w:pPr>
        <w:spacing w:after="0" w:line="206" w:lineRule="exact"/>
        <w:rPr>
          <w:sz w:val="20"/>
          <w:szCs w:val="20"/>
          <w:color w:val="auto"/>
        </w:rPr>
      </w:pPr>
    </w:p>
    <w:p>
      <w:pPr>
        <w:ind w:left="660" w:right="100" w:firstLine="645"/>
        <w:spacing w:after="0" w:line="270" w:lineRule="auto"/>
        <w:tabs>
          <w:tab w:leader="none" w:pos="1602" w:val="left"/>
        </w:tabs>
        <w:numPr>
          <w:ilvl w:val="1"/>
          <w:numId w:val="1"/>
        </w:numPr>
        <w:rPr>
          <w:rFonts w:ascii="Arial" w:cs="Arial" w:eastAsia="Arial" w:hAnsi="Arial"/>
          <w:sz w:val="19"/>
          <w:szCs w:val="19"/>
          <w:color w:val="auto"/>
        </w:rPr>
      </w:pPr>
      <w:r>
        <w:rPr>
          <w:rFonts w:ascii="Arial" w:cs="Arial" w:eastAsia="Arial" w:hAnsi="Arial"/>
          <w:sz w:val="19"/>
          <w:szCs w:val="19"/>
          <w:color w:val="auto"/>
        </w:rPr>
        <w:t>the sum of (i) all cash and cash equivalents of the Partnership Group (or the Partnership’s proportionate share of cash and cash equivalents in the case of Subsidiaries that are not wholly-owned) on hand at the end of such Quarter, (ii) all additional cash and cash equivalents of the Partnership Group (or the Partnership’s proportionate share of cash and cash equivalents in the case of Subsidiaries that are not wholly-owned) on hand on the date of determination of Available Cash with respect to such Quarter resulting from Working Capital Borrowings made subsequent to the end of such Quarter, and</w:t>
      </w:r>
    </w:p>
    <w:p>
      <w:pPr>
        <w:spacing w:after="0" w:line="4" w:lineRule="exact"/>
        <w:rPr>
          <w:rFonts w:ascii="Arial" w:cs="Arial" w:eastAsia="Arial" w:hAnsi="Arial"/>
          <w:sz w:val="19"/>
          <w:szCs w:val="19"/>
          <w:color w:val="auto"/>
        </w:rPr>
      </w:pPr>
    </w:p>
    <w:p>
      <w:pPr>
        <w:ind w:left="660" w:right="160" w:hanging="4"/>
        <w:spacing w:after="0" w:line="287" w:lineRule="auto"/>
        <w:tabs>
          <w:tab w:leader="none" w:pos="1038" w:val="left"/>
        </w:tabs>
        <w:numPr>
          <w:ilvl w:val="0"/>
          <w:numId w:val="2"/>
        </w:numPr>
        <w:rPr>
          <w:rFonts w:ascii="Arial" w:cs="Arial" w:eastAsia="Arial" w:hAnsi="Arial"/>
          <w:sz w:val="19"/>
          <w:szCs w:val="19"/>
          <w:color w:val="auto"/>
        </w:rPr>
      </w:pPr>
      <w:r>
        <w:rPr>
          <w:rFonts w:ascii="Arial" w:cs="Arial" w:eastAsia="Arial" w:hAnsi="Arial"/>
          <w:sz w:val="19"/>
          <w:szCs w:val="19"/>
          <w:color w:val="auto"/>
        </w:rPr>
        <w:t>all cash and cash equivalents on hand on the date of determination of Available Cash resulting from cash distributions received after the end of such Quarter from any Group Member’s equity interest in any Person (other than a Subsidiary), which distributions are paid by such Person in respect of operations conducted by such Person during such Quarter, less</w:t>
      </w:r>
    </w:p>
    <w:p>
      <w:pPr>
        <w:spacing w:after="0" w:line="143" w:lineRule="exact"/>
        <w:rPr>
          <w:rFonts w:ascii="Arial" w:cs="Arial" w:eastAsia="Arial" w:hAnsi="Arial"/>
          <w:sz w:val="19"/>
          <w:szCs w:val="19"/>
          <w:color w:val="auto"/>
        </w:rPr>
      </w:pPr>
    </w:p>
    <w:p>
      <w:pPr>
        <w:ind w:left="660" w:right="80" w:firstLine="645"/>
        <w:spacing w:after="0" w:line="273" w:lineRule="auto"/>
        <w:tabs>
          <w:tab w:leader="none" w:pos="1614" w:val="left"/>
        </w:tabs>
        <w:numPr>
          <w:ilvl w:val="1"/>
          <w:numId w:val="2"/>
        </w:numPr>
        <w:rPr>
          <w:rFonts w:ascii="Arial" w:cs="Arial" w:eastAsia="Arial" w:hAnsi="Arial"/>
          <w:sz w:val="19"/>
          <w:szCs w:val="19"/>
          <w:color w:val="auto"/>
        </w:rPr>
      </w:pPr>
      <w:r>
        <w:rPr>
          <w:rFonts w:ascii="Arial" w:cs="Arial" w:eastAsia="Arial" w:hAnsi="Arial"/>
          <w:sz w:val="19"/>
          <w:szCs w:val="19"/>
          <w:color w:val="auto"/>
        </w:rPr>
        <w:t xml:space="preserve">the amount of any cash reserves (or the Partnership’s proportionate share of cash reserves in the case of Subsidiaries that are not wholly-owned) established by the Board of Directors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(iii) provide funds for Series A Payments, Series B Payments and Series C Payments and/or (iv) provide funds for distributions under </w:t>
      </w:r>
      <w:r>
        <w:rPr>
          <w:rFonts w:ascii="Arial" w:cs="Arial" w:eastAsia="Arial" w:hAnsi="Arial"/>
          <w:sz w:val="19"/>
          <w:szCs w:val="19"/>
          <w:u w:val="single" w:color="auto"/>
          <w:color w:val="auto"/>
        </w:rPr>
        <w:t>Section 6.3</w:t>
      </w:r>
      <w:r>
        <w:rPr>
          <w:rFonts w:ascii="Arial" w:cs="Arial" w:eastAsia="Arial" w:hAnsi="Arial"/>
          <w:sz w:val="19"/>
          <w:szCs w:val="19"/>
          <w:color w:val="auto"/>
        </w:rPr>
        <w:t xml:space="preserve"> in respect of any one or more of the next four Quarters;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disbursements made by a Group Member or cash reserves established, increased or reduced after</w:t>
      </w:r>
      <w:r>
        <w:rPr>
          <w:rFonts w:ascii="Arial" w:cs="Arial" w:eastAsia="Arial" w:hAnsi="Arial"/>
          <w:sz w:val="19"/>
          <w:szCs w:val="19"/>
          <w:i w:val="1"/>
          <w:iCs w:val="1"/>
          <w:color w:val="auto"/>
        </w:rPr>
        <w:t xml:space="preserve"> </w:t>
      </w:r>
      <w:r>
        <w:rPr>
          <w:rFonts w:ascii="Arial" w:cs="Arial" w:eastAsia="Arial" w:hAnsi="Arial"/>
          <w:sz w:val="19"/>
          <w:szCs w:val="19"/>
          <w:color w:val="auto"/>
        </w:rPr>
        <w:t>the end of such Quarter but on or before the date of determination of Available Cash with respect to such Quarter shall be deemed to have been made, established, increased or reduced, for purposes of determining Available Cash, within such Quarter if the Board of Directors so determines.</w:t>
      </w:r>
    </w:p>
    <w:p>
      <w:pPr>
        <w:spacing w:after="0" w:line="156" w:lineRule="exact"/>
        <w:rPr>
          <w:sz w:val="20"/>
          <w:szCs w:val="20"/>
          <w:color w:val="auto"/>
        </w:rPr>
      </w:pPr>
    </w:p>
    <w:p>
      <w:pPr>
        <w:ind w:right="180" w:firstLine="1297"/>
        <w:spacing w:after="0" w:line="251" w:lineRule="auto"/>
        <w:rPr>
          <w:sz w:val="20"/>
          <w:szCs w:val="20"/>
          <w:color w:val="auto"/>
        </w:rPr>
      </w:pPr>
      <w:r>
        <w:rPr>
          <w:rFonts w:ascii="Arial" w:cs="Arial" w:eastAsia="Arial" w:hAnsi="Arial"/>
          <w:sz w:val="22"/>
          <w:szCs w:val="22"/>
          <w:color w:val="auto"/>
        </w:rPr>
        <w:t>Notwithstanding the foregoing, “</w:t>
      </w:r>
      <w:r>
        <w:rPr>
          <w:rFonts w:ascii="Arial" w:cs="Arial" w:eastAsia="Arial" w:hAnsi="Arial"/>
          <w:sz w:val="22"/>
          <w:szCs w:val="22"/>
          <w:i w:val="1"/>
          <w:iCs w:val="1"/>
          <w:color w:val="auto"/>
        </w:rPr>
        <w:t>Available Cash</w:t>
      </w:r>
      <w:r>
        <w:rPr>
          <w:rFonts w:ascii="Arial" w:cs="Arial" w:eastAsia="Arial" w:hAnsi="Arial"/>
          <w:sz w:val="22"/>
          <w:szCs w:val="22"/>
          <w:color w:val="auto"/>
        </w:rPr>
        <w:t>” with respect to the Quarter in which the Liquidation Date occurs and any subsequent Quarter shall equal zero.</w:t>
      </w:r>
    </w:p>
    <w:p>
      <w:pPr>
        <w:spacing w:after="0" w:line="173" w:lineRule="exact"/>
        <w:rPr>
          <w:sz w:val="20"/>
          <w:szCs w:val="20"/>
          <w:color w:val="auto"/>
        </w:rPr>
      </w:pPr>
    </w:p>
    <w:p>
      <w:pPr>
        <w:ind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xml:space="preserve">” means the board of directors of the Partnership, composed of Appointed Directors and Elected Directors appointed or elected, as the case may be, in accordance with the provisions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16.5(b)</w:t>
      </w:r>
      <w:r>
        <w:rPr>
          <w:rFonts w:ascii="Arial" w:cs="Arial" w:eastAsia="Arial" w:hAnsi="Arial"/>
          <w:sz w:val="19"/>
          <w:szCs w:val="19"/>
          <w:color w:val="auto"/>
        </w:rPr>
        <w:t>,</w:t>
      </w:r>
    </w:p>
    <w:p>
      <w:pPr>
        <w:spacing w:after="0" w:line="2" w:lineRule="exact"/>
        <w:rPr>
          <w:sz w:val="20"/>
          <w:szCs w:val="20"/>
          <w:color w:val="auto"/>
        </w:rPr>
      </w:pPr>
    </w:p>
    <w:p>
      <w:pPr>
        <w:ind w:right="460"/>
        <w:spacing w:after="0" w:line="287" w:lineRule="auto"/>
        <w:rPr>
          <w:sz w:val="20"/>
          <w:szCs w:val="20"/>
          <w:color w:val="auto"/>
        </w:rPr>
      </w:pP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18.5(b)</w:t>
      </w:r>
      <w:r>
        <w:rPr>
          <w:rFonts w:ascii="Arial" w:cs="Arial" w:eastAsia="Arial" w:hAnsi="Arial"/>
          <w:sz w:val="19"/>
          <w:szCs w:val="19"/>
          <w:color w:val="auto"/>
        </w:rPr>
        <w:t xml:space="preserve"> and a majority of whom are not United States citizens or residents, which, pursuant to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7.11</w:t>
      </w:r>
      <w:r>
        <w:rPr>
          <w:rFonts w:ascii="Arial" w:cs="Arial" w:eastAsia="Arial" w:hAnsi="Arial"/>
          <w:sz w:val="19"/>
          <w:szCs w:val="19"/>
          <w:color w:val="auto"/>
        </w:rPr>
        <w:t>, oversees and directs the operations, management and policies of the Partnership. The Board of Directors shall constitute a committee within the meaning of Section 30(2)(g) of the Marshall Islands Act.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2" w:name="page13"/>
    <w:bookmarkEnd w:id="12"/>
    <w:p>
      <w:pPr>
        <w:ind w:right="1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Monday through Friday of each week, except that a legal holiday recognized as such by the government of the United States of America or the State of New York shall not be regarded as a Business Day.</w:t>
      </w:r>
    </w:p>
    <w:p>
      <w:pPr>
        <w:spacing w:after="0" w:line="105" w:lineRule="exact"/>
        <w:rPr>
          <w:sz w:val="20"/>
          <w:szCs w:val="20"/>
          <w:color w:val="auto"/>
        </w:rPr>
      </w:pPr>
    </w:p>
    <w:p>
      <w:pPr>
        <w:ind w:right="48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Calculation Agent</w:t>
      </w:r>
      <w:r>
        <w:rPr>
          <w:rFonts w:ascii="Arial" w:cs="Arial" w:eastAsia="Arial" w:hAnsi="Arial"/>
          <w:sz w:val="22"/>
          <w:szCs w:val="22"/>
          <w:color w:val="auto"/>
        </w:rPr>
        <w:t>” means a bank, trust company or other Person (including the Partnership and any of its Affiliates) as may be appointed from time to time by the Partnership to act as the calculation agent for the Series B Preference Units and the Series C Preference Units.</w:t>
      </w:r>
    </w:p>
    <w:p>
      <w:pPr>
        <w:spacing w:after="0" w:line="186"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Contribution</w:t>
      </w:r>
      <w:r>
        <w:rPr>
          <w:rFonts w:ascii="Arial" w:cs="Arial" w:eastAsia="Arial" w:hAnsi="Arial"/>
          <w:sz w:val="22"/>
          <w:szCs w:val="22"/>
          <w:color w:val="auto"/>
        </w:rPr>
        <w:t>” means (a) with respect to any Partner, any cash, cash equivalents or the Net Agreed Value of Contributed Property that a Partner contributes to the Partnership or that is contributed or deemed contributed to the Partnership on behalf of a Partner (including, in the case of an underwritten offering of Units, the amount of any underwriting discounts or commissions) or (b) with respect to the General Partner only, (i) distributions of cash that the General Partner is entitled to receive but otherwise waives such that the Partnership retains such cash or (ii) Common Units that the General Partner contributes to the Partnership.</w:t>
      </w:r>
    </w:p>
    <w:p>
      <w:pPr>
        <w:spacing w:after="0" w:line="188" w:lineRule="exact"/>
        <w:rPr>
          <w:sz w:val="20"/>
          <w:szCs w:val="20"/>
          <w:color w:val="auto"/>
        </w:rPr>
      </w:pPr>
    </w:p>
    <w:p>
      <w:pPr>
        <w:jc w:val="both"/>
        <w:ind w:right="4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a court of competent jurisdiction has entered a final, non-appealable judgment finding a Person liable to the Partnership or any Limited Partner for actual fraud or willful misconduct in its capacity as a general partner of the Partnership or as a member of the Board of Directors, as the case may be.</w:t>
      </w:r>
    </w:p>
    <w:p>
      <w:pPr>
        <w:spacing w:after="0" w:line="186"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Certificate</w:t>
      </w:r>
      <w:r>
        <w:rPr>
          <w:rFonts w:ascii="Arial" w:cs="Arial" w:eastAsia="Arial" w:hAnsi="Arial"/>
          <w:sz w:val="19"/>
          <w:szCs w:val="19"/>
          <w:color w:val="auto"/>
        </w:rPr>
        <w:t xml:space="preserve">” means a certificate (a)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with respect to Common Units,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this Agreement with respect to Class B Units,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to this Agreement with respect to Series A Preference Units,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to this Agreement with respect to Series B Preference Units and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to this Agreement with respect to Series C Preference Units, (b) issued in global or book entry form in accordance with the rules and regulations of the Depositary or (c) in such other form as may be adopted by the Board of Directors, issued by the Partnership evidencing ownership of one or more Common Units or Preference Units, or a certificate, in such form as may be adopted by the Board of Directors, issued by the Partnership evidencing ownership of one or more other Partnership Interests.</w:t>
      </w:r>
    </w:p>
    <w:p>
      <w:pPr>
        <w:spacing w:after="0" w:line="153" w:lineRule="exact"/>
        <w:rPr>
          <w:sz w:val="20"/>
          <w:szCs w:val="20"/>
          <w:color w:val="auto"/>
        </w:rPr>
      </w:pPr>
    </w:p>
    <w:p>
      <w:pPr>
        <w:jc w:val="both"/>
        <w:ind w:right="16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Limited Partnership</w:t>
      </w:r>
      <w:r>
        <w:rPr>
          <w:rFonts w:ascii="Arial" w:cs="Arial" w:eastAsia="Arial" w:hAnsi="Arial"/>
          <w:sz w:val="22"/>
          <w:szCs w:val="22"/>
          <w:color w:val="auto"/>
        </w:rPr>
        <w:t xml:space="preserve">” means the Certificate of Limited Partnership of the Partnership filed with the Registrar of Corporations of The Marshall Islands as referenced in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as such Certificate of Limited Partnership may be amended, supplemented or restated from time to time.</w:t>
      </w:r>
    </w:p>
    <w:p>
      <w:pPr>
        <w:spacing w:after="0" w:line="186"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of Control</w:t>
      </w:r>
      <w:r>
        <w:rPr>
          <w:rFonts w:ascii="Arial" w:cs="Arial" w:eastAsia="Arial" w:hAnsi="Arial"/>
          <w:sz w:val="22"/>
          <w:szCs w:val="22"/>
          <w:color w:val="auto"/>
        </w:rPr>
        <w:t>” means the consummation of any transaction or series of related transactions pursuant to which a Person or Group (other than GasLog or any of its Affiliates) would acquire, whether by way of merger, consolidation, acquisition or otherwise, (a) a majority of the Partnership’s Outstanding Common Units or (b) all or substantially all of the assets of the Partnership and its Subsidiaries for cash.</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xml:space="preserve">” (as used in </w:t>
      </w:r>
      <w:r>
        <w:rPr>
          <w:rFonts w:ascii="Arial" w:cs="Arial" w:eastAsia="Arial" w:hAnsi="Arial"/>
          <w:sz w:val="22"/>
          <w:szCs w:val="22"/>
          <w:u w:val="single" w:color="auto"/>
          <w:color w:val="auto"/>
        </w:rPr>
        <w:t>Section 7.20(c))</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3" w:name="page14"/>
    <w:bookmarkEnd w:id="13"/>
    <w:p>
      <w:pPr>
        <w:ind w:right="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Cancellation Event</w:t>
      </w:r>
      <w:r>
        <w:rPr>
          <w:rFonts w:ascii="Arial" w:cs="Arial" w:eastAsia="Arial" w:hAnsi="Arial"/>
          <w:sz w:val="22"/>
          <w:szCs w:val="22"/>
          <w:color w:val="auto"/>
        </w:rPr>
        <w:t>” means a merger, consolidation, acquisition or any other transaction pursuant to which GasLog or any of its Affiliates would acquire all of the Partnership’s Outstanding Common Units.</w:t>
      </w:r>
    </w:p>
    <w:p>
      <w:pPr>
        <w:spacing w:after="0" w:line="173" w:lineRule="exact"/>
        <w:rPr>
          <w:sz w:val="20"/>
          <w:szCs w:val="20"/>
          <w:color w:val="auto"/>
        </w:rPr>
      </w:pPr>
    </w:p>
    <w:p>
      <w:pPr>
        <w:ind w:right="4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Convertible Date</w:t>
      </w:r>
      <w:r>
        <w:rPr>
          <w:rFonts w:ascii="Arial" w:cs="Arial" w:eastAsia="Arial" w:hAnsi="Arial"/>
          <w:sz w:val="22"/>
          <w:szCs w:val="22"/>
          <w:color w:val="auto"/>
        </w:rPr>
        <w:t>” means, individually or in the aggregate, as the context may require, the Class B-1 Convertible Date, Class B-2 Convertible Date, Class B-3 Convertible Date, Class B-4 Convertible Date, Class B-5 Convertible Date and Class B-6 Convertible Date.</w:t>
      </w:r>
    </w:p>
    <w:p>
      <w:pPr>
        <w:spacing w:after="0" w:line="186"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 Units</w:t>
      </w:r>
      <w:r>
        <w:rPr>
          <w:rFonts w:ascii="Arial" w:cs="Arial" w:eastAsia="Arial" w:hAnsi="Arial"/>
          <w:sz w:val="22"/>
          <w:szCs w:val="22"/>
          <w:color w:val="auto"/>
        </w:rPr>
        <w:t xml:space="preserve">” means, individually or in the aggregate, as the context may require, the Class B-1 Units, Class B-2 Units, Class B-3 Units, Class B-4 Units, Class B-5 Units and Class B-6 Units. A Class B Unit that is convertible into a Common Unit pursuant to </w:t>
      </w:r>
      <w:r>
        <w:rPr>
          <w:rFonts w:ascii="Arial" w:cs="Arial" w:eastAsia="Arial" w:hAnsi="Arial"/>
          <w:sz w:val="22"/>
          <w:szCs w:val="22"/>
          <w:u w:val="single" w:color="auto"/>
          <w:color w:val="auto"/>
        </w:rPr>
        <w:t>Section 5.9(c)</w:t>
      </w:r>
      <w:r>
        <w:rPr>
          <w:rFonts w:ascii="Arial" w:cs="Arial" w:eastAsia="Arial" w:hAnsi="Arial"/>
          <w:sz w:val="22"/>
          <w:szCs w:val="22"/>
          <w:color w:val="auto"/>
        </w:rPr>
        <w:t xml:space="preserve"> shall not constitute a Common Unit until such conversion occurs. For the avoidance of doubt, except as otherwise set forth herein, the Class B Units shall constitute one class and the Class B-1 Units, Class B-2 Units, Class B-3 Units, Class B-4 Units, Class B-5 Units and Class B-6 Units shall not constitute separate classes but shall be considered sub-classes of Class B Units.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B-1 Convertible Date</w:t>
      </w:r>
      <w:r>
        <w:rPr>
          <w:rFonts w:ascii="Arial" w:cs="Arial" w:eastAsia="Arial" w:hAnsi="Arial"/>
          <w:sz w:val="22"/>
          <w:szCs w:val="22"/>
          <w:color w:val="auto"/>
        </w:rPr>
        <w:t>” means, with respect to Class B-1 Units, July 1, 2020.</w:t>
      </w:r>
    </w:p>
    <w:p>
      <w:pPr>
        <w:spacing w:after="0" w:line="206" w:lineRule="exact"/>
        <w:rPr>
          <w:sz w:val="20"/>
          <w:szCs w:val="20"/>
          <w:color w:val="auto"/>
        </w:rPr>
      </w:pPr>
    </w:p>
    <w:p>
      <w:pPr>
        <w:ind w:right="6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B-1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B-1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B-2 Convertible Date</w:t>
      </w:r>
      <w:r>
        <w:rPr>
          <w:rFonts w:ascii="Arial" w:cs="Arial" w:eastAsia="Arial" w:hAnsi="Arial"/>
          <w:sz w:val="22"/>
          <w:szCs w:val="22"/>
          <w:color w:val="auto"/>
        </w:rPr>
        <w:t>” means, with respect to Class B-2 Units, July 1, 2021.</w:t>
      </w:r>
    </w:p>
    <w:p>
      <w:pPr>
        <w:spacing w:after="0" w:line="206" w:lineRule="exact"/>
        <w:rPr>
          <w:sz w:val="20"/>
          <w:szCs w:val="20"/>
          <w:color w:val="auto"/>
        </w:rPr>
      </w:pPr>
    </w:p>
    <w:p>
      <w:pPr>
        <w:ind w:right="6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B-2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B-2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B-3 Convertible Date</w:t>
      </w:r>
      <w:r>
        <w:rPr>
          <w:rFonts w:ascii="Arial" w:cs="Arial" w:eastAsia="Arial" w:hAnsi="Arial"/>
          <w:sz w:val="22"/>
          <w:szCs w:val="22"/>
          <w:color w:val="auto"/>
        </w:rPr>
        <w:t>” means, with respect to Class B-3 Units, July 1, 2022.</w:t>
      </w:r>
    </w:p>
    <w:p>
      <w:pPr>
        <w:spacing w:after="0" w:line="206" w:lineRule="exact"/>
        <w:rPr>
          <w:sz w:val="20"/>
          <w:szCs w:val="20"/>
          <w:color w:val="auto"/>
        </w:rPr>
      </w:pPr>
    </w:p>
    <w:p>
      <w:pPr>
        <w:ind w:right="6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B-3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B-3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B-4 Convertible Date</w:t>
      </w:r>
      <w:r>
        <w:rPr>
          <w:rFonts w:ascii="Arial" w:cs="Arial" w:eastAsia="Arial" w:hAnsi="Arial"/>
          <w:sz w:val="22"/>
          <w:szCs w:val="22"/>
          <w:color w:val="auto"/>
        </w:rPr>
        <w:t>” means, with respect to Class B-4 Units, July 1, 2023.</w:t>
      </w:r>
    </w:p>
    <w:p>
      <w:pPr>
        <w:spacing w:after="0" w:line="206" w:lineRule="exact"/>
        <w:rPr>
          <w:sz w:val="20"/>
          <w:szCs w:val="20"/>
          <w:color w:val="auto"/>
        </w:rPr>
      </w:pPr>
    </w:p>
    <w:p>
      <w:pPr>
        <w:ind w:right="6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B-4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B-4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B-5 Convertible Date</w:t>
      </w:r>
      <w:r>
        <w:rPr>
          <w:rFonts w:ascii="Arial" w:cs="Arial" w:eastAsia="Arial" w:hAnsi="Arial"/>
          <w:sz w:val="22"/>
          <w:szCs w:val="22"/>
          <w:color w:val="auto"/>
        </w:rPr>
        <w:t>” means, with respect to Class B-5 Units, July 1, 2024.</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4" w:name="page15"/>
    <w:bookmarkEnd w:id="14"/>
    <w:p>
      <w:pPr>
        <w:ind w:right="6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B-5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B-5 Units in this Agreement.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Class B-6 Convertible Date</w:t>
      </w:r>
      <w:r>
        <w:rPr>
          <w:rFonts w:ascii="Arial" w:cs="Arial" w:eastAsia="Arial" w:hAnsi="Arial"/>
          <w:sz w:val="22"/>
          <w:szCs w:val="22"/>
          <w:color w:val="auto"/>
        </w:rPr>
        <w:t>” means, with respect to Class B-6 Units, July 1, 2025.</w:t>
      </w:r>
    </w:p>
    <w:p>
      <w:pPr>
        <w:spacing w:after="0" w:line="206" w:lineRule="exact"/>
        <w:rPr>
          <w:sz w:val="20"/>
          <w:szCs w:val="20"/>
          <w:color w:val="auto"/>
        </w:rPr>
      </w:pPr>
    </w:p>
    <w:p>
      <w:pPr>
        <w:ind w:right="6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Class B-6 Units</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Class B-6 Units in this Agreement.</w:t>
      </w:r>
    </w:p>
    <w:p>
      <w:pPr>
        <w:spacing w:after="0" w:line="105" w:lineRule="exact"/>
        <w:rPr>
          <w:sz w:val="20"/>
          <w:szCs w:val="20"/>
          <w:color w:val="auto"/>
        </w:rPr>
      </w:pPr>
    </w:p>
    <w:p>
      <w:pPr>
        <w:ind w:right="5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Closing Date</w:t>
      </w:r>
      <w:r>
        <w:rPr>
          <w:rFonts w:ascii="Arial" w:cs="Arial" w:eastAsia="Arial" w:hAnsi="Arial"/>
          <w:sz w:val="22"/>
          <w:szCs w:val="22"/>
          <w:color w:val="auto"/>
        </w:rPr>
        <w:t>” means the first date on which Common Units were sold by the Partnership to the Underwriters pursuant to the provisions of the Underwriting Agreement.</w:t>
      </w:r>
    </w:p>
    <w:p>
      <w:pPr>
        <w:spacing w:after="0" w:line="173"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Closing Price</w:t>
      </w:r>
      <w:r>
        <w:rPr>
          <w:rFonts w:ascii="Arial" w:cs="Arial" w:eastAsia="Arial" w:hAnsi="Arial"/>
          <w:sz w:val="19"/>
          <w:szCs w:val="19"/>
          <w:color w:val="auto"/>
        </w:rPr>
        <w:t>” means, in respect of any class or series of Limited Partner Interests, as of the date of determination, the last sale price on such day, regular way, or in case no such sale takes place on such day, the average of the closing bid and ask prices on such day, regular way, as reported in the principal consolidated transaction reporting system with respect to securities listed or admitted to trading on the principal National Securities Exchange on which the respective Limited Partner Interests are listed or admitted to trading or, if such Limited Partner Interests are not listed or admitted to trading on any National Securities Exchange, the last quoted price on such day or, if not so quoted, the average of the high bid and low asked prices on such day in the over-the-counter market, as reported by any quotation system then in use with respect to such Limited Partner Interests, or, if on any such day such Limited Partner Interests of such class or series are not quoted by any such system, the average of the closing bid and asked prices on such day as furnished by a professional market maker making a market in such Limited Partner Interests of such class or series selected by the Board of Directors, or if on any such day no market maker is making a market in such Limited Partner Interests of such class or series, the fair value of such Limited Partner Interests on such day as determined by the Board of Directors.</w:t>
      </w:r>
    </w:p>
    <w:p>
      <w:pPr>
        <w:spacing w:after="0" w:line="200" w:lineRule="exact"/>
        <w:rPr>
          <w:sz w:val="20"/>
          <w:szCs w:val="20"/>
          <w:color w:val="auto"/>
        </w:rPr>
      </w:pPr>
    </w:p>
    <w:p>
      <w:pPr>
        <w:spacing w:after="0" w:line="20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Combined Interest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means the United States Securities and Exchange Commission.</w:t>
      </w:r>
    </w:p>
    <w:p>
      <w:pPr>
        <w:spacing w:after="0" w:line="206" w:lineRule="exact"/>
        <w:rPr>
          <w:sz w:val="20"/>
          <w:szCs w:val="20"/>
          <w:color w:val="auto"/>
        </w:rPr>
      </w:pPr>
    </w:p>
    <w:p>
      <w:pPr>
        <w:ind w:right="62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Unit</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Common Units in this Agreement. The term “Common Unit” does not refer to a Class B Unit prior to its conversion into a Common Unit pursuant to the terms hereof.</w:t>
      </w:r>
    </w:p>
    <w:p>
      <w:pPr>
        <w:spacing w:after="0" w:line="134"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Conflicts Committee</w:t>
      </w:r>
      <w:r>
        <w:rPr>
          <w:rFonts w:ascii="Arial" w:cs="Arial" w:eastAsia="Arial" w:hAnsi="Arial"/>
          <w:sz w:val="19"/>
          <w:szCs w:val="19"/>
          <w:color w:val="auto"/>
        </w:rPr>
        <w:t>” means a committee of the Board of Directors composed entirely of two or more directors who are not any of the following: (a) officers or employees of the General Partner, (b) officers, directors or employees of any Affiliate of the General Partner (other than any Group Member) or (c) holders of any ownership interest in the General Partner, its Affiliates or the Partnership Group (other than (x) Common Units or (y) awards granted pursuant to any long-term incentive plan, equity compensation plan or similar plan of any Group Member) and who also have been determined by the Board of Directors to meet the independence standards required of directors who serve on an audit committee of a board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5" w:name="page16"/>
    <w:bookmarkEnd w:id="15"/>
    <w:p>
      <w:pPr>
        <w:ind w:right="760"/>
        <w:spacing w:after="0" w:line="251" w:lineRule="auto"/>
        <w:rPr>
          <w:sz w:val="20"/>
          <w:szCs w:val="20"/>
          <w:color w:val="auto"/>
        </w:rPr>
      </w:pPr>
      <w:r>
        <w:rPr>
          <w:rFonts w:ascii="Arial" w:cs="Arial" w:eastAsia="Arial" w:hAnsi="Arial"/>
          <w:sz w:val="22"/>
          <w:szCs w:val="22"/>
          <w:color w:val="auto"/>
        </w:rPr>
        <w:t>directors established by the Exchange Act, and the rules and regulations of the Commission thereunder and by the National Securities Exchange on which the Common Units are listed or admitted to trading.</w:t>
      </w:r>
    </w:p>
    <w:p>
      <w:pPr>
        <w:spacing w:after="0" w:line="173" w:lineRule="exact"/>
        <w:rPr>
          <w:sz w:val="20"/>
          <w:szCs w:val="20"/>
          <w:color w:val="auto"/>
        </w:rPr>
      </w:pPr>
    </w:p>
    <w:p>
      <w:pPr>
        <w:ind w:right="5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Contributed Property</w:t>
      </w:r>
      <w:r>
        <w:rPr>
          <w:rFonts w:ascii="Arial" w:cs="Arial" w:eastAsia="Arial" w:hAnsi="Arial"/>
          <w:sz w:val="22"/>
          <w:szCs w:val="22"/>
          <w:color w:val="auto"/>
        </w:rPr>
        <w:t>” means each property or other asset, in such form as may be permitted by the Marshall Islands Act, but excluding cash, contributed to the Partnership.</w:t>
      </w:r>
    </w:p>
    <w:p>
      <w:pPr>
        <w:spacing w:after="0" w:line="173"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Contribution Agreement</w:t>
      </w:r>
      <w:r>
        <w:rPr>
          <w:rFonts w:ascii="Arial" w:cs="Arial" w:eastAsia="Arial" w:hAnsi="Arial"/>
          <w:sz w:val="19"/>
          <w:szCs w:val="19"/>
          <w:color w:val="auto"/>
        </w:rPr>
        <w:t>” means that certain Contribution Agreement, dated as of May 12, 2014, among the General Partner, the Partnership, the Operating Company, GasLog and the other parties named therein, together with the additional conveyance documents and instruments contemplated or referenced thereunder or entered into in connection therewith.</w:t>
      </w:r>
    </w:p>
    <w:p>
      <w:pPr>
        <w:spacing w:after="0" w:line="134" w:lineRule="exact"/>
        <w:rPr>
          <w:sz w:val="20"/>
          <w:szCs w:val="20"/>
          <w:color w:val="auto"/>
        </w:rPr>
      </w:pPr>
    </w:p>
    <w:p>
      <w:pPr>
        <w:ind w:right="4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Current Market Price</w:t>
      </w:r>
      <w:r>
        <w:rPr>
          <w:rFonts w:ascii="Arial" w:cs="Arial" w:eastAsia="Arial" w:hAnsi="Arial"/>
          <w:sz w:val="22"/>
          <w:szCs w:val="22"/>
          <w:color w:val="auto"/>
        </w:rPr>
        <w:t>” means, in respect of any class or series of Limited Partner Interests, as of the date of determination, the average of the daily Closing Prices per Limited Partner Interest of such class or series for the 20 consecutive Trading Days immediately prior to such date.</w:t>
      </w:r>
    </w:p>
    <w:p>
      <w:pPr>
        <w:spacing w:after="0" w:line="186"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Deferred Issuance and Distribution</w:t>
      </w:r>
      <w:r>
        <w:rPr>
          <w:rFonts w:ascii="Arial" w:cs="Arial" w:eastAsia="Arial" w:hAnsi="Arial"/>
          <w:sz w:val="19"/>
          <w:szCs w:val="19"/>
          <w:color w:val="auto"/>
        </w:rPr>
        <w:t xml:space="preserve">” means both (a) the issuance by the Partnership of additional Common Units that is equal to the excess, if any, of (x) 1,260,000 minus (y) the aggregate number, if any, of Common Units actually purchased by and issued to the Underwriters pursuant to the Over-Allotment Option on the Option Closing Date(s), and (b) distributions of cash pursuant to the Contribution Agreement in an amount equal to the total amount of cash contributed by the Underwriters to the Partnership on or in connection with any Option Closing Date with respect to Common Units issued by the Partnership upon the applicable exercise of the Over-Allotment Option in accordance with </w:t>
      </w:r>
      <w:r>
        <w:rPr>
          <w:rFonts w:ascii="Arial" w:cs="Arial" w:eastAsia="Arial" w:hAnsi="Arial"/>
          <w:sz w:val="19"/>
          <w:szCs w:val="19"/>
          <w:u w:val="single" w:color="auto"/>
          <w:color w:val="auto"/>
        </w:rPr>
        <w:t>Section 5.2</w:t>
      </w:r>
      <w:r>
        <w:rPr>
          <w:rFonts w:ascii="Arial" w:cs="Arial" w:eastAsia="Arial" w:hAnsi="Arial"/>
          <w:sz w:val="19"/>
          <w:szCs w:val="19"/>
          <w:color w:val="auto"/>
        </w:rPr>
        <w:t>, if any.</w:t>
      </w:r>
    </w:p>
    <w:p>
      <w:pPr>
        <w:spacing w:after="0" w:line="151"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Departing General Partner</w:t>
      </w:r>
      <w:r>
        <w:rPr>
          <w:rFonts w:ascii="Arial" w:cs="Arial" w:eastAsia="Arial" w:hAnsi="Arial"/>
          <w:sz w:val="22"/>
          <w:szCs w:val="22"/>
          <w:color w:val="auto"/>
        </w:rPr>
        <w:t xml:space="preserve">” means a former General Partner from and after the effective date of any withdrawal or removal of such former General Partner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173" w:lineRule="exact"/>
        <w:rPr>
          <w:sz w:val="20"/>
          <w:szCs w:val="20"/>
          <w:color w:val="auto"/>
        </w:rPr>
      </w:pPr>
    </w:p>
    <w:p>
      <w:pPr>
        <w:ind w:right="7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Depositary</w:t>
      </w:r>
      <w:r>
        <w:rPr>
          <w:rFonts w:ascii="Arial" w:cs="Arial" w:eastAsia="Arial" w:hAnsi="Arial"/>
          <w:sz w:val="22"/>
          <w:szCs w:val="22"/>
          <w:color w:val="auto"/>
        </w:rPr>
        <w:t>” means, with respect to any Units issued in global form, The Depository Trust Company and its successors and permitted assigns.</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means 11:59 P.M. Eastern time on June 30, 2019.</w:t>
      </w:r>
    </w:p>
    <w:p>
      <w:pPr>
        <w:spacing w:after="0" w:line="206" w:lineRule="exact"/>
        <w:rPr>
          <w:sz w:val="20"/>
          <w:szCs w:val="20"/>
          <w:color w:val="auto"/>
        </w:rPr>
      </w:pPr>
    </w:p>
    <w:p>
      <w:pPr>
        <w:ind w:right="60" w:firstLine="1297"/>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Elected Directors</w:t>
      </w:r>
      <w:r>
        <w:rPr>
          <w:rFonts w:ascii="Arial" w:cs="Arial" w:eastAsia="Arial" w:hAnsi="Arial"/>
          <w:sz w:val="19"/>
          <w:szCs w:val="19"/>
          <w:color w:val="auto"/>
        </w:rPr>
        <w:t xml:space="preserve">” means the members of the Board of Directors who are elected as such in accordance with the provisions of </w:t>
      </w:r>
      <w:r>
        <w:rPr>
          <w:rFonts w:ascii="Arial" w:cs="Arial" w:eastAsia="Arial" w:hAnsi="Arial"/>
          <w:sz w:val="19"/>
          <w:szCs w:val="19"/>
          <w:u w:val="single" w:color="auto"/>
          <w:color w:val="auto"/>
        </w:rPr>
        <w:t>Article VII</w:t>
      </w:r>
      <w:r>
        <w:rPr>
          <w:rFonts w:ascii="Arial" w:cs="Arial" w:eastAsia="Arial" w:hAnsi="Arial"/>
          <w:sz w:val="19"/>
          <w:szCs w:val="19"/>
          <w:color w:val="auto"/>
        </w:rPr>
        <w:t xml:space="preserve"> and at least two (and subject to </w:t>
      </w:r>
      <w:r>
        <w:rPr>
          <w:rFonts w:ascii="Arial" w:cs="Arial" w:eastAsia="Arial" w:hAnsi="Arial"/>
          <w:sz w:val="19"/>
          <w:szCs w:val="19"/>
          <w:u w:val="single" w:color="auto"/>
          <w:color w:val="auto"/>
        </w:rPr>
        <w:t>Section 7.2(d)</w:t>
      </w:r>
      <w:r>
        <w:rPr>
          <w:rFonts w:ascii="Arial" w:cs="Arial" w:eastAsia="Arial" w:hAnsi="Arial"/>
          <w:sz w:val="19"/>
          <w:szCs w:val="19"/>
          <w:color w:val="auto"/>
        </w:rPr>
        <w:t>) of whom are not any of the following: (a) officers or employees of the General Partner, (b) officers or employees of any Affiliate of the General Partner (other than any Group Member) or (c) holders of any ownership interest in the General Partner, its Affiliates or the Partnership Group (other than (x) Common Units, (y) Series A Preference Units, Series B Preference Units or Series C Preference Units or (z) awards granted pursuant to any long-term incentive plan, equity compensation plan or similar plan of any Group Member) and who also have been determined by the Board of Directors to meet the independence standards required of directors who serve on an audit committee of a board of directors established by the Exchange Act, and the rules and regulations of the Commission thereunder and by the National Securities Exchange on which the Common Units are listed or admitted to trading or (d) United States citizens or residents.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6" w:name="page17"/>
    <w:bookmarkEnd w:id="16"/>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Withdrawal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06" w:lineRule="exact"/>
        <w:rPr>
          <w:sz w:val="20"/>
          <w:szCs w:val="20"/>
          <w:color w:val="auto"/>
        </w:rPr>
      </w:pPr>
    </w:p>
    <w:p>
      <w:pPr>
        <w:ind w:right="3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supplemented or restated from time to time and any successor to such statute.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Agreement</w:t>
      </w:r>
      <w:r>
        <w:rPr>
          <w:rFonts w:ascii="Arial" w:cs="Arial" w:eastAsia="Arial" w:hAnsi="Arial"/>
          <w:sz w:val="22"/>
          <w:szCs w:val="22"/>
          <w:color w:val="auto"/>
        </w:rPr>
        <w:t>” has the meaning assigned to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Fifth Amended Agreement</w:t>
      </w:r>
      <w:r>
        <w:rPr>
          <w:rFonts w:ascii="Arial" w:cs="Arial" w:eastAsia="Arial" w:hAnsi="Arial"/>
          <w:sz w:val="22"/>
          <w:szCs w:val="22"/>
          <w:color w:val="auto"/>
        </w:rPr>
        <w:t>” has the meaning assigned to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GasLog</w:t>
      </w:r>
      <w:r>
        <w:rPr>
          <w:rFonts w:ascii="Arial" w:cs="Arial" w:eastAsia="Arial" w:hAnsi="Arial"/>
          <w:sz w:val="22"/>
          <w:szCs w:val="22"/>
          <w:color w:val="auto"/>
        </w:rPr>
        <w:t>” means GasLog Ltd.</w:t>
      </w:r>
    </w:p>
    <w:p>
      <w:pPr>
        <w:spacing w:after="0" w:line="206"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w:t>
      </w:r>
      <w:r>
        <w:rPr>
          <w:rFonts w:ascii="Arial" w:cs="Arial" w:eastAsia="Arial" w:hAnsi="Arial"/>
          <w:sz w:val="22"/>
          <w:szCs w:val="22"/>
          <w:color w:val="auto"/>
        </w:rPr>
        <w:t>” means GasLog Partners GP LLC, a Marshall Islands limited liability company, and its successors and permitted assigns that are admitted to the Partnership as general partner of the Partnership, in its capacity as general partner of the Partnership (except as the context otherwise requires).</w:t>
      </w:r>
    </w:p>
    <w:p>
      <w:pPr>
        <w:spacing w:after="0" w:line="186" w:lineRule="exact"/>
        <w:rPr>
          <w:sz w:val="20"/>
          <w:szCs w:val="20"/>
          <w:color w:val="auto"/>
        </w:rPr>
      </w:pPr>
    </w:p>
    <w:p>
      <w:pPr>
        <w:jc w:val="both"/>
        <w:ind w:right="4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General Partner Interest</w:t>
      </w:r>
      <w:r>
        <w:rPr>
          <w:rFonts w:ascii="Arial" w:cs="Arial" w:eastAsia="Arial" w:hAnsi="Arial"/>
          <w:sz w:val="21"/>
          <w:szCs w:val="21"/>
          <w:color w:val="auto"/>
        </w:rPr>
        <w:t>” means the ownership interest of the General Partner in the Partnership (in its capacity as a general partner and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174" w:lineRule="exact"/>
        <w:rPr>
          <w:sz w:val="20"/>
          <w:szCs w:val="20"/>
          <w:color w:val="auto"/>
        </w:rPr>
      </w:pPr>
    </w:p>
    <w:p>
      <w:pPr>
        <w:ind w:right="4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 Unit</w:t>
      </w:r>
      <w:r>
        <w:rPr>
          <w:rFonts w:ascii="Arial" w:cs="Arial" w:eastAsia="Arial" w:hAnsi="Arial"/>
          <w:sz w:val="22"/>
          <w:szCs w:val="22"/>
          <w:color w:val="auto"/>
        </w:rPr>
        <w:t>” means a fractional part of the General Partner Interest having the rights and obligations specified with respect to the General Partner Interest. A General Partner Unit is not a Unit.</w:t>
      </w:r>
    </w:p>
    <w:p>
      <w:pPr>
        <w:spacing w:after="0" w:line="173" w:lineRule="exact"/>
        <w:rPr>
          <w:sz w:val="20"/>
          <w:szCs w:val="20"/>
          <w:color w:val="auto"/>
        </w:rPr>
      </w:pPr>
    </w:p>
    <w:p>
      <w:pPr>
        <w:ind w:right="12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w:t>
      </w:r>
      <w:r>
        <w:rPr>
          <w:rFonts w:ascii="Arial" w:cs="Arial" w:eastAsia="Arial" w:hAnsi="Arial"/>
          <w:sz w:val="22"/>
          <w:szCs w:val="22"/>
          <w:color w:val="auto"/>
        </w:rPr>
        <w:t>” means a Person that with or through any of its Affiliates or Associates has any agreement, arrangement, understanding or relationship for the purpose of acquiring, holding, voting (except voting pursuant to a revocable proxy or consent given to such Person in response to a proxy or consent solicitation made to 10 or more Persons), exercising investment power over or disposing of any Partnership Interests with any other Person that beneficially owns, or whose Affiliates or Associates beneficially own, directly or indirectly, Partnership Interests.</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w:t>
      </w:r>
      <w:r>
        <w:rPr>
          <w:rFonts w:ascii="Arial" w:cs="Arial" w:eastAsia="Arial" w:hAnsi="Arial"/>
          <w:sz w:val="22"/>
          <w:szCs w:val="22"/>
          <w:color w:val="auto"/>
        </w:rPr>
        <w:t>” means a member of the Partnership Group.</w:t>
      </w:r>
    </w:p>
    <w:p>
      <w:pPr>
        <w:spacing w:after="0" w:line="206" w:lineRule="exact"/>
        <w:rPr>
          <w:sz w:val="20"/>
          <w:szCs w:val="20"/>
          <w:color w:val="auto"/>
        </w:rPr>
      </w:pPr>
    </w:p>
    <w:p>
      <w:pPr>
        <w:ind w:right="40" w:firstLine="1297"/>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 Agreement</w:t>
      </w:r>
      <w:r>
        <w:rPr>
          <w:rFonts w:ascii="Arial" w:cs="Arial" w:eastAsia="Arial" w:hAnsi="Arial"/>
          <w:sz w:val="22"/>
          <w:szCs w:val="22"/>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in each case as such may be amended, supplemented or restated from time to time.</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7.20(a)</w:t>
      </w:r>
      <w:r>
        <w:rPr>
          <w:rFonts w:ascii="Arial" w:cs="Arial" w:eastAsia="Arial" w:hAnsi="Arial"/>
          <w:sz w:val="22"/>
          <w:szCs w:val="22"/>
          <w:color w:val="auto"/>
        </w:rPr>
        <w:t>.</w:t>
      </w:r>
    </w:p>
    <w:p>
      <w:pPr>
        <w:spacing w:after="0" w:line="20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7" w:name="page18"/>
    <w:bookmarkEnd w:id="17"/>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ICE</w:t>
      </w:r>
      <w:r>
        <w:rPr>
          <w:rFonts w:ascii="Arial" w:cs="Arial" w:eastAsia="Arial" w:hAnsi="Arial"/>
          <w:sz w:val="22"/>
          <w:szCs w:val="22"/>
          <w:color w:val="auto"/>
        </w:rPr>
        <w:t>” means the ICE Benchmark Administration Limited.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IFRS</w:t>
      </w:r>
      <w:r>
        <w:rPr>
          <w:rFonts w:ascii="Arial" w:cs="Arial" w:eastAsia="Arial" w:hAnsi="Arial"/>
          <w:sz w:val="22"/>
          <w:szCs w:val="22"/>
          <w:color w:val="auto"/>
        </w:rPr>
        <w:t>” means the international financial reporting standards.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Incentive Distribution Right</w:t>
      </w:r>
      <w:r>
        <w:rPr>
          <w:rFonts w:ascii="Arial" w:cs="Arial" w:eastAsia="Arial" w:hAnsi="Arial"/>
          <w:sz w:val="21"/>
          <w:szCs w:val="21"/>
          <w:color w:val="auto"/>
        </w:rPr>
        <w:t>” has the meaning assigned to such term in the Fifth Amended Agreement.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Persons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7.20(c)</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Indemnitee</w:t>
      </w:r>
      <w:r>
        <w:rPr>
          <w:rFonts w:ascii="Arial" w:cs="Arial" w:eastAsia="Arial" w:hAnsi="Arial"/>
          <w:sz w:val="21"/>
          <w:szCs w:val="21"/>
          <w:color w:val="auto"/>
        </w:rPr>
        <w:t>” means (a) the General Partner, (b) any Departing General Partner, (c) any Person who is or was an Affiliate of the General Partner or any Departing General Partner, (d) any Person who is or was a member, partner, director, officer, fiduciary or trustee of any Person which any of the preceding clauses of this definition describes, (e) any Person who is or was serving at the request of the General Partner or any Departing General Partner or any Affiliate of the General Partner or any Departing General Partner as an officer, director, member, partner, fiduciary or trustee of another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a Person shall not be an Indemnitee by reason of providing, on a fee-for-services basis, trustee, fiduciary or custodial services), (f) the members of the Board of Directors, (g) the Officers, and (h) any other Person the Board of Directors designates as an “</w:t>
      </w:r>
      <w:r>
        <w:rPr>
          <w:rFonts w:ascii="Arial" w:cs="Arial" w:eastAsia="Arial" w:hAnsi="Arial"/>
          <w:sz w:val="21"/>
          <w:szCs w:val="21"/>
          <w:i w:val="1"/>
          <w:iCs w:val="1"/>
          <w:color w:val="auto"/>
        </w:rPr>
        <w:t>Indemnitee</w:t>
      </w:r>
      <w:r>
        <w:rPr>
          <w:rFonts w:ascii="Arial" w:cs="Arial" w:eastAsia="Arial" w:hAnsi="Arial"/>
          <w:sz w:val="21"/>
          <w:szCs w:val="21"/>
          <w:color w:val="auto"/>
        </w:rPr>
        <w:t>” for purposes of this Agreement.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General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 Interest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5.1</w:t>
      </w:r>
      <w:r>
        <w:rPr>
          <w:rFonts w:ascii="Arial" w:cs="Arial" w:eastAsia="Arial" w:hAnsi="Arial"/>
          <w:sz w:val="22"/>
          <w:szCs w:val="22"/>
          <w:color w:val="auto"/>
        </w:rPr>
        <w:t>.</w:t>
      </w:r>
    </w:p>
    <w:p>
      <w:pPr>
        <w:spacing w:after="0" w:line="206"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Initial Limited Partners</w:t>
      </w:r>
      <w:r>
        <w:rPr>
          <w:rFonts w:ascii="Arial" w:cs="Arial" w:eastAsia="Arial" w:hAnsi="Arial"/>
          <w:sz w:val="22"/>
          <w:szCs w:val="22"/>
          <w:color w:val="auto"/>
        </w:rPr>
        <w:t xml:space="preserve">” means GasLog and the Underwriters, in each case upon being admitted as Partners to the Partnership in accordance with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173" w:lineRule="exact"/>
        <w:rPr>
          <w:sz w:val="20"/>
          <w:szCs w:val="20"/>
          <w:color w:val="auto"/>
        </w:rPr>
      </w:pPr>
    </w:p>
    <w:p>
      <w:pPr>
        <w:ind w:right="52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Initial Offering</w:t>
      </w:r>
      <w:r>
        <w:rPr>
          <w:rFonts w:ascii="Arial" w:cs="Arial" w:eastAsia="Arial" w:hAnsi="Arial"/>
          <w:sz w:val="19"/>
          <w:szCs w:val="19"/>
          <w:color w:val="auto"/>
        </w:rPr>
        <w:t>” means the initial public offering and sale of Common Units to the public, as described in the Registration Statement, including any Common Units sold pursuant to the exercise of the Over-Allotment Option.</w:t>
      </w:r>
    </w:p>
    <w:p>
      <w:pPr>
        <w:spacing w:after="0" w:line="105" w:lineRule="exact"/>
        <w:rPr>
          <w:sz w:val="20"/>
          <w:szCs w:val="20"/>
          <w:color w:val="auto"/>
        </w:rPr>
      </w:pPr>
    </w:p>
    <w:p>
      <w:pPr>
        <w:ind w:right="12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Junior Securities</w:t>
      </w:r>
      <w:r>
        <w:rPr>
          <w:rFonts w:ascii="Arial" w:cs="Arial" w:eastAsia="Arial" w:hAnsi="Arial"/>
          <w:sz w:val="19"/>
          <w:szCs w:val="19"/>
          <w:color w:val="auto"/>
        </w:rPr>
        <w:t xml:space="preserve">” means: (i) the Common Units, (ii) the Class B Units and (iii) any other class or series of Partnership Interests established after May 15, 2017 by the General Partner, the terms of which class or series do not expressly provide that it is made senior to or on parity with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143" w:lineRule="exact"/>
        <w:rPr>
          <w:sz w:val="20"/>
          <w:szCs w:val="20"/>
          <w:color w:val="auto"/>
        </w:rPr>
      </w:pPr>
    </w:p>
    <w:p>
      <w:pPr>
        <w:ind w:right="100" w:firstLine="129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Limited Partner</w:t>
      </w:r>
      <w:r>
        <w:rPr>
          <w:rFonts w:ascii="Arial" w:cs="Arial" w:eastAsia="Arial" w:hAnsi="Arial"/>
          <w:sz w:val="21"/>
          <w:szCs w:val="21"/>
          <w:color w:val="auto"/>
        </w:rPr>
        <w:t xml:space="preserve">” means, unless the context otherwise requires, the Organizational Limited Partner, each Initial Limited Partner, each additional Person that becomes a Limited Partner pursuant to the terms of this Agreement and any Departing General Partner upon the change of its status from General Partner to Limited Partner pursuant to </w:t>
      </w:r>
      <w:r>
        <w:rPr>
          <w:rFonts w:ascii="Arial" w:cs="Arial" w:eastAsia="Arial" w:hAnsi="Arial"/>
          <w:sz w:val="21"/>
          <w:szCs w:val="21"/>
          <w:u w:val="single" w:color="auto"/>
          <w:color w:val="auto"/>
        </w:rPr>
        <w:t>Section 11.3</w:t>
      </w:r>
      <w:r>
        <w:rPr>
          <w:rFonts w:ascii="Arial" w:cs="Arial" w:eastAsia="Arial" w:hAnsi="Arial"/>
          <w:sz w:val="21"/>
          <w:szCs w:val="21"/>
          <w:color w:val="auto"/>
        </w:rPr>
        <w:t>, in each case, in such Person’s capacity as a limited partner of the Partnership. Limited Partners may include custodians, nominees or any other individual or entity in its own or any representative capacity.</w:t>
      </w:r>
    </w:p>
    <w:p>
      <w:pPr>
        <w:spacing w:after="0" w:line="179" w:lineRule="exact"/>
        <w:rPr>
          <w:sz w:val="20"/>
          <w:szCs w:val="20"/>
          <w:color w:val="auto"/>
        </w:rPr>
      </w:pPr>
    </w:p>
    <w:p>
      <w:pPr>
        <w:ind w:right="5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Limited Partner Interest</w:t>
      </w:r>
      <w:r>
        <w:rPr>
          <w:rFonts w:ascii="Arial" w:cs="Arial" w:eastAsia="Arial" w:hAnsi="Arial"/>
          <w:sz w:val="22"/>
          <w:szCs w:val="22"/>
          <w:color w:val="auto"/>
        </w:rPr>
        <w:t>” means the ownership interest of a Limited Partner in the Partnership, which may be evidenced by Common Units, Class B Units, Preference Units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186" w:lineRule="exact"/>
        <w:rPr>
          <w:sz w:val="20"/>
          <w:szCs w:val="20"/>
          <w:color w:val="auto"/>
        </w:rPr>
      </w:pPr>
    </w:p>
    <w:p>
      <w:pPr>
        <w:ind w:right="5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Liquidating Trustee</w:t>
      </w:r>
      <w:r>
        <w:rPr>
          <w:rFonts w:ascii="Arial" w:cs="Arial" w:eastAsia="Arial" w:hAnsi="Arial"/>
          <w:sz w:val="22"/>
          <w:szCs w:val="22"/>
          <w:color w:val="auto"/>
        </w:rPr>
        <w:t xml:space="preserve">” means one or more Persons selected by the Board of Directors to perform the functions described in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173" w:lineRule="exact"/>
        <w:rPr>
          <w:sz w:val="20"/>
          <w:szCs w:val="20"/>
          <w:color w:val="auto"/>
        </w:rPr>
      </w:pPr>
    </w:p>
    <w:p>
      <w:pPr>
        <w:ind w:right="6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Liquidation Date</w:t>
      </w:r>
      <w:r>
        <w:rPr>
          <w:rFonts w:ascii="Arial" w:cs="Arial" w:eastAsia="Arial" w:hAnsi="Arial"/>
          <w:sz w:val="22"/>
          <w:szCs w:val="22"/>
          <w:color w:val="auto"/>
        </w:rPr>
        <w:t xml:space="preserve">” means (a) in the case of an event giving rise to the dissolution of the Partnership of the type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first sentence of </w:t>
      </w:r>
      <w:r>
        <w:rPr>
          <w:rFonts w:ascii="Arial" w:cs="Arial" w:eastAsia="Arial" w:hAnsi="Arial"/>
          <w:sz w:val="22"/>
          <w:szCs w:val="22"/>
          <w:u w:val="single" w:color="auto"/>
          <w:color w:val="auto"/>
        </w:rPr>
        <w:t>Section 12.2</w:t>
      </w:r>
      <w:r>
        <w:rPr>
          <w:rFonts w:ascii="Arial" w:cs="Arial" w:eastAsia="Arial" w:hAnsi="Arial"/>
          <w:sz w:val="22"/>
          <w:szCs w:val="22"/>
          <w:color w:val="auto"/>
        </w:rPr>
        <w:t>,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w:t>
      </w:r>
    </w:p>
    <w:p>
      <w:pPr>
        <w:spacing w:after="0" w:line="188" w:lineRule="exact"/>
        <w:rPr>
          <w:sz w:val="20"/>
          <w:szCs w:val="20"/>
          <w:color w:val="auto"/>
        </w:rPr>
      </w:pPr>
    </w:p>
    <w:p>
      <w:pPr>
        <w:ind w:right="2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Liquidation Event</w:t>
      </w:r>
      <w:r>
        <w:rPr>
          <w:rFonts w:ascii="Arial" w:cs="Arial" w:eastAsia="Arial" w:hAnsi="Arial"/>
          <w:sz w:val="19"/>
          <w:szCs w:val="19"/>
          <w:color w:val="auto"/>
        </w:rPr>
        <w:t xml:space="preserve">” means the occurrence of a dissolution or liquidation of the Partnership, whether voluntary or involuntary;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Liquidation Event shall not precede the Liquidation Date. Neither the sale of all or substantially all of the property or business of the Partnership nor the consolidation or merger of the Partnership with or into any other Person, individually or in a series of transactions, shall be deemed a Liquidation Event.</w:t>
      </w:r>
    </w:p>
    <w:p>
      <w:pPr>
        <w:spacing w:after="0" w:line="143" w:lineRule="exact"/>
        <w:rPr>
          <w:sz w:val="20"/>
          <w:szCs w:val="20"/>
          <w:color w:val="auto"/>
        </w:rPr>
      </w:pPr>
    </w:p>
    <w:p>
      <w:pPr>
        <w:ind w:right="40" w:firstLine="1297"/>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Liquidation Preference</w:t>
      </w:r>
      <w:r>
        <w:rPr>
          <w:rFonts w:ascii="Arial" w:cs="Arial" w:eastAsia="Arial" w:hAnsi="Arial"/>
          <w:sz w:val="21"/>
          <w:szCs w:val="21"/>
          <w:color w:val="auto"/>
        </w:rPr>
        <w:t xml:space="preserve">” means, in connection with any distribution in connection with a Liquidation Event pursuant to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and with respect to any holder of any class or series of Partnership Interests, the amount otherwise payable to such holder in such distribution with respect to such class or series of Partnership Interests (assuming no limitation on the assets of the Partnership available for such distribution), including an amount equal to any accrued but unpaid distributions thereon to the date fixed for such payment, whether or not declared (if the terms of the applicable class or series of Partnership Interests so provide). For avoidance of doubt, for the foregoing purposes, the Series A Liquidation Preference is the Liquidation Preference with respect to the Series A Preference Units, the Series B Liquidation Preference is the Liquidation Preference with respect to the Series B Preference Units and the Series C Liquidation Preference is the Liquidation Preference with respect to the Series C Preference Units.</w:t>
      </w:r>
    </w:p>
    <w:p>
      <w:pPr>
        <w:spacing w:after="0" w:line="185"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London Business Day</w:t>
      </w:r>
      <w:r>
        <w:rPr>
          <w:rFonts w:ascii="Arial" w:cs="Arial" w:eastAsia="Arial" w:hAnsi="Arial"/>
          <w:sz w:val="22"/>
          <w:szCs w:val="22"/>
          <w:color w:val="auto"/>
        </w:rPr>
        <w:t>” means any day on which dealings in deposits in U.S. dollars are transacted in the London interbank market.</w:t>
      </w:r>
    </w:p>
    <w:p>
      <w:pPr>
        <w:spacing w:after="0" w:line="173"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Marshall Islands Act</w:t>
      </w:r>
      <w:r>
        <w:rPr>
          <w:rFonts w:ascii="Arial" w:cs="Arial" w:eastAsia="Arial" w:hAnsi="Arial"/>
          <w:sz w:val="22"/>
          <w:szCs w:val="22"/>
          <w:color w:val="auto"/>
        </w:rPr>
        <w:t>” means the Limited Partnership Act of The Republic of the Marshall Islands, as amended, supplemented or restated from time to time, and any successor to such statute.</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06" w:lineRule="exact"/>
        <w:rPr>
          <w:sz w:val="20"/>
          <w:szCs w:val="20"/>
          <w:color w:val="auto"/>
        </w:rPr>
      </w:pPr>
    </w:p>
    <w:p>
      <w:pPr>
        <w:ind w:right="52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National Securities Exchange</w:t>
      </w:r>
      <w:r>
        <w:rPr>
          <w:rFonts w:ascii="Arial" w:cs="Arial" w:eastAsia="Arial" w:hAnsi="Arial"/>
          <w:sz w:val="21"/>
          <w:szCs w:val="21"/>
          <w:color w:val="auto"/>
        </w:rPr>
        <w:t>” means an exchange registered with the Commission under Section 6(a) of the Exchange Act, supplemented or restated from time to time, and any successor to such statute.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9" w:name="page20"/>
    <w:bookmarkEnd w:id="19"/>
    <w:p>
      <w:pPr>
        <w:ind w:right="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Net Agreed Value</w:t>
      </w:r>
      <w:r>
        <w:rPr>
          <w:rFonts w:ascii="Arial" w:cs="Arial" w:eastAsia="Arial" w:hAnsi="Arial"/>
          <w:sz w:val="19"/>
          <w:szCs w:val="19"/>
          <w:color w:val="auto"/>
        </w:rPr>
        <w:t>”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by the Partnership, the Agreed Value of such property, reduced by any indebtedness either assumed by such Partner upon such distribution or to which such property is subject at the time of distribution.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Notice of Election to Purchase</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15.1(b)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7.8(a)</w:t>
      </w:r>
      <w:r>
        <w:rPr>
          <w:rFonts w:ascii="Arial" w:cs="Arial" w:eastAsia="Arial" w:hAnsi="Arial"/>
          <w:sz w:val="22"/>
          <w:szCs w:val="22"/>
          <w:color w:val="auto"/>
        </w:rPr>
        <w:t>.</w:t>
      </w:r>
    </w:p>
    <w:p>
      <w:pPr>
        <w:spacing w:after="0" w:line="206" w:lineRule="exact"/>
        <w:rPr>
          <w:sz w:val="20"/>
          <w:szCs w:val="20"/>
          <w:color w:val="auto"/>
        </w:rPr>
      </w:pPr>
    </w:p>
    <w:p>
      <w:pPr>
        <w:ind w:right="8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Omnibus Agreement</w:t>
      </w:r>
      <w:r>
        <w:rPr>
          <w:rFonts w:ascii="Arial" w:cs="Arial" w:eastAsia="Arial" w:hAnsi="Arial"/>
          <w:sz w:val="22"/>
          <w:szCs w:val="22"/>
          <w:color w:val="auto"/>
        </w:rPr>
        <w:t>” means that Omnibus Agreement, dated as of the Closing Date, among GasLog, the Partnership, the General Partner and the Operating Company.</w:t>
      </w:r>
    </w:p>
    <w:p>
      <w:pPr>
        <w:spacing w:after="0" w:line="173"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Company</w:t>
      </w:r>
      <w:r>
        <w:rPr>
          <w:rFonts w:ascii="Arial" w:cs="Arial" w:eastAsia="Arial" w:hAnsi="Arial"/>
          <w:sz w:val="22"/>
          <w:szCs w:val="22"/>
          <w:color w:val="auto"/>
        </w:rPr>
        <w:t>” means GasLog Partners Holdings LLC, a Marshall Islands limited liability company, and any successors thereto.</w:t>
      </w:r>
    </w:p>
    <w:p>
      <w:pPr>
        <w:spacing w:after="0" w:line="173" w:lineRule="exact"/>
        <w:rPr>
          <w:sz w:val="20"/>
          <w:szCs w:val="20"/>
          <w:color w:val="auto"/>
        </w:rPr>
      </w:pPr>
    </w:p>
    <w:p>
      <w:pPr>
        <w:ind w:right="3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Opinion of Counsel</w:t>
      </w:r>
      <w:r>
        <w:rPr>
          <w:rFonts w:ascii="Arial" w:cs="Arial" w:eastAsia="Arial" w:hAnsi="Arial"/>
          <w:sz w:val="22"/>
          <w:szCs w:val="22"/>
          <w:color w:val="auto"/>
        </w:rPr>
        <w:t>” means a written opinion of counsel (who may be regular counsel to the Partnership or the General Partner or any of its Affiliates) acceptable to the Board of Directors.</w:t>
      </w:r>
    </w:p>
    <w:p>
      <w:pPr>
        <w:spacing w:after="0" w:line="173" w:lineRule="exact"/>
        <w:rPr>
          <w:sz w:val="20"/>
          <w:szCs w:val="20"/>
          <w:color w:val="auto"/>
        </w:rPr>
      </w:pPr>
    </w:p>
    <w:p>
      <w:pPr>
        <w:ind w:right="4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Option Closing Date</w:t>
      </w:r>
      <w:r>
        <w:rPr>
          <w:rFonts w:ascii="Arial" w:cs="Arial" w:eastAsia="Arial" w:hAnsi="Arial"/>
          <w:sz w:val="22"/>
          <w:szCs w:val="22"/>
          <w:color w:val="auto"/>
        </w:rPr>
        <w:t>” means the date or dates on which any Common Units are sold by the Partnership to the Underwriters upon the exercise of the Over-Allotment Option.</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Organizational Limited Partner</w:t>
      </w:r>
      <w:r>
        <w:rPr>
          <w:rFonts w:ascii="Arial" w:cs="Arial" w:eastAsia="Arial" w:hAnsi="Arial"/>
          <w:sz w:val="19"/>
          <w:szCs w:val="19"/>
          <w:color w:val="auto"/>
        </w:rPr>
        <w:t>” means GasLog Ltd., in its capacity as the organizational limited partner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Partnership.</w:t>
      </w:r>
    </w:p>
    <w:p>
      <w:pPr>
        <w:spacing w:after="0" w:line="18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Outstanding</w:t>
      </w:r>
      <w:r>
        <w:rPr>
          <w:rFonts w:ascii="Arial" w:cs="Arial" w:eastAsia="Arial" w:hAnsi="Arial"/>
          <w:sz w:val="19"/>
          <w:szCs w:val="19"/>
          <w:color w:val="auto"/>
        </w:rPr>
        <w:t xml:space="preserve">” means, with respect to Partnership Interests, all Partnership Interests that are issued by the Partnership and reflected as outstanding on the Partnership’s books and records as of the date of determination;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if at any time any Person or Group beneficially owns more than 4.9% of the Outstanding Partnership Interests of any class or series then Outstanding (or would own such percentage in the event this limitation were applied to other Persons or Groups), all Partnership Interests owned by such Person or Group in excess of such limitation shall not be voted on any matter and shall not be considered to be Outstanding when sending notices of a meeting of Limited Partners to vote on any matter (unless otherwise required by law), calculating required votes (except for purposes of nominating a Person for election to the Board of Directors pursuant to </w:t>
      </w:r>
      <w:r>
        <w:rPr>
          <w:rFonts w:ascii="Arial" w:cs="Arial" w:eastAsia="Arial" w:hAnsi="Arial"/>
          <w:sz w:val="19"/>
          <w:szCs w:val="19"/>
          <w:u w:val="single" w:color="auto"/>
          <w:color w:val="auto"/>
        </w:rPr>
        <w:t>Section 7.3</w:t>
      </w:r>
      <w:r>
        <w:rPr>
          <w:rFonts w:ascii="Arial" w:cs="Arial" w:eastAsia="Arial" w:hAnsi="Arial"/>
          <w:sz w:val="19"/>
          <w:szCs w:val="19"/>
          <w:color w:val="auto"/>
        </w:rPr>
        <w:t xml:space="preserve">), determining the presence of a quorum or for other similar purposes under this Agreement, except that Partnership Interests so owned shall be considered to be Outstanding for purposes of </w:t>
      </w:r>
      <w:r>
        <w:rPr>
          <w:rFonts w:ascii="Arial" w:cs="Arial" w:eastAsia="Arial" w:hAnsi="Arial"/>
          <w:sz w:val="19"/>
          <w:szCs w:val="19"/>
          <w:u w:val="single" w:color="auto"/>
          <w:color w:val="auto"/>
        </w:rPr>
        <w:t>Section 11.1(b)(iv)</w:t>
      </w:r>
      <w:r>
        <w:rPr>
          <w:rFonts w:ascii="Arial" w:cs="Arial" w:eastAsia="Arial" w:hAnsi="Arial"/>
          <w:sz w:val="19"/>
          <w:szCs w:val="19"/>
          <w:color w:val="auto"/>
        </w:rPr>
        <w:t xml:space="preserve"> (such Partnership Interests shall not, however, be treated as a separate class or series of Partnership Interests for purposes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foregoing limitation shall not apply to (a) the General Partner or its Affiliates, (b) any Person or Group who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acquired more than 4.9% of any Partnership Interests with the prior approval of the Board of Directors after considering the potential effects of such approval on the Partnership, except, in each case, such limitation shall remain applicable with respect to the voting of Common Units in the election of the Elected Directors as provided in </w:t>
      </w:r>
      <w:r>
        <w:rPr>
          <w:rFonts w:ascii="Arial" w:cs="Arial" w:eastAsia="Arial" w:hAnsi="Arial"/>
          <w:sz w:val="19"/>
          <w:szCs w:val="19"/>
          <w:u w:val="single" w:color="auto"/>
          <w:color w:val="auto"/>
        </w:rPr>
        <w:t>Section 7.2(a)(ii)</w:t>
      </w:r>
      <w:r>
        <w:rPr>
          <w:rFonts w:ascii="Arial" w:cs="Arial" w:eastAsia="Arial" w:hAnsi="Arial"/>
          <w:sz w:val="19"/>
          <w:szCs w:val="19"/>
          <w:color w:val="auto"/>
        </w:rPr>
        <w:t>, or (c) with respect to any voting rights thereof, Preference Units.</w:t>
      </w: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20" w:name="page21"/>
    <w:bookmarkEnd w:id="20"/>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Over-Allotment Option</w:t>
      </w:r>
      <w:r>
        <w:rPr>
          <w:rFonts w:ascii="Arial" w:cs="Arial" w:eastAsia="Arial" w:hAnsi="Arial"/>
          <w:sz w:val="19"/>
          <w:szCs w:val="19"/>
          <w:color w:val="auto"/>
        </w:rPr>
        <w:t>” means the over-allotment option granted to the Underwriters pursuant to the Underwriting</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p>
      <w:pPr>
        <w:ind w:right="60"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Parity Securities</w:t>
      </w:r>
      <w:r>
        <w:rPr>
          <w:rFonts w:ascii="Arial" w:cs="Arial" w:eastAsia="Arial" w:hAnsi="Arial"/>
          <w:sz w:val="19"/>
          <w:szCs w:val="19"/>
          <w:color w:val="auto"/>
        </w:rPr>
        <w:t xml:space="preserve">” means the Series A Preference Units, the Series B Preference Units, the Series C Preference Units and any other class or series of Partnership Interests established after May 15, 2017 by the General Partner, the terms of which class or series expressly provide that it ranks on parity with the Series A Preference Units, the Series B Preference Units and the Series C Preference Units as to distributions and amounts payable upon a dissolution or liquidation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w:t>
      </w:r>
      <w:r>
        <w:rPr>
          <w:rFonts w:ascii="Arial" w:cs="Arial" w:eastAsia="Arial" w:hAnsi="Arial"/>
          <w:sz w:val="22"/>
          <w:szCs w:val="22"/>
          <w:color w:val="auto"/>
        </w:rPr>
        <w:t>” means the General Partner and the Limited Partners.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means GasLog Partners LP, a Marshall Islands limited partnership, and any successors thereto.</w:t>
      </w:r>
    </w:p>
    <w:p>
      <w:pPr>
        <w:spacing w:after="0" w:line="241"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Group</w:t>
      </w:r>
      <w:r>
        <w:rPr>
          <w:rFonts w:ascii="Arial" w:cs="Arial" w:eastAsia="Arial" w:hAnsi="Arial"/>
          <w:sz w:val="22"/>
          <w:szCs w:val="22"/>
          <w:color w:val="auto"/>
        </w:rPr>
        <w:t>” means the Partnership and its Subsidiaries, including the Operating Company, treated as a single consolidated entity.</w:t>
      </w:r>
    </w:p>
    <w:p>
      <w:pPr>
        <w:spacing w:after="0" w:line="173" w:lineRule="exact"/>
        <w:rPr>
          <w:sz w:val="20"/>
          <w:szCs w:val="20"/>
          <w:color w:val="auto"/>
        </w:rPr>
      </w:pPr>
    </w:p>
    <w:p>
      <w:pPr>
        <w:ind w:right="1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Interest</w:t>
      </w:r>
      <w:r>
        <w:rPr>
          <w:rFonts w:ascii="Arial" w:cs="Arial" w:eastAsia="Arial" w:hAnsi="Arial"/>
          <w:sz w:val="22"/>
          <w:szCs w:val="22"/>
          <w:color w:val="auto"/>
        </w:rPr>
        <w:t>” means any class or series of equity interest in the Partnership (but excluding any options, rights, warrants, restricted units and appreciation rights relating to an equity interest in the Partnership), including Common Units, Class B Units, Preference Units and General Partner Units.</w:t>
      </w:r>
    </w:p>
    <w:p>
      <w:pPr>
        <w:spacing w:after="0" w:line="186" w:lineRule="exact"/>
        <w:rPr>
          <w:sz w:val="20"/>
          <w:szCs w:val="20"/>
          <w:color w:val="auto"/>
        </w:rPr>
      </w:pPr>
    </w:p>
    <w:p>
      <w:pPr>
        <w:ind w:right="1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Paying Agent</w:t>
      </w:r>
      <w:r>
        <w:rPr>
          <w:rFonts w:ascii="Arial" w:cs="Arial" w:eastAsia="Arial" w:hAnsi="Arial"/>
          <w:sz w:val="22"/>
          <w:szCs w:val="22"/>
          <w:color w:val="auto"/>
        </w:rPr>
        <w:t xml:space="preserve">” means American Stock Transfer &amp; Trust Company, LLC, acting in its capacity as paying agent for the Series A Preference Units, the Series B Preference Units and the Series C Preference Units, and its respective successors and assigns or any other payment agent appointed by the Board of Directors;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Paying Agent is specifically designated for the Series A Preference Units, the Series B Preference Units or the Series C Preference Units, the Partnership shall act in such capacity.</w:t>
      </w:r>
    </w:p>
    <w:p>
      <w:pPr>
        <w:spacing w:after="0" w:line="188" w:lineRule="exact"/>
        <w:rPr>
          <w:sz w:val="20"/>
          <w:szCs w:val="20"/>
          <w:color w:val="auto"/>
        </w:rPr>
      </w:pPr>
    </w:p>
    <w:p>
      <w:pPr>
        <w:ind w:right="280"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Percentage Interest</w:t>
      </w:r>
      <w:r>
        <w:rPr>
          <w:rFonts w:ascii="Arial" w:cs="Arial" w:eastAsia="Arial" w:hAnsi="Arial"/>
          <w:sz w:val="19"/>
          <w:szCs w:val="19"/>
          <w:color w:val="auto"/>
        </w:rPr>
        <w:t>” means as of any date of determination (a) as to the General Partner with respect to General Partner Units and as to any Unitholder with respect to Units (other than Preference Units), the product obtained by multiplying</w:t>
      </w:r>
    </w:p>
    <w:p>
      <w:pPr>
        <w:spacing w:after="0" w:line="2" w:lineRule="exact"/>
        <w:rPr>
          <w:sz w:val="20"/>
          <w:szCs w:val="20"/>
          <w:color w:val="auto"/>
        </w:rPr>
      </w:pPr>
    </w:p>
    <w:p>
      <w:pPr>
        <w:ind w:firstLine="8"/>
        <w:spacing w:after="0" w:line="277" w:lineRule="auto"/>
        <w:tabs>
          <w:tab w:leader="none" w:pos="258"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100% less the percentage applicable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below by (ii) the quotient obtained by dividing (A) the number of Units (other than Preference Units) held by such Unitholder or the number of General Partner Units held by the General Partner, as the case may be, by (B) the total number of all Outstanding Units (other than Preference Units) and General Partner Units, and (b) as to the holders of other Partnership Interests issued by the Partnership in accordance with </w:t>
      </w:r>
      <w:r>
        <w:rPr>
          <w:rFonts w:ascii="Arial" w:cs="Arial" w:eastAsia="Arial" w:hAnsi="Arial"/>
          <w:sz w:val="19"/>
          <w:szCs w:val="19"/>
          <w:u w:val="single" w:color="auto"/>
          <w:color w:val="auto"/>
        </w:rPr>
        <w:t>Section 5.4</w:t>
      </w:r>
      <w:r>
        <w:rPr>
          <w:rFonts w:ascii="Arial" w:cs="Arial" w:eastAsia="Arial" w:hAnsi="Arial"/>
          <w:sz w:val="19"/>
          <w:szCs w:val="19"/>
          <w:color w:val="auto"/>
        </w:rPr>
        <w:t>, the percentage established as a part of such issuance. The Percentage Interest with respect to a Preference Unit shall at all times be zero.</w:t>
      </w:r>
    </w:p>
    <w:p>
      <w:pPr>
        <w:spacing w:after="0" w:line="153" w:lineRule="exact"/>
        <w:rPr>
          <w:sz w:val="20"/>
          <w:szCs w:val="20"/>
          <w:color w:val="auto"/>
        </w:rPr>
      </w:pPr>
    </w:p>
    <w:p>
      <w:pPr>
        <w:ind w:right="46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means an individual or a corporation, firm, limited liability company, partnership, joint venture, trust, unincorporated organization, association, governmental agency or political subdivision thereof or other entity.</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Conversion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21" w:name="page22"/>
    <w:bookmarkEnd w:id="21"/>
    <w:p>
      <w:pPr>
        <w:ind w:right="160" w:firstLine="1297"/>
        <w:spacing w:after="0" w:line="251" w:lineRule="auto"/>
        <w:rPr>
          <w:sz w:val="20"/>
          <w:szCs w:val="20"/>
          <w:color w:val="auto"/>
        </w:rPr>
      </w:pPr>
      <w:r>
        <w:rPr>
          <w:rFonts w:ascii="Arial" w:cs="Arial" w:eastAsia="Arial" w:hAnsi="Arial"/>
          <w:sz w:val="22"/>
          <w:szCs w:val="22"/>
          <w:b w:val="1"/>
          <w:bCs w:val="1"/>
          <w:i w:val="1"/>
          <w:iCs w:val="1"/>
          <w:color w:val="auto"/>
        </w:rPr>
        <w:t xml:space="preserve">“Preference Distribution Payment Date” </w:t>
      </w:r>
      <w:r>
        <w:rPr>
          <w:rFonts w:ascii="Arial" w:cs="Arial" w:eastAsia="Arial" w:hAnsi="Arial"/>
          <w:sz w:val="22"/>
          <w:szCs w:val="22"/>
          <w:color w:val="auto"/>
        </w:rPr>
        <w:t>means the Series A Distribution Payment Date, the Series B Distribution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Payment Date or the Series C Distribution Payment Date, as applicable.</w:t>
      </w:r>
    </w:p>
    <w:p>
      <w:pPr>
        <w:spacing w:after="0" w:line="173" w:lineRule="exact"/>
        <w:rPr>
          <w:sz w:val="20"/>
          <w:szCs w:val="20"/>
          <w:color w:val="auto"/>
        </w:rPr>
      </w:pPr>
    </w:p>
    <w:p>
      <w:pPr>
        <w:ind w:right="300" w:firstLine="1297"/>
        <w:spacing w:after="0" w:line="251" w:lineRule="auto"/>
        <w:rPr>
          <w:sz w:val="20"/>
          <w:szCs w:val="20"/>
          <w:color w:val="auto"/>
        </w:rPr>
      </w:pPr>
      <w:r>
        <w:rPr>
          <w:rFonts w:ascii="Arial" w:cs="Arial" w:eastAsia="Arial" w:hAnsi="Arial"/>
          <w:sz w:val="22"/>
          <w:szCs w:val="22"/>
          <w:b w:val="1"/>
          <w:bCs w:val="1"/>
          <w:i w:val="1"/>
          <w:iCs w:val="1"/>
          <w:color w:val="auto"/>
        </w:rPr>
        <w:t xml:space="preserve">“Preference Distribution Period” </w:t>
      </w:r>
      <w:r>
        <w:rPr>
          <w:rFonts w:ascii="Arial" w:cs="Arial" w:eastAsia="Arial" w:hAnsi="Arial"/>
          <w:sz w:val="22"/>
          <w:szCs w:val="22"/>
          <w:color w:val="auto"/>
        </w:rPr>
        <w:t>means the Series A Distribution Period, the Series B Distribution Period 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Series C Distribution Period, as applicable.</w:t>
      </w:r>
    </w:p>
    <w:p>
      <w:pPr>
        <w:spacing w:after="0" w:line="173" w:lineRule="exact"/>
        <w:rPr>
          <w:sz w:val="20"/>
          <w:szCs w:val="20"/>
          <w:color w:val="auto"/>
        </w:rPr>
      </w:pPr>
    </w:p>
    <w:p>
      <w:pPr>
        <w:ind w:right="1160" w:firstLine="1297"/>
        <w:spacing w:after="0" w:line="251" w:lineRule="auto"/>
        <w:rPr>
          <w:sz w:val="20"/>
          <w:szCs w:val="20"/>
          <w:color w:val="auto"/>
        </w:rPr>
      </w:pPr>
      <w:r>
        <w:rPr>
          <w:rFonts w:ascii="Arial" w:cs="Arial" w:eastAsia="Arial" w:hAnsi="Arial"/>
          <w:sz w:val="22"/>
          <w:szCs w:val="22"/>
          <w:b w:val="1"/>
          <w:bCs w:val="1"/>
          <w:i w:val="1"/>
          <w:iCs w:val="1"/>
          <w:color w:val="auto"/>
        </w:rPr>
        <w:t xml:space="preserve">“Preference Distributions” </w:t>
      </w:r>
      <w:r>
        <w:rPr>
          <w:rFonts w:ascii="Arial" w:cs="Arial" w:eastAsia="Arial" w:hAnsi="Arial"/>
          <w:sz w:val="22"/>
          <w:szCs w:val="22"/>
          <w:color w:val="auto"/>
        </w:rPr>
        <w:t>means the Series A Distributions, the Series B Distributions or the Series C</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Distributions, as applicable.</w:t>
      </w:r>
    </w:p>
    <w:p>
      <w:pPr>
        <w:spacing w:after="0" w:line="173"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Preference Units</w:t>
      </w:r>
      <w:r>
        <w:rPr>
          <w:rFonts w:ascii="Arial" w:cs="Arial" w:eastAsia="Arial" w:hAnsi="Arial"/>
          <w:sz w:val="19"/>
          <w:szCs w:val="19"/>
          <w:color w:val="auto"/>
        </w:rPr>
        <w:t>” means a Partnership Interest, designated as a “</w:t>
      </w:r>
      <w:r>
        <w:rPr>
          <w:rFonts w:ascii="Arial" w:cs="Arial" w:eastAsia="Arial" w:hAnsi="Arial"/>
          <w:sz w:val="19"/>
          <w:szCs w:val="19"/>
          <w:b w:val="1"/>
          <w:bCs w:val="1"/>
          <w:i w:val="1"/>
          <w:iCs w:val="1"/>
          <w:color w:val="auto"/>
        </w:rPr>
        <w:t>Preference Unit</w:t>
      </w:r>
      <w:r>
        <w:rPr>
          <w:rFonts w:ascii="Arial" w:cs="Arial" w:eastAsia="Arial" w:hAnsi="Arial"/>
          <w:sz w:val="19"/>
          <w:szCs w:val="19"/>
          <w:color w:val="auto"/>
        </w:rPr>
        <w:t>,” including the Series A Preference Units, the Series B Preference Units and the Series C Preference Units, which entitles the holder thereof to a preference with respect to distributions, or as to the distribution of assets upon any Liquidation Event, over Common Units.</w:t>
      </w:r>
    </w:p>
    <w:p>
      <w:pPr>
        <w:spacing w:after="0" w:line="134" w:lineRule="exact"/>
        <w:rPr>
          <w:sz w:val="20"/>
          <w:szCs w:val="20"/>
          <w:color w:val="auto"/>
        </w:rPr>
      </w:pPr>
    </w:p>
    <w:p>
      <w:pPr>
        <w:ind w:right="20" w:firstLine="1297"/>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Rata</w:t>
      </w:r>
      <w:r>
        <w:rPr>
          <w:rFonts w:ascii="Arial" w:cs="Arial" w:eastAsia="Arial" w:hAnsi="Arial"/>
          <w:sz w:val="19"/>
          <w:szCs w:val="19"/>
          <w:color w:val="auto"/>
        </w:rPr>
        <w:t>” means (a) when used with respect to Units (other than Preference Units) or any class or series thereof, apportioned equally among all designated Units (other than Preference Units) in accordance with their relative Percentage Interests,</w:t>
      </w:r>
    </w:p>
    <w:p>
      <w:pPr>
        <w:spacing w:after="0" w:line="2" w:lineRule="exact"/>
        <w:rPr>
          <w:sz w:val="20"/>
          <w:szCs w:val="20"/>
          <w:color w:val="auto"/>
        </w:rPr>
      </w:pPr>
    </w:p>
    <w:p>
      <w:pPr>
        <w:ind w:right="300" w:firstLine="8"/>
        <w:spacing w:after="0" w:line="280" w:lineRule="auto"/>
        <w:tabs>
          <w:tab w:leader="none" w:pos="306" w:val="left"/>
        </w:tabs>
        <w:numPr>
          <w:ilvl w:val="0"/>
          <w:numId w:val="4"/>
        </w:numPr>
        <w:rPr>
          <w:rFonts w:ascii="Arial" w:cs="Arial" w:eastAsia="Arial" w:hAnsi="Arial"/>
          <w:sz w:val="19"/>
          <w:szCs w:val="19"/>
          <w:color w:val="auto"/>
        </w:rPr>
      </w:pPr>
      <w:r>
        <w:rPr>
          <w:rFonts w:ascii="Arial" w:cs="Arial" w:eastAsia="Arial" w:hAnsi="Arial"/>
          <w:sz w:val="19"/>
          <w:szCs w:val="19"/>
          <w:color w:val="auto"/>
        </w:rPr>
        <w:t>when used with respect to Partners or Record Holders, apportioned among all Partners or Record Holders in accordance with their relative Percentage Interests and (c) when used with respect to holders of Preference Units (or a particular series thereof), apportioned equally among all holders of Preference Units (or such series thereof) in accordance with the relative number or percentage of Preference Units (or such series thereof) held by each such holder.</w:t>
      </w:r>
    </w:p>
    <w:p>
      <w:pPr>
        <w:spacing w:after="0" w:line="151" w:lineRule="exact"/>
        <w:rPr>
          <w:sz w:val="20"/>
          <w:szCs w:val="20"/>
          <w:color w:val="auto"/>
        </w:rPr>
      </w:pPr>
    </w:p>
    <w:p>
      <w:pPr>
        <w:jc w:val="both"/>
        <w:ind w:right="52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Date</w:t>
      </w:r>
      <w:r>
        <w:rPr>
          <w:rFonts w:ascii="Arial" w:cs="Arial" w:eastAsia="Arial" w:hAnsi="Arial"/>
          <w:sz w:val="22"/>
          <w:szCs w:val="22"/>
          <w:color w:val="auto"/>
        </w:rPr>
        <w:t xml:space="preserve">” means the date determined by the General Partner as the date for purchase of all Outstanding Limited Partner Interests of a certain class or series (other than Limited Partner Interests owned by the General Partner and its Affiliates) pursuant to </w:t>
      </w:r>
      <w:r>
        <w:rPr>
          <w:rFonts w:ascii="Arial" w:cs="Arial" w:eastAsia="Arial" w:hAnsi="Arial"/>
          <w:sz w:val="22"/>
          <w:szCs w:val="22"/>
          <w:u w:val="single" w:color="auto"/>
          <w:color w:val="auto"/>
        </w:rPr>
        <w:t>Article XV</w:t>
      </w:r>
      <w:r>
        <w:rPr>
          <w:rFonts w:ascii="Arial" w:cs="Arial" w:eastAsia="Arial" w:hAnsi="Arial"/>
          <w:sz w:val="22"/>
          <w:szCs w:val="22"/>
          <w:color w:val="auto"/>
        </w:rPr>
        <w:t>.</w:t>
      </w:r>
    </w:p>
    <w:p>
      <w:pPr>
        <w:spacing w:after="0" w:line="186" w:lineRule="exact"/>
        <w:rPr>
          <w:sz w:val="20"/>
          <w:szCs w:val="20"/>
          <w:color w:val="auto"/>
        </w:rPr>
      </w:pPr>
    </w:p>
    <w:p>
      <w:pPr>
        <w:ind w:right="360" w:firstLine="12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Quarter</w:t>
      </w:r>
      <w:r>
        <w:rPr>
          <w:rFonts w:ascii="Arial" w:cs="Arial" w:eastAsia="Arial" w:hAnsi="Arial"/>
          <w:sz w:val="21"/>
          <w:szCs w:val="21"/>
          <w:color w:val="auto"/>
        </w:rPr>
        <w:t>” means, unless the context requires otherwise, a fiscal quarter, or, with respect to the first fiscal quarter including the Closing Date, the portion of such fiscal quarter after the Closing Date, of the Partnership.</w:t>
      </w:r>
    </w:p>
    <w:p>
      <w:pPr>
        <w:spacing w:after="0" w:line="151"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 Date</w:t>
      </w:r>
      <w:r>
        <w:rPr>
          <w:rFonts w:ascii="Arial" w:cs="Arial" w:eastAsia="Arial" w:hAnsi="Arial"/>
          <w:sz w:val="22"/>
          <w:szCs w:val="22"/>
          <w:color w:val="auto"/>
        </w:rPr>
        <w:t>” means the date established by the Board of Directors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8" w:lineRule="exact"/>
        <w:rPr>
          <w:sz w:val="20"/>
          <w:szCs w:val="20"/>
          <w:color w:val="auto"/>
        </w:rPr>
      </w:pPr>
    </w:p>
    <w:p>
      <w:pPr>
        <w:ind w:right="120" w:firstLine="1297"/>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Record Holder</w:t>
      </w:r>
      <w:r>
        <w:rPr>
          <w:rFonts w:ascii="Arial" w:cs="Arial" w:eastAsia="Arial" w:hAnsi="Arial"/>
          <w:sz w:val="19"/>
          <w:szCs w:val="19"/>
          <w:color w:val="auto"/>
        </w:rPr>
        <w:t xml:space="preserve">” means (a) the Person in whose name a Common Unit is registered on the books of the Transfer Agent as of the opening of business on a particular Business Day, (b) the Person in whose name a Class B Unit is registered on the books of the Transfer Agent as of the opening of business on a particular Business Day, (c) the Person in whose name a Preference Unit is registered on the books of the Transfer Agent as of, unless otherwise set forth in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XVII</w:t>
      </w:r>
      <w:r>
        <w:rPr>
          <w:rFonts w:ascii="Arial" w:cs="Arial" w:eastAsia="Arial" w:hAnsi="Arial"/>
          <w:sz w:val="19"/>
          <w:szCs w:val="19"/>
          <w:color w:val="auto"/>
        </w:rPr>
        <w:t>, and</w:t>
      </w:r>
    </w:p>
    <w:p>
      <w:pPr>
        <w:spacing w:after="0" w:line="4" w:lineRule="exact"/>
        <w:rPr>
          <w:sz w:val="20"/>
          <w:szCs w:val="20"/>
          <w:color w:val="auto"/>
        </w:rPr>
      </w:pPr>
    </w:p>
    <w:p>
      <w:pPr>
        <w:ind w:right="120"/>
        <w:spacing w:after="0" w:line="237" w:lineRule="auto"/>
        <w:rPr>
          <w:sz w:val="20"/>
          <w:szCs w:val="20"/>
          <w:color w:val="auto"/>
        </w:rPr>
      </w:pPr>
      <w:r>
        <w:rPr>
          <w:rFonts w:ascii="Arial" w:cs="Arial" w:eastAsia="Arial" w:hAnsi="Arial"/>
          <w:sz w:val="22"/>
          <w:szCs w:val="22"/>
          <w:u w:val="single" w:color="auto"/>
          <w:color w:val="auto"/>
        </w:rPr>
        <w:t>Article XVIII,</w:t>
      </w:r>
      <w:r>
        <w:rPr>
          <w:rFonts w:ascii="Arial" w:cs="Arial" w:eastAsia="Arial" w:hAnsi="Arial"/>
          <w:sz w:val="22"/>
          <w:szCs w:val="22"/>
          <w:color w:val="auto"/>
        </w:rPr>
        <w:t xml:space="preserve"> the opening of business on a particular Business Day or (d) with respect to other Partnership Interests, the Person in whose name any such other Partnership Interest is registered on the books that the Board of Directors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2" w:name="page23"/>
    <w:bookmarkEnd w:id="22"/>
    <w:p>
      <w:pPr>
        <w:ind w:right="360"/>
        <w:spacing w:after="0" w:line="251" w:lineRule="auto"/>
        <w:rPr>
          <w:sz w:val="20"/>
          <w:szCs w:val="20"/>
          <w:color w:val="auto"/>
        </w:rPr>
      </w:pPr>
      <w:r>
        <w:rPr>
          <w:rFonts w:ascii="Arial" w:cs="Arial" w:eastAsia="Arial" w:hAnsi="Arial"/>
          <w:sz w:val="22"/>
          <w:szCs w:val="22"/>
          <w:color w:val="auto"/>
        </w:rPr>
        <w:t>has caused to be kept as of the opening of business on such Business Day (which books may be kept, at the Board of Directors’ option, by the Transfer Agent).</w:t>
      </w:r>
    </w:p>
    <w:p>
      <w:pPr>
        <w:spacing w:after="0" w:line="173" w:lineRule="exact"/>
        <w:rPr>
          <w:sz w:val="20"/>
          <w:szCs w:val="20"/>
          <w:color w:val="auto"/>
        </w:rPr>
      </w:pPr>
    </w:p>
    <w:p>
      <w:pPr>
        <w:ind w:right="180" w:firstLine="1297"/>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Registration Statement</w:t>
      </w:r>
      <w:r>
        <w:rPr>
          <w:rFonts w:ascii="Arial" w:cs="Arial" w:eastAsia="Arial" w:hAnsi="Arial"/>
          <w:sz w:val="21"/>
          <w:szCs w:val="21"/>
          <w:color w:val="auto"/>
        </w:rPr>
        <w:t>” means the Partnership’s Registration Statement on Form F-1 (Registration No. 333-195109) as it has been or as it may be amended or supplemented from time to time, filed by the Partnership with the Commission under the Securities Act to register the offering and sale of the Common Units in the Initial Offering.</w:t>
      </w:r>
    </w:p>
    <w:p>
      <w:pPr>
        <w:spacing w:after="0" w:line="167"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Reuters Page LIBOR01</w:t>
      </w:r>
      <w:r>
        <w:rPr>
          <w:rFonts w:ascii="Arial" w:cs="Arial" w:eastAsia="Arial" w:hAnsi="Arial"/>
          <w:sz w:val="21"/>
          <w:szCs w:val="21"/>
          <w:color w:val="auto"/>
        </w:rPr>
        <w:t>” means the display so designated on the Reuters 3000 Xtra (or such other page as may replace the LIBOR01 page on that service, or such other service as may be nominated by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174"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 supplemented or restated from time to time and any successor to such statute.</w:t>
      </w:r>
    </w:p>
    <w:p>
      <w:pPr>
        <w:spacing w:after="0" w:line="173"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Securities</w:t>
      </w:r>
      <w:r>
        <w:rPr>
          <w:rFonts w:ascii="Arial" w:cs="Arial" w:eastAsia="Arial" w:hAnsi="Arial"/>
          <w:sz w:val="22"/>
          <w:szCs w:val="22"/>
          <w:color w:val="auto"/>
        </w:rPr>
        <w:t xml:space="preserve">” means any class or series of Partnership Interests established after May 15, 2017 by the General Partner, the terms of which class or series expressly provide that it ranks senior to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185" w:lineRule="exact"/>
        <w:rPr>
          <w:sz w:val="20"/>
          <w:szCs w:val="20"/>
          <w:color w:val="auto"/>
        </w:rPr>
      </w:pPr>
    </w:p>
    <w:p>
      <w:pPr>
        <w:ind w:right="1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Determination Date</w:t>
      </w:r>
      <w:r>
        <w:rPr>
          <w:rFonts w:ascii="Arial" w:cs="Arial" w:eastAsia="Arial" w:hAnsi="Arial"/>
          <w:sz w:val="22"/>
          <w:szCs w:val="22"/>
          <w:color w:val="auto"/>
        </w:rPr>
        <w:t>” means the London Business Day immediately preceding the first date of the applicable Series A Distribution Period.</w:t>
      </w:r>
    </w:p>
    <w:p>
      <w:pPr>
        <w:spacing w:after="0" w:line="173" w:lineRule="exact"/>
        <w:rPr>
          <w:sz w:val="20"/>
          <w:szCs w:val="20"/>
          <w:color w:val="auto"/>
        </w:rPr>
      </w:pPr>
    </w:p>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Payment Date</w:t>
      </w:r>
      <w:r>
        <w:rPr>
          <w:rFonts w:ascii="Arial" w:cs="Arial" w:eastAsia="Arial" w:hAnsi="Arial"/>
          <w:sz w:val="22"/>
          <w:szCs w:val="22"/>
          <w:color w:val="auto"/>
        </w:rPr>
        <w:t xml:space="preserve">” means each March 15, June 15, September 15 and December 15, commencing September 15, 2017;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A Distribution Payment Date would otherwise occur on a day that is not a Business Day, such Series A Distribution Payment Date shall instead be on the immediately succeeding Business Day.</w:t>
      </w:r>
    </w:p>
    <w:p>
      <w:pPr>
        <w:spacing w:after="0" w:line="185"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 Period</w:t>
      </w:r>
      <w:r>
        <w:rPr>
          <w:rFonts w:ascii="Arial" w:cs="Arial" w:eastAsia="Arial" w:hAnsi="Arial"/>
          <w:sz w:val="19"/>
          <w:szCs w:val="19"/>
          <w:color w:val="auto"/>
        </w:rPr>
        <w:t>” means a period of time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w:t>
      </w:r>
    </w:p>
    <w:p>
      <w:pPr>
        <w:spacing w:after="0" w:line="134" w:lineRule="exact"/>
        <w:rPr>
          <w:sz w:val="20"/>
          <w:szCs w:val="20"/>
          <w:color w:val="auto"/>
        </w:rPr>
      </w:pPr>
    </w:p>
    <w:p>
      <w:pPr>
        <w:ind w:right="22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Rate</w:t>
      </w:r>
      <w:r>
        <w:rPr>
          <w:rFonts w:ascii="Arial" w:cs="Arial" w:eastAsia="Arial" w:hAnsi="Arial"/>
          <w:sz w:val="22"/>
          <w:szCs w:val="22"/>
          <w:color w:val="auto"/>
        </w:rPr>
        <w:t>” means, with respect to the Series A Fixed Rate Period, a rate equal to 8.625% per annum of the Stated Series A Liquidation Preference per Series A Preference Unit and, with respect to the Series A Floating Rate Period, a floating rate equal to the Series A Three-Month LIBOR Rate plus a spread of 6.31% per annum of the Stated Series A Liquidation Preference per Series A Preference Unit.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16.3(c)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Distributions</w:t>
      </w:r>
      <w:r>
        <w:rPr>
          <w:rFonts w:ascii="Arial" w:cs="Arial" w:eastAsia="Arial" w:hAnsi="Arial"/>
          <w:sz w:val="19"/>
          <w:szCs w:val="19"/>
          <w:color w:val="auto"/>
        </w:rPr>
        <w:t xml:space="preserve">” means distributions with respect to Series A Preference Units pursuant to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24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23" w:name="page24"/>
    <w:bookmarkEnd w:id="23"/>
    <w:p>
      <w:pPr>
        <w:ind w:right="84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Fixed Rate Period</w:t>
      </w:r>
      <w:r>
        <w:rPr>
          <w:rFonts w:ascii="Arial" w:cs="Arial" w:eastAsia="Arial" w:hAnsi="Arial"/>
          <w:sz w:val="22"/>
          <w:szCs w:val="22"/>
          <w:color w:val="auto"/>
        </w:rPr>
        <w:t>” means the period from and including the Series A Original Issue Date to, but excluding June 15, 2027.</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Floating Rate Period</w:t>
      </w:r>
      <w:r>
        <w:rPr>
          <w:rFonts w:ascii="Arial" w:cs="Arial" w:eastAsia="Arial" w:hAnsi="Arial"/>
          <w:sz w:val="22"/>
          <w:szCs w:val="22"/>
          <w:color w:val="auto"/>
        </w:rPr>
        <w:t>” means the period from and including June 15, 2027.</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Holder</w:t>
      </w:r>
      <w:r>
        <w:rPr>
          <w:rFonts w:ascii="Arial" w:cs="Arial" w:eastAsia="Arial" w:hAnsi="Arial"/>
          <w:sz w:val="22"/>
          <w:szCs w:val="22"/>
          <w:color w:val="auto"/>
        </w:rPr>
        <w:t>” means a Record Holder of the Series A Preference Units.</w:t>
      </w:r>
    </w:p>
    <w:p>
      <w:pPr>
        <w:spacing w:after="0" w:line="206" w:lineRule="exact"/>
        <w:rPr>
          <w:sz w:val="20"/>
          <w:szCs w:val="20"/>
          <w:color w:val="auto"/>
        </w:rPr>
      </w:pPr>
    </w:p>
    <w:p>
      <w:pPr>
        <w:ind w:right="16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Liquidation Preference</w:t>
      </w:r>
      <w:r>
        <w:rPr>
          <w:rFonts w:ascii="Arial" w:cs="Arial" w:eastAsia="Arial" w:hAnsi="Arial"/>
          <w:sz w:val="22"/>
          <w:szCs w:val="22"/>
          <w:color w:val="auto"/>
        </w:rPr>
        <w:t xml:space="preserve">” means a liquidation preference for each Series A Preference Unit initially equal to $25.00 per unit, which liquidation preference shall be subject to (a) increase by the per Series A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which does not result in payment in full of the liquidation preference of such Series A Preference Unit.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Original Issue Date</w:t>
      </w:r>
      <w:r>
        <w:rPr>
          <w:rFonts w:ascii="Arial" w:cs="Arial" w:eastAsia="Arial" w:hAnsi="Arial"/>
          <w:sz w:val="22"/>
          <w:szCs w:val="22"/>
          <w:color w:val="auto"/>
        </w:rPr>
        <w:t>” means May 15, 2017.</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Payments</w:t>
      </w:r>
      <w:r>
        <w:rPr>
          <w:rFonts w:ascii="Arial" w:cs="Arial" w:eastAsia="Arial" w:hAnsi="Arial"/>
          <w:sz w:val="22"/>
          <w:szCs w:val="22"/>
          <w:color w:val="auto"/>
        </w:rPr>
        <w:t>” means, collectively, Series A Distributions and Series A Redemption Payments.</w:t>
      </w:r>
    </w:p>
    <w:p>
      <w:pPr>
        <w:spacing w:after="0" w:line="206" w:lineRule="exact"/>
        <w:rPr>
          <w:sz w:val="20"/>
          <w:szCs w:val="20"/>
          <w:color w:val="auto"/>
        </w:rPr>
      </w:pPr>
    </w:p>
    <w:p>
      <w:pPr>
        <w:ind w:right="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16.6(b)</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Payments</w:t>
      </w:r>
      <w:r>
        <w:rPr>
          <w:rFonts w:ascii="Arial" w:cs="Arial" w:eastAsia="Arial" w:hAnsi="Arial"/>
          <w:sz w:val="22"/>
          <w:szCs w:val="22"/>
          <w:color w:val="auto"/>
        </w:rPr>
        <w:t xml:space="preserve">” means payments to be made to the holders of Series A Preference Units to redeem Series A Preference Units in accordance with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A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16.3(b)</w:t>
      </w:r>
      <w:r>
        <w:rPr>
          <w:rFonts w:ascii="Arial" w:cs="Arial" w:eastAsia="Arial" w:hAnsi="Arial"/>
          <w:sz w:val="22"/>
          <w:szCs w:val="22"/>
          <w:color w:val="auto"/>
        </w:rPr>
        <w:t>.</w:t>
      </w:r>
    </w:p>
    <w:p>
      <w:pPr>
        <w:spacing w:after="0" w:line="206" w:lineRule="exact"/>
        <w:rPr>
          <w:sz w:val="20"/>
          <w:szCs w:val="20"/>
          <w:color w:val="auto"/>
        </w:rPr>
      </w:pPr>
    </w:p>
    <w:p>
      <w:pPr>
        <w:ind w:right="1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Determination Date</w:t>
      </w:r>
      <w:r>
        <w:rPr>
          <w:rFonts w:ascii="Arial" w:cs="Arial" w:eastAsia="Arial" w:hAnsi="Arial"/>
          <w:sz w:val="22"/>
          <w:szCs w:val="22"/>
          <w:color w:val="auto"/>
        </w:rPr>
        <w:t>” means the London Business Day immediately preceding the first date of the applicable Series B Distribution Period.</w:t>
      </w:r>
    </w:p>
    <w:p>
      <w:pPr>
        <w:spacing w:after="0" w:line="173" w:lineRule="exact"/>
        <w:rPr>
          <w:sz w:val="20"/>
          <w:szCs w:val="20"/>
          <w:color w:val="auto"/>
        </w:rPr>
      </w:pPr>
    </w:p>
    <w:p>
      <w:pPr>
        <w:ind w:right="14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 Payment Date</w:t>
      </w:r>
      <w:r>
        <w:rPr>
          <w:rFonts w:ascii="Arial" w:cs="Arial" w:eastAsia="Arial" w:hAnsi="Arial"/>
          <w:sz w:val="19"/>
          <w:szCs w:val="19"/>
          <w:color w:val="auto"/>
        </w:rPr>
        <w:t xml:space="preserve">” means each March 15, June 15, September 15 and December 15, commencing March 15, 2018;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Series B Distribution Payment Date would otherwise occur on a day that is not a Business Day, such Series B Distribution Payment Date shall instead be on the immediately succeeding Business Day.</w:t>
      </w:r>
    </w:p>
    <w:p>
      <w:pPr>
        <w:spacing w:after="0" w:line="134" w:lineRule="exact"/>
        <w:rPr>
          <w:sz w:val="20"/>
          <w:szCs w:val="20"/>
          <w:color w:val="auto"/>
        </w:rPr>
      </w:pPr>
    </w:p>
    <w:p>
      <w:pPr>
        <w:ind w:right="4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 Period</w:t>
      </w:r>
      <w:r>
        <w:rPr>
          <w:rFonts w:ascii="Arial" w:cs="Arial" w:eastAsia="Arial" w:hAnsi="Arial"/>
          <w:sz w:val="19"/>
          <w:szCs w:val="19"/>
          <w:color w:val="auto"/>
        </w:rPr>
        <w:t>” means a period of time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4" w:name="page25"/>
    <w:bookmarkEnd w:id="24"/>
    <w:p>
      <w:pPr>
        <w:ind w:right="1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Rate</w:t>
      </w:r>
      <w:r>
        <w:rPr>
          <w:rFonts w:ascii="Arial" w:cs="Arial" w:eastAsia="Arial" w:hAnsi="Arial"/>
          <w:sz w:val="22"/>
          <w:szCs w:val="22"/>
          <w:color w:val="auto"/>
        </w:rPr>
        <w:t>” means, with respect to the Series B Fixed Rate Period, a rate equal to 8.200% per annum of the Stated Series B Liquidation Preference per Series B Preference Unit and, with respect to the Series B Floating Rate Period, a floating rate equal to the Series B Three-Month LIBOR Rate plus a spread of 5.839% per annum of the Stated Series B Liquidation Preference per Series B Preference Unit.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17.3(c)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Distributions</w:t>
      </w:r>
      <w:r>
        <w:rPr>
          <w:rFonts w:ascii="Arial" w:cs="Arial" w:eastAsia="Arial" w:hAnsi="Arial"/>
          <w:sz w:val="19"/>
          <w:szCs w:val="19"/>
          <w:color w:val="auto"/>
        </w:rPr>
        <w:t xml:space="preserve">” means distributions with respect to Series B Preference Units pursuant to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241" w:lineRule="exact"/>
        <w:rPr>
          <w:sz w:val="20"/>
          <w:szCs w:val="20"/>
          <w:color w:val="auto"/>
        </w:rPr>
      </w:pPr>
    </w:p>
    <w:p>
      <w:pPr>
        <w:ind w:right="7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Fixed Rate Period</w:t>
      </w:r>
      <w:r>
        <w:rPr>
          <w:rFonts w:ascii="Arial" w:cs="Arial" w:eastAsia="Arial" w:hAnsi="Arial"/>
          <w:sz w:val="22"/>
          <w:szCs w:val="22"/>
          <w:color w:val="auto"/>
        </w:rPr>
        <w:t>” means the period from and including the Series B Original Issue Date to, but excluding March 15, 2023.</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Floating Rate Period</w:t>
      </w:r>
      <w:r>
        <w:rPr>
          <w:rFonts w:ascii="Arial" w:cs="Arial" w:eastAsia="Arial" w:hAnsi="Arial"/>
          <w:sz w:val="22"/>
          <w:szCs w:val="22"/>
          <w:color w:val="auto"/>
        </w:rPr>
        <w:t>” means the period from and including March 15, 2023.</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Holder</w:t>
      </w:r>
      <w:r>
        <w:rPr>
          <w:rFonts w:ascii="Arial" w:cs="Arial" w:eastAsia="Arial" w:hAnsi="Arial"/>
          <w:sz w:val="22"/>
          <w:szCs w:val="22"/>
          <w:color w:val="auto"/>
        </w:rPr>
        <w:t>” means a Record Holder of the Series B Preference Units.</w:t>
      </w:r>
    </w:p>
    <w:p>
      <w:pPr>
        <w:spacing w:after="0" w:line="206" w:lineRule="exact"/>
        <w:rPr>
          <w:sz w:val="20"/>
          <w:szCs w:val="20"/>
          <w:color w:val="auto"/>
        </w:rPr>
      </w:pPr>
    </w:p>
    <w:p>
      <w:pPr>
        <w:ind w:right="8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Liquidation Preference</w:t>
      </w:r>
      <w:r>
        <w:rPr>
          <w:rFonts w:ascii="Arial" w:cs="Arial" w:eastAsia="Arial" w:hAnsi="Arial"/>
          <w:sz w:val="22"/>
          <w:szCs w:val="22"/>
          <w:color w:val="auto"/>
        </w:rPr>
        <w:t xml:space="preserve">” means a liquidation preference for each Series B Preference Unit initially equal to $25.00 per unit, which liquidation preference shall be subject to (a) increase by the per Series B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which does not result in payment in full of the liquidation preference of such Series B Preference Unit.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Original Issue Date</w:t>
      </w:r>
      <w:r>
        <w:rPr>
          <w:rFonts w:ascii="Arial" w:cs="Arial" w:eastAsia="Arial" w:hAnsi="Arial"/>
          <w:sz w:val="22"/>
          <w:szCs w:val="22"/>
          <w:color w:val="auto"/>
        </w:rPr>
        <w:t>” means January 17, 2018.</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Payments</w:t>
      </w:r>
      <w:r>
        <w:rPr>
          <w:rFonts w:ascii="Arial" w:cs="Arial" w:eastAsia="Arial" w:hAnsi="Arial"/>
          <w:sz w:val="22"/>
          <w:szCs w:val="22"/>
          <w:color w:val="auto"/>
        </w:rPr>
        <w:t>” means, collectively, Series B Distributions and Series B Redemption Payments.</w:t>
      </w:r>
    </w:p>
    <w:p>
      <w:pPr>
        <w:spacing w:after="0" w:line="206" w:lineRule="exact"/>
        <w:rPr>
          <w:sz w:val="20"/>
          <w:szCs w:val="20"/>
          <w:color w:val="auto"/>
        </w:rPr>
      </w:pPr>
    </w:p>
    <w:p>
      <w:pPr>
        <w:ind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17.6(b)</w:t>
      </w:r>
      <w:r>
        <w:rPr>
          <w:rFonts w:ascii="Arial" w:cs="Arial" w:eastAsia="Arial" w:hAnsi="Arial"/>
          <w:sz w:val="22"/>
          <w:szCs w:val="22"/>
          <w:color w:val="auto"/>
        </w:rPr>
        <w:t>.</w:t>
      </w:r>
    </w:p>
    <w:p>
      <w:pPr>
        <w:spacing w:after="0" w:line="206" w:lineRule="exact"/>
        <w:rPr>
          <w:sz w:val="20"/>
          <w:szCs w:val="20"/>
          <w:color w:val="auto"/>
        </w:rPr>
      </w:pPr>
    </w:p>
    <w:p>
      <w:pPr>
        <w:ind w:right="6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Payments</w:t>
      </w:r>
      <w:r>
        <w:rPr>
          <w:rFonts w:ascii="Arial" w:cs="Arial" w:eastAsia="Arial" w:hAnsi="Arial"/>
          <w:sz w:val="22"/>
          <w:szCs w:val="22"/>
          <w:color w:val="auto"/>
        </w:rPr>
        <w:t xml:space="preserve">” means payments to be made to the holders of Series B Preference Units to redeem Series B Preference Units in accordance with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B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17.3(b)</w:t>
      </w:r>
      <w:r>
        <w:rPr>
          <w:rFonts w:ascii="Arial" w:cs="Arial" w:eastAsia="Arial" w:hAnsi="Arial"/>
          <w:sz w:val="22"/>
          <w:szCs w:val="22"/>
          <w:color w:val="auto"/>
        </w:rPr>
        <w:t>.</w:t>
      </w:r>
    </w:p>
    <w:p>
      <w:pPr>
        <w:spacing w:after="0" w:line="206" w:lineRule="exact"/>
        <w:rPr>
          <w:sz w:val="20"/>
          <w:szCs w:val="20"/>
          <w:color w:val="auto"/>
        </w:rPr>
      </w:pPr>
    </w:p>
    <w:p>
      <w:pPr>
        <w:ind w:right="1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Determination Date</w:t>
      </w:r>
      <w:r>
        <w:rPr>
          <w:rFonts w:ascii="Arial" w:cs="Arial" w:eastAsia="Arial" w:hAnsi="Arial"/>
          <w:sz w:val="22"/>
          <w:szCs w:val="22"/>
          <w:color w:val="auto"/>
        </w:rPr>
        <w:t>” means the London Business Day immediately preceding the first date of the applicable Series C Distribution Period.</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25" w:name="page26"/>
    <w:bookmarkEnd w:id="25"/>
    <w:p>
      <w:pPr>
        <w:ind w:right="100"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 Payment Date</w:t>
      </w:r>
      <w:r>
        <w:rPr>
          <w:rFonts w:ascii="Arial" w:cs="Arial" w:eastAsia="Arial" w:hAnsi="Arial"/>
          <w:sz w:val="19"/>
          <w:szCs w:val="19"/>
          <w:color w:val="auto"/>
        </w:rPr>
        <w:t xml:space="preserve">” means each March 15, June 15, September 15 and December 15, commencing March 15, 2019;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any Series C Distribution Payment Date would otherwise occur on a day that is not a Business Day, such Series C Distribution Payment Date shall instead be on the immediately succeeding Business Day.</w:t>
      </w:r>
    </w:p>
    <w:p>
      <w:pPr>
        <w:spacing w:after="0" w:line="134" w:lineRule="exact"/>
        <w:rPr>
          <w:sz w:val="20"/>
          <w:szCs w:val="20"/>
          <w:color w:val="auto"/>
        </w:rPr>
      </w:pPr>
    </w:p>
    <w:p>
      <w:pPr>
        <w:ind w:firstLine="12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 Period</w:t>
      </w:r>
      <w:r>
        <w:rPr>
          <w:rFonts w:ascii="Arial" w:cs="Arial" w:eastAsia="Arial" w:hAnsi="Arial"/>
          <w:sz w:val="19"/>
          <w:szCs w:val="19"/>
          <w:color w:val="auto"/>
        </w:rPr>
        <w:t>” means a period of time from and including the preceding Series C Distribution Payment Date (other than the initial Series C Distribution Period, which shall commence on and include the Series C Original Issue Date) to, but excluding, the next Series C Distribution Payment Date for such Series C Distribution Period.</w:t>
      </w:r>
    </w:p>
    <w:p>
      <w:pPr>
        <w:spacing w:after="0" w:line="134" w:lineRule="exact"/>
        <w:rPr>
          <w:sz w:val="20"/>
          <w:szCs w:val="20"/>
          <w:color w:val="auto"/>
        </w:rPr>
      </w:pPr>
    </w:p>
    <w:p>
      <w:pPr>
        <w:ind w:right="20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Rate</w:t>
      </w:r>
      <w:r>
        <w:rPr>
          <w:rFonts w:ascii="Arial" w:cs="Arial" w:eastAsia="Arial" w:hAnsi="Arial"/>
          <w:sz w:val="22"/>
          <w:szCs w:val="22"/>
          <w:color w:val="auto"/>
        </w:rPr>
        <w:t>” means, with respect to the Series C Fixed Rate Period, a rate equal to 8.500% per annum of the Stated Series C Liquidation Preference per Series C Preference Unit and, with respect to the Series C Floating Rate Period, a floating rate equal to the Series C Three-Month LIBOR Rate plus a spread of 5.317% per annum of the Stated Series C Liquidation Preference per Series C Preference Unit.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18.3(c)</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Distributions</w:t>
      </w:r>
      <w:r>
        <w:rPr>
          <w:rFonts w:ascii="Arial" w:cs="Arial" w:eastAsia="Arial" w:hAnsi="Arial"/>
          <w:sz w:val="19"/>
          <w:szCs w:val="19"/>
          <w:color w:val="auto"/>
        </w:rPr>
        <w:t xml:space="preserve">” means distributions with respect to Series C Preference Units pursuant to </w:t>
      </w:r>
      <w:r>
        <w:rPr>
          <w:rFonts w:ascii="Arial" w:cs="Arial" w:eastAsia="Arial" w:hAnsi="Arial"/>
          <w:sz w:val="19"/>
          <w:szCs w:val="19"/>
          <w:u w:val="single" w:color="auto"/>
          <w:color w:val="auto"/>
        </w:rPr>
        <w:t>Section 18.3</w:t>
      </w:r>
      <w:r>
        <w:rPr>
          <w:rFonts w:ascii="Arial" w:cs="Arial" w:eastAsia="Arial" w:hAnsi="Arial"/>
          <w:sz w:val="19"/>
          <w:szCs w:val="19"/>
          <w:color w:val="auto"/>
        </w:rPr>
        <w:t>.</w:t>
      </w:r>
    </w:p>
    <w:p>
      <w:pPr>
        <w:spacing w:after="0" w:line="241" w:lineRule="exact"/>
        <w:rPr>
          <w:sz w:val="20"/>
          <w:szCs w:val="20"/>
          <w:color w:val="auto"/>
        </w:rPr>
      </w:pPr>
    </w:p>
    <w:p>
      <w:pPr>
        <w:ind w:right="8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Fixed Rate Period</w:t>
      </w:r>
      <w:r>
        <w:rPr>
          <w:rFonts w:ascii="Arial" w:cs="Arial" w:eastAsia="Arial" w:hAnsi="Arial"/>
          <w:sz w:val="22"/>
          <w:szCs w:val="22"/>
          <w:color w:val="auto"/>
        </w:rPr>
        <w:t>” means the period from and including the Series C Original Issue Date to, but excluding March 15, 2024</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Floating Rate Period</w:t>
      </w:r>
      <w:r>
        <w:rPr>
          <w:rFonts w:ascii="Arial" w:cs="Arial" w:eastAsia="Arial" w:hAnsi="Arial"/>
          <w:sz w:val="22"/>
          <w:szCs w:val="22"/>
          <w:color w:val="auto"/>
        </w:rPr>
        <w:t>” means the period from and including March 15, 2024.</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Holder</w:t>
      </w:r>
      <w:r>
        <w:rPr>
          <w:rFonts w:ascii="Arial" w:cs="Arial" w:eastAsia="Arial" w:hAnsi="Arial"/>
          <w:sz w:val="22"/>
          <w:szCs w:val="22"/>
          <w:color w:val="auto"/>
        </w:rPr>
        <w:t>” means a Record Holder of the Series C Preference Units.</w:t>
      </w:r>
    </w:p>
    <w:p>
      <w:pPr>
        <w:spacing w:after="0" w:line="206" w:lineRule="exact"/>
        <w:rPr>
          <w:sz w:val="20"/>
          <w:szCs w:val="20"/>
          <w:color w:val="auto"/>
        </w:rPr>
      </w:pPr>
    </w:p>
    <w:p>
      <w:pPr>
        <w:ind w:right="100" w:firstLine="129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Liquidation Preference</w:t>
      </w:r>
      <w:r>
        <w:rPr>
          <w:rFonts w:ascii="Arial" w:cs="Arial" w:eastAsia="Arial" w:hAnsi="Arial"/>
          <w:sz w:val="22"/>
          <w:szCs w:val="22"/>
          <w:color w:val="auto"/>
        </w:rPr>
        <w:t xml:space="preserve">” means a liquidation preference for each Series C Preference Unit initially equal to $25.00 per unit, which liquidation preference shall be subject to (a) increase by the per Series C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which does not result in payment in full of the liquidation preference of such Series C Preference Unit.</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Original Issue Date</w:t>
      </w:r>
      <w:r>
        <w:rPr>
          <w:rFonts w:ascii="Arial" w:cs="Arial" w:eastAsia="Arial" w:hAnsi="Arial"/>
          <w:sz w:val="22"/>
          <w:szCs w:val="22"/>
          <w:color w:val="auto"/>
        </w:rPr>
        <w:t>” means November 15, 2018.</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Payments</w:t>
      </w:r>
      <w:r>
        <w:rPr>
          <w:rFonts w:ascii="Arial" w:cs="Arial" w:eastAsia="Arial" w:hAnsi="Arial"/>
          <w:sz w:val="22"/>
          <w:szCs w:val="22"/>
          <w:color w:val="auto"/>
        </w:rPr>
        <w:t>” means, collectively, Series C Distributions and Series C Redemption Payments.</w:t>
      </w:r>
    </w:p>
    <w:p>
      <w:pPr>
        <w:spacing w:after="0" w:line="206" w:lineRule="exact"/>
        <w:rPr>
          <w:sz w:val="20"/>
          <w:szCs w:val="20"/>
          <w:color w:val="auto"/>
        </w:rPr>
      </w:pPr>
    </w:p>
    <w:p>
      <w:pPr>
        <w:ind w:right="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XVIII</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18.6(b)</w:t>
      </w:r>
      <w:r>
        <w:rPr>
          <w:rFonts w:ascii="Arial" w:cs="Arial" w:eastAsia="Arial" w:hAnsi="Arial"/>
          <w:sz w:val="22"/>
          <w:szCs w:val="22"/>
          <w:color w:val="auto"/>
        </w:rPr>
        <w:t>.</w:t>
      </w:r>
    </w:p>
    <w:p>
      <w:pPr>
        <w:spacing w:after="0" w:line="206"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26" w:name="page27"/>
    <w:bookmarkEnd w:id="26"/>
    <w:p>
      <w:pPr>
        <w:ind w:right="68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Payments</w:t>
      </w:r>
      <w:r>
        <w:rPr>
          <w:rFonts w:ascii="Arial" w:cs="Arial" w:eastAsia="Arial" w:hAnsi="Arial"/>
          <w:sz w:val="22"/>
          <w:szCs w:val="22"/>
          <w:color w:val="auto"/>
        </w:rPr>
        <w:t xml:space="preserve">” means payments to be made to the holders of Series C Preference Units to redeem Series C Preference Units in accordance with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18.6(a)</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C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18.3(b)</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Approval</w:t>
      </w:r>
      <w:r>
        <w:rPr>
          <w:rFonts w:ascii="Arial" w:cs="Arial" w:eastAsia="Arial" w:hAnsi="Arial"/>
          <w:sz w:val="22"/>
          <w:szCs w:val="22"/>
          <w:color w:val="auto"/>
        </w:rPr>
        <w:t>” means approval by a majority of the members of the Conflicts Committee.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Stated Series A Liquidation Preference</w:t>
      </w:r>
      <w:r>
        <w:rPr>
          <w:rFonts w:ascii="Arial" w:cs="Arial" w:eastAsia="Arial" w:hAnsi="Arial"/>
          <w:sz w:val="21"/>
          <w:szCs w:val="21"/>
          <w:color w:val="auto"/>
        </w:rPr>
        <w:t>” means an amount equal to $25.00 per Series A Preference Unit.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Stated Series B Liquidation Preference</w:t>
      </w:r>
      <w:r>
        <w:rPr>
          <w:rFonts w:ascii="Arial" w:cs="Arial" w:eastAsia="Arial" w:hAnsi="Arial"/>
          <w:sz w:val="21"/>
          <w:szCs w:val="21"/>
          <w:color w:val="auto"/>
        </w:rPr>
        <w:t>” means an amount equal to $25.00 per Series B Preference Unit.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Stated Series C Liquidation Preference</w:t>
      </w:r>
      <w:r>
        <w:rPr>
          <w:rFonts w:ascii="Arial" w:cs="Arial" w:eastAsia="Arial" w:hAnsi="Arial"/>
          <w:sz w:val="21"/>
          <w:szCs w:val="21"/>
          <w:color w:val="auto"/>
        </w:rPr>
        <w:t>” means an amount equal to $25.00 per Series C Preference Unit.</w:t>
      </w:r>
    </w:p>
    <w:p>
      <w:pPr>
        <w:spacing w:after="0" w:line="218" w:lineRule="exact"/>
        <w:rPr>
          <w:sz w:val="20"/>
          <w:szCs w:val="20"/>
          <w:color w:val="auto"/>
        </w:rPr>
      </w:pPr>
    </w:p>
    <w:p>
      <w:pPr>
        <w:ind w:right="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Subordinated Units</w:t>
      </w:r>
      <w:r>
        <w:rPr>
          <w:rFonts w:ascii="Arial" w:cs="Arial" w:eastAsia="Arial" w:hAnsi="Arial"/>
          <w:sz w:val="22"/>
          <w:szCs w:val="22"/>
          <w:color w:val="auto"/>
        </w:rPr>
        <w:t>” has the meaning given to such term in that certain Second Amended and Restated Agreement of Limited Partnership of the Partnership.</w:t>
      </w:r>
    </w:p>
    <w:p>
      <w:pPr>
        <w:spacing w:after="0" w:line="173"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(b) a partnership (whether general or limited) in which such Person or a Subsidiary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(c) any other Person (other than a corporation or a partnership) in which such Person,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at least a majority ownership interest or (ii) the power to elect or direct the election of a majority of the directors or other governing body of such Person, or (d) any other Person in which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less than a majority ownership interest or (ii) less than the power to elect or direct the election of a majority of the directors or other governing body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the determination, has at least a 20% ownership interest in such other Person, (B) such Person accounts for such other Person (under IFRS, as in effect on the later of the date of investment in such other Person or material expansion of the operations of such other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7" w:name="page28"/>
    <w:bookmarkEnd w:id="27"/>
    <w:p>
      <w:pPr>
        <w:ind w:right="440"/>
        <w:spacing w:after="0" w:line="271" w:lineRule="auto"/>
        <w:rPr>
          <w:sz w:val="20"/>
          <w:szCs w:val="20"/>
          <w:color w:val="auto"/>
        </w:rPr>
      </w:pPr>
      <w:r>
        <w:rPr>
          <w:rFonts w:ascii="Arial" w:cs="Arial" w:eastAsia="Arial" w:hAnsi="Arial"/>
          <w:sz w:val="19"/>
          <w:szCs w:val="19"/>
          <w:color w:val="auto"/>
        </w:rPr>
        <w:t>Person) on a consolidated or equity accounting basis, (C) such Person has directly or indirectly material negative control rights regarding such other Person, including over such other Person’s ability to materially expand its operations beyond that contemplated at the date of investment in such other Person, and (D) such other Person is (i) other than with respect to the Operating Company, formed and maintained for the sole purpose of owning or leasing, operating and chartering vessels and</w:t>
      </w:r>
    </w:p>
    <w:p>
      <w:pPr>
        <w:spacing w:after="0" w:line="4" w:lineRule="exact"/>
        <w:rPr>
          <w:sz w:val="20"/>
          <w:szCs w:val="20"/>
          <w:color w:val="auto"/>
        </w:rPr>
      </w:pPr>
    </w:p>
    <w:p>
      <w:pPr>
        <w:ind w:right="200" w:firstLine="8"/>
        <w:spacing w:after="0" w:line="256" w:lineRule="auto"/>
        <w:tabs>
          <w:tab w:leader="none" w:pos="318" w:val="left"/>
        </w:tabs>
        <w:numPr>
          <w:ilvl w:val="0"/>
          <w:numId w:val="5"/>
        </w:numPr>
        <w:rPr>
          <w:rFonts w:ascii="Arial" w:cs="Arial" w:eastAsia="Arial" w:hAnsi="Arial"/>
          <w:sz w:val="21"/>
          <w:szCs w:val="21"/>
          <w:color w:val="auto"/>
        </w:rPr>
      </w:pPr>
      <w:r>
        <w:rPr>
          <w:rFonts w:ascii="Arial" w:cs="Arial" w:eastAsia="Arial" w:hAnsi="Arial"/>
          <w:sz w:val="21"/>
          <w:szCs w:val="21"/>
          <w:color w:val="auto"/>
        </w:rPr>
        <w:t>obligated under its constituent documents, or as a result of a unanimous agreement of its owners, to distribute to its owners all of its income on at least an annual basis (less any cash reserves that are approved by such Person).</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“Surrender Election”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7.2(d)</w:t>
      </w:r>
      <w:r>
        <w:rPr>
          <w:rFonts w:ascii="Arial" w:cs="Arial" w:eastAsia="Arial" w:hAnsi="Arial"/>
          <w:sz w:val="22"/>
          <w:szCs w:val="22"/>
          <w:color w:val="auto"/>
        </w:rPr>
        <w: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Surviving Business Entity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14.2(b)(ii)</w:t>
      </w:r>
      <w:r>
        <w:rPr>
          <w:rFonts w:ascii="Arial" w:cs="Arial" w:eastAsia="Arial" w:hAnsi="Arial"/>
          <w:sz w:val="22"/>
          <w:szCs w:val="22"/>
          <w:color w:val="auto"/>
        </w:rPr>
        <w:t>.</w:t>
      </w:r>
    </w:p>
    <w:p>
      <w:pPr>
        <w:spacing w:after="0" w:line="206"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Trading Day</w:t>
      </w:r>
      <w:r>
        <w:rPr>
          <w:rFonts w:ascii="Arial" w:cs="Arial" w:eastAsia="Arial" w:hAnsi="Arial"/>
          <w:sz w:val="19"/>
          <w:szCs w:val="19"/>
          <w:color w:val="auto"/>
        </w:rPr>
        <w:t>” means, for the purpose of determining the Current Market Price of any class or series of Limited Partner Interests, a day on which the principal National Securities Exchange on which such class or series of Limited Partner Interests is listed or admitted for trading is open for the transaction of business or, if Limited Partner Interests of a class or series are not listed on any National Securities Exchange, a day on which banking institutions in New York City generally are open.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06" w:lineRule="exact"/>
        <w:rPr>
          <w:sz w:val="20"/>
          <w:szCs w:val="20"/>
          <w:color w:val="auto"/>
        </w:rPr>
      </w:pPr>
    </w:p>
    <w:p>
      <w:pPr>
        <w:ind w:right="280" w:firstLine="129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Agent</w:t>
      </w:r>
      <w:r>
        <w:rPr>
          <w:rFonts w:ascii="Arial" w:cs="Arial" w:eastAsia="Arial" w:hAnsi="Arial"/>
          <w:sz w:val="22"/>
          <w:szCs w:val="22"/>
          <w:color w:val="auto"/>
        </w:rPr>
        <w:t xml:space="preserve">” means such bank, trust company or other Person (including the General Partner or one of its Affiliates) as shall be appointed from time to time by the Partnership to act as registrar and transfer agent for the Common Units, Class B Units and the Preference Units;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Transfer Agent is specifically designated for any other Partnership Interests, the Partnership shall act in such capacity.</w:t>
      </w:r>
    </w:p>
    <w:p>
      <w:pPr>
        <w:spacing w:after="0" w:line="185" w:lineRule="exact"/>
        <w:rPr>
          <w:sz w:val="20"/>
          <w:szCs w:val="20"/>
          <w:color w:val="auto"/>
        </w:rPr>
      </w:pPr>
    </w:p>
    <w:p>
      <w:pPr>
        <w:ind w:right="56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Underwriter</w:t>
      </w:r>
      <w:r>
        <w:rPr>
          <w:rFonts w:ascii="Arial" w:cs="Arial" w:eastAsia="Arial" w:hAnsi="Arial"/>
          <w:sz w:val="22"/>
          <w:szCs w:val="22"/>
          <w:color w:val="auto"/>
        </w:rPr>
        <w:t>” means each Person named as an underwriter in Schedule I to the Underwriting Agreement who purchases Common Units pursuant thereto.</w:t>
      </w:r>
    </w:p>
    <w:p>
      <w:pPr>
        <w:spacing w:after="0" w:line="173" w:lineRule="exact"/>
        <w:rPr>
          <w:sz w:val="20"/>
          <w:szCs w:val="20"/>
          <w:color w:val="auto"/>
        </w:rPr>
      </w:pPr>
    </w:p>
    <w:p>
      <w:pPr>
        <w:ind w:right="340" w:firstLine="129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Underwriting Agreement</w:t>
      </w:r>
      <w:r>
        <w:rPr>
          <w:rFonts w:ascii="Arial" w:cs="Arial" w:eastAsia="Arial" w:hAnsi="Arial"/>
          <w:sz w:val="22"/>
          <w:szCs w:val="22"/>
          <w:color w:val="auto"/>
        </w:rPr>
        <w:t>” means the Underwriting Agreement dated May 6, 2014 among the Underwriters, the Partnership, the General Partner, the Operating Company, and GasLog, providing for the purchase of Common Units from the Partnership by such Underwriters in connection with the Initial Offering.</w:t>
      </w:r>
    </w:p>
    <w:p>
      <w:pPr>
        <w:spacing w:after="0" w:line="186" w:lineRule="exact"/>
        <w:rPr>
          <w:sz w:val="20"/>
          <w:szCs w:val="20"/>
          <w:color w:val="auto"/>
        </w:rPr>
      </w:pPr>
    </w:p>
    <w:p>
      <w:pPr>
        <w:ind w:right="26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Unit</w:t>
      </w:r>
      <w:r>
        <w:rPr>
          <w:rFonts w:ascii="Arial" w:cs="Arial" w:eastAsia="Arial" w:hAnsi="Arial"/>
          <w:sz w:val="19"/>
          <w:szCs w:val="19"/>
          <w:color w:val="auto"/>
        </w:rPr>
        <w:t>” means a Partnership Interest that is designated as a “</w:t>
      </w:r>
      <w:r>
        <w:rPr>
          <w:rFonts w:ascii="Arial" w:cs="Arial" w:eastAsia="Arial" w:hAnsi="Arial"/>
          <w:sz w:val="19"/>
          <w:szCs w:val="19"/>
          <w:i w:val="1"/>
          <w:iCs w:val="1"/>
          <w:color w:val="auto"/>
        </w:rPr>
        <w:t>Unit</w:t>
      </w:r>
      <w:r>
        <w:rPr>
          <w:rFonts w:ascii="Arial" w:cs="Arial" w:eastAsia="Arial" w:hAnsi="Arial"/>
          <w:sz w:val="19"/>
          <w:szCs w:val="19"/>
          <w:color w:val="auto"/>
        </w:rPr>
        <w:t>” and shall include Common Units, Class B Units and Preference Units, but shall not include General Partner Units (or the General Partner Interest represented thereby).</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Majority</w:t>
      </w:r>
      <w:r>
        <w:rPr>
          <w:rFonts w:ascii="Arial" w:cs="Arial" w:eastAsia="Arial" w:hAnsi="Arial"/>
          <w:sz w:val="22"/>
          <w:szCs w:val="22"/>
          <w:color w:val="auto"/>
        </w:rPr>
        <w:t>” means at least a majority of the Outstanding Common Units, voting as a single class.</w:t>
      </w:r>
    </w:p>
    <w:p>
      <w:pPr>
        <w:spacing w:after="0" w:line="206" w:lineRule="exact"/>
        <w:rPr>
          <w:sz w:val="20"/>
          <w:szCs w:val="20"/>
          <w:color w:val="auto"/>
        </w:rPr>
      </w:pPr>
    </w:p>
    <w:p>
      <w:pPr>
        <w:ind w:right="12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Register</w:t>
      </w:r>
      <w:r>
        <w:rPr>
          <w:rFonts w:ascii="Arial" w:cs="Arial" w:eastAsia="Arial" w:hAnsi="Arial"/>
          <w:sz w:val="22"/>
          <w:szCs w:val="22"/>
          <w:color w:val="auto"/>
        </w:rPr>
        <w:t xml:space="preserve">” means the register of the Partnership for the registration and transfer of Limited Partner Interests as provided in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17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Unitholders</w:t>
      </w:r>
      <w:r>
        <w:rPr>
          <w:rFonts w:ascii="Arial" w:cs="Arial" w:eastAsia="Arial" w:hAnsi="Arial"/>
          <w:sz w:val="22"/>
          <w:szCs w:val="22"/>
          <w:color w:val="auto"/>
        </w:rPr>
        <w:t>” means the holders of Units.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8" w:name="page29"/>
    <w:bookmarkEnd w:id="28"/>
    <w:p>
      <w:pPr>
        <w:ind w:right="1000" w:firstLine="129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Vessel Interests</w:t>
      </w:r>
      <w:r>
        <w:rPr>
          <w:rFonts w:ascii="Arial" w:cs="Arial" w:eastAsia="Arial" w:hAnsi="Arial"/>
          <w:sz w:val="19"/>
          <w:szCs w:val="19"/>
          <w:color w:val="auto"/>
        </w:rPr>
        <w:t xml:space="preserve">” means the capital stock and other equity interests in certain of GasLog’s wholly owned Subsidiaries that have interests in three vessels—the </w:t>
      </w:r>
      <w:r>
        <w:rPr>
          <w:rFonts w:ascii="Arial" w:cs="Arial" w:eastAsia="Arial" w:hAnsi="Arial"/>
          <w:sz w:val="19"/>
          <w:szCs w:val="19"/>
          <w:i w:val="1"/>
          <w:iCs w:val="1"/>
          <w:color w:val="auto"/>
        </w:rPr>
        <w:t>GasLog Shanghai</w:t>
      </w:r>
      <w:r>
        <w:rPr>
          <w:rFonts w:ascii="Arial" w:cs="Arial" w:eastAsia="Arial" w:hAnsi="Arial"/>
          <w:sz w:val="19"/>
          <w:szCs w:val="19"/>
          <w:color w:val="auto"/>
        </w:rPr>
        <w:t xml:space="preserve">, the </w:t>
      </w:r>
      <w:r>
        <w:rPr>
          <w:rFonts w:ascii="Arial" w:cs="Arial" w:eastAsia="Arial" w:hAnsi="Arial"/>
          <w:sz w:val="19"/>
          <w:szCs w:val="19"/>
          <w:i w:val="1"/>
          <w:iCs w:val="1"/>
          <w:color w:val="auto"/>
        </w:rPr>
        <w:t>GasLog Santiago</w:t>
      </w:r>
      <w:r>
        <w:rPr>
          <w:rFonts w:ascii="Arial" w:cs="Arial" w:eastAsia="Arial" w:hAnsi="Arial"/>
          <w:sz w:val="19"/>
          <w:szCs w:val="19"/>
          <w:color w:val="auto"/>
        </w:rPr>
        <w:t xml:space="preserve"> and the </w:t>
      </w:r>
      <w:r>
        <w:rPr>
          <w:rFonts w:ascii="Arial" w:cs="Arial" w:eastAsia="Arial" w:hAnsi="Arial"/>
          <w:sz w:val="19"/>
          <w:szCs w:val="19"/>
          <w:i w:val="1"/>
          <w:iCs w:val="1"/>
          <w:color w:val="auto"/>
        </w:rPr>
        <w:t>GasLog Sydney</w:t>
      </w:r>
      <w:r>
        <w:rPr>
          <w:rFonts w:ascii="Arial" w:cs="Arial" w:eastAsia="Arial" w:hAnsi="Arial"/>
          <w:sz w:val="19"/>
          <w:szCs w:val="19"/>
          <w:color w:val="auto"/>
        </w:rPr>
        <w: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Withdrawal Opinion of Counsel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11.1(b)(i)</w:t>
      </w:r>
      <w:r>
        <w:rPr>
          <w:rFonts w:ascii="Arial" w:cs="Arial" w:eastAsia="Arial" w:hAnsi="Arial"/>
          <w:sz w:val="22"/>
          <w:szCs w:val="22"/>
          <w:color w:val="auto"/>
        </w:rPr>
        <w:t>.</w:t>
      </w:r>
    </w:p>
    <w:p>
      <w:pPr>
        <w:spacing w:after="0" w:line="206" w:lineRule="exact"/>
        <w:rPr>
          <w:sz w:val="20"/>
          <w:szCs w:val="20"/>
          <w:color w:val="auto"/>
        </w:rPr>
      </w:pPr>
    </w:p>
    <w:p>
      <w:pPr>
        <w:ind w:right="40" w:firstLine="1297"/>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Working Capital Borrowings</w:t>
      </w:r>
      <w:r>
        <w:rPr>
          <w:rFonts w:ascii="Arial" w:cs="Arial" w:eastAsia="Arial" w:hAnsi="Arial"/>
          <w:sz w:val="21"/>
          <w:szCs w:val="21"/>
          <w:color w:val="auto"/>
        </w:rPr>
        <w:t xml:space="preserve">” means borrowings used solely for working capital purposes or to pay distributions to Partners made pursuant to a credit facility, commercial paper facility or similar financing arrangement available to a Group Member, </w:t>
      </w:r>
      <w:r>
        <w:rPr>
          <w:rFonts w:ascii="Arial" w:cs="Arial" w:eastAsia="Arial" w:hAnsi="Arial"/>
          <w:sz w:val="21"/>
          <w:szCs w:val="21"/>
          <w:i w:val="1"/>
          <w:iCs w:val="1"/>
          <w:color w:val="auto"/>
        </w:rPr>
        <w:t>provided</w:t>
      </w:r>
      <w:r>
        <w:rPr>
          <w:rFonts w:ascii="Arial" w:cs="Arial" w:eastAsia="Arial" w:hAnsi="Arial"/>
          <w:sz w:val="21"/>
          <w:szCs w:val="21"/>
          <w:color w:val="auto"/>
        </w:rPr>
        <w:t>, that when such borrowing is incurred it is the intent of the borrower to repay such borrowings within 12 months from the date of such borrowings other than from additional Working Capital Borrowings.</w:t>
      </w:r>
    </w:p>
    <w:p>
      <w:pPr>
        <w:spacing w:after="0" w:line="174" w:lineRule="exact"/>
        <w:rPr>
          <w:sz w:val="20"/>
          <w:szCs w:val="20"/>
          <w:color w:val="auto"/>
        </w:rPr>
      </w:pPr>
    </w:p>
    <w:p>
      <w:pPr>
        <w:ind w:right="140" w:firstLine="1297"/>
        <w:spacing w:after="0" w:line="247"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i w:val="1"/>
          <w:iCs w:val="1"/>
          <w:color w:val="auto"/>
        </w:rPr>
        <w:t>Construction</w:t>
      </w:r>
      <w:r>
        <w:rPr>
          <w:rFonts w:ascii="Arial" w:cs="Arial" w:eastAsia="Arial" w:hAnsi="Arial"/>
          <w:sz w:val="21"/>
          <w:szCs w:val="21"/>
          <w:color w:val="auto"/>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 “include” or “includes” means includes, without limitation, and “including” means including, without limitation; and (d) the terms “hereof”, “herein” and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ORGANIZATION</w:t>
      </w:r>
    </w:p>
    <w:p>
      <w:pPr>
        <w:spacing w:after="0" w:line="188" w:lineRule="exact"/>
        <w:rPr>
          <w:sz w:val="20"/>
          <w:szCs w:val="20"/>
          <w:color w:val="auto"/>
        </w:rPr>
      </w:pPr>
    </w:p>
    <w:p>
      <w:pPr>
        <w:ind w:firstLine="1297"/>
        <w:spacing w:after="0" w:line="234" w:lineRule="auto"/>
        <w:rPr>
          <w:sz w:val="20"/>
          <w:szCs w:val="20"/>
          <w:color w:val="auto"/>
        </w:rPr>
      </w:pPr>
      <w:r>
        <w:rPr>
          <w:rFonts w:ascii="Arial" w:cs="Arial" w:eastAsia="Arial" w:hAnsi="Arial"/>
          <w:sz w:val="22"/>
          <w:szCs w:val="22"/>
          <w:color w:val="auto"/>
        </w:rPr>
        <w:t xml:space="preserve">Section 2.1. </w:t>
      </w:r>
      <w:r>
        <w:rPr>
          <w:rFonts w:ascii="Arial" w:cs="Arial" w:eastAsia="Arial" w:hAnsi="Arial"/>
          <w:sz w:val="22"/>
          <w:szCs w:val="22"/>
          <w:i w:val="1"/>
          <w:iCs w:val="1"/>
          <w:color w:val="auto"/>
        </w:rPr>
        <w:t>Formation</w:t>
      </w:r>
      <w:r>
        <w:rPr>
          <w:rFonts w:ascii="Arial" w:cs="Arial" w:eastAsia="Arial" w:hAnsi="Arial"/>
          <w:sz w:val="22"/>
          <w:szCs w:val="22"/>
          <w:color w:val="auto"/>
        </w:rPr>
        <w:t>. The General Partner and the Organizational Limited Partner previously formed the Partnership as a limited partnership pursuant to the provisions of the Marshall Islands Act and hereby amend and restate the Fifth Amended Agreement in its entirety. This amendment and restatement shall become effective at the Effective Time. Except as expressly provided to the contrary in this Agreement, the rights, duties (including fiduciary duties), liabilities and obligations of the Partners and the administration, dissolution and termination of the Partnership shall be governed by the Marshall Islands Act. All Partnership Interests shall constitute personal property of the owner thereof for all purposes, and a Partner has no interest in specific Partnership property.</w:t>
      </w:r>
    </w:p>
    <w:p>
      <w:pPr>
        <w:spacing w:after="0" w:line="191" w:lineRule="exact"/>
        <w:rPr>
          <w:sz w:val="20"/>
          <w:szCs w:val="20"/>
          <w:color w:val="auto"/>
        </w:rPr>
      </w:pPr>
    </w:p>
    <w:p>
      <w:pPr>
        <w:ind w:right="100" w:firstLine="1297"/>
        <w:spacing w:after="0" w:line="279"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i w:val="1"/>
          <w:iCs w:val="1"/>
          <w:color w:val="auto"/>
        </w:rPr>
        <w:t>Name</w:t>
      </w:r>
      <w:r>
        <w:rPr>
          <w:rFonts w:ascii="Arial" w:cs="Arial" w:eastAsia="Arial" w:hAnsi="Arial"/>
          <w:sz w:val="19"/>
          <w:szCs w:val="19"/>
          <w:color w:val="auto"/>
        </w:rPr>
        <w:t>. The name of the Partnership shall be “GasLog Partners LP”. The Partnership’s business may be conducted under any other name or names as determined by the Board of Directors. The words “Limited Partnership” or the letters “LP” or similar words or letters shall be included in the Partnership’s name where necessary for the purpose of complying with the laws of any jurisdiction that so requires. The Board of Directors may change the name of the Partnership at any time and from time to time in compliance with the requirements of the Marshall Islands Act and shall notify the General Partner and the Limited Partners of such change in the next regular communication to the Limited Partners.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29" w:name="page30"/>
    <w:bookmarkEnd w:id="29"/>
    <w:p>
      <w:pPr>
        <w:ind w:right="20" w:firstLine="1297"/>
        <w:spacing w:after="0" w:line="274"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i w:val="1"/>
          <w:iCs w:val="1"/>
          <w:color w:val="auto"/>
        </w:rPr>
        <w:t>Registered Office; Registered Agent; Principal Office; Other Offices</w:t>
      </w:r>
      <w:r>
        <w:rPr>
          <w:rFonts w:ascii="Arial" w:cs="Arial" w:eastAsia="Arial" w:hAnsi="Arial"/>
          <w:sz w:val="19"/>
          <w:szCs w:val="19"/>
          <w:color w:val="auto"/>
        </w:rPr>
        <w:t>. Unless and until changed by the Board of Directors, the registered office of the Partnership in The Marshall Islands shall be located at Trust Company Complex, Ajeltake Island, Ajeltake Road, Majuro, Marshall Islands MH 96960, and the registered agent for service of process on the Partnership in The Marshall Islands at such registered office shall be The Trust Company of The Marshall Islands, Inc. The principal office of the Partnership shall be located at Gildo Pastor Center, 7 Rue du Gabian, MC 98000, Monaco, or such other place as the Board of Directors may from time to time designate by notice to the General Partner and the Limited Partners. The Partnership may maintain offices at such other place or places within or outside The Marshall Islands as the Board of Directors determines to be necessary or appropriate. The address of the General Partner shall be at Gildo Pastor Center, 7 Rue du Gabian, MC 98000, Monaco, or such other place as the General Partner may from time to time designate by notice to the Limited Partners.</w:t>
      </w:r>
    </w:p>
    <w:p>
      <w:pPr>
        <w:spacing w:after="0" w:line="159" w:lineRule="exact"/>
        <w:rPr>
          <w:sz w:val="20"/>
          <w:szCs w:val="20"/>
          <w:color w:val="auto"/>
        </w:rPr>
      </w:pPr>
    </w:p>
    <w:p>
      <w:pPr>
        <w:ind w:firstLine="1297"/>
        <w:spacing w:after="0" w:line="27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i w:val="1"/>
          <w:iCs w:val="1"/>
          <w:color w:val="auto"/>
        </w:rPr>
        <w:t>Purpose and Business</w:t>
      </w:r>
      <w:r>
        <w:rPr>
          <w:rFonts w:ascii="Arial" w:cs="Arial" w:eastAsia="Arial" w:hAnsi="Arial"/>
          <w:sz w:val="19"/>
          <w:szCs w:val="19"/>
          <w:color w:val="auto"/>
        </w:rPr>
        <w:t>. The purpose and nature of the business to be conducted by the Partnership shall be to (a) engage directly in, or enter into or form any corporation, partnership, joint venture, limited liability company or other arrangement to engage indirectly in, any business activity that lawfully may be conducted by a limited partnership organized pursuant to the Marshall Islands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w:t>
      </w:r>
    </w:p>
    <w:p>
      <w:pPr>
        <w:spacing w:after="0" w:line="151" w:lineRule="exact"/>
        <w:rPr>
          <w:sz w:val="20"/>
          <w:szCs w:val="20"/>
          <w:color w:val="auto"/>
        </w:rPr>
      </w:pPr>
    </w:p>
    <w:p>
      <w:pPr>
        <w:ind w:right="340" w:firstLine="1297"/>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i w:val="1"/>
          <w:iCs w:val="1"/>
          <w:color w:val="auto"/>
        </w:rPr>
        <w:t>Powers</w:t>
      </w:r>
      <w:r>
        <w:rPr>
          <w:rFonts w:ascii="Arial" w:cs="Arial" w:eastAsia="Arial" w:hAnsi="Arial"/>
          <w:sz w:val="22"/>
          <w:szCs w:val="22"/>
          <w:color w:val="auto"/>
        </w:rPr>
        <w:t xml:space="preserve">. The Partnership shall be empowered to do any and all acts and things necessary and appropriate for the furtherance and accomplishment of the purposes and business described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and for the protection and benefit of the Partnership.</w:t>
      </w:r>
    </w:p>
    <w:p>
      <w:pPr>
        <w:spacing w:after="0" w:line="186"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i w:val="1"/>
          <w:iCs w:val="1"/>
          <w:color w:val="auto"/>
        </w:rPr>
        <w:t>Term</w:t>
      </w:r>
      <w:r>
        <w:rPr>
          <w:rFonts w:ascii="Arial" w:cs="Arial" w:eastAsia="Arial" w:hAnsi="Arial"/>
          <w:sz w:val="21"/>
          <w:szCs w:val="21"/>
          <w:color w:val="auto"/>
        </w:rPr>
        <w:t xml:space="preserve">. The term of the Partnership commenced upon the filing of the Certificate of Limited Partnership in accordance with the Marshall Islands Act and shall continue in existence until the dissolution of the Partnership in accordance with the provisions of </w:t>
      </w:r>
      <w:r>
        <w:rPr>
          <w:rFonts w:ascii="Arial" w:cs="Arial" w:eastAsia="Arial" w:hAnsi="Arial"/>
          <w:sz w:val="21"/>
          <w:szCs w:val="21"/>
          <w:u w:val="single" w:color="auto"/>
          <w:color w:val="auto"/>
        </w:rPr>
        <w:t>Article XII</w:t>
      </w:r>
      <w:r>
        <w:rPr>
          <w:rFonts w:ascii="Arial" w:cs="Arial" w:eastAsia="Arial" w:hAnsi="Arial"/>
          <w:sz w:val="21"/>
          <w:szCs w:val="21"/>
          <w:color w:val="auto"/>
        </w:rPr>
        <w:t>. The existence of the Partnership as a separate legal entity shall continue until the cancellation of the Certificate of Limited Partnership as provided in the Marshall Islands Act.</w:t>
      </w:r>
    </w:p>
    <w:p>
      <w:pPr>
        <w:spacing w:after="0" w:line="174"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i w:val="1"/>
          <w:iCs w:val="1"/>
          <w:color w:val="auto"/>
        </w:rPr>
        <w:t>Title to Partnership Assets</w:t>
      </w:r>
      <w:r>
        <w:rPr>
          <w:rFonts w:ascii="Arial" w:cs="Arial" w:eastAsia="Arial" w:hAnsi="Arial"/>
          <w:sz w:val="19"/>
          <w:szCs w:val="19"/>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Board of Directors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General Partner shall use commercially reasonable efforts to cause record title to such assets (other than</w:t>
      </w:r>
      <w:r>
        <w:rPr>
          <w:rFonts w:ascii="Arial" w:cs="Arial" w:eastAsia="Arial" w:hAnsi="Arial"/>
          <w:sz w:val="19"/>
          <w:szCs w:val="19"/>
          <w:i w:val="1"/>
          <w:iCs w:val="1"/>
          <w:color w:val="auto"/>
        </w:rPr>
        <w:t xml:space="preserve"> </w:t>
      </w:r>
      <w:r>
        <w:rPr>
          <w:rFonts w:ascii="Arial" w:cs="Arial" w:eastAsia="Arial" w:hAnsi="Arial"/>
          <w:sz w:val="19"/>
          <w:szCs w:val="19"/>
          <w:color w:val="auto"/>
        </w:rPr>
        <w:t>those assets in respect of which the Board of Directors determines that the expense and difficulty of conveyancing makes transfer of record title to the Partnership impracticable) to</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0" w:name="page31"/>
    <w:bookmarkEnd w:id="30"/>
    <w:p>
      <w:pPr>
        <w:spacing w:after="0" w:line="249" w:lineRule="auto"/>
        <w:rPr>
          <w:sz w:val="20"/>
          <w:szCs w:val="20"/>
          <w:color w:val="auto"/>
        </w:rPr>
      </w:pPr>
      <w:r>
        <w:rPr>
          <w:rFonts w:ascii="Arial" w:cs="Arial" w:eastAsia="Arial" w:hAnsi="Arial"/>
          <w:sz w:val="21"/>
          <w:szCs w:val="21"/>
          <w:color w:val="auto"/>
        </w:rPr>
        <w:t xml:space="preserve">be vested in the Partnership as soon as reasonably practicable; and,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further</w:t>
      </w:r>
      <w:r>
        <w:rPr>
          <w:rFonts w:ascii="Arial" w:cs="Arial" w:eastAsia="Arial" w:hAnsi="Arial"/>
          <w:sz w:val="21"/>
          <w:szCs w:val="21"/>
          <w:color w:val="auto"/>
        </w:rPr>
        <w:t>,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Board of Directors. All Partnership assets shall be recorded as the property of the Partnership in its books and records, irrespective of the name in which record title to such Partnership assets is held.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RIGHTS OF LIMITED PARTNERS</w:t>
      </w:r>
    </w:p>
    <w:p>
      <w:pPr>
        <w:spacing w:after="0" w:line="188" w:lineRule="exact"/>
        <w:rPr>
          <w:sz w:val="20"/>
          <w:szCs w:val="20"/>
          <w:color w:val="auto"/>
        </w:rPr>
      </w:pPr>
    </w:p>
    <w:p>
      <w:pPr>
        <w:ind w:right="200" w:firstLine="1297"/>
        <w:spacing w:after="0" w:line="251"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i w:val="1"/>
          <w:iCs w:val="1"/>
          <w:color w:val="auto"/>
        </w:rPr>
        <w:t>Limitation of Liability</w:t>
      </w:r>
      <w:r>
        <w:rPr>
          <w:rFonts w:ascii="Arial" w:cs="Arial" w:eastAsia="Arial" w:hAnsi="Arial"/>
          <w:sz w:val="22"/>
          <w:szCs w:val="22"/>
          <w:color w:val="auto"/>
        </w:rPr>
        <w:t>. The Limited Partners shall have no liability under this Agreement except as expressly provided in this Agreement or the Marshall Islands Act.</w:t>
      </w:r>
    </w:p>
    <w:p>
      <w:pPr>
        <w:spacing w:after="0" w:line="173" w:lineRule="exact"/>
        <w:rPr>
          <w:sz w:val="20"/>
          <w:szCs w:val="20"/>
          <w:color w:val="auto"/>
        </w:rPr>
      </w:pPr>
    </w:p>
    <w:p>
      <w:pPr>
        <w:ind w:right="40" w:firstLine="1297"/>
        <w:spacing w:after="0" w:line="275"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i w:val="1"/>
          <w:iCs w:val="1"/>
          <w:color w:val="auto"/>
        </w:rPr>
        <w:t>Management of Business</w:t>
      </w:r>
      <w:r>
        <w:rPr>
          <w:rFonts w:ascii="Arial" w:cs="Arial" w:eastAsia="Arial" w:hAnsi="Arial"/>
          <w:sz w:val="19"/>
          <w:szCs w:val="19"/>
          <w:color w:val="auto"/>
        </w:rPr>
        <w:t>. No Limited Partner, in its capacity as such, shall participate in the operation, management or control (within the meaning of the Marshall Islands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 30 of the Marshall Islands Act) and shall not affect, impair or eliminate the limitations on the liability of the Limited Partners under this Agreement.</w:t>
      </w:r>
    </w:p>
    <w:p>
      <w:pPr>
        <w:spacing w:after="0" w:line="158"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i w:val="1"/>
          <w:iCs w:val="1"/>
          <w:color w:val="auto"/>
        </w:rPr>
        <w:t>Outside Activities of the Limited Partners</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and the Omnibus Agreement, which shall continue to be applicable to the Persons referred to therein, regardless of whether such Persons shall also be Limited Partners, each Limited Partner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shall have any rights by virtue of this Agreement in any business ventures of any Limited Partner.</w:t>
      </w:r>
    </w:p>
    <w:p>
      <w:pPr>
        <w:spacing w:after="0" w:line="188" w:lineRule="exact"/>
        <w:rPr>
          <w:sz w:val="20"/>
          <w:szCs w:val="20"/>
          <w:color w:val="auto"/>
        </w:rPr>
      </w:pPr>
    </w:p>
    <w:p>
      <w:pPr>
        <w:ind w:right="240" w:firstLine="1297"/>
        <w:spacing w:after="0" w:line="238"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i w:val="1"/>
          <w:iCs w:val="1"/>
          <w:color w:val="auto"/>
        </w:rPr>
        <w:t>Rights of Limited Partners</w:t>
      </w:r>
      <w:r>
        <w:rPr>
          <w:rFonts w:ascii="Arial" w:cs="Arial" w:eastAsia="Arial" w:hAnsi="Arial"/>
          <w:sz w:val="22"/>
          <w:szCs w:val="22"/>
          <w:color w:val="auto"/>
        </w:rPr>
        <w:t xml:space="preserve">. (a) In addition to other rights provided by this Agreement or by the Marshall Islands Act, and except as limited by </w:t>
      </w:r>
      <w:r>
        <w:rPr>
          <w:rFonts w:ascii="Arial" w:cs="Arial" w:eastAsia="Arial" w:hAnsi="Arial"/>
          <w:sz w:val="22"/>
          <w:szCs w:val="22"/>
          <w:u w:val="single" w:color="auto"/>
          <w:color w:val="auto"/>
        </w:rPr>
        <w:t>Section 3.4(b)</w:t>
      </w:r>
      <w:r>
        <w:rPr>
          <w:rFonts w:ascii="Arial" w:cs="Arial" w:eastAsia="Arial" w:hAnsi="Arial"/>
          <w:sz w:val="22"/>
          <w:szCs w:val="22"/>
          <w:color w:val="auto"/>
        </w:rPr>
        <w:t>, each Limited Partner shall have the right, for a purpose reasonably related to such Limited Partner’s interest as a Limited Partner in the Partnership, upon reasonable written demand stating the purpose of such demand and at such Limited Partner’s own expense, to:</w:t>
      </w:r>
    </w:p>
    <w:p>
      <w:pPr>
        <w:spacing w:after="0" w:line="185" w:lineRule="exact"/>
        <w:rPr>
          <w:sz w:val="20"/>
          <w:szCs w:val="20"/>
          <w:color w:val="auto"/>
        </w:rPr>
      </w:pPr>
    </w:p>
    <w:p>
      <w:pPr>
        <w:ind w:left="1960" w:hanging="655"/>
        <w:spacing w:after="0"/>
        <w:tabs>
          <w:tab w:leader="none" w:pos="1960" w:val="left"/>
        </w:tabs>
        <w:numPr>
          <w:ilvl w:val="0"/>
          <w:numId w:val="6"/>
        </w:numPr>
        <w:rPr>
          <w:rFonts w:ascii="Arial" w:cs="Arial" w:eastAsia="Arial" w:hAnsi="Arial"/>
          <w:sz w:val="19"/>
          <w:szCs w:val="19"/>
          <w:color w:val="auto"/>
        </w:rPr>
      </w:pPr>
      <w:r>
        <w:rPr>
          <w:rFonts w:ascii="Arial" w:cs="Arial" w:eastAsia="Arial" w:hAnsi="Arial"/>
          <w:sz w:val="19"/>
          <w:szCs w:val="19"/>
          <w:color w:val="auto"/>
        </w:rPr>
        <w:t>have furnished to him a current list of the name and last known business, residence or mailing address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each Partner;</w:t>
      </w:r>
    </w:p>
    <w:p>
      <w:pPr>
        <w:spacing w:after="0" w:line="188" w:lineRule="exact"/>
        <w:rPr>
          <w:rFonts w:ascii="Arial" w:cs="Arial" w:eastAsia="Arial" w:hAnsi="Arial"/>
          <w:sz w:val="19"/>
          <w:szCs w:val="19"/>
          <w:color w:val="auto"/>
        </w:rPr>
      </w:pPr>
    </w:p>
    <w:p>
      <w:pPr>
        <w:ind w:left="660" w:right="440" w:firstLine="645"/>
        <w:spacing w:after="0" w:line="251" w:lineRule="auto"/>
        <w:tabs>
          <w:tab w:leader="none" w:pos="1977" w:val="left"/>
        </w:tabs>
        <w:numPr>
          <w:ilvl w:val="0"/>
          <w:numId w:val="6"/>
        </w:numPr>
        <w:rPr>
          <w:rFonts w:ascii="Arial" w:cs="Arial" w:eastAsia="Arial" w:hAnsi="Arial"/>
          <w:sz w:val="22"/>
          <w:szCs w:val="22"/>
          <w:color w:val="auto"/>
        </w:rPr>
      </w:pPr>
      <w:r>
        <w:rPr>
          <w:rFonts w:ascii="Arial" w:cs="Arial" w:eastAsia="Arial" w:hAnsi="Arial"/>
          <w:sz w:val="22"/>
          <w:szCs w:val="22"/>
          <w:color w:val="auto"/>
        </w:rPr>
        <w:t>obtain true and full information regarding the amount of cash and a description and statement of the Net Agreed Value of any other Capital Contribution by</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1" w:name="page32"/>
    <w:bookmarkEnd w:id="31"/>
    <w:p>
      <w:pPr>
        <w:ind w:left="660"/>
        <w:spacing w:after="0"/>
        <w:rPr>
          <w:sz w:val="20"/>
          <w:szCs w:val="20"/>
          <w:color w:val="auto"/>
        </w:rPr>
      </w:pPr>
      <w:r>
        <w:rPr>
          <w:rFonts w:ascii="Arial" w:cs="Arial" w:eastAsia="Arial" w:hAnsi="Arial"/>
          <w:sz w:val="19"/>
          <w:szCs w:val="19"/>
          <w:color w:val="auto"/>
        </w:rPr>
        <w:t>each Partner and which each Partner has agreed to contribute in the future, and the date on which each became a Partner;</w:t>
      </w:r>
    </w:p>
    <w:p>
      <w:pPr>
        <w:spacing w:after="0" w:line="241" w:lineRule="exact"/>
        <w:rPr>
          <w:sz w:val="20"/>
          <w:szCs w:val="20"/>
          <w:color w:val="auto"/>
        </w:rPr>
      </w:pPr>
    </w:p>
    <w:p>
      <w:pPr>
        <w:ind w:left="660" w:right="1020" w:firstLine="645"/>
        <w:spacing w:after="0" w:line="251" w:lineRule="auto"/>
        <w:tabs>
          <w:tab w:leader="none" w:pos="1983" w:val="left"/>
        </w:tabs>
        <w:numPr>
          <w:ilvl w:val="0"/>
          <w:numId w:val="7"/>
        </w:numPr>
        <w:rPr>
          <w:rFonts w:ascii="Arial" w:cs="Arial" w:eastAsia="Arial" w:hAnsi="Arial"/>
          <w:sz w:val="22"/>
          <w:szCs w:val="22"/>
          <w:color w:val="auto"/>
        </w:rPr>
      </w:pPr>
      <w:r>
        <w:rPr>
          <w:rFonts w:ascii="Arial" w:cs="Arial" w:eastAsia="Arial" w:hAnsi="Arial"/>
          <w:sz w:val="22"/>
          <w:szCs w:val="22"/>
          <w:color w:val="auto"/>
        </w:rPr>
        <w:t>have furnished to him a copy of this Agreement and the Certificate of Limited Partnership and all amendments thereto;</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7"/>
        </w:numPr>
        <w:rPr>
          <w:rFonts w:ascii="Arial" w:cs="Arial" w:eastAsia="Arial" w:hAnsi="Arial"/>
          <w:sz w:val="19"/>
          <w:szCs w:val="19"/>
          <w:color w:val="auto"/>
        </w:rPr>
      </w:pPr>
      <w:r>
        <w:rPr>
          <w:rFonts w:ascii="Arial" w:cs="Arial" w:eastAsia="Arial" w:hAnsi="Arial"/>
          <w:sz w:val="19"/>
          <w:szCs w:val="19"/>
          <w:color w:val="auto"/>
        </w:rPr>
        <w:t>obtain true and full information regarding the status of the business and financial condition of the Partnership</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Group; and</w:t>
      </w:r>
    </w:p>
    <w:p>
      <w:pPr>
        <w:spacing w:after="0" w:line="188" w:lineRule="exact"/>
        <w:rPr>
          <w:rFonts w:ascii="Arial" w:cs="Arial" w:eastAsia="Arial" w:hAnsi="Arial"/>
          <w:sz w:val="19"/>
          <w:szCs w:val="19"/>
          <w:color w:val="auto"/>
        </w:rPr>
      </w:pPr>
    </w:p>
    <w:p>
      <w:pPr>
        <w:ind w:left="1960" w:hanging="655"/>
        <w:spacing w:after="0"/>
        <w:tabs>
          <w:tab w:leader="none" w:pos="1960" w:val="left"/>
        </w:tabs>
        <w:numPr>
          <w:ilvl w:val="0"/>
          <w:numId w:val="7"/>
        </w:numPr>
        <w:rPr>
          <w:rFonts w:ascii="Arial" w:cs="Arial" w:eastAsia="Arial" w:hAnsi="Arial"/>
          <w:sz w:val="22"/>
          <w:szCs w:val="22"/>
          <w:color w:val="auto"/>
        </w:rPr>
      </w:pPr>
      <w:r>
        <w:rPr>
          <w:rFonts w:ascii="Arial" w:cs="Arial" w:eastAsia="Arial" w:hAnsi="Arial"/>
          <w:sz w:val="22"/>
          <w:szCs w:val="22"/>
          <w:color w:val="auto"/>
        </w:rPr>
        <w:t>obtain such other information regarding the affairs of the Partnership as is just and reasonable.</w:t>
      </w:r>
    </w:p>
    <w:p>
      <w:pPr>
        <w:spacing w:after="0" w:line="206" w:lineRule="exact"/>
        <w:rPr>
          <w:sz w:val="20"/>
          <w:szCs w:val="20"/>
          <w:color w:val="auto"/>
        </w:rPr>
      </w:pPr>
    </w:p>
    <w:p>
      <w:pPr>
        <w:ind w:right="140" w:firstLine="1305"/>
        <w:spacing w:after="0" w:line="248" w:lineRule="auto"/>
        <w:tabs>
          <w:tab w:leader="none" w:pos="1954" w:val="left"/>
        </w:tabs>
        <w:numPr>
          <w:ilvl w:val="0"/>
          <w:numId w:val="8"/>
        </w:numPr>
        <w:rPr>
          <w:rFonts w:ascii="Arial" w:cs="Arial" w:eastAsia="Arial" w:hAnsi="Arial"/>
          <w:sz w:val="21"/>
          <w:szCs w:val="21"/>
          <w:color w:val="auto"/>
        </w:rPr>
      </w:pPr>
      <w:r>
        <w:rPr>
          <w:rFonts w:ascii="Arial" w:cs="Arial" w:eastAsia="Arial" w:hAnsi="Arial"/>
          <w:sz w:val="21"/>
          <w:szCs w:val="21"/>
          <w:color w:val="auto"/>
        </w:rPr>
        <w:t xml:space="preserve">The Board of Directors may keep confidential from the Limited Partners, for such period of time as the Board of Directors deems reasonable, (i) any information that the Board of Directors reasonably believes to be in the nature of trade secrets or (ii) other information the disclosure of which the Board of Directors in good faith believes (A) is not in the best interests of the Partnership Group, (B) could damage the Partnership Group or its business or (C) that any Group Member is required by law or by agreement with any third party to keep confidential (other than agreements with Affiliates of the Partnership the primary purpose of which is to circumvent the obligations set forth in this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CERTIFICATES; RECORD HOLDERS; TRANSFER OF PARTNERSHIP INTERESTS</w:t>
      </w:r>
    </w:p>
    <w:p>
      <w:pPr>
        <w:spacing w:after="0" w:line="188" w:lineRule="exact"/>
        <w:rPr>
          <w:sz w:val="20"/>
          <w:szCs w:val="20"/>
          <w:color w:val="auto"/>
        </w:rPr>
      </w:pPr>
    </w:p>
    <w:p>
      <w:pPr>
        <w:ind w:right="140" w:firstLine="1297"/>
        <w:spacing w:after="0" w:line="245"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i w:val="1"/>
          <w:iCs w:val="1"/>
          <w:color w:val="auto"/>
        </w:rPr>
        <w:t>Certificates</w:t>
      </w:r>
      <w:r>
        <w:rPr>
          <w:rFonts w:ascii="Arial" w:cs="Arial" w:eastAsia="Arial" w:hAnsi="Arial"/>
          <w:sz w:val="21"/>
          <w:szCs w:val="21"/>
          <w:color w:val="auto"/>
        </w:rPr>
        <w:t xml:space="preserve">. Partnership Interests shall be evidenced in certificated and uncertificated form as determined by the Board of Directors. Certificates that may be issued shall be executed on behalf of the Partnership by the Chairman of the Board of Directors, President, Chief Executive Officer or any Executive Vice President or Vice President and the Chief Financial Officer or the Secretary or any Assistant Secretary of the General Partner. If a Transfer Agent has been appointed for a class or series of Partnership Interests, no Certificate for such class or series of Partnership Interests shall be valid for any purpose until it has been countersigned by the Transfer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Board of Directors elects to cause the Partnership to issue Partnership Interests of such class or series in global form, the Certificate shall be valid upon receipt of a certificate from the Transfer Agent certifying that the Partnership Interests have been duly registered in accordance with the directions of the Partnership.</w:t>
      </w:r>
    </w:p>
    <w:p>
      <w:pPr>
        <w:spacing w:after="0" w:line="185"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9"/>
          <w:szCs w:val="19"/>
          <w:color w:val="auto"/>
        </w:rPr>
        <w:t xml:space="preserve">Section 4.2. </w:t>
      </w:r>
      <w:r>
        <w:rPr>
          <w:rFonts w:ascii="Arial" w:cs="Arial" w:eastAsia="Arial" w:hAnsi="Arial"/>
          <w:sz w:val="19"/>
          <w:szCs w:val="19"/>
          <w:i w:val="1"/>
          <w:iCs w:val="1"/>
          <w:color w:val="auto"/>
        </w:rPr>
        <w:t>Mutilated, Destroyed, Lost or Stolen Certificates.</w:t>
      </w:r>
      <w:r>
        <w:rPr>
          <w:rFonts w:ascii="Arial" w:cs="Arial" w:eastAsia="Arial" w:hAnsi="Arial"/>
          <w:sz w:val="19"/>
          <w:szCs w:val="19"/>
          <w:color w:val="auto"/>
        </w:rPr>
        <w:t xml:space="preserve"> (a) If any mutilated Certificate is surrendered to the Transfer Agent (for Common Units, Class B Units or Preference Units) or the Partnership (for Partnership Interests other than Common Units, Class B Units or Preference Units), the appropriate Officers on behalf of the Partnership shall execute, and the Transfer Agent (for Common Units, Class B Units or Preference Units) shall countersign and deliver in exchange therefor, a new Certificate evidencing the same number and type of Partnership Interests as the Certificate so surrendered.</w:t>
      </w:r>
    </w:p>
    <w:p>
      <w:pPr>
        <w:spacing w:after="0" w:line="148" w:lineRule="exact"/>
        <w:rPr>
          <w:sz w:val="20"/>
          <w:szCs w:val="20"/>
          <w:color w:val="auto"/>
        </w:rPr>
      </w:pPr>
    </w:p>
    <w:p>
      <w:pPr>
        <w:ind w:right="200" w:firstLine="1305"/>
        <w:spacing w:after="0" w:line="251" w:lineRule="auto"/>
        <w:tabs>
          <w:tab w:leader="none" w:pos="1954"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appropriate Officers on behalf of the Partnership shall execute and deliver, and the Transfer Agent (for Common Units, Class B Units or Preference Units), as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2" w:name="page33"/>
    <w:bookmarkEnd w:id="32"/>
    <w:p>
      <w:pPr>
        <w:spacing w:after="0"/>
        <w:rPr>
          <w:sz w:val="20"/>
          <w:szCs w:val="20"/>
          <w:color w:val="auto"/>
        </w:rPr>
      </w:pPr>
      <w:r>
        <w:rPr>
          <w:rFonts w:ascii="Arial" w:cs="Arial" w:eastAsia="Arial" w:hAnsi="Arial"/>
          <w:sz w:val="19"/>
          <w:szCs w:val="19"/>
          <w:color w:val="auto"/>
        </w:rPr>
        <w:t>applicable, shall countersign, a new Certificate in place of any Certificate previously issued, or issue uncertificated Units, if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Record Holder of the Certificate:</w:t>
      </w:r>
    </w:p>
    <w:p>
      <w:pPr>
        <w:spacing w:after="0" w:line="188" w:lineRule="exact"/>
        <w:rPr>
          <w:sz w:val="20"/>
          <w:szCs w:val="20"/>
          <w:color w:val="auto"/>
        </w:rPr>
      </w:pPr>
    </w:p>
    <w:p>
      <w:pPr>
        <w:ind w:left="660" w:right="480" w:firstLine="645"/>
        <w:spacing w:after="0" w:line="251" w:lineRule="auto"/>
        <w:tabs>
          <w:tab w:leader="none" w:pos="1971" w:val="left"/>
        </w:tabs>
        <w:numPr>
          <w:ilvl w:val="0"/>
          <w:numId w:val="10"/>
        </w:numPr>
        <w:rPr>
          <w:rFonts w:ascii="Arial" w:cs="Arial" w:eastAsia="Arial" w:hAnsi="Arial"/>
          <w:sz w:val="22"/>
          <w:szCs w:val="22"/>
          <w:color w:val="auto"/>
        </w:rPr>
      </w:pPr>
      <w:r>
        <w:rPr>
          <w:rFonts w:ascii="Arial" w:cs="Arial" w:eastAsia="Arial" w:hAnsi="Arial"/>
          <w:sz w:val="22"/>
          <w:szCs w:val="22"/>
          <w:color w:val="auto"/>
        </w:rPr>
        <w:t>makes proof by affidavit, in form and substance satisfactory to the Partnership, that a previously issued Certificate has been lost, destroyed or stolen;</w:t>
      </w:r>
    </w:p>
    <w:p>
      <w:pPr>
        <w:spacing w:after="0" w:line="173" w:lineRule="exact"/>
        <w:rPr>
          <w:rFonts w:ascii="Arial" w:cs="Arial" w:eastAsia="Arial" w:hAnsi="Arial"/>
          <w:sz w:val="22"/>
          <w:szCs w:val="22"/>
          <w:color w:val="auto"/>
        </w:rPr>
      </w:pPr>
    </w:p>
    <w:p>
      <w:pPr>
        <w:jc w:val="both"/>
        <w:ind w:left="660" w:right="140" w:firstLine="645"/>
        <w:spacing w:after="0" w:line="328" w:lineRule="auto"/>
        <w:tabs>
          <w:tab w:leader="none" w:pos="1977" w:val="left"/>
        </w:tabs>
        <w:numPr>
          <w:ilvl w:val="0"/>
          <w:numId w:val="10"/>
        </w:numPr>
        <w:rPr>
          <w:rFonts w:ascii="Arial" w:cs="Arial" w:eastAsia="Arial" w:hAnsi="Arial"/>
          <w:sz w:val="19"/>
          <w:szCs w:val="19"/>
          <w:color w:val="auto"/>
        </w:rPr>
      </w:pPr>
      <w:r>
        <w:rPr>
          <w:rFonts w:ascii="Arial" w:cs="Arial" w:eastAsia="Arial" w:hAnsi="Arial"/>
          <w:sz w:val="19"/>
          <w:szCs w:val="19"/>
          <w:color w:val="auto"/>
        </w:rPr>
        <w:t>requests the issuance of a new Certificate or the issuance of uncertificated Units before the Partnership has notice that the Certificate has been acquired by a purchaser for value in good faith and without notice of an adverse claim;</w:t>
      </w:r>
    </w:p>
    <w:p>
      <w:pPr>
        <w:spacing w:after="0" w:line="105" w:lineRule="exact"/>
        <w:rPr>
          <w:rFonts w:ascii="Arial" w:cs="Arial" w:eastAsia="Arial" w:hAnsi="Arial"/>
          <w:sz w:val="19"/>
          <w:szCs w:val="19"/>
          <w:color w:val="auto"/>
        </w:rPr>
      </w:pPr>
    </w:p>
    <w:p>
      <w:pPr>
        <w:ind w:left="660" w:right="60" w:firstLine="645"/>
        <w:spacing w:after="0" w:line="238" w:lineRule="auto"/>
        <w:tabs>
          <w:tab w:leader="none" w:pos="1983" w:val="left"/>
        </w:tabs>
        <w:numPr>
          <w:ilvl w:val="0"/>
          <w:numId w:val="10"/>
        </w:numPr>
        <w:rPr>
          <w:rFonts w:ascii="Arial" w:cs="Arial" w:eastAsia="Arial" w:hAnsi="Arial"/>
          <w:sz w:val="22"/>
          <w:szCs w:val="22"/>
          <w:color w:val="auto"/>
        </w:rPr>
      </w:pPr>
      <w:r>
        <w:rPr>
          <w:rFonts w:ascii="Arial" w:cs="Arial" w:eastAsia="Arial" w:hAnsi="Arial"/>
          <w:sz w:val="22"/>
          <w:szCs w:val="22"/>
          <w:color w:val="auto"/>
        </w:rPr>
        <w:t>if requested by the Partnership, delivers to the Partnership a bond, in form and substance satisfactory to the Partnership, with surety or sureties and with fixed or open penalty as the Board of Directors may direct to indemnify the Partnership, the Partners, the General Partner and the Transfer Agent against any claim that may be made on account of the alleged loss, destruction or theft of the Certificate; and</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satisfies any other reasonable requirements imposed by the Board of Directors.</w:t>
      </w:r>
    </w:p>
    <w:p>
      <w:pPr>
        <w:spacing w:after="0" w:line="206"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If a Limited Partner fails to notify the Partnership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uncertificated Units.</w:t>
      </w:r>
    </w:p>
    <w:p>
      <w:pPr>
        <w:spacing w:after="0" w:line="188" w:lineRule="exact"/>
        <w:rPr>
          <w:sz w:val="20"/>
          <w:szCs w:val="20"/>
          <w:color w:val="auto"/>
        </w:rPr>
      </w:pPr>
    </w:p>
    <w:p>
      <w:pPr>
        <w:ind w:right="280" w:firstLine="1305"/>
        <w:spacing w:after="0" w:line="297" w:lineRule="auto"/>
        <w:tabs>
          <w:tab w:leader="none" w:pos="1955"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As a condition to the issuance of any new Certificate or uncertificated Units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34" w:lineRule="exact"/>
        <w:rPr>
          <w:sz w:val="20"/>
          <w:szCs w:val="20"/>
          <w:color w:val="auto"/>
        </w:rPr>
      </w:pPr>
    </w:p>
    <w:p>
      <w:pPr>
        <w:ind w:firstLine="1297"/>
        <w:spacing w:after="0" w:line="273"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i w:val="1"/>
          <w:iCs w:val="1"/>
          <w:color w:val="auto"/>
        </w:rPr>
        <w:t>Record Holders</w:t>
      </w:r>
      <w:r>
        <w:rPr>
          <w:rFonts w:ascii="Arial" w:cs="Arial" w:eastAsia="Arial" w:hAnsi="Arial"/>
          <w:sz w:val="19"/>
          <w:szCs w:val="19"/>
          <w:color w:val="auto"/>
        </w:rPr>
        <w:t>. The Partnership shall be entitled to recognize the Record Holder as the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Record Holder of such Partnership Interest and (b) shall be bound by this Agreement and shall have the rights and obligations of a Partner hereunder and as, and to the extent, provided for herein.</w:t>
      </w:r>
    </w:p>
    <w:p>
      <w:pPr>
        <w:spacing w:after="0" w:line="162" w:lineRule="exact"/>
        <w:rPr>
          <w:sz w:val="20"/>
          <w:szCs w:val="20"/>
          <w:color w:val="auto"/>
        </w:rPr>
      </w:pPr>
    </w:p>
    <w:p>
      <w:pPr>
        <w:ind w:right="820" w:firstLine="1297"/>
        <w:spacing w:after="0" w:line="251" w:lineRule="auto"/>
        <w:rPr>
          <w:sz w:val="20"/>
          <w:szCs w:val="20"/>
          <w:color w:val="auto"/>
        </w:rPr>
      </w:pPr>
      <w:r>
        <w:rPr>
          <w:rFonts w:ascii="Arial" w:cs="Arial" w:eastAsia="Arial" w:hAnsi="Arial"/>
          <w:sz w:val="22"/>
          <w:szCs w:val="22"/>
          <w:color w:val="auto"/>
        </w:rPr>
        <w:t xml:space="preserve">Section 4.4. </w:t>
      </w:r>
      <w:r>
        <w:rPr>
          <w:rFonts w:ascii="Arial" w:cs="Arial" w:eastAsia="Arial" w:hAnsi="Arial"/>
          <w:sz w:val="22"/>
          <w:szCs w:val="22"/>
          <w:i w:val="1"/>
          <w:iCs w:val="1"/>
          <w:color w:val="auto"/>
        </w:rPr>
        <w:t>Transfer Generally.</w:t>
      </w:r>
      <w:r>
        <w:rPr>
          <w:rFonts w:ascii="Arial" w:cs="Arial" w:eastAsia="Arial" w:hAnsi="Arial"/>
          <w:sz w:val="22"/>
          <w:szCs w:val="22"/>
          <w:color w:val="auto"/>
        </w:rPr>
        <w:t xml:space="preserve"> (a) The term “transfer,” when used in this Agreement with respect to a Partnership Interest, shall mean a transaction (i) by which the</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33" w:name="page34"/>
    <w:bookmarkEnd w:id="33"/>
    <w:p>
      <w:pPr>
        <w:ind w:right="340"/>
        <w:spacing w:after="0" w:line="282" w:lineRule="auto"/>
        <w:rPr>
          <w:sz w:val="20"/>
          <w:szCs w:val="20"/>
          <w:color w:val="auto"/>
        </w:rPr>
      </w:pPr>
      <w:r>
        <w:rPr>
          <w:rFonts w:ascii="Arial" w:cs="Arial" w:eastAsia="Arial" w:hAnsi="Arial"/>
          <w:sz w:val="19"/>
          <w:szCs w:val="19"/>
          <w:color w:val="auto"/>
        </w:rPr>
        <w:t>General Partner assigns its General Partner Units to another Person,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and includes a sale, assignment, gift, exchange or any other disposition by law or otherwise, excluding a pledge, encumbrance, hypothecation or mortgage, but including any transfer upon foreclosure of any pledge, encumbrance, hypothecation or mortgage.</w:t>
      </w:r>
    </w:p>
    <w:p>
      <w:pPr>
        <w:spacing w:after="0" w:line="148" w:lineRule="exact"/>
        <w:rPr>
          <w:sz w:val="20"/>
          <w:szCs w:val="20"/>
          <w:color w:val="auto"/>
        </w:rPr>
      </w:pPr>
    </w:p>
    <w:p>
      <w:pPr>
        <w:ind w:right="100" w:firstLine="1305"/>
        <w:spacing w:after="0"/>
        <w:tabs>
          <w:tab w:leader="none" w:pos="195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xml:space="preserve">No Partnership Interest shall be transferred, in whole or in part, except in accordance with the terms and conditions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Any transfer or purported transfer of a Partnership Interest not made in accordance with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null and void.</w:t>
      </w:r>
    </w:p>
    <w:p>
      <w:pPr>
        <w:spacing w:after="0" w:line="186" w:lineRule="exact"/>
        <w:rPr>
          <w:rFonts w:ascii="Arial" w:cs="Arial" w:eastAsia="Arial" w:hAnsi="Arial"/>
          <w:sz w:val="22"/>
          <w:szCs w:val="22"/>
          <w:color w:val="auto"/>
        </w:rPr>
      </w:pPr>
    </w:p>
    <w:p>
      <w:pPr>
        <w:ind w:right="20" w:firstLine="1305"/>
        <w:spacing w:after="0" w:line="297" w:lineRule="auto"/>
        <w:tabs>
          <w:tab w:leader="none" w:pos="1955" w:val="left"/>
        </w:tabs>
        <w:numPr>
          <w:ilvl w:val="0"/>
          <w:numId w:val="12"/>
        </w:numPr>
        <w:rPr>
          <w:rFonts w:ascii="Arial" w:cs="Arial" w:eastAsia="Arial" w:hAnsi="Arial"/>
          <w:sz w:val="19"/>
          <w:szCs w:val="19"/>
          <w:color w:val="auto"/>
        </w:rPr>
      </w:pPr>
      <w:r>
        <w:rPr>
          <w:rFonts w:ascii="Arial" w:cs="Arial" w:eastAsia="Arial" w:hAnsi="Arial"/>
          <w:sz w:val="19"/>
          <w:szCs w:val="19"/>
          <w:color w:val="auto"/>
        </w:rPr>
        <w:t>Nothing contained in this Agreement shall be construed to prevent a disposition by any stockholder, member, partner or other owner of the General Partner of any or all of the shares of stock, membership interests, partnership interests or other ownership interests in the General Partner, and the term “transfer” shall not mean any such disposition.</w:t>
      </w:r>
    </w:p>
    <w:p>
      <w:pPr>
        <w:spacing w:after="0" w:line="134"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i w:val="1"/>
          <w:iCs w:val="1"/>
          <w:color w:val="auto"/>
        </w:rPr>
        <w:t>Registration and Transfer of Limited Partner Interests.</w:t>
      </w:r>
      <w:r>
        <w:rPr>
          <w:rFonts w:ascii="Arial" w:cs="Arial" w:eastAsia="Arial" w:hAnsi="Arial"/>
          <w:sz w:val="19"/>
          <w:szCs w:val="19"/>
          <w:color w:val="auto"/>
        </w:rPr>
        <w:t xml:space="preserve"> (a) The General Partner shall keep or cause to be kept on behalf of the Partnership a Unit Register in which, subject to such reasonable regulations as it may prescribe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xml:space="preserve">, the Partnership will provide for the registration and transfer of Limited Partner Interests. The Transfer Agent is hereby appointed registrar and transfer agent for the purpose of registering Common Units, Class B Units and Preference Units and transfers of such Common Units, Class B Units and Preference Units as herein provided. The Partnership shall not recognize transfers of Certificates evidencing Limited Partner Interests unless such transfers are effected in the manner described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Upon surrender of a Certificate for registration of transfer of any Limited Partner Interests evidenced by a Certificate,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the appropriate Officers on behalf of the Partnership shall execute and deliver, and in the case of Common Units and Class B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200" w:lineRule="exact"/>
        <w:rPr>
          <w:sz w:val="20"/>
          <w:szCs w:val="20"/>
          <w:color w:val="auto"/>
        </w:rPr>
      </w:pPr>
    </w:p>
    <w:p>
      <w:pPr>
        <w:spacing w:after="0" w:line="209" w:lineRule="exact"/>
        <w:rPr>
          <w:sz w:val="20"/>
          <w:szCs w:val="20"/>
          <w:color w:val="auto"/>
        </w:rPr>
      </w:pPr>
    </w:p>
    <w:p>
      <w:pPr>
        <w:ind w:right="60" w:firstLine="1305"/>
        <w:spacing w:after="0" w:line="249" w:lineRule="auto"/>
        <w:tabs>
          <w:tab w:leader="none" w:pos="1954" w:val="left"/>
        </w:tabs>
        <w:numPr>
          <w:ilvl w:val="0"/>
          <w:numId w:val="13"/>
        </w:numPr>
        <w:rPr>
          <w:rFonts w:ascii="Arial" w:cs="Arial" w:eastAsia="Arial" w:hAnsi="Arial"/>
          <w:sz w:val="21"/>
          <w:szCs w:val="21"/>
          <w:color w:val="auto"/>
        </w:rPr>
      </w:pPr>
      <w:r>
        <w:rPr>
          <w:rFonts w:ascii="Arial" w:cs="Arial" w:eastAsia="Arial" w:hAnsi="Arial"/>
          <w:sz w:val="21"/>
          <w:szCs w:val="21"/>
          <w:color w:val="auto"/>
        </w:rPr>
        <w:t xml:space="preserve">If Limited Partner Interests are evidenced by Certificates, the Partnership shall not recognize any transfer of Limited Partner Interests until the Certificates evidencing such Limited Partner Interests are surrendered for registration of transfer. No charge shall be imposed by the Partnership for such transfer;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as a condition to the issuance of any new Certificate under this </w:t>
      </w:r>
      <w:r>
        <w:rPr>
          <w:rFonts w:ascii="Arial" w:cs="Arial" w:eastAsia="Arial" w:hAnsi="Arial"/>
          <w:sz w:val="21"/>
          <w:szCs w:val="21"/>
          <w:u w:val="single" w:color="auto"/>
          <w:color w:val="auto"/>
        </w:rPr>
        <w:t>Section 4.5</w:t>
      </w:r>
      <w:r>
        <w:rPr>
          <w:rFonts w:ascii="Arial" w:cs="Arial" w:eastAsia="Arial" w:hAnsi="Arial"/>
          <w:sz w:val="21"/>
          <w:szCs w:val="21"/>
          <w:color w:val="auto"/>
        </w:rPr>
        <w:t>, the Partnership may require the payment of a sum sufficient to cover any tax or other governmental charge that may be imposed with respect thereto.</w:t>
      </w:r>
    </w:p>
    <w:p>
      <w:pPr>
        <w:spacing w:after="0" w:line="178" w:lineRule="exact"/>
        <w:rPr>
          <w:rFonts w:ascii="Arial" w:cs="Arial" w:eastAsia="Arial" w:hAnsi="Arial"/>
          <w:sz w:val="21"/>
          <w:szCs w:val="21"/>
          <w:color w:val="auto"/>
        </w:rPr>
      </w:pPr>
    </w:p>
    <w:p>
      <w:pPr>
        <w:ind w:right="140" w:firstLine="1305"/>
        <w:spacing w:after="0" w:line="297" w:lineRule="auto"/>
        <w:tabs>
          <w:tab w:leader="none" w:pos="1955"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By acceptance of the transfer of a Limited Partner Interest in accordance with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except as otherwise provided in </w:t>
      </w:r>
      <w:r>
        <w:rPr>
          <w:rFonts w:ascii="Arial" w:cs="Arial" w:eastAsia="Arial" w:hAnsi="Arial"/>
          <w:sz w:val="19"/>
          <w:szCs w:val="19"/>
          <w:u w:val="single" w:color="auto"/>
          <w:color w:val="auto"/>
        </w:rPr>
        <w:t>Section 4.7</w:t>
      </w:r>
      <w:r>
        <w:rPr>
          <w:rFonts w:ascii="Arial" w:cs="Arial" w:eastAsia="Arial" w:hAnsi="Arial"/>
          <w:sz w:val="19"/>
          <w:szCs w:val="19"/>
          <w:color w:val="auto"/>
        </w:rPr>
        <w:t>, each transferee of a Limited Partner Interest (including any nominee holder or an agent or representative acquiring such Limited Partner Interests for the account of another Person) (i) shall be admitted to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4" w:name="page35"/>
    <w:bookmarkEnd w:id="34"/>
    <w:p>
      <w:pPr>
        <w:ind w:right="40"/>
        <w:spacing w:after="0" w:line="247" w:lineRule="auto"/>
        <w:rPr>
          <w:sz w:val="20"/>
          <w:szCs w:val="20"/>
          <w:color w:val="auto"/>
        </w:rPr>
      </w:pPr>
      <w:r>
        <w:rPr>
          <w:rFonts w:ascii="Arial" w:cs="Arial" w:eastAsia="Arial" w:hAnsi="Arial"/>
          <w:sz w:val="21"/>
          <w:szCs w:val="21"/>
          <w:color w:val="auto"/>
        </w:rPr>
        <w:t>Partnership as a Limited Partner with respect to the Limited Partner Interests so transferred to such Person when any such transfer or admission is reflected in the books and records of the Partnership and such Limited Partner becomes the Record Holder of the Limited Partner Interests so transferred, (ii) shall become bound, and shall be deemed to have agreed to be bound, by the terms of this Agreement, (iii) represents that the transferee has the capacity, power and authority to enter into this Agreement and (iv) makes the consents, acknowledgments and waivers contained in this Agreement, all with or without execution of this Agreement by such Person. The transfer of any Limited Partner Interests and the admission of any new Limited Partner shall not constitute an amendment to this Agreement.</w:t>
      </w:r>
    </w:p>
    <w:p>
      <w:pPr>
        <w:spacing w:after="0" w:line="178" w:lineRule="exact"/>
        <w:rPr>
          <w:sz w:val="20"/>
          <w:szCs w:val="20"/>
          <w:color w:val="auto"/>
        </w:rPr>
      </w:pPr>
    </w:p>
    <w:p>
      <w:pPr>
        <w:ind w:right="160" w:firstLine="1305"/>
        <w:spacing w:after="0" w:line="251" w:lineRule="auto"/>
        <w:tabs>
          <w:tab w:leader="none" w:pos="1940"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Subject to the provisions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applicable securities laws, Limited Partner Interests shall be freely transferable.</w:t>
      </w:r>
    </w:p>
    <w:p>
      <w:pPr>
        <w:spacing w:after="0" w:line="173" w:lineRule="exact"/>
        <w:rPr>
          <w:rFonts w:ascii="Arial" w:cs="Arial" w:eastAsia="Arial" w:hAnsi="Arial"/>
          <w:sz w:val="22"/>
          <w:szCs w:val="22"/>
          <w:color w:val="auto"/>
        </w:rPr>
      </w:pPr>
    </w:p>
    <w:p>
      <w:pPr>
        <w:ind w:right="240" w:firstLine="1305"/>
        <w:spacing w:after="0" w:line="251" w:lineRule="auto"/>
        <w:tabs>
          <w:tab w:leader="none" w:pos="1955" w:val="left"/>
        </w:tabs>
        <w:numPr>
          <w:ilvl w:val="0"/>
          <w:numId w:val="14"/>
        </w:numPr>
        <w:rPr>
          <w:rFonts w:ascii="Arial" w:cs="Arial" w:eastAsia="Arial" w:hAnsi="Arial"/>
          <w:sz w:val="22"/>
          <w:szCs w:val="22"/>
          <w:color w:val="auto"/>
        </w:rPr>
      </w:pPr>
      <w:r>
        <w:rPr>
          <w:rFonts w:ascii="Arial" w:cs="Arial" w:eastAsia="Arial" w:hAnsi="Arial"/>
          <w:sz w:val="22"/>
          <w:szCs w:val="22"/>
          <w:color w:val="auto"/>
        </w:rPr>
        <w:t>(i) The General Partner and its Affiliates shall have the right at any time to transfer their Common Units or any Preference Units to one or more Persons.</w:t>
      </w:r>
    </w:p>
    <w:p>
      <w:pPr>
        <w:spacing w:after="0" w:line="173" w:lineRule="exact"/>
        <w:rPr>
          <w:rFonts w:ascii="Arial" w:cs="Arial" w:eastAsia="Arial" w:hAnsi="Arial"/>
          <w:sz w:val="22"/>
          <w:szCs w:val="22"/>
          <w:color w:val="auto"/>
        </w:rPr>
      </w:pPr>
    </w:p>
    <w:p>
      <w:pPr>
        <w:ind w:left="1300" w:firstLine="653"/>
        <w:spacing w:after="0" w:line="246" w:lineRule="auto"/>
        <w:tabs>
          <w:tab w:leader="none" w:pos="2617" w:val="left"/>
        </w:tabs>
        <w:numPr>
          <w:ilvl w:val="1"/>
          <w:numId w:val="14"/>
        </w:numPr>
        <w:rPr>
          <w:rFonts w:ascii="Arial" w:cs="Arial" w:eastAsia="Arial" w:hAnsi="Arial"/>
          <w:sz w:val="21"/>
          <w:szCs w:val="21"/>
          <w:color w:val="auto"/>
        </w:rPr>
      </w:pPr>
      <w:r>
        <w:rPr>
          <w:rFonts w:ascii="Arial" w:cs="Arial" w:eastAsia="Arial" w:hAnsi="Arial"/>
          <w:sz w:val="21"/>
          <w:szCs w:val="21"/>
          <w:color w:val="auto"/>
        </w:rPr>
        <w:t>Prior to a Class B Unit’s applicable Class B Convertible Date, a holder of such Class B Unit may transfer such Class B Unit without any consent of the Unitholders to (A) an Affiliate of such holder (other than an individual) or (B) another Person (other than an individual) in connection with (x) the merger or consolidation of such holder with or into such other Person or (y) the transfer by such holder of all or substantially all of its assets to such other Person. Any other transfer by such holder prior to such Class B Unit’s applicable Class B Convertible Date shall require the prior approval of holders of a Unit Majority (excluding Common Units held by GasLog and its Affiliates). On or after such Class B Unit’s applicable Class B Convertible Date, such holder may transfer such Class B Unit without Unitholder approval.</w:t>
      </w:r>
    </w:p>
    <w:p>
      <w:pPr>
        <w:spacing w:after="0" w:line="181" w:lineRule="exact"/>
        <w:rPr>
          <w:sz w:val="20"/>
          <w:szCs w:val="20"/>
          <w:color w:val="auto"/>
        </w:rPr>
      </w:pPr>
    </w:p>
    <w:p>
      <w:pPr>
        <w:ind w:right="40" w:firstLine="1297"/>
        <w:spacing w:after="0" w:line="277" w:lineRule="auto"/>
        <w:rPr>
          <w:sz w:val="20"/>
          <w:szCs w:val="20"/>
          <w:color w:val="auto"/>
        </w:rPr>
      </w:pPr>
      <w:r>
        <w:rPr>
          <w:rFonts w:ascii="Arial" w:cs="Arial" w:eastAsia="Arial" w:hAnsi="Arial"/>
          <w:sz w:val="19"/>
          <w:szCs w:val="19"/>
          <w:color w:val="auto"/>
        </w:rPr>
        <w:t xml:space="preserve">Section 4.6. </w:t>
      </w:r>
      <w:r>
        <w:rPr>
          <w:rFonts w:ascii="Arial" w:cs="Arial" w:eastAsia="Arial" w:hAnsi="Arial"/>
          <w:sz w:val="19"/>
          <w:szCs w:val="19"/>
          <w:i w:val="1"/>
          <w:iCs w:val="1"/>
          <w:color w:val="auto"/>
        </w:rPr>
        <w:t>Transfer of the General Partner’s General Partner Interest.</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4.6(c)</w:t>
      </w:r>
      <w:r>
        <w:rPr>
          <w:rFonts w:ascii="Arial" w:cs="Arial" w:eastAsia="Arial" w:hAnsi="Arial"/>
          <w:sz w:val="19"/>
          <w:szCs w:val="19"/>
          <w:color w:val="auto"/>
        </w:rPr>
        <w:t xml:space="preserve"> below, prior to March 31, 2024, the General Partner shall not transfer all or any part of its General Partner Interest (represented by General Partner Units) to a Person unless such transfer (i) has been approved by the prior written consent or vote of the holders of a Unit Majority (excluding Common Units held by the General Partner and its Affiliates) or (ii) is of all, but not less than all, of its General Partner Interest to (A) an Affiliate of the General Partner (other than an individual) or (B) another Person (other than an individual) in connection with (y) the merger or consolidation of the General Partner with or into such other Person or (z) the transfer by the General Partner of all or substantially all of its assets to such other Person.</w:t>
      </w:r>
    </w:p>
    <w:p>
      <w:pPr>
        <w:spacing w:after="0" w:line="153" w:lineRule="exact"/>
        <w:rPr>
          <w:sz w:val="20"/>
          <w:szCs w:val="20"/>
          <w:color w:val="auto"/>
        </w:rPr>
      </w:pPr>
    </w:p>
    <w:p>
      <w:pPr>
        <w:ind w:right="20" w:firstLine="1305"/>
        <w:spacing w:after="0" w:line="251" w:lineRule="auto"/>
        <w:tabs>
          <w:tab w:leader="none" w:pos="1954" w:val="left"/>
        </w:tabs>
        <w:numPr>
          <w:ilvl w:val="0"/>
          <w:numId w:val="1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4.6(c)</w:t>
      </w:r>
      <w:r>
        <w:rPr>
          <w:rFonts w:ascii="Arial" w:cs="Arial" w:eastAsia="Arial" w:hAnsi="Arial"/>
          <w:sz w:val="22"/>
          <w:szCs w:val="22"/>
          <w:color w:val="auto"/>
        </w:rPr>
        <w:t xml:space="preserve"> below, on or after March 31, 2024, the General Partner may transfer all or any of its General Partner Interest without Unitholder approval.</w:t>
      </w:r>
    </w:p>
    <w:p>
      <w:pPr>
        <w:spacing w:after="0" w:line="173" w:lineRule="exact"/>
        <w:rPr>
          <w:rFonts w:ascii="Arial" w:cs="Arial" w:eastAsia="Arial" w:hAnsi="Arial"/>
          <w:sz w:val="22"/>
          <w:szCs w:val="22"/>
          <w:color w:val="auto"/>
        </w:rPr>
      </w:pPr>
    </w:p>
    <w:p>
      <w:pPr>
        <w:ind w:right="20" w:firstLine="1305"/>
        <w:spacing w:after="0" w:line="236" w:lineRule="auto"/>
        <w:tabs>
          <w:tab w:leader="none" w:pos="1955" w:val="left"/>
        </w:tabs>
        <w:numPr>
          <w:ilvl w:val="0"/>
          <w:numId w:val="15"/>
        </w:numPr>
        <w:rPr>
          <w:rFonts w:ascii="Arial" w:cs="Arial" w:eastAsia="Arial" w:hAnsi="Arial"/>
          <w:sz w:val="22"/>
          <w:szCs w:val="22"/>
          <w:color w:val="auto"/>
        </w:rPr>
      </w:pPr>
      <w:r>
        <w:rPr>
          <w:rFonts w:ascii="Arial" w:cs="Arial" w:eastAsia="Arial" w:hAnsi="Arial"/>
          <w:sz w:val="22"/>
          <w:szCs w:val="22"/>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or member of any other Group Member 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5" w:name="page36"/>
    <w:bookmarkEnd w:id="35"/>
    <w:p>
      <w:pPr>
        <w:spacing w:after="0" w:line="235" w:lineRule="auto"/>
        <w:rPr>
          <w:sz w:val="20"/>
          <w:szCs w:val="20"/>
          <w:color w:val="auto"/>
        </w:rPr>
      </w:pPr>
      <w:r>
        <w:rPr>
          <w:rFonts w:ascii="Arial" w:cs="Arial" w:eastAsia="Arial" w:hAnsi="Arial"/>
          <w:sz w:val="22"/>
          <w:szCs w:val="22"/>
          <w:color w:val="auto"/>
        </w:rPr>
        <w:t xml:space="preserve">the laws of any such entity’s jurisdiction of formation and (iii) such transferee also agrees to purchase all (or the appropriate portion thereof, if applicable) of the partnership or membership interest of the General Partner as the general partner or managing member, if any, of each other Group Member. In the case of a transfer pursuant to and in compliance with this </w:t>
      </w:r>
      <w:r>
        <w:rPr>
          <w:rFonts w:ascii="Arial" w:cs="Arial" w:eastAsia="Arial" w:hAnsi="Arial"/>
          <w:sz w:val="22"/>
          <w:szCs w:val="22"/>
          <w:u w:val="single" w:color="auto"/>
          <w:color w:val="auto"/>
        </w:rPr>
        <w:t>Section 4.6</w:t>
      </w:r>
      <w:r>
        <w:rPr>
          <w:rFonts w:ascii="Arial" w:cs="Arial" w:eastAsia="Arial" w:hAnsi="Arial"/>
          <w:sz w:val="22"/>
          <w:szCs w:val="22"/>
          <w:color w:val="auto"/>
        </w:rPr>
        <w:t xml:space="preserve">, the transferee or successor (as the case may be) shall, subject to compliance with the terms of </w:t>
      </w:r>
      <w:r>
        <w:rPr>
          <w:rFonts w:ascii="Arial" w:cs="Arial" w:eastAsia="Arial" w:hAnsi="Arial"/>
          <w:sz w:val="22"/>
          <w:szCs w:val="22"/>
          <w:u w:val="single" w:color="auto"/>
          <w:color w:val="auto"/>
        </w:rPr>
        <w:t>Section 10.3</w:t>
      </w:r>
      <w:r>
        <w:rPr>
          <w:rFonts w:ascii="Arial" w:cs="Arial" w:eastAsia="Arial" w:hAnsi="Arial"/>
          <w:sz w:val="22"/>
          <w:szCs w:val="22"/>
          <w:color w:val="auto"/>
        </w:rPr>
        <w:t>, be admitted to the Partnership as the General Partner immediately prior to the transfer of the General Partner Interest, and the business of the Partnership shall continue without dissolution.</w:t>
      </w:r>
    </w:p>
    <w:p>
      <w:pPr>
        <w:spacing w:after="0" w:line="188" w:lineRule="exact"/>
        <w:rPr>
          <w:sz w:val="20"/>
          <w:szCs w:val="20"/>
          <w:color w:val="auto"/>
        </w:rPr>
      </w:pPr>
    </w:p>
    <w:p>
      <w:pPr>
        <w:ind w:right="160" w:firstLine="1297"/>
        <w:spacing w:after="0" w:line="271" w:lineRule="auto"/>
        <w:rPr>
          <w:sz w:val="20"/>
          <w:szCs w:val="20"/>
          <w:color w:val="auto"/>
        </w:rPr>
      </w:pPr>
      <w:r>
        <w:rPr>
          <w:rFonts w:ascii="Arial" w:cs="Arial" w:eastAsia="Arial" w:hAnsi="Arial"/>
          <w:sz w:val="19"/>
          <w:szCs w:val="19"/>
          <w:color w:val="auto"/>
        </w:rPr>
        <w:t xml:space="preserve">Section 4.7. </w:t>
      </w:r>
      <w:r>
        <w:rPr>
          <w:rFonts w:ascii="Arial" w:cs="Arial" w:eastAsia="Arial" w:hAnsi="Arial"/>
          <w:sz w:val="19"/>
          <w:szCs w:val="19"/>
          <w:i w:val="1"/>
          <w:iCs w:val="1"/>
          <w:color w:val="auto"/>
        </w:rPr>
        <w:t>Restrictions on Transfers.</w:t>
      </w:r>
      <w:r>
        <w:rPr>
          <w:rFonts w:ascii="Arial" w:cs="Arial" w:eastAsia="Arial" w:hAnsi="Arial"/>
          <w:sz w:val="19"/>
          <w:szCs w:val="19"/>
          <w:color w:val="auto"/>
        </w:rPr>
        <w:t xml:space="preserve"> (a) Except as provided in </w:t>
      </w:r>
      <w:r>
        <w:rPr>
          <w:rFonts w:ascii="Arial" w:cs="Arial" w:eastAsia="Arial" w:hAnsi="Arial"/>
          <w:sz w:val="19"/>
          <w:szCs w:val="19"/>
          <w:u w:val="single" w:color="auto"/>
          <w:color w:val="auto"/>
        </w:rPr>
        <w:t>Section 4.7(b)</w:t>
      </w:r>
      <w:r>
        <w:rPr>
          <w:rFonts w:ascii="Arial" w:cs="Arial" w:eastAsia="Arial" w:hAnsi="Arial"/>
          <w:sz w:val="19"/>
          <w:szCs w:val="19"/>
          <w:color w:val="auto"/>
        </w:rPr>
        <w:t xml:space="preserve"> below, but notwithstanding the other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no transfer of any Partnership Interests shall be made if such transfer would (i) violate the then applicable U.S. federal or state securities laws, laws of the Republic of the Marshall Islands or rules and regulations of the Commission, any state securities commission or any other governmental authority with jurisdiction over such transfer or</w:t>
      </w:r>
    </w:p>
    <w:p>
      <w:pPr>
        <w:spacing w:after="0" w:line="4" w:lineRule="exact"/>
        <w:rPr>
          <w:sz w:val="20"/>
          <w:szCs w:val="20"/>
          <w:color w:val="auto"/>
        </w:rPr>
      </w:pPr>
    </w:p>
    <w:p>
      <w:pPr>
        <w:ind w:right="720" w:firstLine="8"/>
        <w:spacing w:after="0" w:line="237" w:lineRule="auto"/>
        <w:tabs>
          <w:tab w:leader="none" w:pos="318" w:val="left"/>
        </w:tabs>
        <w:numPr>
          <w:ilvl w:val="0"/>
          <w:numId w:val="16"/>
        </w:numPr>
        <w:rPr>
          <w:rFonts w:ascii="Arial" w:cs="Arial" w:eastAsia="Arial" w:hAnsi="Arial"/>
          <w:sz w:val="22"/>
          <w:szCs w:val="22"/>
          <w:color w:val="auto"/>
        </w:rPr>
      </w:pPr>
      <w:r>
        <w:rPr>
          <w:rFonts w:ascii="Arial" w:cs="Arial" w:eastAsia="Arial" w:hAnsi="Arial"/>
          <w:sz w:val="22"/>
          <w:szCs w:val="22"/>
          <w:color w:val="auto"/>
        </w:rPr>
        <w:t>terminate the existence or qualification of the Partnership or any Group Member under the laws of the jurisdiction of its formation.</w:t>
      </w:r>
    </w:p>
    <w:p>
      <w:pPr>
        <w:spacing w:after="0" w:line="184" w:lineRule="exact"/>
        <w:rPr>
          <w:rFonts w:ascii="Arial" w:cs="Arial" w:eastAsia="Arial" w:hAnsi="Arial"/>
          <w:sz w:val="22"/>
          <w:szCs w:val="22"/>
          <w:color w:val="auto"/>
        </w:rPr>
      </w:pPr>
    </w:p>
    <w:p>
      <w:pPr>
        <w:ind w:right="220" w:firstLine="1305"/>
        <w:spacing w:after="0"/>
        <w:tabs>
          <w:tab w:leader="none" w:pos="1954" w:val="left"/>
        </w:tabs>
        <w:numPr>
          <w:ilvl w:val="1"/>
          <w:numId w:val="16"/>
        </w:numPr>
        <w:rPr>
          <w:rFonts w:ascii="Arial" w:cs="Arial" w:eastAsia="Arial" w:hAnsi="Arial"/>
          <w:sz w:val="22"/>
          <w:szCs w:val="22"/>
          <w:color w:val="auto"/>
        </w:rPr>
      </w:pPr>
      <w:r>
        <w:rPr>
          <w:rFonts w:ascii="Arial" w:cs="Arial" w:eastAsia="Arial" w:hAnsi="Arial"/>
          <w:sz w:val="22"/>
          <w:szCs w:val="22"/>
          <w:color w:val="auto"/>
        </w:rPr>
        <w:t xml:space="preserve">Nothing contained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CAPITAL CONTRIBUTIONS AND ISSUANCE OF PARTNERSHIP INTERESTS</w:t>
      </w:r>
    </w:p>
    <w:p>
      <w:pPr>
        <w:spacing w:after="0" w:line="188" w:lineRule="exact"/>
        <w:rPr>
          <w:sz w:val="20"/>
          <w:szCs w:val="20"/>
          <w:color w:val="auto"/>
        </w:rPr>
      </w:pPr>
    </w:p>
    <w:p>
      <w:pPr>
        <w:jc w:val="both"/>
        <w:ind w:right="80" w:firstLine="1297"/>
        <w:spacing w:after="0" w:line="282"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i w:val="1"/>
          <w:iCs w:val="1"/>
          <w:color w:val="auto"/>
        </w:rPr>
        <w:t>Contributions Prior to the Closing Date.</w:t>
      </w:r>
      <w:r>
        <w:rPr>
          <w:rFonts w:ascii="Arial" w:cs="Arial" w:eastAsia="Arial" w:hAnsi="Arial"/>
          <w:sz w:val="19"/>
          <w:szCs w:val="19"/>
          <w:color w:val="auto"/>
        </w:rPr>
        <w:t xml:space="preserve"> In connection with the formation of the Partnership under the Marshall Islands Act, the General Partner made an initial Capital Contribution in the amount of $20, for a 2% General Partner Interest in the Partnership (the “</w:t>
      </w:r>
      <w:r>
        <w:rPr>
          <w:rFonts w:ascii="Arial" w:cs="Arial" w:eastAsia="Arial" w:hAnsi="Arial"/>
          <w:sz w:val="19"/>
          <w:szCs w:val="19"/>
          <w:b w:val="1"/>
          <w:bCs w:val="1"/>
          <w:i w:val="1"/>
          <w:iCs w:val="1"/>
          <w:color w:val="auto"/>
        </w:rPr>
        <w:t>Initial General Partner Interest</w:t>
      </w:r>
      <w:r>
        <w:rPr>
          <w:rFonts w:ascii="Arial" w:cs="Arial" w:eastAsia="Arial" w:hAnsi="Arial"/>
          <w:sz w:val="19"/>
          <w:szCs w:val="19"/>
          <w:color w:val="auto"/>
        </w:rPr>
        <w:t>”) and was admitted as the General Partner of the Partnership, and the Organizational Limited Partner made an initial Capital Contribution in the amount of $980 for a 98% limited partner interest in the Partnership (the “</w:t>
      </w:r>
      <w:r>
        <w:rPr>
          <w:rFonts w:ascii="Arial" w:cs="Arial" w:eastAsia="Arial" w:hAnsi="Arial"/>
          <w:sz w:val="19"/>
          <w:szCs w:val="19"/>
          <w:b w:val="1"/>
          <w:bCs w:val="1"/>
          <w:i w:val="1"/>
          <w:iCs w:val="1"/>
          <w:color w:val="auto"/>
        </w:rPr>
        <w:t>Initial Limited Partner Interest</w:t>
      </w:r>
      <w:r>
        <w:rPr>
          <w:rFonts w:ascii="Arial" w:cs="Arial" w:eastAsia="Arial" w:hAnsi="Arial"/>
          <w:sz w:val="19"/>
          <w:szCs w:val="19"/>
          <w:color w:val="auto"/>
        </w:rPr>
        <w:t>”) and was admitted as a Limited Partner of the Partnership.</w:t>
      </w:r>
    </w:p>
    <w:p>
      <w:pPr>
        <w:spacing w:after="0" w:line="148" w:lineRule="exact"/>
        <w:rPr>
          <w:sz w:val="20"/>
          <w:szCs w:val="20"/>
          <w:color w:val="auto"/>
        </w:rPr>
      </w:pPr>
    </w:p>
    <w:p>
      <w:pPr>
        <w:ind w:right="100" w:firstLine="1297"/>
        <w:spacing w:after="0" w:line="245"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i w:val="1"/>
          <w:iCs w:val="1"/>
          <w:color w:val="auto"/>
        </w:rPr>
        <w:t>Initial Unit Issuances; Tax Election; Initial Contributors and Redemption of Common Units.</w:t>
      </w:r>
      <w:r>
        <w:rPr>
          <w:rFonts w:ascii="Arial" w:cs="Arial" w:eastAsia="Arial" w:hAnsi="Arial"/>
          <w:sz w:val="21"/>
          <w:szCs w:val="21"/>
          <w:color w:val="auto"/>
        </w:rPr>
        <w:t xml:space="preserve"> (a) On the Closing Date, automatically pursuant to this Agreement and the Contribution Agreement (i) GasLog made a Capital Contribution of the Vessel Interests to the Partnership in exchange for (A) 162,358 Common Units, representing a 0.81% limited partner interest in the Partnership, (B) 9,822,358 Subordinated Units, representing a 49.0% limited partner interest in the Partnership (which Subordinated Units converted into Common Units on a one-for-one basis on May 16, 2017 pursuant to that certain Third Amended and Restated Agreement of Limited Partnership of the Partnership), (C) all of the Incentive Distribution Rights, (D) a payment of $68.8 million and (E) the right to receive the Deferred Issuance and Distribution, (ii) the Initial Limited Partner Interest was redeemed and (iii) the Initial General Partner Interest was converted into 400,913 General Partner Units (representing a 2.0% interest in the Partnership).</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6" w:name="page37"/>
    <w:bookmarkEnd w:id="36"/>
    <w:p>
      <w:pPr>
        <w:ind w:right="100" w:firstLine="1305"/>
        <w:spacing w:after="0"/>
        <w:tabs>
          <w:tab w:leader="none" w:pos="1954" w:val="left"/>
        </w:tabs>
        <w:numPr>
          <w:ilvl w:val="0"/>
          <w:numId w:val="17"/>
        </w:numPr>
        <w:rPr>
          <w:rFonts w:ascii="Arial" w:cs="Arial" w:eastAsia="Arial" w:hAnsi="Arial"/>
          <w:sz w:val="22"/>
          <w:szCs w:val="22"/>
          <w:color w:val="auto"/>
        </w:rPr>
      </w:pPr>
      <w:r>
        <w:rPr>
          <w:rFonts w:ascii="Arial" w:cs="Arial" w:eastAsia="Arial" w:hAnsi="Arial"/>
          <w:sz w:val="22"/>
          <w:szCs w:val="22"/>
          <w:color w:val="auto"/>
        </w:rPr>
        <w:t>On the Closing Date and pursuant to the Underwriting Agreement, each Underwriter contributed cash to the Partnership in exchange for the issuance by the Partnership of Common Units to each Underwriter, all as set forth in the Underwriting Agreement.</w:t>
      </w:r>
    </w:p>
    <w:p>
      <w:pPr>
        <w:spacing w:after="0" w:line="186" w:lineRule="exact"/>
        <w:rPr>
          <w:rFonts w:ascii="Arial" w:cs="Arial" w:eastAsia="Arial" w:hAnsi="Arial"/>
          <w:sz w:val="22"/>
          <w:szCs w:val="22"/>
          <w:color w:val="auto"/>
        </w:rPr>
      </w:pPr>
    </w:p>
    <w:p>
      <w:pPr>
        <w:jc w:val="both"/>
        <w:ind w:right="960" w:firstLine="1305"/>
        <w:spacing w:after="0"/>
        <w:tabs>
          <w:tab w:leader="none" w:pos="1955" w:val="left"/>
        </w:tabs>
        <w:numPr>
          <w:ilvl w:val="0"/>
          <w:numId w:val="17"/>
        </w:numPr>
        <w:rPr>
          <w:rFonts w:ascii="Arial" w:cs="Arial" w:eastAsia="Arial" w:hAnsi="Arial"/>
          <w:sz w:val="22"/>
          <w:szCs w:val="22"/>
          <w:color w:val="auto"/>
        </w:rPr>
      </w:pPr>
      <w:r>
        <w:rPr>
          <w:rFonts w:ascii="Arial" w:cs="Arial" w:eastAsia="Arial" w:hAnsi="Arial"/>
          <w:sz w:val="22"/>
          <w:szCs w:val="22"/>
          <w:color w:val="auto"/>
        </w:rPr>
        <w:t>Upon the exercise, if any, of the Over-Allotment Option, each Underwriter contributed cash to the Partnership in exchange for the issuance by the Partnership of Common Units to each Underwriter, all as set forth in the Underwriting Agreement.</w:t>
      </w:r>
    </w:p>
    <w:p>
      <w:pPr>
        <w:spacing w:after="0" w:line="186" w:lineRule="exact"/>
        <w:rPr>
          <w:rFonts w:ascii="Arial" w:cs="Arial" w:eastAsia="Arial" w:hAnsi="Arial"/>
          <w:sz w:val="22"/>
          <w:szCs w:val="22"/>
          <w:color w:val="auto"/>
        </w:rPr>
      </w:pPr>
    </w:p>
    <w:p>
      <w:pPr>
        <w:ind w:right="280" w:firstLine="1305"/>
        <w:spacing w:after="0" w:line="251" w:lineRule="auto"/>
        <w:tabs>
          <w:tab w:leader="none" w:pos="19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Effective on or before the Closing Date, the Partnership elected to be treated as an association taxable as a corporation for U.S. federal income tax purposes.</w:t>
      </w:r>
    </w:p>
    <w:p>
      <w:pPr>
        <w:spacing w:after="0" w:line="173" w:lineRule="exact"/>
        <w:rPr>
          <w:rFonts w:ascii="Arial" w:cs="Arial" w:eastAsia="Arial" w:hAnsi="Arial"/>
          <w:sz w:val="22"/>
          <w:szCs w:val="22"/>
          <w:color w:val="auto"/>
        </w:rPr>
      </w:pPr>
    </w:p>
    <w:p>
      <w:pPr>
        <w:jc w:val="both"/>
        <w:ind w:right="120" w:firstLine="1305"/>
        <w:spacing w:after="0" w:line="238" w:lineRule="auto"/>
        <w:tabs>
          <w:tab w:leader="none" w:pos="1955" w:val="left"/>
        </w:tabs>
        <w:numPr>
          <w:ilvl w:val="0"/>
          <w:numId w:val="17"/>
        </w:numPr>
        <w:rPr>
          <w:rFonts w:ascii="Arial" w:cs="Arial" w:eastAsia="Arial" w:hAnsi="Arial"/>
          <w:sz w:val="22"/>
          <w:szCs w:val="22"/>
          <w:color w:val="auto"/>
        </w:rPr>
      </w:pPr>
      <w:r>
        <w:rPr>
          <w:rFonts w:ascii="Arial" w:cs="Arial" w:eastAsia="Arial" w:hAnsi="Arial"/>
          <w:sz w:val="22"/>
          <w:szCs w:val="22"/>
          <w:color w:val="auto"/>
        </w:rPr>
        <w:t xml:space="preserve">No Limited Partner Interests were issued or issuable as of or at the Closing Date other than (i) the Common Units and Subordinated Units issuable pursuant to </w:t>
      </w:r>
      <w:r>
        <w:rPr>
          <w:rFonts w:ascii="Arial" w:cs="Arial" w:eastAsia="Arial" w:hAnsi="Arial"/>
          <w:sz w:val="22"/>
          <w:szCs w:val="22"/>
          <w:u w:val="single" w:color="auto"/>
          <w:color w:val="auto"/>
        </w:rPr>
        <w:t>Section 5.2(a)</w:t>
      </w:r>
      <w:r>
        <w:rPr>
          <w:rFonts w:ascii="Arial" w:cs="Arial" w:eastAsia="Arial" w:hAnsi="Arial"/>
          <w:sz w:val="22"/>
          <w:szCs w:val="22"/>
          <w:color w:val="auto"/>
        </w:rPr>
        <w:t>, (ii) any Common Units issued pursuant to the Deferred Issuance and Distribution, (iii) the Common Units issued to the Underwriters as described in subparagraphs (b) and (c) hereof and (iv) the Incentive Distribution Rights.</w:t>
      </w:r>
    </w:p>
    <w:p>
      <w:pPr>
        <w:spacing w:after="0" w:line="185"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 xml:space="preserve">Section 5.3. </w:t>
      </w:r>
      <w:r>
        <w:rPr>
          <w:rFonts w:ascii="Arial" w:cs="Arial" w:eastAsia="Arial" w:hAnsi="Arial"/>
          <w:sz w:val="19"/>
          <w:szCs w:val="19"/>
          <w:i w:val="1"/>
          <w:iCs w:val="1"/>
          <w:color w:val="auto"/>
        </w:rPr>
        <w:t>Interest and Withdrawal</w:t>
      </w:r>
      <w:r>
        <w:rPr>
          <w:rFonts w:ascii="Arial" w:cs="Arial" w:eastAsia="Arial" w:hAnsi="Arial"/>
          <w:sz w:val="19"/>
          <w:szCs w:val="19"/>
          <w:color w:val="auto"/>
        </w:rPr>
        <w:t>. No interest shall be paid by the Partnership on Capital Contributions. No Partner shall be entitled to the withdrawal or return of its Capital Contribution, except to the extent, if any, that distributions made pursuant to this Agreement or upon dissolution of the Partnership may be considered and permitted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48" w:lineRule="exact"/>
        <w:rPr>
          <w:sz w:val="20"/>
          <w:szCs w:val="20"/>
          <w:color w:val="auto"/>
        </w:rPr>
      </w:pPr>
    </w:p>
    <w:p>
      <w:pPr>
        <w:ind w:firstLine="1297"/>
        <w:spacing w:after="0" w:line="235"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i w:val="1"/>
          <w:iCs w:val="1"/>
          <w:color w:val="auto"/>
        </w:rPr>
        <w:t>Issuances of Additional Partnership Interests.</w:t>
      </w:r>
      <w:r>
        <w:rPr>
          <w:rFonts w:ascii="Arial" w:cs="Arial" w:eastAsia="Arial" w:hAnsi="Arial"/>
          <w:sz w:val="22"/>
          <w:szCs w:val="22"/>
          <w:color w:val="auto"/>
        </w:rPr>
        <w:t xml:space="preserve"> (a) Subject to any approvals required by Series A Holders pursuant to </w:t>
      </w:r>
      <w:r>
        <w:rPr>
          <w:rFonts w:ascii="Arial" w:cs="Arial" w:eastAsia="Arial" w:hAnsi="Arial"/>
          <w:sz w:val="22"/>
          <w:szCs w:val="22"/>
          <w:u w:val="single" w:color="auto"/>
          <w:color w:val="auto"/>
        </w:rPr>
        <w:t>Section 16.5(c)(ii)</w:t>
      </w:r>
      <w:r>
        <w:rPr>
          <w:rFonts w:ascii="Arial" w:cs="Arial" w:eastAsia="Arial" w:hAnsi="Arial"/>
          <w:sz w:val="22"/>
          <w:szCs w:val="22"/>
          <w:color w:val="auto"/>
        </w:rPr>
        <w:t xml:space="preserve">, any approvals required by Series B Holders pursuant to </w:t>
      </w:r>
      <w:r>
        <w:rPr>
          <w:rFonts w:ascii="Arial" w:cs="Arial" w:eastAsia="Arial" w:hAnsi="Arial"/>
          <w:sz w:val="22"/>
          <w:szCs w:val="22"/>
          <w:u w:val="single" w:color="auto"/>
          <w:color w:val="auto"/>
        </w:rPr>
        <w:t>Section 17.5(c)(ii)</w:t>
      </w:r>
      <w:r>
        <w:rPr>
          <w:rFonts w:ascii="Arial" w:cs="Arial" w:eastAsia="Arial" w:hAnsi="Arial"/>
          <w:sz w:val="22"/>
          <w:szCs w:val="22"/>
          <w:color w:val="auto"/>
        </w:rPr>
        <w:t xml:space="preserve"> and any approvals required by Series C Holders pursuant to </w:t>
      </w:r>
      <w:r>
        <w:rPr>
          <w:rFonts w:ascii="Arial" w:cs="Arial" w:eastAsia="Arial" w:hAnsi="Arial"/>
          <w:sz w:val="22"/>
          <w:szCs w:val="22"/>
          <w:u w:val="single" w:color="auto"/>
          <w:color w:val="auto"/>
        </w:rPr>
        <w:t>Section 18.5(c)(ii)</w:t>
      </w:r>
      <w:r>
        <w:rPr>
          <w:rFonts w:ascii="Arial" w:cs="Arial" w:eastAsia="Arial" w:hAnsi="Arial"/>
          <w:sz w:val="22"/>
          <w:szCs w:val="22"/>
          <w:color w:val="auto"/>
        </w:rPr>
        <w:t>, the Partnership may issue additional Partnership Interests 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w:t>
      </w:r>
    </w:p>
    <w:p>
      <w:pPr>
        <w:spacing w:after="0" w:line="188" w:lineRule="exact"/>
        <w:rPr>
          <w:sz w:val="20"/>
          <w:szCs w:val="20"/>
          <w:color w:val="auto"/>
        </w:rPr>
      </w:pPr>
    </w:p>
    <w:p>
      <w:pPr>
        <w:ind w:left="1960" w:hanging="655"/>
        <w:spacing w:after="0"/>
        <w:tabs>
          <w:tab w:leader="none" w:pos="1960" w:val="left"/>
        </w:tabs>
        <w:numPr>
          <w:ilvl w:val="0"/>
          <w:numId w:val="18"/>
        </w:numPr>
        <w:rPr>
          <w:rFonts w:ascii="Arial" w:cs="Arial" w:eastAsia="Arial" w:hAnsi="Arial"/>
          <w:sz w:val="22"/>
          <w:szCs w:val="22"/>
          <w:color w:val="auto"/>
        </w:rPr>
      </w:pPr>
      <w:r>
        <w:rPr>
          <w:rFonts w:ascii="Arial" w:cs="Arial" w:eastAsia="Arial" w:hAnsi="Arial"/>
          <w:sz w:val="22"/>
          <w:szCs w:val="22"/>
          <w:color w:val="auto"/>
        </w:rPr>
        <w:t>Each additional Partnership Interest authorized to be issued by the Partnership pursuant to</w:t>
      </w:r>
    </w:p>
    <w:p>
      <w:pPr>
        <w:spacing w:after="0" w:line="8" w:lineRule="exact"/>
        <w:rPr>
          <w:sz w:val="20"/>
          <w:szCs w:val="20"/>
          <w:color w:val="auto"/>
        </w:rPr>
      </w:pPr>
    </w:p>
    <w:p>
      <w:pPr>
        <w:ind w:right="40"/>
        <w:spacing w:after="0" w:line="273" w:lineRule="auto"/>
        <w:rPr>
          <w:sz w:val="20"/>
          <w:szCs w:val="20"/>
          <w:color w:val="auto"/>
        </w:rPr>
      </w:pPr>
      <w:r>
        <w:rPr>
          <w:rFonts w:ascii="Arial" w:cs="Arial" w:eastAsia="Arial" w:hAnsi="Arial"/>
          <w:sz w:val="19"/>
          <w:szCs w:val="19"/>
          <w:u w:val="single" w:color="auto"/>
          <w:color w:val="auto"/>
        </w:rPr>
        <w:t>Section 5.4(a)</w:t>
      </w:r>
      <w:r>
        <w:rPr>
          <w:rFonts w:ascii="Arial" w:cs="Arial" w:eastAsia="Arial" w:hAnsi="Arial"/>
          <w:sz w:val="19"/>
          <w:szCs w:val="19"/>
          <w:color w:val="auto"/>
        </w:rPr>
        <w:t xml:space="preserve">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 transferred; (vi) the method for determining the Percentage Interest as to such Partnership Interest; and (vii) the right, if any, of each such</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7" w:name="page38"/>
    <w:bookmarkEnd w:id="37"/>
    <w:p>
      <w:pPr>
        <w:ind w:right="340"/>
        <w:spacing w:after="0" w:line="251" w:lineRule="auto"/>
        <w:rPr>
          <w:sz w:val="20"/>
          <w:szCs w:val="20"/>
          <w:color w:val="auto"/>
        </w:rPr>
      </w:pPr>
      <w:r>
        <w:rPr>
          <w:rFonts w:ascii="Arial" w:cs="Arial" w:eastAsia="Arial" w:hAnsi="Arial"/>
          <w:sz w:val="22"/>
          <w:szCs w:val="22"/>
          <w:color w:val="auto"/>
        </w:rPr>
        <w:t>Partnership Interest to vote on Partnership matters, including matters relating to the relative rights, preferences and privileges of such Partnership Interest.</w:t>
      </w:r>
    </w:p>
    <w:p>
      <w:pPr>
        <w:spacing w:after="0" w:line="173" w:lineRule="exact"/>
        <w:rPr>
          <w:sz w:val="20"/>
          <w:szCs w:val="20"/>
          <w:color w:val="auto"/>
        </w:rPr>
      </w:pPr>
    </w:p>
    <w:p>
      <w:pPr>
        <w:ind w:right="160" w:firstLine="1305"/>
        <w:spacing w:after="0" w:line="244" w:lineRule="auto"/>
        <w:tabs>
          <w:tab w:leader="none" w:pos="1955" w:val="left"/>
        </w:tabs>
        <w:numPr>
          <w:ilvl w:val="1"/>
          <w:numId w:val="19"/>
        </w:numPr>
        <w:rPr>
          <w:rFonts w:ascii="Arial" w:cs="Arial" w:eastAsia="Arial" w:hAnsi="Arial"/>
          <w:sz w:val="21"/>
          <w:szCs w:val="21"/>
          <w:color w:val="auto"/>
        </w:rPr>
      </w:pPr>
      <w:r>
        <w:rPr>
          <w:rFonts w:ascii="Arial" w:cs="Arial" w:eastAsia="Arial" w:hAnsi="Arial"/>
          <w:sz w:val="21"/>
          <w:szCs w:val="21"/>
          <w:color w:val="auto"/>
        </w:rPr>
        <w:t xml:space="preserve">The Board of Directors shall take all actions that it determines to be necessary or appropriate in connection with (i) each issuance of Partnership Interests and options, rights, warrants and appreciation rights relating to Partnership Interests pursuant to this </w:t>
      </w:r>
      <w:r>
        <w:rPr>
          <w:rFonts w:ascii="Arial" w:cs="Arial" w:eastAsia="Arial" w:hAnsi="Arial"/>
          <w:sz w:val="21"/>
          <w:szCs w:val="21"/>
          <w:u w:val="single" w:color="auto"/>
          <w:color w:val="auto"/>
        </w:rPr>
        <w:t>Section 5.4</w:t>
      </w:r>
      <w:r>
        <w:rPr>
          <w:rFonts w:ascii="Arial" w:cs="Arial" w:eastAsia="Arial" w:hAnsi="Arial"/>
          <w:sz w:val="21"/>
          <w:szCs w:val="21"/>
          <w:color w:val="auto"/>
        </w:rPr>
        <w:t xml:space="preserve">, including Common Units issued in connection with the Deferred Issuance and Distribution, (ii) the conversion of the General Partner Interest (represented by General Partner Units) into Units pursuant to the terms of this Agreement, (iii) the admission of additional Limited Partners, (iv) the issuance of Class B Units pursuant to </w:t>
      </w:r>
      <w:r>
        <w:rPr>
          <w:rFonts w:ascii="Arial" w:cs="Arial" w:eastAsia="Arial" w:hAnsi="Arial"/>
          <w:sz w:val="21"/>
          <w:szCs w:val="21"/>
          <w:u w:val="single" w:color="auto"/>
          <w:color w:val="auto"/>
        </w:rPr>
        <w:t>Section 5.9</w:t>
      </w:r>
      <w:r>
        <w:rPr>
          <w:rFonts w:ascii="Arial" w:cs="Arial" w:eastAsia="Arial" w:hAnsi="Arial"/>
          <w:sz w:val="21"/>
          <w:szCs w:val="21"/>
          <w:color w:val="auto"/>
        </w:rPr>
        <w:t xml:space="preserve"> and the conversion of Class B Units into Common Units pursuant to the terms of this Agreement and (v) all additional issuances of Partnership Interests. The Board of Directors shall determine the relative rights, powers and duties of the holders of the Units or other Partnership Interests being so issued. The Board of Directors shall do all things necessary to comply with the Marshall Islands Act and is authorized and directed to do all things that it determines to be necessary or appropriate in connection with any future issuance of Partnership Interests or in connection with the conversion of the General Partner Interest into Units pursuant to the terms of this Agreement, including compliance with any statute, rule, regulation or guideline of any federal, state or other governmental agency or any National Securities Exchange on which the Units or other Partnership Interests are listed or admitted to trading.</w:t>
      </w:r>
    </w:p>
    <w:p>
      <w:pPr>
        <w:spacing w:after="0" w:line="184" w:lineRule="exact"/>
        <w:rPr>
          <w:rFonts w:ascii="Arial" w:cs="Arial" w:eastAsia="Arial" w:hAnsi="Arial"/>
          <w:sz w:val="21"/>
          <w:szCs w:val="21"/>
          <w:color w:val="auto"/>
        </w:rPr>
      </w:pPr>
    </w:p>
    <w:p>
      <w:pPr>
        <w:ind w:right="300" w:firstLine="1305"/>
        <w:spacing w:after="0" w:line="273" w:lineRule="auto"/>
        <w:tabs>
          <w:tab w:leader="none" w:pos="1940" w:val="left"/>
        </w:tabs>
        <w:numPr>
          <w:ilvl w:val="1"/>
          <w:numId w:val="19"/>
        </w:numPr>
        <w:rPr>
          <w:rFonts w:ascii="Arial" w:cs="Arial" w:eastAsia="Arial" w:hAnsi="Arial"/>
          <w:sz w:val="19"/>
          <w:szCs w:val="19"/>
          <w:color w:val="auto"/>
        </w:rPr>
      </w:pPr>
      <w:r>
        <w:rPr>
          <w:rFonts w:ascii="Arial" w:cs="Arial" w:eastAsia="Arial" w:hAnsi="Arial"/>
          <w:sz w:val="19"/>
          <w:szCs w:val="19"/>
          <w:color w:val="auto"/>
        </w:rPr>
        <w:t>The amendments to the Fifth Amended Agreement effected by this Agreement with respect to the class of Incentive Distribution Rights outstanding prior to the Effective Time reflect, and are intended to be treated as, a contribution of such Incentive Distribution Rights by GasLog to the Partnership in exchange for the issuance by the Partnership to GasLog of</w:t>
      </w:r>
    </w:p>
    <w:p>
      <w:pPr>
        <w:spacing w:after="0" w:line="1" w:lineRule="exact"/>
        <w:rPr>
          <w:rFonts w:ascii="Arial" w:cs="Arial" w:eastAsia="Arial" w:hAnsi="Arial"/>
          <w:sz w:val="19"/>
          <w:szCs w:val="19"/>
          <w:color w:val="auto"/>
        </w:rPr>
      </w:pPr>
    </w:p>
    <w:p>
      <w:pPr>
        <w:ind w:right="60" w:firstLine="8"/>
        <w:spacing w:after="0" w:line="275" w:lineRule="auto"/>
        <w:tabs>
          <w:tab w:leader="none" w:pos="258" w:val="left"/>
        </w:tabs>
        <w:numPr>
          <w:ilvl w:val="0"/>
          <w:numId w:val="20"/>
        </w:numPr>
        <w:rPr>
          <w:rFonts w:ascii="Arial" w:cs="Arial" w:eastAsia="Arial" w:hAnsi="Arial"/>
          <w:sz w:val="19"/>
          <w:szCs w:val="19"/>
          <w:color w:val="auto"/>
        </w:rPr>
      </w:pPr>
      <w:r>
        <w:rPr>
          <w:rFonts w:ascii="Arial" w:cs="Arial" w:eastAsia="Arial" w:hAnsi="Arial"/>
          <w:sz w:val="19"/>
          <w:szCs w:val="19"/>
          <w:color w:val="auto"/>
        </w:rPr>
        <w:t>2,532,911 Common Units and (ii) 2,490,000 Class B Units (of which 415,000 are Class B-1 Units, 415,000 are Class B-2 Units, 415,000 are Class B-3 Units, 415,000 are Class B-4 Units, 415,000 are Class B-5 Units and 415,000 are Class B-6 Units). In furtherance of the foregoing, concurrently with the Effective Time, (A) the Incentive Distribution Rights outstanding prior to the Effective Time contributed by GasLog are canceled and (B) GasLog, on behalf of itself and its successors and assigns, hereby agrees to waive that certain portion of the distributions that would otherwise be payable under the Fifth Amended Agreement on the Incentive Distribution Rights outstanding prior to the Effective Time for the quarter ending June 30, 2019, if any.</w:t>
      </w:r>
    </w:p>
    <w:p>
      <w:pPr>
        <w:spacing w:after="0" w:line="155" w:lineRule="exact"/>
        <w:rPr>
          <w:sz w:val="20"/>
          <w:szCs w:val="20"/>
          <w:color w:val="auto"/>
        </w:rPr>
      </w:pPr>
    </w:p>
    <w:p>
      <w:pPr>
        <w:ind w:firstLine="1297"/>
        <w:spacing w:after="0" w:line="279"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i w:val="1"/>
          <w:iCs w:val="1"/>
          <w:color w:val="auto"/>
        </w:rPr>
        <w:t>Limitations on Issuance of Additional Partnership Interests</w:t>
      </w:r>
      <w:r>
        <w:rPr>
          <w:rFonts w:ascii="Arial" w:cs="Arial" w:eastAsia="Arial" w:hAnsi="Arial"/>
          <w:sz w:val="19"/>
          <w:szCs w:val="19"/>
          <w:color w:val="auto"/>
        </w:rPr>
        <w:t xml:space="preserve">. The Partnership may issue an unlimited number of Partnership Interests (or options, rights, warrants or appreciation rights related thereto) pursuant to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without the approval of the Partners;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fractional units shall be issued by the Partnership;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without the approval of the General Partner, the Partnership shall not issue any equity where such issuance (as determined by the Board of Directors) (a) is not reasonably expected to be accretive to equity within 12 months of issuance or (b) would otherwise have a material adverse impact on the General Partner or the General Partner Interest.</w:t>
      </w:r>
    </w:p>
    <w:p>
      <w:pPr>
        <w:spacing w:after="0" w:line="151" w:lineRule="exact"/>
        <w:rPr>
          <w:sz w:val="20"/>
          <w:szCs w:val="20"/>
          <w:color w:val="auto"/>
        </w:rPr>
      </w:pPr>
    </w:p>
    <w:p>
      <w:pPr>
        <w:ind w:right="60" w:firstLine="1297"/>
        <w:spacing w:after="0"/>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i w:val="1"/>
          <w:iCs w:val="1"/>
          <w:color w:val="auto"/>
        </w:rPr>
        <w:t>Limited Preemptive Right.</w:t>
      </w:r>
      <w:r>
        <w:rPr>
          <w:rFonts w:ascii="Arial" w:cs="Arial" w:eastAsia="Arial" w:hAnsi="Arial"/>
          <w:sz w:val="22"/>
          <w:szCs w:val="22"/>
          <w:color w:val="auto"/>
        </w:rPr>
        <w:t xml:space="preserve"> (a) Except as provided in this </w:t>
      </w:r>
      <w:r>
        <w:rPr>
          <w:rFonts w:ascii="Arial" w:cs="Arial" w:eastAsia="Arial" w:hAnsi="Arial"/>
          <w:sz w:val="22"/>
          <w:szCs w:val="22"/>
          <w:u w:val="single" w:color="auto"/>
          <w:color w:val="auto"/>
        </w:rPr>
        <w:t>Section 5.6</w:t>
      </w:r>
      <w:r>
        <w:rPr>
          <w:rFonts w:ascii="Arial" w:cs="Arial" w:eastAsia="Arial" w:hAnsi="Arial"/>
          <w:sz w:val="22"/>
          <w:szCs w:val="22"/>
          <w:color w:val="auto"/>
        </w:rPr>
        <w:t>, no Person shall have any preemptive, preferential or other similar right with respect to the issuance of any Partnership Interest, whether unissued, held in the treasury or hereafter created.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9"/>
          <w:szCs w:val="19"/>
          <w:color w:val="auto"/>
        </w:rPr>
        <w:t xml:space="preserve">The General Partner shall have the right, which it may from time to time assign in whole or in part to any of its Affiliates, to purchase Partnership Interests from the Partnership whenever, and on the same terms that, the Partnership issues Partnership Interests to Persons other than the General Partner and its Affiliates, to the extent necessary to maintain the Percentage Interests of the General Partner and its Affiliates equal to that which existed immediately prior to the issuance of such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amount of any series of Preference Units issued by the Partnership from time to time that the General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Partner shall have a right to purchase pursuant to this </w:t>
      </w:r>
      <w:r>
        <w:rPr>
          <w:rFonts w:ascii="Arial" w:cs="Arial" w:eastAsia="Arial" w:hAnsi="Arial"/>
          <w:sz w:val="19"/>
          <w:szCs w:val="19"/>
          <w:u w:val="single" w:color="auto"/>
          <w:color w:val="auto"/>
        </w:rPr>
        <w:t>Section 5.6</w:t>
      </w:r>
      <w:r>
        <w:rPr>
          <w:rFonts w:ascii="Arial" w:cs="Arial" w:eastAsia="Arial" w:hAnsi="Arial"/>
          <w:sz w:val="19"/>
          <w:szCs w:val="19"/>
          <w:color w:val="auto"/>
        </w:rPr>
        <w:t xml:space="preserve"> shall equal the product of (a) the aggregate Percentage Interest of the General Partner and its Affiliates multiplied by (b) the number of such series of Preference Units so issued.</w:t>
      </w:r>
    </w:p>
    <w:p>
      <w:pPr>
        <w:spacing w:after="0" w:line="153" w:lineRule="exact"/>
        <w:rPr>
          <w:sz w:val="20"/>
          <w:szCs w:val="20"/>
          <w:color w:val="auto"/>
        </w:rPr>
      </w:pPr>
    </w:p>
    <w:p>
      <w:pPr>
        <w:ind w:right="100" w:firstLine="1305"/>
        <w:spacing w:after="0" w:line="246" w:lineRule="auto"/>
        <w:tabs>
          <w:tab w:leader="none" w:pos="1954" w:val="left"/>
        </w:tabs>
        <w:numPr>
          <w:ilvl w:val="0"/>
          <w:numId w:val="21"/>
        </w:numPr>
        <w:rPr>
          <w:rFonts w:ascii="Arial" w:cs="Arial" w:eastAsia="Arial" w:hAnsi="Arial"/>
          <w:sz w:val="21"/>
          <w:szCs w:val="21"/>
          <w:color w:val="auto"/>
        </w:rPr>
      </w:pPr>
      <w:r>
        <w:rPr>
          <w:rFonts w:ascii="Arial" w:cs="Arial" w:eastAsia="Arial" w:hAnsi="Arial"/>
          <w:sz w:val="21"/>
          <w:szCs w:val="21"/>
          <w:color w:val="auto"/>
        </w:rPr>
        <w:t xml:space="preserve">Upon the issuance of any additional Limited Partner Interests by the Partnership (other than Common Units issued pursuant to </w:t>
      </w:r>
      <w:r>
        <w:rPr>
          <w:rFonts w:ascii="Arial" w:cs="Arial" w:eastAsia="Arial" w:hAnsi="Arial"/>
          <w:sz w:val="21"/>
          <w:szCs w:val="21"/>
          <w:u w:val="single" w:color="auto"/>
          <w:color w:val="auto"/>
        </w:rPr>
        <w:t>Section 5.2(a)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5.2(b)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5.2(c)</w:t>
      </w:r>
      <w:r>
        <w:rPr>
          <w:rFonts w:ascii="Arial" w:cs="Arial" w:eastAsia="Arial" w:hAnsi="Arial"/>
          <w:sz w:val="21"/>
          <w:szCs w:val="21"/>
          <w:color w:val="auto"/>
        </w:rPr>
        <w:t xml:space="preserve"> or the issuance of Limited Partner Interests upon conversion of Outstanding Limited Partner Interests), the General Partner may, in exchange for a proportionate number of General Partner Units, make additional Capital Contributions in an amount equal to the product obtained by multiplying (i) the quotient determined by dividing (A) the General Partner’s Percentage Interest immediately prior to such issuance by (B) 100 less the General Partner’s Percentage Interest immediately prior to such issuance by (ii) the amount contributed to the Partnership by the Limited Partners in exchange for such additional Limited Partner Interests. The General Partner shall not be obligated to make additional Capital Contributions to the Partnership.</w:t>
      </w:r>
    </w:p>
    <w:p>
      <w:pPr>
        <w:spacing w:after="0" w:line="181" w:lineRule="exact"/>
        <w:rPr>
          <w:sz w:val="20"/>
          <w:szCs w:val="20"/>
          <w:color w:val="auto"/>
        </w:rPr>
      </w:pPr>
    </w:p>
    <w:p>
      <w:pPr>
        <w:ind w:firstLine="1297"/>
        <w:spacing w:after="0" w:line="275" w:lineRule="auto"/>
        <w:rPr>
          <w:sz w:val="20"/>
          <w:szCs w:val="20"/>
          <w:color w:val="auto"/>
        </w:rPr>
      </w:pPr>
      <w:r>
        <w:rPr>
          <w:rFonts w:ascii="Arial" w:cs="Arial" w:eastAsia="Arial" w:hAnsi="Arial"/>
          <w:sz w:val="19"/>
          <w:szCs w:val="19"/>
          <w:color w:val="auto"/>
        </w:rPr>
        <w:t xml:space="preserve">Section 5.7. </w:t>
      </w:r>
      <w:r>
        <w:rPr>
          <w:rFonts w:ascii="Arial" w:cs="Arial" w:eastAsia="Arial" w:hAnsi="Arial"/>
          <w:sz w:val="19"/>
          <w:szCs w:val="19"/>
          <w:i w:val="1"/>
          <w:iCs w:val="1"/>
          <w:color w:val="auto"/>
        </w:rPr>
        <w:t>Splits and Combinations.</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5.7(d)</w:t>
      </w:r>
      <w:r>
        <w:rPr>
          <w:rFonts w:ascii="Arial" w:cs="Arial" w:eastAsia="Arial" w:hAnsi="Arial"/>
          <w:sz w:val="19"/>
          <w:szCs w:val="19"/>
          <w:color w:val="auto"/>
        </w:rPr>
        <w:t>, the Partnership may make a Pro Rata distribution of Partnership Interests (other than Series A Preference Units, Series B Preference Units and Series C Preference Units) to all Record Holders of the same class or series of Partnership Interests or may effect a subdivision or combination of the same class or series of Partnership Interests so long as, after any such event, each Partner holding such class or series of such Partnership Interests shall have the same Percentage Interest in the Partnership as before such event, and any amounts calculated on a per Unit basis (including those based on the Series A Liquidation Preference, the Series B Liquidation Preference, the Series C Liquidation Preference, the Stated Series A Liquidation Preference, the Stated Series B Liquidation Preference or the Stated Series C Liquidation Preference) or stated as a number of Units are proportionately adjusted, to the extent applicable.</w:t>
      </w:r>
    </w:p>
    <w:p>
      <w:pPr>
        <w:spacing w:after="0" w:line="158" w:lineRule="exact"/>
        <w:rPr>
          <w:sz w:val="20"/>
          <w:szCs w:val="20"/>
          <w:color w:val="auto"/>
        </w:rPr>
      </w:pPr>
    </w:p>
    <w:p>
      <w:pPr>
        <w:ind w:firstLine="1305"/>
        <w:spacing w:after="0" w:line="234" w:lineRule="auto"/>
        <w:tabs>
          <w:tab w:leader="none" w:pos="1954" w:val="left"/>
        </w:tabs>
        <w:numPr>
          <w:ilvl w:val="0"/>
          <w:numId w:val="22"/>
        </w:numPr>
        <w:rPr>
          <w:rFonts w:ascii="Arial" w:cs="Arial" w:eastAsia="Arial" w:hAnsi="Arial"/>
          <w:sz w:val="22"/>
          <w:szCs w:val="22"/>
          <w:color w:val="auto"/>
        </w:rPr>
      </w:pPr>
      <w:r>
        <w:rPr>
          <w:rFonts w:ascii="Arial" w:cs="Arial" w:eastAsia="Arial" w:hAnsi="Arial"/>
          <w:sz w:val="22"/>
          <w:szCs w:val="22"/>
          <w:color w:val="auto"/>
        </w:rPr>
        <w:t>Whenever such a Pro Rata distribution, subdivision or combination of Partnership Interests is declared, the Board of Directors shall select a Record Date as of which the distribution, subdivision or combination shall be effective and shall send notice thereof at least 20 days prior to such Record Date to each Record Holder as of a date not less than 10 days prior to the date of such notice. The Board of Directors also may cause a firm of independent public accountants selected by it to calculate the number of Partnership Interests to be held by each Record Holder after giving effect to such distribution, subdivision or combination. The Board of Directors shall be entitled to rely on any certificate provided by such firm as conclusive evidence of the accuracy of such calculation.</w:t>
      </w:r>
    </w:p>
    <w:p>
      <w:pPr>
        <w:spacing w:after="0" w:line="191" w:lineRule="exact"/>
        <w:rPr>
          <w:rFonts w:ascii="Arial" w:cs="Arial" w:eastAsia="Arial" w:hAnsi="Arial"/>
          <w:sz w:val="22"/>
          <w:szCs w:val="22"/>
          <w:color w:val="auto"/>
        </w:rPr>
      </w:pPr>
    </w:p>
    <w:p>
      <w:pPr>
        <w:ind w:right="20" w:firstLine="1305"/>
        <w:spacing w:after="0" w:line="251" w:lineRule="auto"/>
        <w:tabs>
          <w:tab w:leader="none" w:pos="1955" w:val="left"/>
        </w:tabs>
        <w:numPr>
          <w:ilvl w:val="0"/>
          <w:numId w:val="22"/>
        </w:numPr>
        <w:rPr>
          <w:rFonts w:ascii="Arial" w:cs="Arial" w:eastAsia="Arial" w:hAnsi="Arial"/>
          <w:sz w:val="22"/>
          <w:szCs w:val="22"/>
          <w:color w:val="auto"/>
        </w:rPr>
      </w:pPr>
      <w:r>
        <w:rPr>
          <w:rFonts w:ascii="Arial" w:cs="Arial" w:eastAsia="Arial" w:hAnsi="Arial"/>
          <w:sz w:val="22"/>
          <w:szCs w:val="22"/>
          <w:color w:val="auto"/>
        </w:rPr>
        <w:t>Promptly following any such distribution, subdivision or combination, the Partnership may issue Certificates or uncertificated Partnership Interests to the Record Holders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39" w:name="page40"/>
    <w:bookmarkEnd w:id="39"/>
    <w:p>
      <w:pPr>
        <w:ind w:right="60"/>
        <w:spacing w:after="0" w:line="282" w:lineRule="auto"/>
        <w:rPr>
          <w:sz w:val="20"/>
          <w:szCs w:val="20"/>
          <w:color w:val="auto"/>
        </w:rPr>
      </w:pPr>
      <w:r>
        <w:rPr>
          <w:rFonts w:ascii="Arial" w:cs="Arial" w:eastAsia="Arial" w:hAnsi="Arial"/>
          <w:sz w:val="19"/>
          <w:szCs w:val="19"/>
          <w:color w:val="auto"/>
        </w:rPr>
        <w:t>of Partnership Interests as of the applicable Record Date representing the new number of Partnership Interests held by such Record Holders, or the Board of Directors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 Certificate or uncertificated Partnership Interest, the surrender of any Certificate held by such Record Holder immediately prior to such Record Date.</w:t>
      </w:r>
    </w:p>
    <w:p>
      <w:pPr>
        <w:spacing w:after="0" w:line="148" w:lineRule="exact"/>
        <w:rPr>
          <w:sz w:val="20"/>
          <w:szCs w:val="20"/>
          <w:color w:val="auto"/>
        </w:rPr>
      </w:pPr>
    </w:p>
    <w:p>
      <w:pPr>
        <w:jc w:val="both"/>
        <w:ind w:right="220" w:firstLine="1305"/>
        <w:spacing w:after="0" w:line="238" w:lineRule="auto"/>
        <w:tabs>
          <w:tab w:leader="none" w:pos="19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The Partnership shall not issue fractional Units upon any distribution, subdivision or combination of Units. If a distribution, subdivision or combination of Units would result in the issuance of fractional Units but for the provisions of this </w:t>
      </w:r>
      <w:r>
        <w:rPr>
          <w:rFonts w:ascii="Arial" w:cs="Arial" w:eastAsia="Arial" w:hAnsi="Arial"/>
          <w:sz w:val="22"/>
          <w:szCs w:val="22"/>
          <w:u w:val="single" w:color="auto"/>
          <w:color w:val="auto"/>
        </w:rPr>
        <w:t>Section 5.7(d)</w:t>
      </w:r>
      <w:r>
        <w:rPr>
          <w:rFonts w:ascii="Arial" w:cs="Arial" w:eastAsia="Arial" w:hAnsi="Arial"/>
          <w:sz w:val="22"/>
          <w:szCs w:val="22"/>
          <w:color w:val="auto"/>
        </w:rPr>
        <w:t>, each fractional Unit shall be rounded to the nearest whole Unit (and a 0.5 Unit shall be rounded to the next higher Unit).</w:t>
      </w:r>
    </w:p>
    <w:p>
      <w:pPr>
        <w:spacing w:after="0" w:line="185" w:lineRule="exact"/>
        <w:rPr>
          <w:sz w:val="20"/>
          <w:szCs w:val="20"/>
          <w:color w:val="auto"/>
        </w:rPr>
      </w:pPr>
    </w:p>
    <w:p>
      <w:pPr>
        <w:ind w:firstLine="1297"/>
        <w:spacing w:after="0" w:line="258" w:lineRule="auto"/>
        <w:rPr>
          <w:sz w:val="20"/>
          <w:szCs w:val="20"/>
          <w:color w:val="auto"/>
        </w:rPr>
      </w:pPr>
      <w:r>
        <w:rPr>
          <w:rFonts w:ascii="Arial" w:cs="Arial" w:eastAsia="Arial" w:hAnsi="Arial"/>
          <w:sz w:val="21"/>
          <w:szCs w:val="21"/>
          <w:color w:val="auto"/>
        </w:rPr>
        <w:t xml:space="preserve">Section 5.8. </w:t>
      </w:r>
      <w:r>
        <w:rPr>
          <w:rFonts w:ascii="Arial" w:cs="Arial" w:eastAsia="Arial" w:hAnsi="Arial"/>
          <w:sz w:val="21"/>
          <w:szCs w:val="21"/>
          <w:i w:val="1"/>
          <w:iCs w:val="1"/>
          <w:color w:val="auto"/>
        </w:rPr>
        <w:t>Fully Paid and Non-Assessable Nature of Limited Partner Interests</w:t>
      </w:r>
      <w:r>
        <w:rPr>
          <w:rFonts w:ascii="Arial" w:cs="Arial" w:eastAsia="Arial" w:hAnsi="Arial"/>
          <w:sz w:val="21"/>
          <w:szCs w:val="21"/>
          <w:color w:val="auto"/>
        </w:rPr>
        <w:t xml:space="preserve">. All Limited Partner Interests issued pursuant to, and in accordance with the requirements of, this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shall be fully paid and non-assessable Limited Partner Interests in the Partnership, except as such non-assessability may be affected by the Marshall Islands Act.</w:t>
      </w:r>
    </w:p>
    <w:p>
      <w:pPr>
        <w:spacing w:after="0" w:line="16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5.9.</w:t>
      </w:r>
      <w:r>
        <w:rPr>
          <w:sz w:val="20"/>
          <w:szCs w:val="20"/>
          <w:color w:val="auto"/>
        </w:rPr>
        <w:tab/>
      </w:r>
      <w:r>
        <w:rPr>
          <w:rFonts w:ascii="Arial" w:cs="Arial" w:eastAsia="Arial" w:hAnsi="Arial"/>
          <w:sz w:val="19"/>
          <w:szCs w:val="19"/>
          <w:i w:val="1"/>
          <w:iCs w:val="1"/>
          <w:color w:val="auto"/>
        </w:rPr>
        <w:t>Establishment of Class B Units</w:t>
      </w:r>
      <w:r>
        <w:rPr>
          <w:rFonts w:ascii="Arial" w:cs="Arial" w:eastAsia="Arial" w:hAnsi="Arial"/>
          <w:sz w:val="19"/>
          <w:szCs w:val="19"/>
          <w:color w:val="auto"/>
        </w:rPr>
        <w:t>.</w:t>
      </w:r>
    </w:p>
    <w:p>
      <w:pPr>
        <w:spacing w:after="0" w:line="206" w:lineRule="exact"/>
        <w:rPr>
          <w:sz w:val="20"/>
          <w:szCs w:val="20"/>
          <w:color w:val="auto"/>
        </w:rPr>
      </w:pPr>
    </w:p>
    <w:p>
      <w:pPr>
        <w:ind w:right="80" w:firstLine="1305"/>
        <w:spacing w:after="0" w:line="236" w:lineRule="auto"/>
        <w:tabs>
          <w:tab w:leader="none" w:pos="1955"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Establishment</w:t>
      </w:r>
      <w:r>
        <w:rPr>
          <w:rFonts w:ascii="Arial" w:cs="Arial" w:eastAsia="Arial" w:hAnsi="Arial"/>
          <w:sz w:val="22"/>
          <w:szCs w:val="22"/>
          <w:color w:val="auto"/>
        </w:rPr>
        <w:t>. The Board of Directors hereby designates and creates a series of Limited Partner Interests to</w:t>
      </w:r>
      <w:r>
        <w:rPr>
          <w:rFonts w:ascii="Arial" w:cs="Arial" w:eastAsia="Arial" w:hAnsi="Arial"/>
          <w:sz w:val="22"/>
          <w:szCs w:val="22"/>
          <w:i w:val="1"/>
          <w:iCs w:val="1"/>
          <w:color w:val="auto"/>
        </w:rPr>
        <w:t xml:space="preserve"> </w:t>
      </w:r>
      <w:r>
        <w:rPr>
          <w:rFonts w:ascii="Arial" w:cs="Arial" w:eastAsia="Arial" w:hAnsi="Arial"/>
          <w:sz w:val="22"/>
          <w:szCs w:val="22"/>
          <w:color w:val="auto"/>
        </w:rPr>
        <w:t>be designated as “Class B Units”, initially consisting of a total of 2,490,000 Class B Units (of which 415,000 shall be designated Class B-1 Units, 415,000 shall be designated Class B-2 Units, 415,000 shall be designated Class B-3 Units, 415,000 shall be designated Class B-4 Units, 415,000 shall be designated Class B-5 Units and 415,000 shall be designated Class B-6 Units), having the terms and conditions set forth herein.</w:t>
      </w:r>
    </w:p>
    <w:p>
      <w:pPr>
        <w:spacing w:after="0" w:line="187" w:lineRule="exact"/>
        <w:rPr>
          <w:rFonts w:ascii="Arial" w:cs="Arial" w:eastAsia="Arial" w:hAnsi="Arial"/>
          <w:sz w:val="22"/>
          <w:szCs w:val="22"/>
          <w:color w:val="auto"/>
        </w:rPr>
      </w:pPr>
    </w:p>
    <w:p>
      <w:pPr>
        <w:ind w:right="120" w:firstLine="1305"/>
        <w:spacing w:after="0" w:line="297" w:lineRule="auto"/>
        <w:tabs>
          <w:tab w:leader="none" w:pos="1954" w:val="left"/>
        </w:tabs>
        <w:numPr>
          <w:ilvl w:val="0"/>
          <w:numId w:val="24"/>
        </w:numPr>
        <w:rPr>
          <w:rFonts w:ascii="Arial" w:cs="Arial" w:eastAsia="Arial" w:hAnsi="Arial"/>
          <w:sz w:val="19"/>
          <w:szCs w:val="19"/>
          <w:color w:val="auto"/>
        </w:rPr>
      </w:pPr>
      <w:r>
        <w:rPr>
          <w:rFonts w:ascii="Arial" w:cs="Arial" w:eastAsia="Arial" w:hAnsi="Arial"/>
          <w:sz w:val="19"/>
          <w:szCs w:val="19"/>
          <w:i w:val="1"/>
          <w:iCs w:val="1"/>
          <w:color w:val="auto"/>
        </w:rPr>
        <w:t>Splits and Combinations of Class B Units</w:t>
      </w:r>
      <w:r>
        <w:rPr>
          <w:rFonts w:ascii="Arial" w:cs="Arial" w:eastAsia="Arial" w:hAnsi="Arial"/>
          <w:sz w:val="19"/>
          <w:szCs w:val="19"/>
          <w:color w:val="auto"/>
        </w:rPr>
        <w:t>. Upon a distribution, subdivision or combination of Common</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Units pursuant to </w:t>
      </w:r>
      <w:r>
        <w:rPr>
          <w:rFonts w:ascii="Arial" w:cs="Arial" w:eastAsia="Arial" w:hAnsi="Arial"/>
          <w:sz w:val="19"/>
          <w:szCs w:val="19"/>
          <w:u w:val="single" w:color="auto"/>
          <w:color w:val="auto"/>
        </w:rPr>
        <w:t>Section 5.7</w:t>
      </w:r>
      <w:r>
        <w:rPr>
          <w:rFonts w:ascii="Arial" w:cs="Arial" w:eastAsia="Arial" w:hAnsi="Arial"/>
          <w:sz w:val="19"/>
          <w:szCs w:val="19"/>
          <w:color w:val="auto"/>
        </w:rPr>
        <w:t>, the Partnership shall simultaneously cause a distribution, subdivision or combination, as applicable, of Class B Units in the same proportion and to the same extent as such distribution, subdivision or combination of Common Units.</w:t>
      </w:r>
    </w:p>
    <w:p>
      <w:pPr>
        <w:spacing w:after="0" w:line="134" w:lineRule="exact"/>
        <w:rPr>
          <w:rFonts w:ascii="Arial" w:cs="Arial" w:eastAsia="Arial" w:hAnsi="Arial"/>
          <w:sz w:val="19"/>
          <w:szCs w:val="19"/>
          <w:color w:val="auto"/>
        </w:rPr>
      </w:pPr>
    </w:p>
    <w:p>
      <w:pPr>
        <w:ind w:left="1960" w:hanging="655"/>
        <w:spacing w:after="0"/>
        <w:tabs>
          <w:tab w:leader="none" w:pos="1960"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Conversion of Class B Units to Common Units</w:t>
      </w:r>
      <w:r>
        <w:rPr>
          <w:rFonts w:ascii="Arial" w:cs="Arial" w:eastAsia="Arial" w:hAnsi="Arial"/>
          <w:sz w:val="22"/>
          <w:szCs w:val="22"/>
          <w:color w:val="auto"/>
        </w:rPr>
        <w:t>.</w:t>
      </w:r>
    </w:p>
    <w:p>
      <w:pPr>
        <w:spacing w:after="0" w:line="206" w:lineRule="exact"/>
        <w:rPr>
          <w:sz w:val="20"/>
          <w:szCs w:val="20"/>
          <w:color w:val="auto"/>
        </w:rPr>
      </w:pPr>
    </w:p>
    <w:p>
      <w:pPr>
        <w:ind w:left="660" w:right="100" w:firstLine="645"/>
        <w:spacing w:after="0" w:line="271" w:lineRule="auto"/>
        <w:tabs>
          <w:tab w:leader="none" w:pos="1971" w:val="left"/>
        </w:tabs>
        <w:numPr>
          <w:ilvl w:val="1"/>
          <w:numId w:val="25"/>
        </w:numPr>
        <w:rPr>
          <w:rFonts w:ascii="Arial" w:cs="Arial" w:eastAsia="Arial" w:hAnsi="Arial"/>
          <w:sz w:val="19"/>
          <w:szCs w:val="19"/>
          <w:color w:val="auto"/>
        </w:rPr>
      </w:pPr>
      <w:r>
        <w:rPr>
          <w:rFonts w:ascii="Arial" w:cs="Arial" w:eastAsia="Arial" w:hAnsi="Arial"/>
          <w:sz w:val="19"/>
          <w:szCs w:val="19"/>
          <w:color w:val="auto"/>
        </w:rPr>
        <w:t xml:space="preserve">At any time, and from time to time, on or after each Class B Unit’s applicable Class B Convertible Date, the holder of such Class B Unit shall have the option, in its sole discretion, to convert such Class B Unit into a Common Unit on a one-for-one basis. Notwithstanding any other provision of this Agreement, all Class B Units that have not yet converted pursuant to this </w:t>
      </w:r>
      <w:r>
        <w:rPr>
          <w:rFonts w:ascii="Arial" w:cs="Arial" w:eastAsia="Arial" w:hAnsi="Arial"/>
          <w:sz w:val="19"/>
          <w:szCs w:val="19"/>
          <w:u w:val="single" w:color="auto"/>
          <w:color w:val="auto"/>
        </w:rPr>
        <w:t>Section 5.9(c)(i)</w:t>
      </w:r>
      <w:r>
        <w:rPr>
          <w:rFonts w:ascii="Arial" w:cs="Arial" w:eastAsia="Arial" w:hAnsi="Arial"/>
          <w:sz w:val="19"/>
          <w:szCs w:val="19"/>
          <w:color w:val="auto"/>
        </w:rPr>
        <w:t xml:space="preserve"> shall automatically convert into Common Units on a one-for-one basis</w:t>
      </w:r>
    </w:p>
    <w:p>
      <w:pPr>
        <w:spacing w:after="0" w:line="3" w:lineRule="exact"/>
        <w:rPr>
          <w:rFonts w:ascii="Arial" w:cs="Arial" w:eastAsia="Arial" w:hAnsi="Arial"/>
          <w:sz w:val="19"/>
          <w:szCs w:val="19"/>
          <w:color w:val="auto"/>
        </w:rPr>
      </w:pPr>
    </w:p>
    <w:p>
      <w:pPr>
        <w:ind w:left="660" w:right="160" w:hanging="4"/>
        <w:spacing w:after="0" w:line="267" w:lineRule="auto"/>
        <w:tabs>
          <w:tab w:leader="none" w:pos="1014"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immediately before the consummation of a Change of Control, (B) immediately before the consummation of a merger, consolidation or conversion of the Partnership pursuant to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(except for a Class B Cancellation Event),</w:t>
      </w:r>
    </w:p>
    <w:p>
      <w:pPr>
        <w:ind w:left="660" w:right="180" w:hanging="4"/>
        <w:spacing w:after="0" w:line="308" w:lineRule="auto"/>
        <w:tabs>
          <w:tab w:leader="none" w:pos="1002" w:val="left"/>
        </w:tabs>
        <w:numPr>
          <w:ilvl w:val="0"/>
          <w:numId w:val="27"/>
        </w:numPr>
        <w:rPr>
          <w:rFonts w:ascii="Arial" w:cs="Arial" w:eastAsia="Arial" w:hAnsi="Arial"/>
          <w:sz w:val="19"/>
          <w:szCs w:val="19"/>
          <w:color w:val="auto"/>
        </w:rPr>
      </w:pPr>
      <w:r>
        <w:rPr>
          <w:rFonts w:ascii="Arial" w:cs="Arial" w:eastAsia="Arial" w:hAnsi="Arial"/>
          <w:sz w:val="19"/>
          <w:szCs w:val="19"/>
          <w:color w:val="auto"/>
        </w:rPr>
        <w:t xml:space="preserve">immediately upon the dissolution of the Partnership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but before any liquidating distributions are made pursuant to </w:t>
      </w:r>
      <w:r>
        <w:rPr>
          <w:rFonts w:ascii="Arial" w:cs="Arial" w:eastAsia="Arial" w:hAnsi="Arial"/>
          <w:sz w:val="19"/>
          <w:szCs w:val="19"/>
          <w:u w:val="single" w:color="auto"/>
          <w:color w:val="auto"/>
        </w:rPr>
        <w:t>Section 12.4(c)</w:t>
      </w:r>
      <w:r>
        <w:rPr>
          <w:rFonts w:ascii="Arial" w:cs="Arial" w:eastAsia="Arial" w:hAnsi="Arial"/>
          <w:sz w:val="19"/>
          <w:szCs w:val="19"/>
          <w:color w:val="auto"/>
        </w:rPr>
        <w:t xml:space="preserve"> and (D) as set forth in, and pursuant to the terms of, </w:t>
      </w:r>
      <w:r>
        <w:rPr>
          <w:rFonts w:ascii="Arial" w:cs="Arial" w:eastAsia="Arial" w:hAnsi="Arial"/>
          <w:sz w:val="19"/>
          <w:szCs w:val="19"/>
          <w:u w:val="single" w:color="auto"/>
          <w:color w:val="auto"/>
        </w:rPr>
        <w:t>Section 11.4</w:t>
      </w:r>
      <w:r>
        <w:rPr>
          <w:rFonts w:ascii="Arial" w:cs="Arial" w:eastAsia="Arial" w:hAnsi="Arial"/>
          <w:sz w:val="19"/>
          <w:szCs w:val="19"/>
          <w:color w:val="auto"/>
        </w:rPr>
        <w: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0" w:name="page41"/>
    <w:bookmarkEnd w:id="40"/>
    <w:p>
      <w:pPr>
        <w:ind w:left="640" w:right="160" w:firstLine="645"/>
        <w:spacing w:after="0" w:line="282" w:lineRule="auto"/>
        <w:tabs>
          <w:tab w:leader="none" w:pos="1957"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Upon conversion, the rights of a holder of converted Class B Units as holder of Class B Units shall cease with respect to such converted Class B Units, including any rights under this Agreement with respect to holders of Class B Units, and such Person shall continue to be a Limited Partner and have the rights of a holder of Common Units under this Agreement. All Class B Units shall, upon conversion pursuant to this </w:t>
      </w:r>
      <w:r>
        <w:rPr>
          <w:rFonts w:ascii="Arial" w:cs="Arial" w:eastAsia="Arial" w:hAnsi="Arial"/>
          <w:sz w:val="19"/>
          <w:szCs w:val="19"/>
          <w:u w:val="single" w:color="auto"/>
          <w:color w:val="auto"/>
        </w:rPr>
        <w:t>Section 5.9(c)</w:t>
      </w:r>
      <w:r>
        <w:rPr>
          <w:rFonts w:ascii="Arial" w:cs="Arial" w:eastAsia="Arial" w:hAnsi="Arial"/>
          <w:sz w:val="19"/>
          <w:szCs w:val="19"/>
          <w:color w:val="auto"/>
        </w:rPr>
        <w:t>, be deemed to be transferred to, and cancelled by, the Partnership in exchange for the Common Units into which the Class B Units converted.</w:t>
      </w:r>
    </w:p>
    <w:p>
      <w:pPr>
        <w:spacing w:after="0" w:line="147" w:lineRule="exact"/>
        <w:rPr>
          <w:rFonts w:ascii="Arial" w:cs="Arial" w:eastAsia="Arial" w:hAnsi="Arial"/>
          <w:sz w:val="19"/>
          <w:szCs w:val="19"/>
          <w:color w:val="auto"/>
        </w:rPr>
      </w:pPr>
    </w:p>
    <w:p>
      <w:pPr>
        <w:ind w:left="640" w:right="20" w:firstLine="645"/>
        <w:spacing w:after="0" w:line="247" w:lineRule="auto"/>
        <w:tabs>
          <w:tab w:leader="none" w:pos="1963" w:val="left"/>
        </w:tabs>
        <w:numPr>
          <w:ilvl w:val="0"/>
          <w:numId w:val="28"/>
        </w:numPr>
        <w:rPr>
          <w:rFonts w:ascii="Arial" w:cs="Arial" w:eastAsia="Arial" w:hAnsi="Arial"/>
          <w:sz w:val="21"/>
          <w:szCs w:val="21"/>
          <w:color w:val="auto"/>
        </w:rPr>
      </w:pPr>
      <w:r>
        <w:rPr>
          <w:rFonts w:ascii="Arial" w:cs="Arial" w:eastAsia="Arial" w:hAnsi="Arial"/>
          <w:sz w:val="21"/>
          <w:szCs w:val="21"/>
          <w:color w:val="auto"/>
        </w:rPr>
        <w:t>The Partnership shall pay any documentary, stamp or similar issue or transfer taxes or duties relating to the issuance or delivery of Common Units upon conversion of the Class B Units. However, the holder shall pay any tax or duty which may be payable relating to any transfer involving the issuance or delivery of Common Units in a name other than the holder’s name. The Transfer Agent may refuse to deliver a Certificate representing Common Units being issued in a name other than the holder’s name until the Transfer Agent receives a sum sufficient to pay any tax or duties which will be due because the Common Units are to be issued in a name other than the holder’s name. Nothing herein shall preclude any tax withholding required by law or regulation.</w:t>
      </w:r>
    </w:p>
    <w:p>
      <w:pPr>
        <w:spacing w:after="0" w:line="178" w:lineRule="exact"/>
        <w:rPr>
          <w:rFonts w:ascii="Arial" w:cs="Arial" w:eastAsia="Arial" w:hAnsi="Arial"/>
          <w:sz w:val="21"/>
          <w:szCs w:val="21"/>
          <w:color w:val="auto"/>
        </w:rPr>
      </w:pPr>
    </w:p>
    <w:p>
      <w:pPr>
        <w:jc w:val="both"/>
        <w:ind w:left="640" w:right="320" w:firstLine="645"/>
        <w:spacing w:after="0"/>
        <w:tabs>
          <w:tab w:leader="none" w:pos="1951"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(A) Except as otherwise provided in </w:t>
      </w:r>
      <w:r>
        <w:rPr>
          <w:rFonts w:ascii="Arial" w:cs="Arial" w:eastAsia="Arial" w:hAnsi="Arial"/>
          <w:sz w:val="22"/>
          <w:szCs w:val="22"/>
          <w:u w:val="single" w:color="auto"/>
          <w:color w:val="auto"/>
        </w:rPr>
        <w:t>Section 5.6</w:t>
      </w:r>
      <w:r>
        <w:rPr>
          <w:rFonts w:ascii="Arial" w:cs="Arial" w:eastAsia="Arial" w:hAnsi="Arial"/>
          <w:sz w:val="22"/>
          <w:szCs w:val="22"/>
          <w:color w:val="auto"/>
        </w:rPr>
        <w:t xml:space="preserve">, the Partnership shall keep free from preemptive rights a sufficient number of Common Units to permit the conversion of all outstanding Class B Units into Common Units to the extent provided in, and in accordance with, this </w:t>
      </w:r>
      <w:r>
        <w:rPr>
          <w:rFonts w:ascii="Arial" w:cs="Arial" w:eastAsia="Arial" w:hAnsi="Arial"/>
          <w:sz w:val="22"/>
          <w:szCs w:val="22"/>
          <w:u w:val="single" w:color="auto"/>
          <w:color w:val="auto"/>
        </w:rPr>
        <w:t>Section 5.9(c)</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left="1280" w:right="340" w:firstLine="653"/>
        <w:spacing w:after="0"/>
        <w:tabs>
          <w:tab w:leader="none" w:pos="2581" w:val="left"/>
        </w:tabs>
        <w:numPr>
          <w:ilvl w:val="1"/>
          <w:numId w:val="28"/>
        </w:numPr>
        <w:rPr>
          <w:rFonts w:ascii="Arial" w:cs="Arial" w:eastAsia="Arial" w:hAnsi="Arial"/>
          <w:sz w:val="22"/>
          <w:szCs w:val="22"/>
          <w:color w:val="auto"/>
        </w:rPr>
      </w:pPr>
      <w:r>
        <w:rPr>
          <w:rFonts w:ascii="Arial" w:cs="Arial" w:eastAsia="Arial" w:hAnsi="Arial"/>
          <w:sz w:val="22"/>
          <w:szCs w:val="22"/>
          <w:color w:val="auto"/>
        </w:rPr>
        <w:t xml:space="preserve">All Common Units delivered upon conversion of the Class B Units shall be newly issued, shall be duly authorized and validly issued, and shall be free from preemptive rights (except as otherwise provided in </w:t>
      </w:r>
      <w:r>
        <w:rPr>
          <w:rFonts w:ascii="Arial" w:cs="Arial" w:eastAsia="Arial" w:hAnsi="Arial"/>
          <w:sz w:val="22"/>
          <w:szCs w:val="22"/>
          <w:u w:val="single" w:color="auto"/>
          <w:color w:val="auto"/>
        </w:rPr>
        <w:t>Section 5.6</w:t>
      </w:r>
      <w:r>
        <w:rPr>
          <w:rFonts w:ascii="Arial" w:cs="Arial" w:eastAsia="Arial" w:hAnsi="Arial"/>
          <w:sz w:val="22"/>
          <w:szCs w:val="22"/>
          <w:color w:val="auto"/>
        </w:rPr>
        <w:t>) and free of any lien or adverse claim.</w:t>
      </w:r>
    </w:p>
    <w:p>
      <w:pPr>
        <w:spacing w:after="0" w:line="186" w:lineRule="exact"/>
        <w:rPr>
          <w:rFonts w:ascii="Arial" w:cs="Arial" w:eastAsia="Arial" w:hAnsi="Arial"/>
          <w:sz w:val="22"/>
          <w:szCs w:val="22"/>
          <w:color w:val="auto"/>
        </w:rPr>
      </w:pPr>
    </w:p>
    <w:p>
      <w:pPr>
        <w:ind w:left="1280" w:right="160" w:firstLine="653"/>
        <w:spacing w:after="0" w:line="282" w:lineRule="auto"/>
        <w:tabs>
          <w:tab w:leader="none" w:pos="2581"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Partnership shall comply with all applicable securities laws regulating the offer and delivery of any Common Units upon conversion of Class B Units and, if the Common Units are then listed or admitted to trading on any National Securities Exchange, shall list or cause to be admitted to trading, as applicable, and keep listed or admitted to trading, as applicable, the Common Units issuable upon conversion of the Class B Units to the extent permitted or required by the rules of such National Securities Exchange.</w:t>
      </w:r>
    </w:p>
    <w:p>
      <w:pPr>
        <w:spacing w:after="0" w:line="148" w:lineRule="exact"/>
        <w:rPr>
          <w:sz w:val="20"/>
          <w:szCs w:val="20"/>
          <w:color w:val="auto"/>
        </w:rPr>
      </w:pPr>
    </w:p>
    <w:p>
      <w:pPr>
        <w:ind w:left="-20" w:right="340" w:firstLine="1305"/>
        <w:spacing w:after="0"/>
        <w:tabs>
          <w:tab w:leader="none" w:pos="1920"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Voting</w:t>
      </w:r>
      <w:r>
        <w:rPr>
          <w:rFonts w:ascii="Arial" w:cs="Arial" w:eastAsia="Arial" w:hAnsi="Arial"/>
          <w:sz w:val="22"/>
          <w:szCs w:val="22"/>
          <w:color w:val="auto"/>
        </w:rPr>
        <w:t>. Notwithstanding anything to the contrary contained in this Agreement and except as set forth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7.4(a)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Article XIII</w:t>
      </w:r>
      <w:r>
        <w:rPr>
          <w:rFonts w:ascii="Arial" w:cs="Arial" w:eastAsia="Arial" w:hAnsi="Arial"/>
          <w:sz w:val="22"/>
          <w:szCs w:val="22"/>
          <w:color w:val="auto"/>
        </w:rPr>
        <w:t>, the Class B Units shall not have any voting rights and shall not be entitled to vote on or approve any matters.</w:t>
      </w:r>
    </w:p>
    <w:p>
      <w:pPr>
        <w:spacing w:after="0" w:line="186" w:lineRule="exact"/>
        <w:rPr>
          <w:rFonts w:ascii="Arial" w:cs="Arial" w:eastAsia="Arial" w:hAnsi="Arial"/>
          <w:sz w:val="22"/>
          <w:szCs w:val="22"/>
          <w:color w:val="auto"/>
        </w:rPr>
      </w:pPr>
    </w:p>
    <w:p>
      <w:pPr>
        <w:ind w:left="-20" w:firstLine="1305"/>
        <w:spacing w:after="0" w:line="235" w:lineRule="auto"/>
        <w:tabs>
          <w:tab w:leader="none" w:pos="1935" w:val="left"/>
        </w:tabs>
        <w:numPr>
          <w:ilvl w:val="0"/>
          <w:numId w:val="29"/>
        </w:numPr>
        <w:rPr>
          <w:rFonts w:ascii="Arial" w:cs="Arial" w:eastAsia="Arial" w:hAnsi="Arial"/>
          <w:sz w:val="22"/>
          <w:szCs w:val="22"/>
          <w:color w:val="auto"/>
        </w:rPr>
      </w:pPr>
      <w:r>
        <w:rPr>
          <w:rFonts w:ascii="Arial" w:cs="Arial" w:eastAsia="Arial" w:hAnsi="Arial"/>
          <w:sz w:val="22"/>
          <w:szCs w:val="22"/>
          <w:i w:val="1"/>
          <w:iCs w:val="1"/>
          <w:color w:val="auto"/>
        </w:rPr>
        <w:t>Other Rights of Class B Units</w:t>
      </w:r>
      <w:r>
        <w:rPr>
          <w:rFonts w:ascii="Arial" w:cs="Arial" w:eastAsia="Arial" w:hAnsi="Arial"/>
          <w:sz w:val="22"/>
          <w:szCs w:val="22"/>
          <w:color w:val="auto"/>
        </w:rPr>
        <w:t>. The holder of a Class B Unit shall have all of the rights and obligations of a</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Unitholder holding a Common Unit hereunder, except (i) with respect to the right to vote on or approve matters and (ii) for the right to participate in distributions made with respect Common Units pursuant to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xml:space="preserve">, that immediately upon the conversion of a Class B Unit into a Common Unit pursuant to </w:t>
      </w:r>
      <w:r>
        <w:rPr>
          <w:rFonts w:ascii="Arial" w:cs="Arial" w:eastAsia="Arial" w:hAnsi="Arial"/>
          <w:sz w:val="22"/>
          <w:szCs w:val="22"/>
          <w:u w:val="single" w:color="auto"/>
          <w:color w:val="auto"/>
        </w:rPr>
        <w:t>Section 5.9(c)</w:t>
      </w:r>
      <w:r>
        <w:rPr>
          <w:rFonts w:ascii="Arial" w:cs="Arial" w:eastAsia="Arial" w:hAnsi="Arial"/>
          <w:sz w:val="22"/>
          <w:szCs w:val="22"/>
          <w:color w:val="auto"/>
        </w:rPr>
        <w:t>, the Unitholder holding such Common Unit issued upon conversion of such Class B Unit shall possess all of the rights and obligations of a Unitholder holding a Common Unit hereunder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34" w:right="239" w:bottom="1440" w:gutter="0" w:footer="0" w:header="0"/>
        </w:sectPr>
      </w:pPr>
    </w:p>
    <w:bookmarkStart w:id="41" w:name="page42"/>
    <w:bookmarkEnd w:id="41"/>
    <w:p>
      <w:pPr>
        <w:ind w:right="520"/>
        <w:spacing w:after="0" w:line="236" w:lineRule="auto"/>
        <w:rPr>
          <w:sz w:val="20"/>
          <w:szCs w:val="20"/>
          <w:color w:val="auto"/>
        </w:rPr>
      </w:pPr>
      <w:r>
        <w:rPr>
          <w:rFonts w:ascii="Arial" w:cs="Arial" w:eastAsia="Arial" w:hAnsi="Arial"/>
          <w:sz w:val="22"/>
          <w:szCs w:val="22"/>
          <w:color w:val="auto"/>
        </w:rPr>
        <w:t xml:space="preserve">with respect to such Common Unit issued upon conversion of such Class B Unit, including the right to participate in distributions made with respect to Common Units pursuant to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For the avoidance of doubt, the holder of a Class B Unit that is entitled to convert but has not yet converted pursuant to </w:t>
      </w:r>
      <w:r>
        <w:rPr>
          <w:rFonts w:ascii="Arial" w:cs="Arial" w:eastAsia="Arial" w:hAnsi="Arial"/>
          <w:sz w:val="22"/>
          <w:szCs w:val="22"/>
          <w:u w:val="single" w:color="auto"/>
          <w:color w:val="auto"/>
        </w:rPr>
        <w:t>Section 5.9(c)</w:t>
      </w:r>
      <w:r>
        <w:rPr>
          <w:rFonts w:ascii="Arial" w:cs="Arial" w:eastAsia="Arial" w:hAnsi="Arial"/>
          <w:sz w:val="22"/>
          <w:szCs w:val="22"/>
          <w:color w:val="auto"/>
        </w:rPr>
        <w:t xml:space="preserve"> shall not have the right to participate in distributions made with respect to Common Units pursuant to </w:t>
      </w:r>
      <w:r>
        <w:rPr>
          <w:rFonts w:ascii="Arial" w:cs="Arial" w:eastAsia="Arial" w:hAnsi="Arial"/>
          <w:sz w:val="22"/>
          <w:szCs w:val="22"/>
          <w:u w:val="single" w:color="auto"/>
          <w:color w:val="auto"/>
        </w:rPr>
        <w:t>Article VI</w:t>
      </w:r>
      <w:r>
        <w:rPr>
          <w:rFonts w:ascii="Arial" w:cs="Arial" w:eastAsia="Arial" w:hAnsi="Arial"/>
          <w:sz w:val="22"/>
          <w:szCs w:val="22"/>
          <w:color w:val="auto"/>
        </w:rPr>
        <w:t xml:space="preserve"> until such Class B Unit is converted into a Common Unit pursuant to </w:t>
      </w:r>
      <w:r>
        <w:rPr>
          <w:rFonts w:ascii="Arial" w:cs="Arial" w:eastAsia="Arial" w:hAnsi="Arial"/>
          <w:sz w:val="22"/>
          <w:szCs w:val="22"/>
          <w:u w:val="single" w:color="auto"/>
          <w:color w:val="auto"/>
        </w:rPr>
        <w:t>Section 5.9(c)</w:t>
      </w:r>
      <w:r>
        <w:rPr>
          <w:rFonts w:ascii="Arial" w:cs="Arial" w:eastAsia="Arial" w:hAnsi="Arial"/>
          <w:sz w:val="22"/>
          <w:szCs w:val="22"/>
          <w:color w:val="auto"/>
        </w:rPr>
        <w:t>.</w:t>
      </w:r>
    </w:p>
    <w:p>
      <w:pPr>
        <w:spacing w:after="0" w:line="188" w:lineRule="exact"/>
        <w:rPr>
          <w:sz w:val="20"/>
          <w:szCs w:val="20"/>
          <w:color w:val="auto"/>
        </w:rPr>
      </w:pPr>
    </w:p>
    <w:p>
      <w:pPr>
        <w:ind w:left="1960" w:hanging="655"/>
        <w:spacing w:after="0"/>
        <w:tabs>
          <w:tab w:leader="none" w:pos="1960" w:val="left"/>
        </w:tabs>
        <w:numPr>
          <w:ilvl w:val="1"/>
          <w:numId w:val="30"/>
        </w:numPr>
        <w:rPr>
          <w:rFonts w:ascii="Arial" w:cs="Arial" w:eastAsia="Arial" w:hAnsi="Arial"/>
          <w:sz w:val="19"/>
          <w:szCs w:val="19"/>
          <w:color w:val="auto"/>
        </w:rPr>
      </w:pPr>
      <w:r>
        <w:rPr>
          <w:rFonts w:ascii="Arial" w:cs="Arial" w:eastAsia="Arial" w:hAnsi="Arial"/>
          <w:sz w:val="19"/>
          <w:szCs w:val="19"/>
          <w:i w:val="1"/>
          <w:iCs w:val="1"/>
          <w:color w:val="auto"/>
        </w:rPr>
        <w:t>Cancellation of Class B Units</w:t>
      </w:r>
      <w:r>
        <w:rPr>
          <w:rFonts w:ascii="Arial" w:cs="Arial" w:eastAsia="Arial" w:hAnsi="Arial"/>
          <w:sz w:val="19"/>
          <w:szCs w:val="19"/>
          <w:color w:val="auto"/>
        </w:rPr>
        <w:t>. Immediately before the consummation of a Class B Cancellation Event,</w:t>
      </w:r>
    </w:p>
    <w:p>
      <w:pPr>
        <w:spacing w:after="0" w:line="42" w:lineRule="exact"/>
        <w:rPr>
          <w:rFonts w:ascii="Arial" w:cs="Arial" w:eastAsia="Arial" w:hAnsi="Arial"/>
          <w:sz w:val="19"/>
          <w:szCs w:val="19"/>
          <w:color w:val="auto"/>
        </w:rPr>
      </w:pPr>
    </w:p>
    <w:p>
      <w:pPr>
        <w:ind w:right="540" w:firstLine="8"/>
        <w:spacing w:after="0" w:line="256" w:lineRule="auto"/>
        <w:tabs>
          <w:tab w:leader="none" w:pos="258" w:val="left"/>
        </w:tabs>
        <w:numPr>
          <w:ilvl w:val="0"/>
          <w:numId w:val="31"/>
        </w:numPr>
        <w:rPr>
          <w:rFonts w:ascii="Arial" w:cs="Arial" w:eastAsia="Arial" w:hAnsi="Arial"/>
          <w:sz w:val="21"/>
          <w:szCs w:val="21"/>
          <w:color w:val="auto"/>
        </w:rPr>
      </w:pPr>
      <w:r>
        <w:rPr>
          <w:rFonts w:ascii="Arial" w:cs="Arial" w:eastAsia="Arial" w:hAnsi="Arial"/>
          <w:sz w:val="21"/>
          <w:szCs w:val="21"/>
          <w:color w:val="auto"/>
        </w:rPr>
        <w:t>all Class B Units shall automatically be canceled and eliminated, cease to exist and no longer be Outstanding and (ii) each holder of such canceled Class B Units shall automatically cease to have any rights with respect thereto.</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DISTRIBUTIONS</w:t>
      </w:r>
    </w:p>
    <w:p>
      <w:pPr>
        <w:spacing w:after="0" w:line="188" w:lineRule="exact"/>
        <w:rPr>
          <w:sz w:val="20"/>
          <w:szCs w:val="20"/>
          <w:color w:val="auto"/>
        </w:rPr>
      </w:pPr>
    </w:p>
    <w:p>
      <w:pPr>
        <w:ind w:right="40" w:firstLine="1297"/>
        <w:spacing w:after="0" w:line="272" w:lineRule="auto"/>
        <w:rPr>
          <w:sz w:val="20"/>
          <w:szCs w:val="20"/>
          <w:color w:val="auto"/>
        </w:rPr>
      </w:pPr>
      <w:r>
        <w:rPr>
          <w:rFonts w:ascii="Arial" w:cs="Arial" w:eastAsia="Arial" w:hAnsi="Arial"/>
          <w:sz w:val="19"/>
          <w:szCs w:val="19"/>
          <w:color w:val="auto"/>
        </w:rPr>
        <w:t xml:space="preserve">Section 6.1. </w:t>
      </w:r>
      <w:r>
        <w:rPr>
          <w:rFonts w:ascii="Arial" w:cs="Arial" w:eastAsia="Arial" w:hAnsi="Arial"/>
          <w:sz w:val="19"/>
          <w:szCs w:val="19"/>
          <w:i w:val="1"/>
          <w:iCs w:val="1"/>
          <w:color w:val="auto"/>
        </w:rPr>
        <w:t>Allocations</w:t>
      </w:r>
      <w:r>
        <w:rPr>
          <w:rFonts w:ascii="Arial" w:cs="Arial" w:eastAsia="Arial" w:hAnsi="Arial"/>
          <w:sz w:val="19"/>
          <w:szCs w:val="19"/>
          <w:color w:val="auto"/>
        </w:rPr>
        <w:t xml:space="preserve">. The Partnership shall determine its profit or loss and allocate such profit or loss among the Partners in a manner determined appropriate so as to cause, to the extent possible, a capital account maintained with respect to each Partnership Interest to equal the excess of (a) the hypothetical distribution that would be paid with respect to such Partnership Interest in the event the Partnership sold all of its assets for their respective book values (as determined for such purpose), satisfied all outstanding liabilities (limited, with respect to nonrecourse liabilities, to the book value of the assets securing such liabilities) and distributed the remaining proceeds in accordance with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over (b) the sum of the outstanding balance of any nonrecourse liabilities not required to be repaid in the event of such a hypothetical liquidation that are properly allocable to losses or distributions with respect to such Partnership Interest and the amount (if any) that would be required to be contributed to the Partnership with respect to such Partnership Interest upon such a hypothetical liquidation;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may deviate from the foregoing, as determined necessary or appropriate, for proper administration of the Partnership or otherwise to preserve or achieve uniformity of the Limited Partner Interests (or any class or classes thereof). For the avoidance of doubt, the allocations described in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shall not apply for U.S. federal income tax purposes.</w:t>
      </w:r>
    </w:p>
    <w:p>
      <w:pPr>
        <w:spacing w:after="0" w:line="162"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i w:val="1"/>
          <w:iCs w:val="1"/>
          <w:color w:val="auto"/>
        </w:rPr>
        <w:t>Requirement and Characterization of Distributions; Distributions to Record Holders</w:t>
      </w:r>
      <w:r>
        <w:rPr>
          <w:rFonts w:ascii="Arial" w:cs="Arial" w:eastAsia="Arial" w:hAnsi="Arial"/>
          <w:sz w:val="21"/>
          <w:szCs w:val="21"/>
          <w:color w:val="auto"/>
        </w:rPr>
        <w:t xml:space="preserve">. (a) Within 45 days following the end of each Quarter, an amount equal to 100% of Available Cash with respect to such Quarter shall, subject to Section 51 of the Marshall Islands Act, be distributed in accordance with this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by the Partnership to the Partners as of the Record Date selected by the Board of Directors, except the holders of Class B Units shall not be entitled to distributions of Available Cash with respect to such Class B Units prior to the conversion of such Class B Units into Common Units pursuant </w:t>
      </w:r>
      <w:r>
        <w:rPr>
          <w:rFonts w:ascii="Arial" w:cs="Arial" w:eastAsia="Arial" w:hAnsi="Arial"/>
          <w:sz w:val="21"/>
          <w:szCs w:val="21"/>
          <w:u w:val="single" w:color="auto"/>
          <w:color w:val="auto"/>
        </w:rPr>
        <w:t>Section 5.9(c)</w:t>
      </w:r>
      <w:r>
        <w:rPr>
          <w:rFonts w:ascii="Arial" w:cs="Arial" w:eastAsia="Arial" w:hAnsi="Arial"/>
          <w:sz w:val="21"/>
          <w:szCs w:val="21"/>
          <w:color w:val="auto"/>
        </w:rPr>
        <w:t xml:space="preserve">. Notwithstanding any provision to the contrary contained in this Agreement, the Partnership shall not make a distribution to any Partner on account of its interest in the Partnership if such distribution would violate the Marshall Islands Act or any other applicable law. This </w:t>
      </w:r>
      <w:r>
        <w:rPr>
          <w:rFonts w:ascii="Arial" w:cs="Arial" w:eastAsia="Arial" w:hAnsi="Arial"/>
          <w:sz w:val="21"/>
          <w:szCs w:val="21"/>
          <w:u w:val="single" w:color="auto"/>
          <w:color w:val="auto"/>
        </w:rPr>
        <w:t>Section 6.2(a)</w:t>
      </w:r>
      <w:r>
        <w:rPr>
          <w:rFonts w:ascii="Arial" w:cs="Arial" w:eastAsia="Arial" w:hAnsi="Arial"/>
          <w:sz w:val="21"/>
          <w:szCs w:val="21"/>
          <w:color w:val="auto"/>
        </w:rPr>
        <w:t xml:space="preserve"> shall not apply to Preference Units.</w:t>
      </w:r>
    </w:p>
    <w:p>
      <w:pPr>
        <w:spacing w:after="0" w:line="181" w:lineRule="exact"/>
        <w:rPr>
          <w:sz w:val="20"/>
          <w:szCs w:val="20"/>
          <w:color w:val="auto"/>
        </w:rPr>
      </w:pPr>
    </w:p>
    <w:p>
      <w:pPr>
        <w:ind w:right="360" w:firstLine="1305"/>
        <w:spacing w:after="0" w:line="251" w:lineRule="auto"/>
        <w:tabs>
          <w:tab w:leader="none" w:pos="1954" w:val="left"/>
        </w:tabs>
        <w:numPr>
          <w:ilvl w:val="0"/>
          <w:numId w:val="32"/>
        </w:numPr>
        <w:rPr>
          <w:rFonts w:ascii="Arial" w:cs="Arial" w:eastAsia="Arial" w:hAnsi="Arial"/>
          <w:sz w:val="22"/>
          <w:szCs w:val="22"/>
          <w:color w:val="auto"/>
        </w:rPr>
      </w:pPr>
      <w:r>
        <w:rPr>
          <w:rFonts w:ascii="Arial" w:cs="Arial" w:eastAsia="Arial" w:hAnsi="Arial"/>
          <w:sz w:val="22"/>
          <w:szCs w:val="22"/>
          <w:color w:val="auto"/>
        </w:rPr>
        <w:t xml:space="preserve">Notwithstanding the first sentence of </w:t>
      </w:r>
      <w:r>
        <w:rPr>
          <w:rFonts w:ascii="Arial" w:cs="Arial" w:eastAsia="Arial" w:hAnsi="Arial"/>
          <w:sz w:val="22"/>
          <w:szCs w:val="22"/>
          <w:u w:val="single" w:color="auto"/>
          <w:color w:val="auto"/>
        </w:rPr>
        <w:t>Section 6.2(a)</w:t>
      </w:r>
      <w:r>
        <w:rPr>
          <w:rFonts w:ascii="Arial" w:cs="Arial" w:eastAsia="Arial" w:hAnsi="Arial"/>
          <w:sz w:val="22"/>
          <w:szCs w:val="22"/>
          <w:color w:val="auto"/>
        </w:rPr>
        <w:t>, in the event of the dissolution and liquidation of the Partnership, all receipts received during or after the Quarter in</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42" w:name="page43"/>
    <w:bookmarkEnd w:id="42"/>
    <w:p>
      <w:pPr>
        <w:ind w:right="440"/>
        <w:spacing w:after="0" w:line="274" w:lineRule="auto"/>
        <w:rPr>
          <w:sz w:val="20"/>
          <w:szCs w:val="20"/>
          <w:color w:val="auto"/>
        </w:rPr>
      </w:pPr>
      <w:r>
        <w:rPr>
          <w:rFonts w:ascii="Arial" w:cs="Arial" w:eastAsia="Arial" w:hAnsi="Arial"/>
          <w:sz w:val="21"/>
          <w:szCs w:val="21"/>
          <w:color w:val="auto"/>
        </w:rPr>
        <w:t xml:space="preserve">which the Liquidation Date occurs, other than from borrowings described in </w:t>
      </w:r>
      <w:r>
        <w:rPr>
          <w:rFonts w:ascii="Arial" w:cs="Arial" w:eastAsia="Arial" w:hAnsi="Arial"/>
          <w:sz w:val="21"/>
          <w:szCs w:val="21"/>
          <w:u w:val="single" w:color="auto"/>
          <w:color w:val="auto"/>
        </w:rPr>
        <w:t>(a)(ii)</w:t>
      </w:r>
      <w:r>
        <w:rPr>
          <w:rFonts w:ascii="Arial" w:cs="Arial" w:eastAsia="Arial" w:hAnsi="Arial"/>
          <w:sz w:val="21"/>
          <w:szCs w:val="21"/>
          <w:color w:val="auto"/>
        </w:rPr>
        <w:t xml:space="preserve"> of the definition of Available Cash, shall be applied and distributed solely in accordance with, and subject to the terms and conditions of, </w:t>
      </w:r>
      <w:r>
        <w:rPr>
          <w:rFonts w:ascii="Arial" w:cs="Arial" w:eastAsia="Arial" w:hAnsi="Arial"/>
          <w:sz w:val="21"/>
          <w:szCs w:val="21"/>
          <w:u w:val="single" w:color="auto"/>
          <w:color w:val="auto"/>
        </w:rPr>
        <w:t>Section 12.4</w:t>
      </w:r>
      <w:r>
        <w:rPr>
          <w:rFonts w:ascii="Arial" w:cs="Arial" w:eastAsia="Arial" w:hAnsi="Arial"/>
          <w:sz w:val="21"/>
          <w:szCs w:val="21"/>
          <w:color w:val="auto"/>
        </w:rPr>
        <w:t>.</w:t>
      </w:r>
    </w:p>
    <w:p>
      <w:pPr>
        <w:spacing w:after="0" w:line="151" w:lineRule="exact"/>
        <w:rPr>
          <w:sz w:val="20"/>
          <w:szCs w:val="20"/>
          <w:color w:val="auto"/>
        </w:rPr>
      </w:pPr>
    </w:p>
    <w:p>
      <w:pPr>
        <w:ind w:firstLine="1305"/>
        <w:spacing w:after="0" w:line="236" w:lineRule="auto"/>
        <w:tabs>
          <w:tab w:leader="none" w:pos="1955"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i w:val="1"/>
          <w:iCs w:val="1"/>
          <w:color w:val="auto"/>
        </w:rPr>
        <w:t>Distributions of Available Cash</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16.3</w:t>
      </w:r>
      <w:r>
        <w:rPr>
          <w:rFonts w:ascii="Arial" w:cs="Arial" w:eastAsia="Arial" w:hAnsi="Arial"/>
          <w:sz w:val="19"/>
          <w:szCs w:val="19"/>
          <w:color w:val="auto"/>
        </w:rPr>
        <w:t xml:space="preserve"> in respect of Series A Preference Units described therein, subject to </w:t>
      </w:r>
      <w:r>
        <w:rPr>
          <w:rFonts w:ascii="Arial" w:cs="Arial" w:eastAsia="Arial" w:hAnsi="Arial"/>
          <w:sz w:val="19"/>
          <w:szCs w:val="19"/>
          <w:u w:val="single" w:color="auto"/>
          <w:color w:val="auto"/>
        </w:rPr>
        <w:t>Section 17.3</w:t>
      </w:r>
      <w:r>
        <w:rPr>
          <w:rFonts w:ascii="Arial" w:cs="Arial" w:eastAsia="Arial" w:hAnsi="Arial"/>
          <w:sz w:val="19"/>
          <w:szCs w:val="19"/>
          <w:color w:val="auto"/>
        </w:rPr>
        <w:t xml:space="preserve"> in respect of Series B Preference Units described therein and subject to </w:t>
      </w:r>
      <w:r>
        <w:rPr>
          <w:rFonts w:ascii="Arial" w:cs="Arial" w:eastAsia="Arial" w:hAnsi="Arial"/>
          <w:sz w:val="19"/>
          <w:szCs w:val="19"/>
          <w:u w:val="single" w:color="auto"/>
          <w:color w:val="auto"/>
        </w:rPr>
        <w:t>Section 18.3</w:t>
      </w:r>
      <w:r>
        <w:rPr>
          <w:rFonts w:ascii="Arial" w:cs="Arial" w:eastAsia="Arial" w:hAnsi="Arial"/>
          <w:sz w:val="19"/>
          <w:szCs w:val="19"/>
          <w:color w:val="auto"/>
        </w:rPr>
        <w:t xml:space="preserve"> in respect of Series C Preference Units described therein and except as otherwise required by </w:t>
      </w:r>
      <w:r>
        <w:rPr>
          <w:rFonts w:ascii="Arial" w:cs="Arial" w:eastAsia="Arial" w:hAnsi="Arial"/>
          <w:sz w:val="19"/>
          <w:szCs w:val="19"/>
          <w:u w:val="single" w:color="auto"/>
          <w:color w:val="auto"/>
        </w:rPr>
        <w:t>Section 5.4(b)</w:t>
      </w:r>
      <w:r>
        <w:rPr>
          <w:rFonts w:ascii="Arial" w:cs="Arial" w:eastAsia="Arial" w:hAnsi="Arial"/>
          <w:sz w:val="19"/>
          <w:szCs w:val="19"/>
          <w:color w:val="auto"/>
        </w:rPr>
        <w:t xml:space="preserve"> in respect of additional Partnership Interests issued pursuant thereto, Available Cash with respect to any Quarter shall, subject to Section 51 of the Marshall Islands Act, be distributed (a) to the General Partner in accordance with its Percentage Interest and (b) to all the Unitholders holding Common Units, Pro Rata, a percentage equal to 100% less the General Partner’s Percentage Interest. No distributions shall be made with respect to Preference Units pursuant to this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MANAGEMENT AND OPERATION OF BUSINESS</w:t>
      </w:r>
    </w:p>
    <w:p>
      <w:pPr>
        <w:spacing w:after="0" w:line="188"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i w:val="1"/>
          <w:iCs w:val="1"/>
          <w:color w:val="auto"/>
        </w:rPr>
        <w:t>Management</w:t>
      </w:r>
      <w:r>
        <w:rPr>
          <w:rFonts w:ascii="Arial" w:cs="Arial" w:eastAsia="Arial" w:hAnsi="Arial"/>
          <w:sz w:val="19"/>
          <w:szCs w:val="19"/>
          <w:color w:val="auto"/>
        </w:rPr>
        <w:t xml:space="preserve">. (a) Except as otherwise expressly provided in this Agreement, all management powers over the business and affairs of the Partnership shall be vested exclusively in the Board of Directors and, subject to the direction of the Board of Directors and in accordance with the provisions of </w:t>
      </w:r>
      <w:r>
        <w:rPr>
          <w:rFonts w:ascii="Arial" w:cs="Arial" w:eastAsia="Arial" w:hAnsi="Arial"/>
          <w:sz w:val="19"/>
          <w:szCs w:val="19"/>
          <w:u w:val="single" w:color="auto"/>
          <w:color w:val="auto"/>
        </w:rPr>
        <w:t>Section 7.8</w:t>
      </w:r>
      <w:r>
        <w:rPr>
          <w:rFonts w:ascii="Arial" w:cs="Arial" w:eastAsia="Arial" w:hAnsi="Arial"/>
          <w:sz w:val="19"/>
          <w:szCs w:val="19"/>
          <w:color w:val="auto"/>
        </w:rPr>
        <w:t xml:space="preserve">, the Officers. No Limited Partner shall have any management power or control over the business and affairs of the Partnership. Thus, except as expressly provided in this Agreement, the business and affairs of the Partnership shall be managed by or under the direction of the Board of Directors, and the day-to-day activities of the Partnership shall be conducted on the Partnership’s behalf by the Officers. In order to enable the Board of Directors to manage the business and affairs of the Partnership, the General Partner, except as otherwise expressly provided in this Agreement, hereby irrevocably delegates to the Board of Directors all management powers over the business and affairs of the Partnership that it may now or hereafter possess under applicable law. The General Partner further agrees to take any and all action necessary and appropriate, in the sole discretion of the Board of Directors, to effect any duly authorized actions by the Board of Directors, including executing or filing any agreements, instruments or certificates, delivering all documents, providing all information and taking or refraining from taking action as may be necessary or appropriate to achieve the effective delegation of power described in this </w:t>
      </w:r>
      <w:r>
        <w:rPr>
          <w:rFonts w:ascii="Arial" w:cs="Arial" w:eastAsia="Arial" w:hAnsi="Arial"/>
          <w:sz w:val="19"/>
          <w:szCs w:val="19"/>
          <w:u w:val="single" w:color="auto"/>
          <w:color w:val="auto"/>
        </w:rPr>
        <w:t>Section 7.1(a)</w:t>
      </w:r>
      <w:r>
        <w:rPr>
          <w:rFonts w:ascii="Arial" w:cs="Arial" w:eastAsia="Arial" w:hAnsi="Arial"/>
          <w:sz w:val="19"/>
          <w:szCs w:val="19"/>
          <w:color w:val="auto"/>
        </w:rPr>
        <w:t>. Each of the Partners and each Person who may acquire an interest in a Partnership Interest hereby approves, consents to, ratifies and confirms such delegation. The delegation by the General Partner to the Board of Directors of management powers over the business and affairs of the Partnership pursuant to the provisions of this Agreement shall not cause the General Partner to cease to be a general partner of the Partnership nor shall it cause the Board of Directors or any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3" w:name="page44"/>
    <w:bookmarkEnd w:id="43"/>
    <w:p>
      <w:pPr>
        <w:ind w:right="680"/>
        <w:spacing w:after="0" w:line="251" w:lineRule="auto"/>
        <w:rPr>
          <w:sz w:val="20"/>
          <w:szCs w:val="20"/>
          <w:color w:val="auto"/>
        </w:rPr>
      </w:pPr>
      <w:r>
        <w:rPr>
          <w:rFonts w:ascii="Arial" w:cs="Arial" w:eastAsia="Arial" w:hAnsi="Arial"/>
          <w:sz w:val="22"/>
          <w:szCs w:val="22"/>
          <w:color w:val="auto"/>
        </w:rPr>
        <w:t>member thereof to be a general partner of the Partnership or to have or be subject to the liabilities of a general partner of the Partnership.</w:t>
      </w:r>
    </w:p>
    <w:p>
      <w:pPr>
        <w:spacing w:after="0" w:line="173" w:lineRule="exact"/>
        <w:rPr>
          <w:sz w:val="20"/>
          <w:szCs w:val="20"/>
          <w:color w:val="auto"/>
        </w:rPr>
      </w:pPr>
    </w:p>
    <w:p>
      <w:pPr>
        <w:ind w:firstLine="1305"/>
        <w:spacing w:after="0" w:line="269" w:lineRule="auto"/>
        <w:tabs>
          <w:tab w:leader="none" w:pos="1954"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any Group Member Agreement, the Marshall Islands Act or any applicable law, rule or regulation, each of the Partners and each other Person who may acquire an interest in Partnership Interests hereby (i) approves, consents to, ratifies and confirms the General Partner’s delegation of management powers to the Board of Directors pursuant to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7.1</w:t>
      </w:r>
      <w:r>
        <w:rPr>
          <w:rFonts w:ascii="Arial" w:cs="Arial" w:eastAsia="Arial" w:hAnsi="Arial"/>
          <w:sz w:val="19"/>
          <w:szCs w:val="19"/>
          <w:color w:val="auto"/>
        </w:rPr>
        <w:t xml:space="preserve">; (ii) approves, ratifies and confirms the execution, delivery and performance by the parties thereto of this Agreement, the Underwriting Agreement, the Omnibus Agreement, the Contribution Agreement, any Group Member Agreement of any other Group Member and the other agreements described in or filed as exhibits to the Registration Statement that are related to the transactions contemplated by the Registration Statement; (iii) agrees that the General Partner (on behalf of the Partnership) is authorized to execute, deliver and perform the agreements referred to in </w:t>
      </w:r>
      <w:r>
        <w:rPr>
          <w:rFonts w:ascii="Arial" w:cs="Arial" w:eastAsia="Arial" w:hAnsi="Arial"/>
          <w:sz w:val="19"/>
          <w:szCs w:val="19"/>
          <w:u w:val="single" w:color="auto"/>
          <w:color w:val="auto"/>
        </w:rPr>
        <w:t>clause</w:t>
      </w:r>
    </w:p>
    <w:p>
      <w:pPr>
        <w:spacing w:after="0" w:line="3" w:lineRule="exact"/>
        <w:rPr>
          <w:rFonts w:ascii="Arial" w:cs="Arial" w:eastAsia="Arial" w:hAnsi="Arial"/>
          <w:sz w:val="19"/>
          <w:szCs w:val="19"/>
          <w:color w:val="auto"/>
        </w:rPr>
      </w:pPr>
    </w:p>
    <w:p>
      <w:pPr>
        <w:ind w:right="120" w:firstLine="8"/>
        <w:spacing w:after="0" w:line="267" w:lineRule="auto"/>
        <w:tabs>
          <w:tab w:leader="none" w:pos="318" w:val="left"/>
        </w:tabs>
        <w:numPr>
          <w:ilvl w:val="0"/>
          <w:numId w:val="35"/>
        </w:numPr>
        <w:rPr>
          <w:rFonts w:ascii="Arial" w:cs="Arial" w:eastAsia="Arial" w:hAnsi="Arial"/>
          <w:sz w:val="19"/>
          <w:szCs w:val="19"/>
          <w:u w:val="single" w:color="auto"/>
          <w:color w:val="auto"/>
        </w:rPr>
      </w:pPr>
      <w:r>
        <w:rPr>
          <w:rFonts w:ascii="Arial" w:cs="Arial" w:eastAsia="Arial" w:hAnsi="Arial"/>
          <w:sz w:val="19"/>
          <w:szCs w:val="19"/>
          <w:color w:val="auto"/>
        </w:rPr>
        <w:t>of this sentence and the other agreements, acts, transactions and matters described in or contemplated by the Underwriting Agreement or described in or filed as exhibits to the Registration Statement, in each case, on behalf of the Partnership without any further act, approval or vote of the Partners or the other Persons who may acquire an interest in Partnership Interests; and</w:t>
      </w:r>
    </w:p>
    <w:p>
      <w:pPr>
        <w:ind w:right="60" w:firstLine="8"/>
        <w:spacing w:after="0" w:line="232" w:lineRule="auto"/>
        <w:tabs>
          <w:tab w:leader="none" w:pos="366"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agrees that the execution, delivery or performance by the Board of Directors, the General Partner, any Group Member or any Affiliate of any of them of this Agreement or any agreement authorized or permitted under this Agreement (including the exercise by the General Partner or any Affiliate of the General Partner of the rights accorded pursuant to </w:t>
      </w:r>
      <w:r>
        <w:rPr>
          <w:rFonts w:ascii="Arial" w:cs="Arial" w:eastAsia="Arial" w:hAnsi="Arial"/>
          <w:sz w:val="22"/>
          <w:szCs w:val="22"/>
          <w:u w:val="single" w:color="auto"/>
          <w:color w:val="auto"/>
        </w:rPr>
        <w:t>Article XV</w:t>
      </w:r>
      <w:r>
        <w:rPr>
          <w:rFonts w:ascii="Arial" w:cs="Arial" w:eastAsia="Arial" w:hAnsi="Arial"/>
          <w:sz w:val="22"/>
          <w:szCs w:val="22"/>
          <w:color w:val="auto"/>
        </w:rPr>
        <w:t>) shall not constitute a breach by the Board of Directors or the General Partner of any duty that the Board of Directors or the General Partner may owe the Partnership or the Limited Partners or any other Persons under this Agreement (or any other agreements) or of any duty stated or implied by law or equity.</w:t>
      </w:r>
    </w:p>
    <w:p>
      <w:pPr>
        <w:spacing w:after="0" w:line="18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i w:val="1"/>
          <w:iCs w:val="1"/>
          <w:color w:val="auto"/>
        </w:rPr>
        <w:t>Election and Appointment; Term; Manner of Acting</w:t>
      </w:r>
      <w:r>
        <w:rPr>
          <w:rFonts w:ascii="Arial" w:cs="Arial" w:eastAsia="Arial" w:hAnsi="Arial"/>
          <w:sz w:val="19"/>
          <w:szCs w:val="19"/>
          <w:color w:val="auto"/>
        </w:rPr>
        <w:t>. (a)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7.2(d)</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16.5(b)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18.5(b)</w:t>
      </w:r>
      <w:r>
        <w:rPr>
          <w:rFonts w:ascii="Arial" w:cs="Arial" w:eastAsia="Arial" w:hAnsi="Arial"/>
          <w:sz w:val="19"/>
          <w:szCs w:val="19"/>
          <w:color w:val="auto"/>
        </w:rPr>
        <w:t xml:space="preserve"> following the 2015 Annual Meeting, the Board of Directors shall consist of seven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individuals, four of whom shall be Appointed Directors and three of whom shall be Elected Directors. The Elected Directors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shall be divided into three classes: Class I, comprising one Elected Director, Class II, comprising one Elected Director and</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Class III, comprising one Elected Director;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following the addition of one additional Elected Director</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resulting from a Surrender Election pursuant to </w:t>
      </w:r>
      <w:r>
        <w:rPr>
          <w:rFonts w:ascii="Arial" w:cs="Arial" w:eastAsia="Arial" w:hAnsi="Arial"/>
          <w:sz w:val="21"/>
          <w:szCs w:val="21"/>
          <w:u w:val="single" w:color="auto"/>
          <w:color w:val="auto"/>
        </w:rPr>
        <w:t>Section 7.2(d)</w:t>
      </w:r>
      <w:r>
        <w:rPr>
          <w:rFonts w:ascii="Arial" w:cs="Arial" w:eastAsia="Arial" w:hAnsi="Arial"/>
          <w:sz w:val="21"/>
          <w:szCs w:val="21"/>
          <w:color w:val="auto"/>
        </w:rPr>
        <w:t>, Class III shall comprise two Elected Directors. Subject to</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any vacancy among the Appointed Directors shall be filled as if an</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Appointed Director had resigned, in accordance with </w:t>
      </w:r>
      <w:r>
        <w:rPr>
          <w:rFonts w:ascii="Arial" w:cs="Arial" w:eastAsia="Arial" w:hAnsi="Arial"/>
          <w:sz w:val="21"/>
          <w:szCs w:val="21"/>
          <w:u w:val="single" w:color="auto"/>
          <w:color w:val="auto"/>
        </w:rPr>
        <w:t>Section 7.6</w:t>
      </w:r>
      <w:r>
        <w:rPr>
          <w:rFonts w:ascii="Arial" w:cs="Arial" w:eastAsia="Arial" w:hAnsi="Arial"/>
          <w:sz w:val="21"/>
          <w:szCs w:val="21"/>
          <w:color w:val="auto"/>
        </w:rPr>
        <w:t>. The successors of the initial members of the Board of</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Directors shall be appointed or elected, as the case may be, as follows:</w:t>
      </w:r>
    </w:p>
    <w:p>
      <w:pPr>
        <w:spacing w:after="0" w:line="188" w:lineRule="exact"/>
        <w:rPr>
          <w:sz w:val="20"/>
          <w:szCs w:val="20"/>
          <w:color w:val="auto"/>
        </w:rPr>
      </w:pPr>
    </w:p>
    <w:p>
      <w:pPr>
        <w:ind w:left="660" w:right="200" w:firstLine="645"/>
        <w:spacing w:after="0"/>
        <w:tabs>
          <w:tab w:leader="none" w:pos="1971" w:val="left"/>
        </w:tabs>
        <w:numPr>
          <w:ilvl w:val="0"/>
          <w:numId w:val="37"/>
        </w:numPr>
        <w:rPr>
          <w:rFonts w:ascii="Arial" w:cs="Arial" w:eastAsia="Arial" w:hAnsi="Arial"/>
          <w:sz w:val="22"/>
          <w:szCs w:val="22"/>
          <w:color w:val="auto"/>
        </w:rPr>
      </w:pPr>
      <w:r>
        <w:rPr>
          <w:rFonts w:ascii="Arial" w:cs="Arial" w:eastAsia="Arial" w:hAnsi="Arial"/>
          <w:sz w:val="22"/>
          <w:szCs w:val="22"/>
          <w:color w:val="auto"/>
        </w:rPr>
        <w:t xml:space="preserve">The Appointed Directors shall be appointed by the General Partner, and 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each Appointed Director shall hold office until his successor is duly appointed by the General Partner and qualified or until his earlier death, resignation or removal; and</w:t>
      </w:r>
    </w:p>
    <w:p>
      <w:pPr>
        <w:spacing w:after="0" w:line="186" w:lineRule="exact"/>
        <w:rPr>
          <w:rFonts w:ascii="Arial" w:cs="Arial" w:eastAsia="Arial" w:hAnsi="Arial"/>
          <w:sz w:val="22"/>
          <w:szCs w:val="22"/>
          <w:color w:val="auto"/>
        </w:rPr>
      </w:pPr>
    </w:p>
    <w:p>
      <w:pPr>
        <w:ind w:left="660" w:right="20" w:firstLine="645"/>
        <w:spacing w:after="0" w:line="251" w:lineRule="auto"/>
        <w:tabs>
          <w:tab w:leader="none" w:pos="1977"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Class I Elected Director shall be elected at the 2015 Annual Meeting for a one-year term expiring on the date of the first succeeding Annual Meeting, the Class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44" w:name="page45"/>
    <w:bookmarkEnd w:id="44"/>
    <w:p>
      <w:pPr>
        <w:ind w:left="640" w:right="480" w:hanging="4"/>
        <w:spacing w:after="0" w:line="282" w:lineRule="auto"/>
        <w:tabs>
          <w:tab w:leader="none" w:pos="838" w:val="left"/>
        </w:tabs>
        <w:numPr>
          <w:ilvl w:val="0"/>
          <w:numId w:val="38"/>
        </w:numPr>
        <w:rPr>
          <w:rFonts w:ascii="Arial" w:cs="Arial" w:eastAsia="Arial" w:hAnsi="Arial"/>
          <w:sz w:val="19"/>
          <w:szCs w:val="19"/>
          <w:color w:val="auto"/>
        </w:rPr>
      </w:pPr>
      <w:r>
        <w:rPr>
          <w:rFonts w:ascii="Arial" w:cs="Arial" w:eastAsia="Arial" w:hAnsi="Arial"/>
          <w:sz w:val="19"/>
          <w:szCs w:val="19"/>
          <w:color w:val="auto"/>
        </w:rPr>
        <w:t>Elected Director shall be elected at the 2015 Annual Meeting for a two-year term expiring on the second succeeding Annual Meeting and the Class III Elected Director (or, if a Surrender Election has been made, the Class III Elected Directors) shall be elected at the 2015 Annual Meeting for a three-year term expiring on the third succeeding Annual Meeting, in each case by a plurality of the votes of the Outstanding Common Units present in person or represented by proxy at the Annual Meeting with each Outstanding Common Unit having one vote.</w:t>
      </w:r>
    </w:p>
    <w:p>
      <w:pPr>
        <w:spacing w:after="0" w:line="147" w:lineRule="exact"/>
        <w:rPr>
          <w:rFonts w:ascii="Arial" w:cs="Arial" w:eastAsia="Arial" w:hAnsi="Arial"/>
          <w:sz w:val="19"/>
          <w:szCs w:val="19"/>
          <w:color w:val="auto"/>
        </w:rPr>
      </w:pPr>
    </w:p>
    <w:p>
      <w:pPr>
        <w:ind w:left="-20" w:firstLine="1305"/>
        <w:spacing w:after="0" w:line="287" w:lineRule="auto"/>
        <w:tabs>
          <w:tab w:leader="none" w:pos="1934" w:val="left"/>
        </w:tabs>
        <w:numPr>
          <w:ilvl w:val="1"/>
          <w:numId w:val="38"/>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paragraph (a)(ii)</w:t>
      </w:r>
      <w:r>
        <w:rPr>
          <w:rFonts w:ascii="Arial" w:cs="Arial" w:eastAsia="Arial" w:hAnsi="Arial"/>
          <w:sz w:val="19"/>
          <w:szCs w:val="19"/>
          <w:color w:val="auto"/>
        </w:rPr>
        <w:t xml:space="preserve"> above with respect to the Elected Directors elected at the 2015 Annual Meeting or as provided in </w:t>
      </w:r>
      <w:r>
        <w:rPr>
          <w:rFonts w:ascii="Arial" w:cs="Arial" w:eastAsia="Arial" w:hAnsi="Arial"/>
          <w:sz w:val="19"/>
          <w:szCs w:val="19"/>
          <w:u w:val="single" w:color="auto"/>
          <w:color w:val="auto"/>
        </w:rPr>
        <w:t>paragraphs (d)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(g)</w:t>
      </w:r>
      <w:r>
        <w:rPr>
          <w:rFonts w:ascii="Arial" w:cs="Arial" w:eastAsia="Arial" w:hAnsi="Arial"/>
          <w:sz w:val="19"/>
          <w:szCs w:val="19"/>
          <w:color w:val="auto"/>
        </w:rPr>
        <w:t xml:space="preserve"> below, each member of the Board of Directors appointed or elected, as the case may be, at an Annual Meeting shall hold office until the third succeeding Annual Meeting and until his successor is duly elected or appointed, as the case may be, and qualified, or until his earlier death, resignation or removal.</w:t>
      </w:r>
    </w:p>
    <w:p>
      <w:pPr>
        <w:spacing w:after="0" w:line="143" w:lineRule="exact"/>
        <w:rPr>
          <w:rFonts w:ascii="Arial" w:cs="Arial" w:eastAsia="Arial" w:hAnsi="Arial"/>
          <w:sz w:val="19"/>
          <w:szCs w:val="19"/>
          <w:color w:val="auto"/>
        </w:rPr>
      </w:pPr>
    </w:p>
    <w:p>
      <w:pPr>
        <w:ind w:left="-20" w:right="20" w:firstLine="1305"/>
        <w:spacing w:after="0" w:line="235" w:lineRule="auto"/>
        <w:tabs>
          <w:tab w:leader="none" w:pos="1935" w:val="left"/>
        </w:tabs>
        <w:numPr>
          <w:ilvl w:val="1"/>
          <w:numId w:val="38"/>
        </w:numPr>
        <w:rPr>
          <w:rFonts w:ascii="Arial" w:cs="Arial" w:eastAsia="Arial" w:hAnsi="Arial"/>
          <w:sz w:val="22"/>
          <w:szCs w:val="22"/>
          <w:color w:val="auto"/>
        </w:rPr>
      </w:pPr>
      <w:r>
        <w:rPr>
          <w:rFonts w:ascii="Arial" w:cs="Arial" w:eastAsia="Arial" w:hAnsi="Arial"/>
          <w:sz w:val="22"/>
          <w:szCs w:val="22"/>
          <w:color w:val="auto"/>
        </w:rPr>
        <w:t>Each member of the Board of Directors shall have one vote. The vote of the majority of the members of the Board of Directors present at a meeting at which a quorum is present shall be the act of the Board of Directors. A majority of the number of members of the Board of Directors then in office shall constitute a quorum for the transaction of business at any meeting of the Board of Directors, but if less than a quorum is present at a meeting, a majority of the members of the Board of Directors present at such meeting may adjourn the meeting from time to time, without notice other than announcement at the meeting, until a quorum shall be present.</w:t>
      </w:r>
    </w:p>
    <w:p>
      <w:pPr>
        <w:spacing w:after="0" w:line="188" w:lineRule="exact"/>
        <w:rPr>
          <w:rFonts w:ascii="Arial" w:cs="Arial" w:eastAsia="Arial" w:hAnsi="Arial"/>
          <w:sz w:val="22"/>
          <w:szCs w:val="22"/>
          <w:color w:val="auto"/>
        </w:rPr>
      </w:pPr>
    </w:p>
    <w:p>
      <w:pPr>
        <w:ind w:left="-20" w:right="260" w:firstLine="1305"/>
        <w:spacing w:after="0" w:line="248" w:lineRule="auto"/>
        <w:tabs>
          <w:tab w:leader="none" w:pos="1920" w:val="left"/>
        </w:tabs>
        <w:numPr>
          <w:ilvl w:val="1"/>
          <w:numId w:val="38"/>
        </w:numPr>
        <w:rPr>
          <w:rFonts w:ascii="Arial" w:cs="Arial" w:eastAsia="Arial" w:hAnsi="Arial"/>
          <w:sz w:val="21"/>
          <w:szCs w:val="21"/>
          <w:color w:val="auto"/>
        </w:rPr>
      </w:pPr>
      <w:r>
        <w:rPr>
          <w:rFonts w:ascii="Arial" w:cs="Arial" w:eastAsia="Arial" w:hAnsi="Arial"/>
          <w:sz w:val="21"/>
          <w:szCs w:val="21"/>
          <w:color w:val="auto"/>
        </w:rPr>
        <w:t>The General Partner shall have the right, exercisable in its sole discretion at any time, to elect in writing to surrender its right to appoint one Appointed Director (such election, a “</w:t>
      </w:r>
      <w:r>
        <w:rPr>
          <w:rFonts w:ascii="Arial" w:cs="Arial" w:eastAsia="Arial" w:hAnsi="Arial"/>
          <w:sz w:val="21"/>
          <w:szCs w:val="21"/>
          <w:b w:val="1"/>
          <w:bCs w:val="1"/>
          <w:i w:val="1"/>
          <w:iCs w:val="1"/>
          <w:color w:val="auto"/>
        </w:rPr>
        <w:t>Surrender Election</w:t>
      </w:r>
      <w:r>
        <w:rPr>
          <w:rFonts w:ascii="Arial" w:cs="Arial" w:eastAsia="Arial" w:hAnsi="Arial"/>
          <w:sz w:val="21"/>
          <w:szCs w:val="21"/>
          <w:color w:val="auto"/>
        </w:rPr>
        <w:t xml:space="preserve">”). If the Surrender Election is made, then in accordance with and at the times specified in </w:t>
      </w:r>
      <w:r>
        <w:rPr>
          <w:rFonts w:ascii="Arial" w:cs="Arial" w:eastAsia="Arial" w:hAnsi="Arial"/>
          <w:sz w:val="21"/>
          <w:szCs w:val="21"/>
          <w:u w:val="single" w:color="auto"/>
          <w:color w:val="auto"/>
        </w:rPr>
        <w:t>Sections 7.2(e)</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(f)</w:t>
      </w:r>
      <w:r>
        <w:rPr>
          <w:rFonts w:ascii="Arial" w:cs="Arial" w:eastAsia="Arial" w:hAnsi="Arial"/>
          <w:sz w:val="21"/>
          <w:szCs w:val="21"/>
          <w:color w:val="auto"/>
        </w:rPr>
        <w:t xml:space="preserve"> below, (i) the number of Appointed Directors shall decrease from four to three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and (ii) the number of Elected Directors shall increase from three to four. The Partnership shall inform the Limited Partners of the date on which the Surrender Election is made within 30 days following the Surrender Election.</w:t>
      </w:r>
    </w:p>
    <w:p>
      <w:pPr>
        <w:spacing w:after="0" w:line="177" w:lineRule="exact"/>
        <w:rPr>
          <w:rFonts w:ascii="Arial" w:cs="Arial" w:eastAsia="Arial" w:hAnsi="Arial"/>
          <w:sz w:val="21"/>
          <w:szCs w:val="21"/>
          <w:color w:val="auto"/>
        </w:rPr>
      </w:pPr>
    </w:p>
    <w:p>
      <w:pPr>
        <w:ind w:left="-20" w:right="120" w:firstLine="1305"/>
        <w:spacing w:after="0" w:line="238" w:lineRule="auto"/>
        <w:tabs>
          <w:tab w:leader="none" w:pos="1935"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If a Surrender Election is made, then, unless </w:t>
      </w:r>
      <w:r>
        <w:rPr>
          <w:rFonts w:ascii="Arial" w:cs="Arial" w:eastAsia="Arial" w:hAnsi="Arial"/>
          <w:sz w:val="22"/>
          <w:szCs w:val="22"/>
          <w:u w:val="single" w:color="auto"/>
          <w:color w:val="auto"/>
        </w:rPr>
        <w:t>Section 7.2(f)</w:t>
      </w:r>
      <w:r>
        <w:rPr>
          <w:rFonts w:ascii="Arial" w:cs="Arial" w:eastAsia="Arial" w:hAnsi="Arial"/>
          <w:sz w:val="22"/>
          <w:szCs w:val="22"/>
          <w:color w:val="auto"/>
        </w:rPr>
        <w:t xml:space="preserve"> applies, the additional Elected Director resulting from the Surrender Election shall be elected at the Annual Meeting next following the Surrender Election. Such Elected Director shall be a Class III Elected Director and shall hold office until the Annual Meeting at which the Class III Elected Director seat would expire.</w:t>
      </w:r>
    </w:p>
    <w:p>
      <w:pPr>
        <w:spacing w:after="0" w:line="185" w:lineRule="exact"/>
        <w:rPr>
          <w:rFonts w:ascii="Arial" w:cs="Arial" w:eastAsia="Arial" w:hAnsi="Arial"/>
          <w:sz w:val="22"/>
          <w:szCs w:val="22"/>
          <w:color w:val="auto"/>
        </w:rPr>
      </w:pPr>
    </w:p>
    <w:p>
      <w:pPr>
        <w:ind w:left="-20" w:firstLine="1305"/>
        <w:spacing w:after="0" w:line="249" w:lineRule="auto"/>
        <w:tabs>
          <w:tab w:leader="none" w:pos="1925" w:val="left"/>
        </w:tabs>
        <w:numPr>
          <w:ilvl w:val="1"/>
          <w:numId w:val="38"/>
        </w:numPr>
        <w:rPr>
          <w:rFonts w:ascii="Arial" w:cs="Arial" w:eastAsia="Arial" w:hAnsi="Arial"/>
          <w:sz w:val="21"/>
          <w:szCs w:val="21"/>
          <w:color w:val="auto"/>
        </w:rPr>
      </w:pPr>
      <w:r>
        <w:rPr>
          <w:rFonts w:ascii="Arial" w:cs="Arial" w:eastAsia="Arial" w:hAnsi="Arial"/>
          <w:sz w:val="21"/>
          <w:szCs w:val="21"/>
          <w:color w:val="auto"/>
        </w:rPr>
        <w:t xml:space="preserve">If the Surrender Election is made after the 2015 Annual Meeting, within 90 days following the date of the Surrender Election, the General Partner, the Board of Directors or the Limited Partners may call a special meeting to be held prior to the next Annual Meeting, in accordance with the procedures in </w:t>
      </w:r>
      <w:r>
        <w:rPr>
          <w:rFonts w:ascii="Arial" w:cs="Arial" w:eastAsia="Arial" w:hAnsi="Arial"/>
          <w:sz w:val="21"/>
          <w:szCs w:val="21"/>
          <w:u w:val="single" w:color="auto"/>
          <w:color w:val="auto"/>
        </w:rPr>
        <w:t>Section 13.4</w:t>
      </w:r>
      <w:r>
        <w:rPr>
          <w:rFonts w:ascii="Arial" w:cs="Arial" w:eastAsia="Arial" w:hAnsi="Arial"/>
          <w:sz w:val="21"/>
          <w:szCs w:val="21"/>
          <w:color w:val="auto"/>
        </w:rPr>
        <w:t>, for the sole purpose of the Limited Partners electing an additional Elected Director. Such Elected Director shall be a Class III Elected Director and shall hold office until the Annual Meeting at which the Class III Elected Director seat would expire.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45" w:name="page46"/>
    <w:bookmarkEnd w:id="45"/>
    <w:p>
      <w:pPr>
        <w:ind w:right="240" w:firstLine="1305"/>
        <w:spacing w:after="0" w:line="276" w:lineRule="auto"/>
        <w:tabs>
          <w:tab w:leader="none" w:pos="1954"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On and after the date that an additional Elected Director is elected in accordance with </w:t>
      </w:r>
      <w:r>
        <w:rPr>
          <w:rFonts w:ascii="Arial" w:cs="Arial" w:eastAsia="Arial" w:hAnsi="Arial"/>
          <w:sz w:val="19"/>
          <w:szCs w:val="19"/>
          <w:u w:val="single" w:color="auto"/>
          <w:color w:val="auto"/>
        </w:rPr>
        <w:t>Section 7.2(e)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(f)</w:t>
      </w:r>
      <w:r>
        <w:rPr>
          <w:rFonts w:ascii="Arial" w:cs="Arial" w:eastAsia="Arial" w:hAnsi="Arial"/>
          <w:sz w:val="19"/>
          <w:szCs w:val="19"/>
          <w:color w:val="auto"/>
        </w:rPr>
        <w:t xml:space="preserve">, only three (or four, if an additional Appointed Director has been appointed under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or</w:t>
      </w:r>
    </w:p>
    <w:p>
      <w:pPr>
        <w:spacing w:after="0" w:line="1" w:lineRule="exact"/>
        <w:rPr>
          <w:rFonts w:ascii="Arial" w:cs="Arial" w:eastAsia="Arial" w:hAnsi="Arial"/>
          <w:sz w:val="19"/>
          <w:szCs w:val="19"/>
          <w:color w:val="auto"/>
        </w:rPr>
      </w:pPr>
    </w:p>
    <w:p>
      <w:pPr>
        <w:ind w:right="120"/>
        <w:spacing w:after="0" w:line="234" w:lineRule="auto"/>
        <w:rPr>
          <w:rFonts w:ascii="Arial" w:cs="Arial" w:eastAsia="Arial" w:hAnsi="Arial"/>
          <w:sz w:val="19"/>
          <w:szCs w:val="19"/>
          <w:color w:val="auto"/>
        </w:rPr>
      </w:pPr>
      <w:r>
        <w:rPr>
          <w:rFonts w:ascii="Arial" w:cs="Arial" w:eastAsia="Arial" w:hAnsi="Arial"/>
          <w:sz w:val="22"/>
          <w:szCs w:val="22"/>
          <w:u w:val="single" w:color="auto"/>
          <w:color w:val="auto"/>
        </w:rPr>
        <w:t>Section 18.5(b)</w:t>
      </w:r>
      <w:r>
        <w:rPr>
          <w:rFonts w:ascii="Arial" w:cs="Arial" w:eastAsia="Arial" w:hAnsi="Arial"/>
          <w:sz w:val="22"/>
          <w:szCs w:val="22"/>
          <w:color w:val="auto"/>
        </w:rPr>
        <w:t xml:space="preserve">) Appointed Directors may be in office at any time. If necessary to satisfy this condition, the General Partner shall, immediately prior to the election of the additional Elected Director and in accordance with </w:t>
      </w:r>
      <w:r>
        <w:rPr>
          <w:rFonts w:ascii="Arial" w:cs="Arial" w:eastAsia="Arial" w:hAnsi="Arial"/>
          <w:sz w:val="22"/>
          <w:szCs w:val="22"/>
          <w:u w:val="single" w:color="auto"/>
          <w:color w:val="auto"/>
        </w:rPr>
        <w:t>Section 7.4(a)(i)</w:t>
      </w:r>
      <w:r>
        <w:rPr>
          <w:rFonts w:ascii="Arial" w:cs="Arial" w:eastAsia="Arial" w:hAnsi="Arial"/>
          <w:sz w:val="22"/>
          <w:szCs w:val="22"/>
          <w:color w:val="auto"/>
        </w:rPr>
        <w:t>, designate the Appointed Director whose term shall terminate upon such election.</w:t>
      </w:r>
    </w:p>
    <w:p>
      <w:pPr>
        <w:spacing w:after="0" w:line="187"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7.3. </w:t>
      </w:r>
      <w:r>
        <w:rPr>
          <w:rFonts w:ascii="Arial" w:cs="Arial" w:eastAsia="Arial" w:hAnsi="Arial"/>
          <w:sz w:val="19"/>
          <w:szCs w:val="19"/>
          <w:i w:val="1"/>
          <w:iCs w:val="1"/>
          <w:color w:val="auto"/>
        </w:rPr>
        <w:t>Nominations of Elected Directors</w:t>
      </w:r>
      <w:r>
        <w:rPr>
          <w:rFonts w:ascii="Arial" w:cs="Arial" w:eastAsia="Arial" w:hAnsi="Arial"/>
          <w:sz w:val="19"/>
          <w:szCs w:val="19"/>
          <w:color w:val="auto"/>
        </w:rPr>
        <w:t xml:space="preserve">. The Board of Directors shall be entitled to nominate individuals to stand for election as Elected Directors at an Annual Meeting. In addition, any Limited Partner or Group of Limited Partners that beneficially owns 10% or more of the Outstanding Common Units shall be entitled to nominate one or more individuals to stand for election as Elected Directors at an Annual Meeting by providing written notice thereof to the Board of Directors not more than 120 days and not less than 90 days prior to the date of such Annual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in the event that the date of the Annual Meeting was not publicly announced by the Partnership by mail, press release or otherwise more than 100 days prior to the date of such meeting, such notice, to be timely, must be delivered to the Board of Directors not later than the close of business on the 10th day following the date on which the date of the Annual Meeting was announced. Such notice shall set forth (a) the name and address of the Limited Partner or Limited Partners making the nomination or nominations, (b) the number of Common Units beneficially owned by such Limited Partner or Limited Partners, (c) such information regarding the nominee(s) proposed by the Limited Partner or Limited Partners as would be required to be included in a proxy statement relating to the solicitation of proxies for the election of directors filed pursuant to the proxy rules of the Commission had the nominee(s) been nominated or intended to be nominated to the Board of Directors, (d) the written consent of each nominee to serve as a member of the Board of Directors if so elected and (e) a certification that such nominee(s) qualify as Elected Directors.</w:t>
      </w:r>
    </w:p>
    <w:p>
      <w:pPr>
        <w:spacing w:after="0" w:line="165" w:lineRule="exact"/>
        <w:rPr>
          <w:sz w:val="20"/>
          <w:szCs w:val="20"/>
          <w:color w:val="auto"/>
        </w:rPr>
      </w:pPr>
    </w:p>
    <w:p>
      <w:pPr>
        <w:ind w:right="760" w:firstLine="1297"/>
        <w:spacing w:after="0" w:line="251"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i w:val="1"/>
          <w:iCs w:val="1"/>
          <w:color w:val="auto"/>
        </w:rPr>
        <w:t>Removal of Members of Board of Directors</w:t>
      </w:r>
      <w:r>
        <w:rPr>
          <w:rFonts w:ascii="Arial" w:cs="Arial" w:eastAsia="Arial" w:hAnsi="Arial"/>
          <w:sz w:val="22"/>
          <w:szCs w:val="22"/>
          <w:color w:val="auto"/>
        </w:rPr>
        <w:t>. Members of the Board of Directors may only be removed as follows:</w:t>
      </w:r>
    </w:p>
    <w:p>
      <w:pPr>
        <w:spacing w:after="0" w:line="173" w:lineRule="exact"/>
        <w:rPr>
          <w:sz w:val="20"/>
          <w:szCs w:val="20"/>
          <w:color w:val="auto"/>
        </w:rPr>
      </w:pPr>
    </w:p>
    <w:p>
      <w:pPr>
        <w:ind w:left="1960" w:hanging="655"/>
        <w:spacing w:after="0"/>
        <w:tabs>
          <w:tab w:leader="none" w:pos="1960" w:val="left"/>
        </w:tabs>
        <w:numPr>
          <w:ilvl w:val="1"/>
          <w:numId w:val="40"/>
        </w:numPr>
        <w:rPr>
          <w:rFonts w:ascii="Arial" w:cs="Arial" w:eastAsia="Arial" w:hAnsi="Arial"/>
          <w:sz w:val="19"/>
          <w:szCs w:val="19"/>
          <w:color w:val="auto"/>
        </w:rPr>
      </w:pPr>
      <w:r>
        <w:rPr>
          <w:rFonts w:ascii="Arial" w:cs="Arial" w:eastAsia="Arial" w:hAnsi="Arial"/>
          <w:sz w:val="19"/>
          <w:szCs w:val="19"/>
          <w:color w:val="auto"/>
        </w:rPr>
        <w:t>Any Appointed Director may be removed at any time, (i) without Cause, only by the General Partner and,</w:t>
      </w:r>
    </w:p>
    <w:p>
      <w:pPr>
        <w:spacing w:after="0" w:line="42" w:lineRule="exact"/>
        <w:rPr>
          <w:rFonts w:ascii="Arial" w:cs="Arial" w:eastAsia="Arial" w:hAnsi="Arial"/>
          <w:sz w:val="19"/>
          <w:szCs w:val="19"/>
          <w:color w:val="auto"/>
        </w:rPr>
      </w:pPr>
    </w:p>
    <w:p>
      <w:pPr>
        <w:ind w:right="320" w:firstLine="8"/>
        <w:spacing w:after="0" w:line="234" w:lineRule="auto"/>
        <w:tabs>
          <w:tab w:leader="none" w:pos="318" w:val="left"/>
        </w:tabs>
        <w:numPr>
          <w:ilvl w:val="0"/>
          <w:numId w:val="41"/>
        </w:numPr>
        <w:rPr>
          <w:rFonts w:ascii="Arial" w:cs="Arial" w:eastAsia="Arial" w:hAnsi="Arial"/>
          <w:sz w:val="22"/>
          <w:szCs w:val="22"/>
          <w:color w:val="auto"/>
        </w:rPr>
      </w:pPr>
      <w:r>
        <w:rPr>
          <w:rFonts w:ascii="Arial" w:cs="Arial" w:eastAsia="Arial" w:hAnsi="Arial"/>
          <w:sz w:val="22"/>
          <w:szCs w:val="22"/>
          <w:color w:val="auto"/>
        </w:rPr>
        <w:t>with Cause, by (x) the General Partner, (y) by the affirmative vote of the holders of a majority of the Outstanding Units at a properly called meeting of the Limited Partners or (z) by the affirmative vote of a majority of the other members of the Board of Directors.</w:t>
      </w:r>
    </w:p>
    <w:p>
      <w:pPr>
        <w:spacing w:after="0" w:line="187" w:lineRule="exact"/>
        <w:rPr>
          <w:rFonts w:ascii="Arial" w:cs="Arial" w:eastAsia="Arial" w:hAnsi="Arial"/>
          <w:sz w:val="22"/>
          <w:szCs w:val="22"/>
          <w:color w:val="auto"/>
        </w:rPr>
      </w:pPr>
    </w:p>
    <w:p>
      <w:pPr>
        <w:jc w:val="both"/>
        <w:ind w:right="100" w:firstLine="1305"/>
        <w:spacing w:after="0"/>
        <w:tabs>
          <w:tab w:leader="none" w:pos="1954" w:val="left"/>
        </w:tabs>
        <w:numPr>
          <w:ilvl w:val="1"/>
          <w:numId w:val="41"/>
        </w:numPr>
        <w:rPr>
          <w:rFonts w:ascii="Arial" w:cs="Arial" w:eastAsia="Arial" w:hAnsi="Arial"/>
          <w:sz w:val="22"/>
          <w:szCs w:val="22"/>
          <w:color w:val="auto"/>
        </w:rPr>
      </w:pPr>
      <w:r>
        <w:rPr>
          <w:rFonts w:ascii="Arial" w:cs="Arial" w:eastAsia="Arial" w:hAnsi="Arial"/>
          <w:sz w:val="22"/>
          <w:szCs w:val="22"/>
          <w:color w:val="auto"/>
        </w:rPr>
        <w:t>Any Elected Director may be removed at any time, with Cause, only by the affirmative vote of a majority of the other members of the Board of Directors or at a properly called meeting of the Limited Partners only by the affirmative vote of the holders of a Unit Majority.</w:t>
      </w:r>
    </w:p>
    <w:p>
      <w:pPr>
        <w:spacing w:after="0" w:line="186" w:lineRule="exact"/>
        <w:rPr>
          <w:sz w:val="20"/>
          <w:szCs w:val="20"/>
          <w:color w:val="auto"/>
        </w:rPr>
      </w:pPr>
    </w:p>
    <w:p>
      <w:pPr>
        <w:ind w:right="460" w:firstLine="1297"/>
        <w:spacing w:after="0"/>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i w:val="1"/>
          <w:iCs w:val="1"/>
          <w:color w:val="auto"/>
        </w:rPr>
        <w:t>Resignations of Members of the Board of Directors</w:t>
      </w:r>
      <w:r>
        <w:rPr>
          <w:rFonts w:ascii="Arial" w:cs="Arial" w:eastAsia="Arial" w:hAnsi="Arial"/>
          <w:sz w:val="22"/>
          <w:szCs w:val="22"/>
          <w:color w:val="auto"/>
        </w:rPr>
        <w:t>. Any member of the Board of Directors may resign at any time by giving written notice to the Board of Directors. Such resignation shall take effect at the time specified therein.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6" w:name="page47"/>
    <w:bookmarkEnd w:id="46"/>
    <w:p>
      <w:pPr>
        <w:ind w:left="1300"/>
        <w:spacing w:after="0"/>
        <w:tabs>
          <w:tab w:leader="none" w:pos="258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i w:val="1"/>
          <w:iCs w:val="1"/>
          <w:color w:val="auto"/>
        </w:rPr>
        <w:t>Vacancies on the Board of Directors</w:t>
      </w:r>
      <w:r>
        <w:rPr>
          <w:rFonts w:ascii="Arial" w:cs="Arial" w:eastAsia="Arial" w:hAnsi="Arial"/>
          <w:sz w:val="19"/>
          <w:szCs w:val="19"/>
          <w:color w:val="auto"/>
        </w:rPr>
        <w:t>. Vacancies on the Board of Directors may be filled only 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right="220" w:firstLine="1305"/>
        <w:spacing w:after="0"/>
        <w:tabs>
          <w:tab w:leader="none" w:pos="1955"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if any Appointed Director is removed, resigns or is otherwise unable to serve as a member of the Board of Directors, the General Partner shall, in its individual capacity, appoint an individual to fill the vacancy.</w:t>
      </w:r>
    </w:p>
    <w:p>
      <w:pPr>
        <w:spacing w:after="0" w:line="186" w:lineRule="exact"/>
        <w:rPr>
          <w:rFonts w:ascii="Arial" w:cs="Arial" w:eastAsia="Arial" w:hAnsi="Arial"/>
          <w:sz w:val="22"/>
          <w:szCs w:val="22"/>
          <w:color w:val="auto"/>
        </w:rPr>
      </w:pPr>
    </w:p>
    <w:p>
      <w:pPr>
        <w:ind w:right="200" w:firstLine="1305"/>
        <w:spacing w:after="0" w:line="251" w:lineRule="auto"/>
        <w:tabs>
          <w:tab w:leader="none" w:pos="1954"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any Elected Director is removed, resigns or is unable to serve as a member of the Board of Directors, the vacancy shall be filled by a majority of the other Elected Directors then serving.</w:t>
      </w:r>
    </w:p>
    <w:p>
      <w:pPr>
        <w:spacing w:after="0" w:line="173" w:lineRule="exact"/>
        <w:rPr>
          <w:rFonts w:ascii="Arial" w:cs="Arial" w:eastAsia="Arial" w:hAnsi="Arial"/>
          <w:sz w:val="22"/>
          <w:szCs w:val="22"/>
          <w:color w:val="auto"/>
        </w:rPr>
      </w:pPr>
    </w:p>
    <w:p>
      <w:pPr>
        <w:ind w:right="100" w:firstLine="1305"/>
        <w:spacing w:after="0" w:line="251" w:lineRule="auto"/>
        <w:tabs>
          <w:tab w:leader="none" w:pos="1955"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A director appointed or elected pursuant to this </w:t>
      </w:r>
      <w:r>
        <w:rPr>
          <w:rFonts w:ascii="Arial" w:cs="Arial" w:eastAsia="Arial" w:hAnsi="Arial"/>
          <w:sz w:val="22"/>
          <w:szCs w:val="22"/>
          <w:u w:val="single" w:color="auto"/>
          <w:color w:val="auto"/>
        </w:rPr>
        <w:t>Section 7.6</w:t>
      </w:r>
      <w:r>
        <w:rPr>
          <w:rFonts w:ascii="Arial" w:cs="Arial" w:eastAsia="Arial" w:hAnsi="Arial"/>
          <w:sz w:val="22"/>
          <w:szCs w:val="22"/>
          <w:color w:val="auto"/>
        </w:rPr>
        <w:t xml:space="preserve"> to fill a vacancy shall be appointed or elected, as the case may be, for no more than the unexpired term of his predecessor in office.</w:t>
      </w:r>
    </w:p>
    <w:p>
      <w:pPr>
        <w:spacing w:after="0" w:line="173"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i w:val="1"/>
          <w:iCs w:val="1"/>
          <w:color w:val="auto"/>
        </w:rPr>
        <w:t>Meetings; Committees; Chairman</w:t>
      </w:r>
      <w:r>
        <w:rPr>
          <w:rFonts w:ascii="Arial" w:cs="Arial" w:eastAsia="Arial" w:hAnsi="Arial"/>
          <w:sz w:val="19"/>
          <w:szCs w:val="19"/>
          <w:color w:val="auto"/>
        </w:rPr>
        <w:t xml:space="preserve">. (a) Regular meetings of the Board of Directors shall be held at such times and places as shall be designated from time to time by resolution of the Board of Directors. Notice of such regular meetings shall not be required. Special meetings of the Board of Directors may be called by the Chairman of the Board of Directors and shall be called by the Secretary upon the written request of two members of the Board of Directors, on at least 48 hours prior written notice to the other members. Any such notice, or waiver thereof, need not state the purpose of such meeting except as may otherwise be required by law. Attendance of a member of the Board of Directors at a meeting (including pursuant to the penultimate sentence of this </w:t>
      </w:r>
      <w:r>
        <w:rPr>
          <w:rFonts w:ascii="Arial" w:cs="Arial" w:eastAsia="Arial" w:hAnsi="Arial"/>
          <w:sz w:val="19"/>
          <w:szCs w:val="19"/>
          <w:u w:val="single" w:color="auto"/>
          <w:color w:val="auto"/>
        </w:rPr>
        <w:t>Section 7.7(a)</w:t>
      </w:r>
      <w:r>
        <w:rPr>
          <w:rFonts w:ascii="Arial" w:cs="Arial" w:eastAsia="Arial" w:hAnsi="Arial"/>
          <w:sz w:val="19"/>
          <w:szCs w:val="19"/>
          <w:color w:val="auto"/>
        </w:rPr>
        <w:t>) shall constitute a waiver of notice of such meeting, except where such member attends the meeting for the express purpose of objecting to the transaction of any business on the ground that the meeting is not lawfully called or convened. Any action required or permitted to be taken at a meeting of the Board of Directors may be taken without a meeting, without prior notice and without a vote if a consent or consents in writing, setting forth the action so taken, is signed by all the members of the Board of Directors. Members of the Board of Directors may participate in and hold meetings by means of conference telephone, videoconference or similar communications equipment by means of which all Persons participating in the meeting can hear each other, and participation in such meetings shall constitute presence in person at the meeting. The Board of Directors may establish any additional rules governing the conduct of its meetings that are not inconsistent with the provisions of this Agreement.</w:t>
      </w:r>
    </w:p>
    <w:p>
      <w:pPr>
        <w:spacing w:after="0" w:line="200" w:lineRule="exact"/>
        <w:rPr>
          <w:sz w:val="20"/>
          <w:szCs w:val="20"/>
          <w:color w:val="auto"/>
        </w:rPr>
      </w:pPr>
    </w:p>
    <w:p>
      <w:pPr>
        <w:spacing w:after="0" w:line="209" w:lineRule="exact"/>
        <w:rPr>
          <w:sz w:val="20"/>
          <w:szCs w:val="20"/>
          <w:color w:val="auto"/>
        </w:rPr>
      </w:pPr>
    </w:p>
    <w:p>
      <w:pPr>
        <w:ind w:right="20" w:firstLine="1305"/>
        <w:spacing w:after="0" w:line="246" w:lineRule="auto"/>
        <w:tabs>
          <w:tab w:leader="none" w:pos="1954" w:val="left"/>
        </w:tabs>
        <w:numPr>
          <w:ilvl w:val="0"/>
          <w:numId w:val="43"/>
        </w:numPr>
        <w:rPr>
          <w:rFonts w:ascii="Arial" w:cs="Arial" w:eastAsia="Arial" w:hAnsi="Arial"/>
          <w:sz w:val="21"/>
          <w:szCs w:val="21"/>
          <w:color w:val="auto"/>
        </w:rPr>
      </w:pPr>
      <w:r>
        <w:rPr>
          <w:rFonts w:ascii="Arial" w:cs="Arial" w:eastAsia="Arial" w:hAnsi="Arial"/>
          <w:sz w:val="21"/>
          <w:szCs w:val="21"/>
          <w:color w:val="auto"/>
        </w:rPr>
        <w:t xml:space="preserve">The Board of Directors shall appoint the members of the Audit Committee and the Conflicts Committee. The Audit Committee and the Conflicts Committee shall, in each case, perform the functions delegated to it pursuant to the terms of this Agreement and such other matters as may be delegated to it from time to time by resolution of the Board of Directors. The Board of Directors, by a majority of the whole Board of Directors, may appoint one or more additional committees of the Board of Directors to consist of one or more members of the Board of Directors, which committee(s) shall have and may exercise such of the powers and authority of the Board of Directors (including in respect of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with respect to the management of the business and affairs of the Partnership as may be provided in a resolution of the Board of Directors. Any committee designated pursuant to this </w:t>
      </w:r>
      <w:r>
        <w:rPr>
          <w:rFonts w:ascii="Arial" w:cs="Arial" w:eastAsia="Arial" w:hAnsi="Arial"/>
          <w:sz w:val="21"/>
          <w:szCs w:val="21"/>
          <w:u w:val="single" w:color="auto"/>
          <w:color w:val="auto"/>
        </w:rPr>
        <w:t>Section 7.7(b)</w:t>
      </w:r>
      <w:r>
        <w:rPr>
          <w:rFonts w:ascii="Arial" w:cs="Arial" w:eastAsia="Arial" w:hAnsi="Arial"/>
          <w:sz w:val="21"/>
          <w:szCs w:val="21"/>
          <w:color w:val="auto"/>
        </w:rPr>
        <w:t xml:space="preserve"> shall choose its own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7" w:name="page48"/>
    <w:bookmarkEnd w:id="47"/>
    <w:p>
      <w:pPr>
        <w:ind w:right="120"/>
        <w:spacing w:after="0" w:line="269" w:lineRule="auto"/>
        <w:rPr>
          <w:sz w:val="20"/>
          <w:szCs w:val="20"/>
          <w:color w:val="auto"/>
        </w:rPr>
      </w:pPr>
      <w:r>
        <w:rPr>
          <w:rFonts w:ascii="Arial" w:cs="Arial" w:eastAsia="Arial" w:hAnsi="Arial"/>
          <w:sz w:val="19"/>
          <w:szCs w:val="19"/>
          <w:color w:val="auto"/>
        </w:rPr>
        <w:t>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taking of any action. Any action required or permitted to be taken at a meeting of a committee of the Board of Directors may be taken without a meeting, without prior notice and without a vote if a consent or consents in writing, setting forth the action so taken, is signed by all the members of the committee of the Board of Directors. Subject to the first sentence of this</w:t>
      </w:r>
    </w:p>
    <w:p>
      <w:pPr>
        <w:spacing w:after="0" w:line="5" w:lineRule="exact"/>
        <w:rPr>
          <w:sz w:val="20"/>
          <w:szCs w:val="20"/>
          <w:color w:val="auto"/>
        </w:rPr>
      </w:pPr>
    </w:p>
    <w:p>
      <w:pPr>
        <w:jc w:val="both"/>
        <w:ind w:right="120"/>
        <w:spacing w:after="0" w:line="277" w:lineRule="auto"/>
        <w:rPr>
          <w:sz w:val="20"/>
          <w:szCs w:val="20"/>
          <w:color w:val="auto"/>
        </w:rPr>
      </w:pPr>
      <w:r>
        <w:rPr>
          <w:rFonts w:ascii="Arial" w:cs="Arial" w:eastAsia="Arial" w:hAnsi="Arial"/>
          <w:sz w:val="19"/>
          <w:szCs w:val="19"/>
          <w:u w:val="single" w:color="auto"/>
          <w:color w:val="auto"/>
        </w:rPr>
        <w:t>Section 7.7(b)</w:t>
      </w:r>
      <w:r>
        <w:rPr>
          <w:rFonts w:ascii="Arial" w:cs="Arial" w:eastAsia="Arial" w:hAnsi="Arial"/>
          <w:sz w:val="19"/>
          <w:szCs w:val="19"/>
          <w:color w:val="auto"/>
        </w:rPr>
        <w:t xml:space="preserve">, the Board of Directors may designate one or more members of the Board of Directors as alternate members of any committee who may replace any absent or disqualified member at any meeting of such committee. Subject to the first sentence of this </w:t>
      </w:r>
      <w:r>
        <w:rPr>
          <w:rFonts w:ascii="Arial" w:cs="Arial" w:eastAsia="Arial" w:hAnsi="Arial"/>
          <w:sz w:val="19"/>
          <w:szCs w:val="19"/>
          <w:u w:val="single" w:color="auto"/>
          <w:color w:val="auto"/>
        </w:rPr>
        <w:t>Section 7.7(b)</w:t>
      </w:r>
      <w:r>
        <w:rPr>
          <w:rFonts w:ascii="Arial" w:cs="Arial" w:eastAsia="Arial" w:hAnsi="Arial"/>
          <w:sz w:val="19"/>
          <w:szCs w:val="19"/>
          <w:color w:val="auto"/>
        </w:rPr>
        <w:t>, in the absence or disqualification of a member of a committee, the member or members present at any meeting and not disqualified from voting, whether or not constituting a quorum, may unanimously appoint another member of the Board of Directors to act at the meeting in the place of the absent or disqualified member.</w:t>
      </w:r>
    </w:p>
    <w:p>
      <w:pPr>
        <w:spacing w:after="0" w:line="153" w:lineRule="exact"/>
        <w:rPr>
          <w:sz w:val="20"/>
          <w:szCs w:val="20"/>
          <w:color w:val="auto"/>
        </w:rPr>
      </w:pPr>
    </w:p>
    <w:p>
      <w:pPr>
        <w:ind w:firstLine="1305"/>
        <w:spacing w:after="0" w:line="277" w:lineRule="auto"/>
        <w:tabs>
          <w:tab w:leader="none" w:pos="1955"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Appointed Directors may designate one of the members of the Board of Directors as Chairman of the Board of Directors. The initial Chairman of the Board of Directors shall be Curtis Anastasio. The Chairman of the Board of Directors, if any, and if present and acting, shall preside at all meetings of the Board of Directors. In the absence of the Chairman of the Board of Directors, another member of the Board of Directors chosen by the Appointed Directors shall preside. If, at any time, the Board of Directors consists solely of Elected Directors, the Board of Directors may designate one of its members as Chairman of the Board of Directors and shall, in the absence of the Chairman of the Board of Directors at a meeting of the Board of Directors, designate another member of the Board of Directors to preside at the meeting.</w:t>
      </w:r>
    </w:p>
    <w:p>
      <w:pPr>
        <w:spacing w:after="0" w:line="153" w:lineRule="exact"/>
        <w:rPr>
          <w:sz w:val="20"/>
          <w:szCs w:val="20"/>
          <w:color w:val="auto"/>
        </w:rPr>
      </w:pPr>
    </w:p>
    <w:p>
      <w:pPr>
        <w:ind w:right="260" w:firstLine="1297"/>
        <w:spacing w:after="0" w:line="252" w:lineRule="auto"/>
        <w:rPr>
          <w:sz w:val="20"/>
          <w:szCs w:val="20"/>
          <w:color w:val="auto"/>
        </w:rPr>
      </w:pPr>
      <w:r>
        <w:rPr>
          <w:rFonts w:ascii="Arial" w:cs="Arial" w:eastAsia="Arial" w:hAnsi="Arial"/>
          <w:sz w:val="21"/>
          <w:szCs w:val="21"/>
          <w:color w:val="auto"/>
        </w:rPr>
        <w:t xml:space="preserve">Section 7.8. </w:t>
      </w:r>
      <w:r>
        <w:rPr>
          <w:rFonts w:ascii="Arial" w:cs="Arial" w:eastAsia="Arial" w:hAnsi="Arial"/>
          <w:sz w:val="21"/>
          <w:szCs w:val="21"/>
          <w:i w:val="1"/>
          <w:iCs w:val="1"/>
          <w:color w:val="auto"/>
        </w:rPr>
        <w:t>Officers</w:t>
      </w:r>
      <w:r>
        <w:rPr>
          <w:rFonts w:ascii="Arial" w:cs="Arial" w:eastAsia="Arial" w:hAnsi="Arial"/>
          <w:sz w:val="21"/>
          <w:szCs w:val="21"/>
          <w:color w:val="auto"/>
        </w:rPr>
        <w:t>. (a) The Board of Directors, as set forth below, shall appoint or designate agents of the Partnership, referred to as “</w:t>
      </w:r>
      <w:r>
        <w:rPr>
          <w:rFonts w:ascii="Arial" w:cs="Arial" w:eastAsia="Arial" w:hAnsi="Arial"/>
          <w:sz w:val="21"/>
          <w:szCs w:val="21"/>
          <w:i w:val="1"/>
          <w:iCs w:val="1"/>
          <w:color w:val="auto"/>
        </w:rPr>
        <w:t>Officers</w:t>
      </w:r>
      <w:r>
        <w:rPr>
          <w:rFonts w:ascii="Arial" w:cs="Arial" w:eastAsia="Arial" w:hAnsi="Arial"/>
          <w:sz w:val="21"/>
          <w:szCs w:val="21"/>
          <w:color w:val="auto"/>
        </w:rPr>
        <w:t xml:space="preserve">” of the Partnership as described in this </w:t>
      </w:r>
      <w:r>
        <w:rPr>
          <w:rFonts w:ascii="Arial" w:cs="Arial" w:eastAsia="Arial" w:hAnsi="Arial"/>
          <w:sz w:val="21"/>
          <w:szCs w:val="21"/>
          <w:u w:val="single" w:color="auto"/>
          <w:color w:val="auto"/>
        </w:rPr>
        <w:t>Section 7.8</w:t>
      </w:r>
      <w:r>
        <w:rPr>
          <w:rFonts w:ascii="Arial" w:cs="Arial" w:eastAsia="Arial" w:hAnsi="Arial"/>
          <w:sz w:val="21"/>
          <w:szCs w:val="21"/>
          <w:color w:val="auto"/>
        </w:rPr>
        <w:t>. Such Officers may be employed by any Group Member directly or may be employed by one or more third parties, including GasLog and its Affiliates, and designated by the Board of Directors to perform officer functions for the benefit of the Partnership.</w:t>
      </w:r>
    </w:p>
    <w:p>
      <w:pPr>
        <w:spacing w:after="0" w:line="174" w:lineRule="exact"/>
        <w:rPr>
          <w:sz w:val="20"/>
          <w:szCs w:val="20"/>
          <w:color w:val="auto"/>
        </w:rPr>
      </w:pPr>
    </w:p>
    <w:p>
      <w:pPr>
        <w:ind w:right="140" w:firstLine="1305"/>
        <w:spacing w:after="0" w:line="247" w:lineRule="auto"/>
        <w:tabs>
          <w:tab w:leader="none" w:pos="1954"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The Board of Directors shall appoint or designate such Officers and agents as may from time to time appear to be necessary or advisable in the conduct of the affairs of the Partnership, who shall hold such titles, exercise such powers and authority and perform such duties as shall be determined from time to time by resolution of the Board of Directors. The Officers may include a Chairman of the Board of Directors, an Executive Vice Chairman or Vice Chairman of the Board of Directors, a Chief Executive Officer, a President, a Chief Financial Officer, any and all Vice Presidents, a Secretary, any and all Assistant Secretaries, a Treasurer, any and all Assistant Treasurers and any other Officers appointed or designated by the Board of Directors pursuant to this </w:t>
      </w:r>
      <w:r>
        <w:rPr>
          <w:rFonts w:ascii="Arial" w:cs="Arial" w:eastAsia="Arial" w:hAnsi="Arial"/>
          <w:sz w:val="21"/>
          <w:szCs w:val="21"/>
          <w:u w:val="single" w:color="auto"/>
          <w:color w:val="auto"/>
        </w:rPr>
        <w:t>Section 7.8</w:t>
      </w:r>
      <w:r>
        <w:rPr>
          <w:rFonts w:ascii="Arial" w:cs="Arial" w:eastAsia="Arial" w:hAnsi="Arial"/>
          <w:sz w:val="21"/>
          <w:szCs w:val="21"/>
          <w:color w:val="auto"/>
        </w:rPr>
        <w:t>. Any person may hold two or more offices.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8" w:name="page49"/>
    <w:bookmarkEnd w:id="48"/>
    <w:p>
      <w:pPr>
        <w:jc w:val="both"/>
        <w:ind w:right="280" w:firstLine="1305"/>
        <w:spacing w:after="0" w:line="238" w:lineRule="auto"/>
        <w:tabs>
          <w:tab w:leader="none" w:pos="1955"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Officers, including any Officer employed by a third party and designated by the Board of Directors to perform officer services for the benefit of the Partnership, shall be appointed by the Board of Directors at such time and for such terms as the Board of Directors shall determine. Any Officer may be removed, with or without Cause, only by the Board of Directors. Vacancies in any office may be filled only by the Board of Directors.</w:t>
      </w:r>
    </w:p>
    <w:p>
      <w:pPr>
        <w:spacing w:after="0" w:line="185" w:lineRule="exact"/>
        <w:rPr>
          <w:rFonts w:ascii="Arial" w:cs="Arial" w:eastAsia="Arial" w:hAnsi="Arial"/>
          <w:sz w:val="22"/>
          <w:szCs w:val="22"/>
          <w:color w:val="auto"/>
        </w:rPr>
      </w:pPr>
    </w:p>
    <w:p>
      <w:pPr>
        <w:ind w:right="620" w:firstLine="1305"/>
        <w:spacing w:after="0" w:line="251" w:lineRule="auto"/>
        <w:tabs>
          <w:tab w:leader="none" w:pos="194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Board of Directors may grant powers of attorney or other authority as appropriate to establish and evidence the authority of the Officers and other Persons.</w:t>
      </w:r>
    </w:p>
    <w:p>
      <w:pPr>
        <w:spacing w:after="0" w:line="173" w:lineRule="exact"/>
        <w:rPr>
          <w:rFonts w:ascii="Arial" w:cs="Arial" w:eastAsia="Arial" w:hAnsi="Arial"/>
          <w:sz w:val="22"/>
          <w:szCs w:val="22"/>
          <w:color w:val="auto"/>
        </w:rPr>
      </w:pPr>
    </w:p>
    <w:p>
      <w:pPr>
        <w:ind w:right="660" w:firstLine="1305"/>
        <w:spacing w:after="0"/>
        <w:tabs>
          <w:tab w:leader="none" w:pos="1955" w:val="left"/>
        </w:tabs>
        <w:numPr>
          <w:ilvl w:val="0"/>
          <w:numId w:val="46"/>
        </w:numPr>
        <w:rPr>
          <w:rFonts w:ascii="Arial" w:cs="Arial" w:eastAsia="Arial" w:hAnsi="Arial"/>
          <w:sz w:val="22"/>
          <w:szCs w:val="22"/>
          <w:color w:val="auto"/>
        </w:rPr>
      </w:pPr>
      <w:r>
        <w:rPr>
          <w:rFonts w:ascii="Arial" w:cs="Arial" w:eastAsia="Arial" w:hAnsi="Arial"/>
          <w:sz w:val="22"/>
          <w:szCs w:val="22"/>
          <w:color w:val="auto"/>
        </w:rPr>
        <w:t>Unless otherwise provided by resolution of the Board of Directors, no Officer shall have the power or authority to delegate to any Person such Officer’s rights and powers as an Officer to manage the business and affairs of the Partnership.</w:t>
      </w:r>
    </w:p>
    <w:p>
      <w:pPr>
        <w:spacing w:after="0" w:line="186" w:lineRule="exact"/>
        <w:rPr>
          <w:sz w:val="20"/>
          <w:szCs w:val="20"/>
          <w:color w:val="auto"/>
        </w:rPr>
      </w:pPr>
    </w:p>
    <w:p>
      <w:pPr>
        <w:ind w:right="300" w:firstLine="1297"/>
        <w:spacing w:after="0" w:line="287"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i w:val="1"/>
          <w:iCs w:val="1"/>
          <w:color w:val="auto"/>
        </w:rPr>
        <w:t>Compensation of Directors</w:t>
      </w:r>
      <w:r>
        <w:rPr>
          <w:rFonts w:ascii="Arial" w:cs="Arial" w:eastAsia="Arial" w:hAnsi="Arial"/>
          <w:sz w:val="19"/>
          <w:szCs w:val="19"/>
          <w:color w:val="auto"/>
        </w:rPr>
        <w:t>. The members of the Board of Directors who are not employees of the General Partner or its Affiliates shall receive such compensation for their services as members of the Board of Directors or members of a committee of the Board of Directors shall determine. In addition, the members of the Board of Directors shall be entitled to be reimbursed for out-of-pocket costs and expenses incurred in the course of their service hereunder.</w:t>
      </w:r>
    </w:p>
    <w:p>
      <w:pPr>
        <w:spacing w:after="0" w:line="143" w:lineRule="exact"/>
        <w:rPr>
          <w:sz w:val="20"/>
          <w:szCs w:val="20"/>
          <w:color w:val="auto"/>
        </w:rPr>
      </w:pPr>
    </w:p>
    <w:p>
      <w:pPr>
        <w:ind w:firstLine="1297"/>
        <w:spacing w:after="0" w:line="244" w:lineRule="auto"/>
        <w:rPr>
          <w:sz w:val="20"/>
          <w:szCs w:val="20"/>
          <w:color w:val="auto"/>
        </w:rPr>
      </w:pPr>
      <w:r>
        <w:rPr>
          <w:rFonts w:ascii="Arial" w:cs="Arial" w:eastAsia="Arial" w:hAnsi="Arial"/>
          <w:sz w:val="21"/>
          <w:szCs w:val="21"/>
          <w:color w:val="auto"/>
        </w:rPr>
        <w:t xml:space="preserve">Section 7.10. </w:t>
      </w:r>
      <w:r>
        <w:rPr>
          <w:rFonts w:ascii="Arial" w:cs="Arial" w:eastAsia="Arial" w:hAnsi="Arial"/>
          <w:sz w:val="21"/>
          <w:szCs w:val="21"/>
          <w:i w:val="1"/>
          <w:iCs w:val="1"/>
          <w:color w:val="auto"/>
        </w:rPr>
        <w:t>Certificate of Limited Partnership</w:t>
      </w:r>
      <w:r>
        <w:rPr>
          <w:rFonts w:ascii="Arial" w:cs="Arial" w:eastAsia="Arial" w:hAnsi="Arial"/>
          <w:sz w:val="21"/>
          <w:szCs w:val="21"/>
          <w:color w:val="auto"/>
        </w:rPr>
        <w:t xml:space="preserve">. The General Partner has caused the Certificate of Limited Partnership to be filed with the Registrar of Corporations of The Marshall Islands as required by the Marshall Islands Act. The General Partner shall use all commercially reasonable efforts to cause to be filed such other certificates or documents that the Board of Directors determines to be necessary or appropriate for the formation, continuation, qualification and operation of a limited partnership (or a partnership or other entity in which the limited partners have limited liability) in The Marshall Islands or any other jurisdiction in which the Partnership may elect to do business or own property. To the extent the Board of Directors determines such action to be necessary or appropriate, the General Partner shall file or cause to be filed amendments to and restatements of the Certificate of Limited Partnership and do all things to maintain the Partnership as a limited partnership (or a partnership or other entity in which the limited partners have limited liability) under the laws of The Marshall Islands or of any other jurisdiction in which the Partnership may elect to do business or own property. Subject to the terms of </w:t>
      </w:r>
      <w:r>
        <w:rPr>
          <w:rFonts w:ascii="Arial" w:cs="Arial" w:eastAsia="Arial" w:hAnsi="Arial"/>
          <w:sz w:val="21"/>
          <w:szCs w:val="21"/>
          <w:u w:val="single" w:color="auto"/>
          <w:color w:val="auto"/>
        </w:rPr>
        <w:t>Section 3.4(a)</w:t>
      </w:r>
      <w:r>
        <w:rPr>
          <w:rFonts w:ascii="Arial" w:cs="Arial" w:eastAsia="Arial" w:hAnsi="Arial"/>
          <w:sz w:val="21"/>
          <w:szCs w:val="21"/>
          <w:color w:val="auto"/>
        </w:rPr>
        <w:t>, the General Partner shall not be required, before or after filing, to deliver or mail a copy of the Certificate of Limited Partnership, any qualification document or any amendment thereto to any Limited Partner.</w:t>
      </w:r>
    </w:p>
    <w:p>
      <w:pPr>
        <w:spacing w:after="0" w:line="187" w:lineRule="exact"/>
        <w:rPr>
          <w:sz w:val="20"/>
          <w:szCs w:val="20"/>
          <w:color w:val="auto"/>
        </w:rPr>
      </w:pPr>
    </w:p>
    <w:p>
      <w:pPr>
        <w:ind w:right="140" w:firstLine="1297"/>
        <w:spacing w:after="0" w:line="236"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i w:val="1"/>
          <w:iCs w:val="1"/>
          <w:color w:val="auto"/>
        </w:rPr>
        <w:t>Restrictions on the Authority of the Board of Directors and the General Partner</w:t>
      </w:r>
      <w:r>
        <w:rPr>
          <w:rFonts w:ascii="Arial" w:cs="Arial" w:eastAsia="Arial" w:hAnsi="Arial"/>
          <w:sz w:val="22"/>
          <w:szCs w:val="22"/>
          <w:color w:val="auto"/>
        </w:rPr>
        <w:t>. (a) Except as otherwise provided in this Agreement, neither the Board of Directors nor the General Partner may,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w:t>
      </w:r>
    </w:p>
    <w:p>
      <w:pPr>
        <w:spacing w:after="0" w:line="188" w:lineRule="exact"/>
        <w:rPr>
          <w:sz w:val="20"/>
          <w:szCs w:val="20"/>
          <w:color w:val="auto"/>
        </w:rPr>
      </w:pPr>
    </w:p>
    <w:p>
      <w:pPr>
        <w:ind w:right="480" w:firstLine="1305"/>
        <w:spacing w:after="0"/>
        <w:tabs>
          <w:tab w:leader="none" w:pos="1954" w:val="left"/>
        </w:tabs>
        <w:numPr>
          <w:ilvl w:val="0"/>
          <w:numId w:val="47"/>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Articles XII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XIV</w:t>
      </w:r>
      <w:r>
        <w:rPr>
          <w:rFonts w:ascii="Arial" w:cs="Arial" w:eastAsia="Arial" w:hAnsi="Arial"/>
          <w:sz w:val="22"/>
          <w:szCs w:val="22"/>
          <w:color w:val="auto"/>
        </w:rPr>
        <w:t>, the Board of Directors may not sell, exchange or otherwise dispose of all or substantially all of the assets of the Partnership Group, taken as a whole, in a single transaction or a series of related transactions (including by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49" w:name="page50"/>
    <w:bookmarkEnd w:id="49"/>
    <w:p>
      <w:pPr>
        <w:spacing w:after="0" w:line="279" w:lineRule="auto"/>
        <w:rPr>
          <w:sz w:val="20"/>
          <w:szCs w:val="20"/>
          <w:color w:val="auto"/>
        </w:rPr>
      </w:pPr>
      <w:r>
        <w:rPr>
          <w:rFonts w:ascii="Arial" w:cs="Arial" w:eastAsia="Arial" w:hAnsi="Arial"/>
          <w:sz w:val="19"/>
          <w:szCs w:val="19"/>
          <w:color w:val="auto"/>
        </w:rPr>
        <w:t xml:space="preserve">way of merger, consolidation, other combination or sale of ownership interests in the Partnership’s Subsidiaries) without the approval of holders of a Unit Majority and the General Partner;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this provision shall not preclude or limit the ability of the Board of Directors to mortgage, pledge, hypothecate or grant a security interest in all or substantially all of the assets of the Partnership Group and shall not apply to any forced sale of any or all of the assets of the Partnership Group pursuant to the foreclosure of, or other realization upon, any such encumbrance. The transfer of the General Partner Interest to and the election of a successor general partner of the Partnership shall be made in accordance with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11.2</w:t>
      </w:r>
      <w:r>
        <w:rPr>
          <w:rFonts w:ascii="Arial" w:cs="Arial" w:eastAsia="Arial" w:hAnsi="Arial"/>
          <w:sz w:val="19"/>
          <w:szCs w:val="19"/>
          <w:color w:val="auto"/>
        </w:rPr>
        <w:t>.</w:t>
      </w:r>
    </w:p>
    <w:p>
      <w:pPr>
        <w:spacing w:after="0" w:line="151"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i w:val="1"/>
          <w:iCs w:val="1"/>
          <w:color w:val="auto"/>
        </w:rPr>
        <w:t>Reimbursement of the General Partner</w:t>
      </w:r>
      <w:r>
        <w:rPr>
          <w:rFonts w:ascii="Arial" w:cs="Arial" w:eastAsia="Arial" w:hAnsi="Arial"/>
          <w:sz w:val="22"/>
          <w:szCs w:val="22"/>
          <w:color w:val="auto"/>
        </w:rPr>
        <w:t xml:space="preserve">. (a) Except as provided in this </w:t>
      </w:r>
      <w:r>
        <w:rPr>
          <w:rFonts w:ascii="Arial" w:cs="Arial" w:eastAsia="Arial" w:hAnsi="Arial"/>
          <w:sz w:val="22"/>
          <w:szCs w:val="22"/>
          <w:u w:val="single" w:color="auto"/>
          <w:color w:val="auto"/>
        </w:rPr>
        <w:t>Section 7.12</w:t>
      </w:r>
      <w:r>
        <w:rPr>
          <w:rFonts w:ascii="Arial" w:cs="Arial" w:eastAsia="Arial" w:hAnsi="Arial"/>
          <w:sz w:val="22"/>
          <w:szCs w:val="22"/>
          <w:color w:val="auto"/>
        </w:rPr>
        <w:t xml:space="preserve"> and elsewhere in this Agreement, the General Partner shall not be compensated for its services as a general partner or managing member of any Group Member.</w:t>
      </w:r>
    </w:p>
    <w:p>
      <w:pPr>
        <w:spacing w:after="0" w:line="186" w:lineRule="exact"/>
        <w:rPr>
          <w:sz w:val="20"/>
          <w:szCs w:val="20"/>
          <w:color w:val="auto"/>
        </w:rPr>
      </w:pPr>
    </w:p>
    <w:p>
      <w:pPr>
        <w:ind w:right="140" w:firstLine="1305"/>
        <w:spacing w:after="0" w:line="275" w:lineRule="auto"/>
        <w:tabs>
          <w:tab w:leader="none" w:pos="1954"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General Partner shall be reimbursed on a monthly basis, or such other basis as the Board of Directors may determine, for any direct and indirect expenses it incurs that are allocable to the Partnership Group or payments it makes on behalf of the Partnership Group (including salary, bonus, incentive compensation and other amounts paid to any Person, including Affiliates of the General Partner, to perform services for the Partnership Group or for the General Partner in the discharge of its duties to the Partnership Group, which amounts shall also include reimbursement for any Common Units purchased to satisfy obligations of the Partnership under any of its equity compensation plans). The Board of Directors shall determine the expenses that are allocable to the Partnership Group. Reimbursements pursuant to this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shall be in addition to any reimbursement to the General Partner as a result of indemnification pursuant to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ind w:right="20" w:firstLine="1305"/>
        <w:spacing w:after="0" w:line="271" w:lineRule="auto"/>
        <w:tabs>
          <w:tab w:leader="none" w:pos="1955"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Subject to the applicable rules and regulations of the National Securities Exchange on which the Common Units are listed, the Board of Directors, without the approval of the Partners (who shall have no right to vote in respect thereof), may propose and adopt on behalf of the Partnership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Partnership, the General Partner or any of its Affiliates, in each case for the benefit of employees and directors of the Partnership, the General Partner, any Group Member or any Affiliate thereof, or any of them, in respect of services performed, directly or indirectly, for the benefit of the Partnership Group. The Partnership agrees to issue and sell to the General Partner or any of its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or otherwise to fulfill options or awards under such plans, programs and practices) shall be reimbursed in accordance with </w:t>
      </w:r>
      <w:r>
        <w:rPr>
          <w:rFonts w:ascii="Arial" w:cs="Arial" w:eastAsia="Arial" w:hAnsi="Arial"/>
          <w:sz w:val="19"/>
          <w:szCs w:val="19"/>
          <w:u w:val="single" w:color="auto"/>
          <w:color w:val="auto"/>
        </w:rPr>
        <w:t>Section 7.12(b)</w:t>
      </w:r>
      <w:r>
        <w:rPr>
          <w:rFonts w:ascii="Arial" w:cs="Arial" w:eastAsia="Arial" w:hAnsi="Arial"/>
          <w:sz w:val="19"/>
          <w:szCs w:val="19"/>
          <w:color w:val="auto"/>
        </w:rPr>
        <w:t xml:space="preserve">. Any and all obligations of the General Partner under any employee benefit plans, employee programs or employee practices adopted by the General Partner as permitted by this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0" w:name="page51"/>
    <w:bookmarkEnd w:id="50"/>
    <w:p>
      <w:pPr>
        <w:ind w:right="240"/>
        <w:spacing w:after="0"/>
        <w:rPr>
          <w:sz w:val="20"/>
          <w:szCs w:val="20"/>
          <w:color w:val="auto"/>
        </w:rPr>
      </w:pPr>
      <w:r>
        <w:rPr>
          <w:rFonts w:ascii="Arial" w:cs="Arial" w:eastAsia="Arial" w:hAnsi="Arial"/>
          <w:sz w:val="22"/>
          <w:szCs w:val="22"/>
          <w:u w:val="single" w:color="auto"/>
          <w:color w:val="auto"/>
        </w:rPr>
        <w:t>7.12(c)</w:t>
      </w:r>
      <w:r>
        <w:rPr>
          <w:rFonts w:ascii="Arial" w:cs="Arial" w:eastAsia="Arial" w:hAnsi="Arial"/>
          <w:sz w:val="22"/>
          <w:szCs w:val="22"/>
          <w:color w:val="auto"/>
        </w:rPr>
        <w:t xml:space="preserve"> shall constitute obligations of the General Partner hereunder and shall be assumed by any successor General Partner approved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or the transferee of or successor to all of the General Partner’s General Partner Interest pursuant to </w:t>
      </w:r>
      <w:r>
        <w:rPr>
          <w:rFonts w:ascii="Arial" w:cs="Arial" w:eastAsia="Arial" w:hAnsi="Arial"/>
          <w:sz w:val="22"/>
          <w:szCs w:val="22"/>
          <w:u w:val="single" w:color="auto"/>
          <w:color w:val="auto"/>
        </w:rPr>
        <w:t>Section 4.6.</w:t>
      </w:r>
    </w:p>
    <w:p>
      <w:pPr>
        <w:spacing w:after="0" w:line="186" w:lineRule="exact"/>
        <w:rPr>
          <w:sz w:val="20"/>
          <w:szCs w:val="20"/>
          <w:color w:val="auto"/>
        </w:rPr>
      </w:pPr>
    </w:p>
    <w:p>
      <w:pPr>
        <w:ind w:right="80" w:firstLine="1297"/>
        <w:spacing w:after="0" w:line="274"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i w:val="1"/>
          <w:iCs w:val="1"/>
          <w:color w:val="auto"/>
        </w:rPr>
        <w:t>Outside Activities</w:t>
      </w:r>
      <w:r>
        <w:rPr>
          <w:rFonts w:ascii="Arial" w:cs="Arial" w:eastAsia="Arial" w:hAnsi="Arial"/>
          <w:sz w:val="19"/>
          <w:szCs w:val="19"/>
          <w:color w:val="auto"/>
        </w:rPr>
        <w:t>. (a) After the Closing Date, the General Partner, for so long as it is the general partner of the Partnership (i) agrees that its sole business will be to act as a general partner or managing member, as the case may be, of the Partnership and any other partnership or limited liability company of which the Partnership is, directly or indirectly, a partner or member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or managing member, if any, of one or more Group Members or as described in or contemplated by the Registration Statement or (B) the acquiring, owning or disposing of debt or equity securities in any Group Member and (iii) except to the extent permitted in the Omnibus Agreement, shall not acquire or own any Five-Year Vessels (as such term is defined in the Omnibus Agreement).</w:t>
      </w:r>
    </w:p>
    <w:p>
      <w:pPr>
        <w:spacing w:after="0" w:line="159" w:lineRule="exact"/>
        <w:rPr>
          <w:sz w:val="20"/>
          <w:szCs w:val="20"/>
          <w:color w:val="auto"/>
        </w:rPr>
      </w:pPr>
    </w:p>
    <w:p>
      <w:pPr>
        <w:ind w:right="180" w:firstLine="1305"/>
        <w:spacing w:after="0"/>
        <w:tabs>
          <w:tab w:leader="none" w:pos="1954" w:val="left"/>
        </w:tabs>
        <w:numPr>
          <w:ilvl w:val="0"/>
          <w:numId w:val="49"/>
        </w:numPr>
        <w:rPr>
          <w:rFonts w:ascii="Arial" w:cs="Arial" w:eastAsia="Arial" w:hAnsi="Arial"/>
          <w:sz w:val="22"/>
          <w:szCs w:val="22"/>
          <w:color w:val="auto"/>
        </w:rPr>
      </w:pPr>
      <w:r>
        <w:rPr>
          <w:rFonts w:ascii="Arial" w:cs="Arial" w:eastAsia="Arial" w:hAnsi="Arial"/>
          <w:sz w:val="22"/>
          <w:szCs w:val="22"/>
          <w:color w:val="auto"/>
        </w:rPr>
        <w:t>GasLog, the Partnership, the General Partner and the Operating Company have entered into the Omnibus Agreement, which agreement sets forth certain restrictions on the ability of GasLog and certain of its Affiliates to acquire, own or operate any Five-Year Vessels (as such term is defined in the Omnibus Agreement).</w:t>
      </w:r>
    </w:p>
    <w:p>
      <w:pPr>
        <w:spacing w:after="0" w:line="186" w:lineRule="exact"/>
        <w:rPr>
          <w:rFonts w:ascii="Arial" w:cs="Arial" w:eastAsia="Arial" w:hAnsi="Arial"/>
          <w:sz w:val="22"/>
          <w:szCs w:val="22"/>
          <w:color w:val="auto"/>
        </w:rPr>
      </w:pPr>
    </w:p>
    <w:p>
      <w:pPr>
        <w:ind w:firstLine="1305"/>
        <w:spacing w:after="0" w:line="273" w:lineRule="auto"/>
        <w:tabs>
          <w:tab w:leader="none" w:pos="1955"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Except as specifically restricted by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or the Omnibus Agreement,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Notwithstanding anything to the contrary in this Agreement, (i) the possessing of competitive interests and engaging in competitive activities by any Indemnitees (other than the General Partner) in accordance with the provisions of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is hereby approved by the Partnership and all Partners and (ii) it shall be deemed not to be a breach of any duty (including any fiduciary duty) or any other obligation of any type whatsoever of the General Partner or of any Indemnitee for the Indemnitees (other than the General Partner) to engage in such business interests and activities in preference to or to the exclusion of the Partnership.</w:t>
      </w:r>
    </w:p>
    <w:p>
      <w:pPr>
        <w:spacing w:after="0" w:line="156" w:lineRule="exact"/>
        <w:rPr>
          <w:rFonts w:ascii="Arial" w:cs="Arial" w:eastAsia="Arial" w:hAnsi="Arial"/>
          <w:sz w:val="19"/>
          <w:szCs w:val="19"/>
          <w:color w:val="auto"/>
        </w:rPr>
      </w:pPr>
    </w:p>
    <w:p>
      <w:pPr>
        <w:ind w:right="200" w:firstLine="1305"/>
        <w:spacing w:after="0" w:line="270" w:lineRule="auto"/>
        <w:tabs>
          <w:tab w:leader="none" w:pos="19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doctrine of corporate opportunity, or any analogous doctrine, shall not apply to an Indemnitee (including the General Partner)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7.13(b)</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7.13(c)</w:t>
      </w:r>
      <w:r>
        <w:rPr>
          <w:rFonts w:ascii="Arial" w:cs="Arial" w:eastAsia="Arial" w:hAnsi="Arial"/>
          <w:sz w:val="19"/>
          <w:szCs w:val="19"/>
          <w:color w:val="auto"/>
        </w:rPr>
        <w:t xml:space="preserve"> and the Omnibus Agreement, no Indemnitee (including the General Partner) who acquires knowledge of a potential transaction, agreement, arrangement or other matter that may be an opportunity for the Partnership shall have any duty to communicate or offer such opportunity to the Partnership, and, subject to the terms of </w:t>
      </w:r>
      <w:r>
        <w:rPr>
          <w:rFonts w:ascii="Arial" w:cs="Arial" w:eastAsia="Arial" w:hAnsi="Arial"/>
          <w:sz w:val="19"/>
          <w:szCs w:val="19"/>
          <w:u w:val="single" w:color="auto"/>
          <w:color w:val="auto"/>
        </w:rPr>
        <w:t>Section 7.13(a)</w:t>
      </w:r>
      <w:r>
        <w:rPr>
          <w:rFonts w:ascii="Arial" w:cs="Arial" w:eastAsia="Arial" w:hAnsi="Arial"/>
          <w:sz w:val="19"/>
          <w:szCs w:val="19"/>
          <w:color w:val="auto"/>
        </w:rPr>
        <w:t>,</w:t>
      </w:r>
    </w:p>
    <w:p>
      <w:pPr>
        <w:spacing w:after="0" w:line="4" w:lineRule="exact"/>
        <w:rPr>
          <w:rFonts w:ascii="Arial" w:cs="Arial" w:eastAsia="Arial" w:hAnsi="Arial"/>
          <w:sz w:val="19"/>
          <w:szCs w:val="19"/>
          <w:color w:val="auto"/>
        </w:rPr>
      </w:pPr>
    </w:p>
    <w:p>
      <w:pPr>
        <w:spacing w:after="0" w:line="237" w:lineRule="auto"/>
        <w:rPr>
          <w:rFonts w:ascii="Arial" w:cs="Arial" w:eastAsia="Arial" w:hAnsi="Arial"/>
          <w:sz w:val="19"/>
          <w:szCs w:val="19"/>
          <w:color w:val="auto"/>
        </w:rPr>
      </w:pPr>
      <w:r>
        <w:rPr>
          <w:rFonts w:ascii="Arial" w:cs="Arial" w:eastAsia="Arial" w:hAnsi="Arial"/>
          <w:sz w:val="22"/>
          <w:szCs w:val="22"/>
          <w:u w:val="single" w:color="auto"/>
          <w:color w:val="auto"/>
        </w:rPr>
        <w:t>Section 7.13(b)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7.13(c)</w:t>
      </w:r>
      <w:r>
        <w:rPr>
          <w:rFonts w:ascii="Arial" w:cs="Arial" w:eastAsia="Arial" w:hAnsi="Arial"/>
          <w:sz w:val="22"/>
          <w:szCs w:val="22"/>
          <w:color w:val="auto"/>
        </w:rPr>
        <w:t xml:space="preserve"> and the Omnibus Agreement, such Indemnitee (including the General Partner) shall not be liable to the Partnership, to any Limited Partner or any other Person for breach of any fiduciary or other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1" w:name="page52"/>
    <w:bookmarkEnd w:id="51"/>
    <w:p>
      <w:pPr>
        <w:ind w:right="200"/>
        <w:spacing w:after="0" w:line="236" w:lineRule="auto"/>
        <w:rPr>
          <w:sz w:val="20"/>
          <w:szCs w:val="20"/>
          <w:color w:val="auto"/>
        </w:rPr>
      </w:pPr>
      <w:r>
        <w:rPr>
          <w:rFonts w:ascii="Arial" w:cs="Arial" w:eastAsia="Arial" w:hAnsi="Arial"/>
          <w:sz w:val="22"/>
          <w:szCs w:val="22"/>
          <w:color w:val="auto"/>
        </w:rPr>
        <w:t xml:space="preserve">duty by reason of the fact that such Indemnitee (including the General Partner) pursues or acquires such opportunity for itself, directs such opportunity to another Person or does not communicate such opportunity or information to the Partnership;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such Indemnitee (including the General Partner) does not engage in such business or activity as a result of using</w:t>
      </w:r>
      <w:r>
        <w:rPr>
          <w:rFonts w:ascii="Arial" w:cs="Arial" w:eastAsia="Arial" w:hAnsi="Arial"/>
          <w:sz w:val="22"/>
          <w:szCs w:val="22"/>
          <w:i w:val="1"/>
          <w:iCs w:val="1"/>
          <w:color w:val="auto"/>
        </w:rPr>
        <w:t xml:space="preserve"> </w:t>
      </w:r>
      <w:r>
        <w:rPr>
          <w:rFonts w:ascii="Arial" w:cs="Arial" w:eastAsia="Arial" w:hAnsi="Arial"/>
          <w:sz w:val="22"/>
          <w:szCs w:val="22"/>
          <w:color w:val="auto"/>
        </w:rPr>
        <w:t>confidential or proprietary information provided by or on behalf of the Partnership to such Indemnitee (including the General Partner).</w:t>
      </w:r>
    </w:p>
    <w:p>
      <w:pPr>
        <w:spacing w:after="0" w:line="188" w:lineRule="exact"/>
        <w:rPr>
          <w:sz w:val="20"/>
          <w:szCs w:val="20"/>
          <w:color w:val="auto"/>
        </w:rPr>
      </w:pPr>
    </w:p>
    <w:p>
      <w:pPr>
        <w:ind w:right="80" w:firstLine="1305"/>
        <w:spacing w:after="0" w:line="252" w:lineRule="auto"/>
        <w:tabs>
          <w:tab w:leader="none" w:pos="1955" w:val="left"/>
        </w:tabs>
        <w:numPr>
          <w:ilvl w:val="0"/>
          <w:numId w:val="50"/>
        </w:numPr>
        <w:rPr>
          <w:rFonts w:ascii="Arial" w:cs="Arial" w:eastAsia="Arial" w:hAnsi="Arial"/>
          <w:sz w:val="21"/>
          <w:szCs w:val="21"/>
          <w:color w:val="auto"/>
        </w:rPr>
      </w:pPr>
      <w:r>
        <w:rPr>
          <w:rFonts w:ascii="Arial" w:cs="Arial" w:eastAsia="Arial" w:hAnsi="Arial"/>
          <w:sz w:val="21"/>
          <w:szCs w:val="21"/>
          <w:color w:val="auto"/>
        </w:rPr>
        <w:t>The General Partner and each of its Affiliates may own and acquire Units or other Partnership Interests in addition to those acquired on the Closing Date and, except as otherwise provided in this Agreement, shall be entitled to exercise, at their option, all rights relating to all Units or other Partnership Interests acquired by them. The term “</w:t>
      </w:r>
      <w:r>
        <w:rPr>
          <w:rFonts w:ascii="Arial" w:cs="Arial" w:eastAsia="Arial" w:hAnsi="Arial"/>
          <w:sz w:val="21"/>
          <w:szCs w:val="21"/>
          <w:i w:val="1"/>
          <w:iCs w:val="1"/>
          <w:color w:val="auto"/>
        </w:rPr>
        <w:t>Affiliates</w:t>
      </w:r>
      <w:r>
        <w:rPr>
          <w:rFonts w:ascii="Arial" w:cs="Arial" w:eastAsia="Arial" w:hAnsi="Arial"/>
          <w:sz w:val="21"/>
          <w:szCs w:val="21"/>
          <w:color w:val="auto"/>
        </w:rPr>
        <w:t xml:space="preserve">” as used in this </w:t>
      </w:r>
      <w:r>
        <w:rPr>
          <w:rFonts w:ascii="Arial" w:cs="Arial" w:eastAsia="Arial" w:hAnsi="Arial"/>
          <w:sz w:val="21"/>
          <w:szCs w:val="21"/>
          <w:u w:val="single" w:color="auto"/>
          <w:color w:val="auto"/>
        </w:rPr>
        <w:t>Section 7.13(e)</w:t>
      </w:r>
      <w:r>
        <w:rPr>
          <w:rFonts w:ascii="Arial" w:cs="Arial" w:eastAsia="Arial" w:hAnsi="Arial"/>
          <w:sz w:val="21"/>
          <w:szCs w:val="21"/>
          <w:color w:val="auto"/>
        </w:rPr>
        <w:t xml:space="preserve"> with respect to the General Partner shall not include any Group Member.</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7.14.  </w:t>
      </w:r>
      <w:r>
        <w:rPr>
          <w:rFonts w:ascii="Arial" w:cs="Arial" w:eastAsia="Arial" w:hAnsi="Arial"/>
          <w:sz w:val="19"/>
          <w:szCs w:val="19"/>
          <w:i w:val="1"/>
          <w:iCs w:val="1"/>
          <w:color w:val="auto"/>
        </w:rPr>
        <w:t>Loans from the General Partner; Loans or Contributions from the Partnership or Group Members</w:t>
      </w:r>
      <w:r>
        <w:rPr>
          <w:rFonts w:ascii="Arial" w:cs="Arial" w:eastAsia="Arial" w:hAnsi="Arial"/>
          <w:sz w:val="19"/>
          <w:szCs w:val="19"/>
          <w:color w:val="auto"/>
        </w:rPr>
        <w:t>.</w:t>
      </w:r>
    </w:p>
    <w:p>
      <w:pPr>
        <w:spacing w:after="0" w:line="43" w:lineRule="exact"/>
        <w:rPr>
          <w:sz w:val="20"/>
          <w:szCs w:val="20"/>
          <w:color w:val="auto"/>
        </w:rPr>
      </w:pPr>
    </w:p>
    <w:p>
      <w:pPr>
        <w:ind w:firstLine="8"/>
        <w:spacing w:after="0" w:line="243" w:lineRule="auto"/>
        <w:tabs>
          <w:tab w:leader="none" w:pos="348"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The General Partner or any of its Affiliates may lend to any Group Member, and any Group Member may borrow from the General Partner or any of its Affiliates, funds needed or desired by the Group Member for such periods of time and in such amounts as the General Partner and the Board of Directors may determine;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 length basis (without reference to the lending party’s financial abilities or guarantees), all as determined by the General Partner and the Board of Directors. The borrowing party shall reimburse the lending party for any costs (other than any additional interest costs) incurred by the lending party in connection with the borrowing of such funds. For purposes of this </w:t>
      </w:r>
      <w:r>
        <w:rPr>
          <w:rFonts w:ascii="Arial" w:cs="Arial" w:eastAsia="Arial" w:hAnsi="Arial"/>
          <w:sz w:val="21"/>
          <w:szCs w:val="21"/>
          <w:u w:val="single" w:color="auto"/>
          <w:color w:val="auto"/>
        </w:rPr>
        <w:t>Section 7.14(a)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7.14(b)</w:t>
      </w:r>
      <w:r>
        <w:rPr>
          <w:rFonts w:ascii="Arial" w:cs="Arial" w:eastAsia="Arial" w:hAnsi="Arial"/>
          <w:sz w:val="21"/>
          <w:szCs w:val="21"/>
          <w:color w:val="auto"/>
        </w:rPr>
        <w:t>, the term “</w:t>
      </w:r>
      <w:r>
        <w:rPr>
          <w:rFonts w:ascii="Arial" w:cs="Arial" w:eastAsia="Arial" w:hAnsi="Arial"/>
          <w:sz w:val="21"/>
          <w:szCs w:val="21"/>
          <w:b w:val="1"/>
          <w:bCs w:val="1"/>
          <w:i w:val="1"/>
          <w:iCs w:val="1"/>
          <w:color w:val="auto"/>
        </w:rPr>
        <w:t>Group Member</w:t>
      </w:r>
      <w:r>
        <w:rPr>
          <w:rFonts w:ascii="Arial" w:cs="Arial" w:eastAsia="Arial" w:hAnsi="Arial"/>
          <w:sz w:val="21"/>
          <w:szCs w:val="21"/>
          <w:color w:val="auto"/>
        </w:rPr>
        <w:t>” shall include any Affiliate of a Group Member that is controlled by the Group Member.</w:t>
      </w:r>
    </w:p>
    <w:p>
      <w:pPr>
        <w:spacing w:after="0" w:line="184" w:lineRule="exact"/>
        <w:rPr>
          <w:rFonts w:ascii="Arial" w:cs="Arial" w:eastAsia="Arial" w:hAnsi="Arial"/>
          <w:sz w:val="21"/>
          <w:szCs w:val="21"/>
          <w:color w:val="auto"/>
        </w:rPr>
      </w:pPr>
    </w:p>
    <w:p>
      <w:pPr>
        <w:ind w:right="20" w:firstLine="1305"/>
        <w:spacing w:after="0"/>
        <w:tabs>
          <w:tab w:leader="none" w:pos="1954"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The Partnership may lend or contribute to any Group Member, and any Group Member may borrow from the Partnership, funds on terms and conditions determined by the Board of Directors. No Group Member may lend funds to the General Partner or any of its Affiliates (other than another Group Member).</w:t>
      </w:r>
    </w:p>
    <w:p>
      <w:pPr>
        <w:spacing w:after="0" w:line="186" w:lineRule="exact"/>
        <w:rPr>
          <w:rFonts w:ascii="Arial" w:cs="Arial" w:eastAsia="Arial" w:hAnsi="Arial"/>
          <w:sz w:val="22"/>
          <w:szCs w:val="22"/>
          <w:color w:val="auto"/>
        </w:rPr>
      </w:pPr>
    </w:p>
    <w:p>
      <w:pPr>
        <w:ind w:right="140" w:firstLine="1305"/>
        <w:spacing w:after="0" w:line="249" w:lineRule="auto"/>
        <w:tabs>
          <w:tab w:leader="none" w:pos="1955" w:val="left"/>
        </w:tabs>
        <w:numPr>
          <w:ilvl w:val="1"/>
          <w:numId w:val="51"/>
        </w:numPr>
        <w:rPr>
          <w:rFonts w:ascii="Arial" w:cs="Arial" w:eastAsia="Arial" w:hAnsi="Arial"/>
          <w:sz w:val="21"/>
          <w:szCs w:val="21"/>
          <w:color w:val="auto"/>
        </w:rPr>
      </w:pPr>
      <w:r>
        <w:rPr>
          <w:rFonts w:ascii="Arial" w:cs="Arial" w:eastAsia="Arial" w:hAnsi="Arial"/>
          <w:sz w:val="21"/>
          <w:szCs w:val="21"/>
          <w:color w:val="auto"/>
        </w:rPr>
        <w:t>No borrowing by any Group Member or the approval thereof by the General Partner or the Board of Directors shall be deemed to constitute a breach of any duty, expressed or implied, of the General Partner or its Affiliates or the Board of Directors to the Partnership or the Limited Partners if the purpose or effect of such borrowing is directly or indirectly to enable distributions to the General Partner or its Affiliates (including in their capacities as Limited Partners) to exceed the General Partner’s Percentage Interest of the total amount distributed to all partners.</w:t>
      </w:r>
    </w:p>
    <w:p>
      <w:pPr>
        <w:spacing w:after="0" w:line="179" w:lineRule="exact"/>
        <w:rPr>
          <w:sz w:val="20"/>
          <w:szCs w:val="20"/>
          <w:color w:val="auto"/>
        </w:rPr>
      </w:pPr>
    </w:p>
    <w:p>
      <w:pPr>
        <w:ind w:right="220" w:firstLine="1297"/>
        <w:spacing w:after="0" w:line="252" w:lineRule="auto"/>
        <w:rPr>
          <w:sz w:val="20"/>
          <w:szCs w:val="20"/>
          <w:color w:val="auto"/>
        </w:rPr>
      </w:pPr>
      <w:r>
        <w:rPr>
          <w:rFonts w:ascii="Arial" w:cs="Arial" w:eastAsia="Arial" w:hAnsi="Arial"/>
          <w:sz w:val="21"/>
          <w:szCs w:val="21"/>
          <w:color w:val="auto"/>
        </w:rPr>
        <w:t xml:space="preserve">Section 7.15. </w:t>
      </w:r>
      <w:r>
        <w:rPr>
          <w:rFonts w:ascii="Arial" w:cs="Arial" w:eastAsia="Arial" w:hAnsi="Arial"/>
          <w:sz w:val="21"/>
          <w:szCs w:val="21"/>
          <w:i w:val="1"/>
          <w:iCs w:val="1"/>
          <w:color w:val="auto"/>
        </w:rPr>
        <w:t>Indemnification</w:t>
      </w:r>
      <w:r>
        <w:rPr>
          <w:rFonts w:ascii="Arial" w:cs="Arial" w:eastAsia="Arial" w:hAnsi="Arial"/>
          <w:sz w:val="21"/>
          <w:szCs w:val="21"/>
          <w:color w:val="auto"/>
        </w:rPr>
        <w:t>. (a) To the fullest extent permitted by the Marshall Islands Act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2" w:name="page53"/>
    <w:bookmarkEnd w:id="52"/>
    <w:p>
      <w:pPr>
        <w:ind w:right="20"/>
        <w:spacing w:after="0" w:line="272" w:lineRule="auto"/>
        <w:rPr>
          <w:sz w:val="20"/>
          <w:szCs w:val="20"/>
          <w:color w:val="auto"/>
        </w:rPr>
      </w:pPr>
      <w:r>
        <w:rPr>
          <w:rFonts w:ascii="Arial" w:cs="Arial" w:eastAsia="Arial" w:hAnsi="Arial"/>
          <w:sz w:val="19"/>
          <w:szCs w:val="19"/>
          <w:color w:val="auto"/>
        </w:rPr>
        <w:t xml:space="preserve">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Indemnitee shall not be indemnified and held harmless if there has been a final and non-appealable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judgment entered by a court of competent jurisdiction determining that, in respect of the matter for which the Indemnitee is seeking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the Indemnitee acted in bad faith or engaged in fraud or willful misconduct or, in the case of a criminal matter, acted with knowledge that the Indemnitee’s conduct was unlawful;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xml:space="preserve">, that no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available to the General Partner or its Affiliates (other than a Group Member) with respect to its or their obligations incurred pursuant to the Underwriting Agreement, the Omnibus Agreement, the Contribution Agreement or the Exchange Agreement (other than obligations incurred by the General Partner on behalf of the Partnership). Any indemnification pursuant to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62" w:lineRule="exact"/>
        <w:rPr>
          <w:sz w:val="20"/>
          <w:szCs w:val="20"/>
          <w:color w:val="auto"/>
        </w:rPr>
      </w:pPr>
    </w:p>
    <w:p>
      <w:pPr>
        <w:ind w:firstLine="1305"/>
        <w:spacing w:after="0" w:line="282" w:lineRule="auto"/>
        <w:tabs>
          <w:tab w:leader="none" w:pos="1954"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the Marshall Islands Act, expenses (including legal fees and expenses) incurred by an Indemnitee who is indemnified pursuant to </w:t>
      </w:r>
      <w:r>
        <w:rPr>
          <w:rFonts w:ascii="Arial" w:cs="Arial" w:eastAsia="Arial" w:hAnsi="Arial"/>
          <w:sz w:val="19"/>
          <w:szCs w:val="19"/>
          <w:u w:val="single" w:color="auto"/>
          <w:color w:val="auto"/>
        </w:rPr>
        <w:t>Section 7.15(a)</w:t>
      </w:r>
      <w:r>
        <w:rPr>
          <w:rFonts w:ascii="Arial" w:cs="Arial" w:eastAsia="Arial" w:hAnsi="Arial"/>
          <w:sz w:val="19"/>
          <w:szCs w:val="19"/>
          <w:color w:val="auto"/>
        </w:rPr>
        <w:t xml:space="preserve"> in defending any claim, demand, action, suit or proceeding shall, from time to time, be advanced by the Partnership prior to a determination that the Indemnitee is not entitled to be indemnified upon receipt by the Partnership of any undertaking by or on behalf of the Indemnitee to repay such amount if it shall be determined that the Indemnitee is not entitled to be indemnified as authorized in this </w:t>
      </w:r>
      <w:r>
        <w:rPr>
          <w:rFonts w:ascii="Arial" w:cs="Arial" w:eastAsia="Arial" w:hAnsi="Arial"/>
          <w:sz w:val="19"/>
          <w:szCs w:val="19"/>
          <w:u w:val="single" w:color="auto"/>
          <w:color w:val="auto"/>
        </w:rPr>
        <w:t>Section 7.15</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80" w:firstLine="1305"/>
        <w:spacing w:after="0" w:line="282" w:lineRule="auto"/>
        <w:tabs>
          <w:tab w:leader="none" w:pos="1955"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The indemnification provided by this </w:t>
      </w:r>
      <w:r>
        <w:rPr>
          <w:rFonts w:ascii="Arial" w:cs="Arial" w:eastAsia="Arial" w:hAnsi="Arial"/>
          <w:sz w:val="19"/>
          <w:szCs w:val="19"/>
          <w:u w:val="single" w:color="auto"/>
          <w:color w:val="auto"/>
        </w:rPr>
        <w:t>Section 7.15</w:t>
      </w:r>
      <w:r>
        <w:rPr>
          <w:rFonts w:ascii="Arial" w:cs="Arial" w:eastAsia="Arial" w:hAnsi="Arial"/>
          <w:sz w:val="19"/>
          <w:szCs w:val="19"/>
          <w:color w:val="auto"/>
        </w:rPr>
        <w:t xml:space="preserve">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47" w:lineRule="exact"/>
        <w:rPr>
          <w:rFonts w:ascii="Arial" w:cs="Arial" w:eastAsia="Arial" w:hAnsi="Arial"/>
          <w:sz w:val="19"/>
          <w:szCs w:val="19"/>
          <w:color w:val="auto"/>
        </w:rPr>
      </w:pPr>
    </w:p>
    <w:p>
      <w:pPr>
        <w:ind w:firstLine="1305"/>
        <w:spacing w:after="0" w:line="282" w:lineRule="auto"/>
        <w:tabs>
          <w:tab w:leader="none" w:pos="19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Partnership may purchase and maintain (or reimburse the General Partner or its Affiliates for the cost of) insurance, on behalf of the Board of Directors and the General Partner, its Affiliates and such other Persons as the Board of Directors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or law.</w:t>
      </w:r>
    </w:p>
    <w:p>
      <w:pPr>
        <w:spacing w:after="0" w:line="147" w:lineRule="exact"/>
        <w:rPr>
          <w:rFonts w:ascii="Arial" w:cs="Arial" w:eastAsia="Arial" w:hAnsi="Arial"/>
          <w:sz w:val="19"/>
          <w:szCs w:val="19"/>
          <w:color w:val="auto"/>
        </w:rPr>
      </w:pPr>
    </w:p>
    <w:p>
      <w:pPr>
        <w:ind w:right="140" w:firstLine="1305"/>
        <w:spacing w:after="0" w:line="249" w:lineRule="auto"/>
        <w:tabs>
          <w:tab w:leader="none" w:pos="1955"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For purposes of this </w:t>
      </w:r>
      <w:r>
        <w:rPr>
          <w:rFonts w:ascii="Arial" w:cs="Arial" w:eastAsia="Arial" w:hAnsi="Arial"/>
          <w:sz w:val="21"/>
          <w:szCs w:val="21"/>
          <w:u w:val="single" w:color="auto"/>
          <w:color w:val="auto"/>
        </w:rPr>
        <w:t>Section 7.15</w:t>
      </w:r>
      <w:r>
        <w:rPr>
          <w:rFonts w:ascii="Arial" w:cs="Arial" w:eastAsia="Arial" w:hAnsi="Arial"/>
          <w:sz w:val="21"/>
          <w:szCs w:val="21"/>
          <w:color w:val="auto"/>
        </w:rPr>
        <w:t xml:space="preserve">, the Partnership shall be deemed to have requested an Indemnitee to serve as fiduciary of an employee benefit plan whenever the performance by the Indemnitee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Arial" w:cs="Arial" w:eastAsia="Arial" w:hAnsi="Arial"/>
          <w:sz w:val="21"/>
          <w:szCs w:val="21"/>
          <w:u w:val="single" w:color="auto"/>
          <w:color w:val="auto"/>
        </w:rPr>
        <w:t>Section 7.15(a)</w:t>
      </w:r>
      <w:r>
        <w:rPr>
          <w:rFonts w:ascii="Arial" w:cs="Arial" w:eastAsia="Arial" w:hAnsi="Arial"/>
          <w:sz w:val="21"/>
          <w:szCs w:val="21"/>
          <w:color w:val="auto"/>
        </w:rPr>
        <w:t>; and action taken or omitted by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3" w:name="page54"/>
    <w:bookmarkEnd w:id="53"/>
    <w:p>
      <w:pPr>
        <w:jc w:val="both"/>
        <w:ind w:right="20"/>
        <w:spacing w:after="0"/>
        <w:rPr>
          <w:sz w:val="20"/>
          <w:szCs w:val="20"/>
          <w:color w:val="auto"/>
        </w:rPr>
      </w:pPr>
      <w:r>
        <w:rPr>
          <w:rFonts w:ascii="Arial" w:cs="Arial" w:eastAsia="Arial" w:hAnsi="Arial"/>
          <w:sz w:val="22"/>
          <w:szCs w:val="22"/>
          <w:color w:val="auto"/>
        </w:rPr>
        <w:t>the Indemnitee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86" w:lineRule="exact"/>
        <w:rPr>
          <w:sz w:val="20"/>
          <w:szCs w:val="20"/>
          <w:color w:val="auto"/>
        </w:rPr>
      </w:pPr>
    </w:p>
    <w:p>
      <w:pPr>
        <w:ind w:right="1100" w:firstLine="1305"/>
        <w:spacing w:after="0" w:line="251" w:lineRule="auto"/>
        <w:tabs>
          <w:tab w:leader="none" w:pos="1945" w:val="left"/>
        </w:tabs>
        <w:numPr>
          <w:ilvl w:val="0"/>
          <w:numId w:val="53"/>
        </w:numPr>
        <w:rPr>
          <w:rFonts w:ascii="Arial" w:cs="Arial" w:eastAsia="Arial" w:hAnsi="Arial"/>
          <w:sz w:val="22"/>
          <w:szCs w:val="22"/>
          <w:color w:val="auto"/>
        </w:rPr>
      </w:pPr>
      <w:r>
        <w:rPr>
          <w:rFonts w:ascii="Arial" w:cs="Arial" w:eastAsia="Arial" w:hAnsi="Arial"/>
          <w:sz w:val="22"/>
          <w:szCs w:val="22"/>
          <w:color w:val="auto"/>
        </w:rPr>
        <w:t>In no event may an Indemnitee subject the Limited Partners to personal liability by reason of the indemnification provisions set forth in this Agreement.</w:t>
      </w:r>
    </w:p>
    <w:p>
      <w:pPr>
        <w:spacing w:after="0" w:line="173" w:lineRule="exact"/>
        <w:rPr>
          <w:rFonts w:ascii="Arial" w:cs="Arial" w:eastAsia="Arial" w:hAnsi="Arial"/>
          <w:sz w:val="22"/>
          <w:szCs w:val="22"/>
          <w:color w:val="auto"/>
        </w:rPr>
      </w:pPr>
    </w:p>
    <w:p>
      <w:pPr>
        <w:ind w:right="300" w:firstLine="1305"/>
        <w:spacing w:after="0"/>
        <w:tabs>
          <w:tab w:leader="none" w:pos="1954"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An Indemnitee shall not be denied indemnification in whole or in part under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because the Indemnitee had an interest in the transaction with respect to which the indemnification applies if the transaction was otherwise permitted by the terms of this Agreement.</w:t>
      </w:r>
    </w:p>
    <w:p>
      <w:pPr>
        <w:spacing w:after="0" w:line="186" w:lineRule="exact"/>
        <w:rPr>
          <w:rFonts w:ascii="Arial" w:cs="Arial" w:eastAsia="Arial" w:hAnsi="Arial"/>
          <w:sz w:val="22"/>
          <w:szCs w:val="22"/>
          <w:color w:val="auto"/>
        </w:rPr>
      </w:pPr>
    </w:p>
    <w:p>
      <w:pPr>
        <w:ind w:right="60" w:firstLine="1305"/>
        <w:spacing w:after="0" w:line="274" w:lineRule="auto"/>
        <w:tabs>
          <w:tab w:leader="none" w:pos="1954"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7.15</w:t>
      </w:r>
      <w:r>
        <w:rPr>
          <w:rFonts w:ascii="Arial" w:cs="Arial" w:eastAsia="Arial" w:hAnsi="Arial"/>
          <w:sz w:val="21"/>
          <w:szCs w:val="21"/>
          <w:color w:val="auto"/>
        </w:rPr>
        <w:t xml:space="preserve"> are for the benefit of the Indemnitees, their heirs, successors, assigns and administrators and shall not be deemed to create any rights for the benefit of any other Persons.</w:t>
      </w:r>
    </w:p>
    <w:p>
      <w:pPr>
        <w:spacing w:after="0" w:line="150" w:lineRule="exact"/>
        <w:rPr>
          <w:rFonts w:ascii="Arial" w:cs="Arial" w:eastAsia="Arial" w:hAnsi="Arial"/>
          <w:sz w:val="21"/>
          <w:szCs w:val="21"/>
          <w:color w:val="auto"/>
        </w:rPr>
      </w:pPr>
    </w:p>
    <w:p>
      <w:pPr>
        <w:ind w:firstLine="1305"/>
        <w:spacing w:after="0" w:line="235" w:lineRule="auto"/>
        <w:tabs>
          <w:tab w:leader="none" w:pos="1960"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No amendment, modification or repeal of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w:t>
      </w:r>
      <w:r>
        <w:rPr>
          <w:rFonts w:ascii="Arial" w:cs="Arial" w:eastAsia="Arial" w:hAnsi="Arial"/>
          <w:sz w:val="22"/>
          <w:szCs w:val="22"/>
          <w:u w:val="single" w:color="auto"/>
          <w:color w:val="auto"/>
        </w:rPr>
        <w:t>Section 7.15</w:t>
      </w:r>
      <w:r>
        <w:rPr>
          <w:rFonts w:ascii="Arial" w:cs="Arial" w:eastAsia="Arial" w:hAnsi="Arial"/>
          <w:sz w:val="22"/>
          <w:szCs w:val="22"/>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8" w:lineRule="exact"/>
        <w:rPr>
          <w:sz w:val="20"/>
          <w:szCs w:val="20"/>
          <w:color w:val="auto"/>
        </w:rPr>
      </w:pPr>
    </w:p>
    <w:p>
      <w:pPr>
        <w:ind w:right="240" w:firstLine="1297"/>
        <w:spacing w:after="0" w:line="279" w:lineRule="auto"/>
        <w:rPr>
          <w:sz w:val="20"/>
          <w:szCs w:val="20"/>
          <w:color w:val="auto"/>
        </w:rPr>
      </w:pPr>
      <w:r>
        <w:rPr>
          <w:rFonts w:ascii="Arial" w:cs="Arial" w:eastAsia="Arial" w:hAnsi="Arial"/>
          <w:sz w:val="19"/>
          <w:szCs w:val="19"/>
          <w:color w:val="auto"/>
        </w:rPr>
        <w:t xml:space="preserve">Section 7.16. </w:t>
      </w:r>
      <w:r>
        <w:rPr>
          <w:rFonts w:ascii="Arial" w:cs="Arial" w:eastAsia="Arial" w:hAnsi="Arial"/>
          <w:sz w:val="19"/>
          <w:szCs w:val="19"/>
          <w:i w:val="1"/>
          <w:iCs w:val="1"/>
          <w:color w:val="auto"/>
        </w:rPr>
        <w:t>Liability of Indemnitees</w:t>
      </w:r>
      <w:r>
        <w:rPr>
          <w:rFonts w:ascii="Arial" w:cs="Arial" w:eastAsia="Arial" w:hAnsi="Arial"/>
          <w:sz w:val="19"/>
          <w:szCs w:val="19"/>
          <w:color w:val="auto"/>
        </w:rPr>
        <w:t>. (a) Notwithstanding anything to the contrary set forth in this Agreement, no Indemnitee shall be liable for monetary damages to the Partnership, the Limited Partners or any other Persons who have acquired Partnership Interests or are otherwise bound by this Agreement, for losses sustained or liabilities incurred as a result of any act or omission of an Indemnitee unless there has been a final and non-appealable judgment entered by a court of competent jurisdiction determining that, in respect of the matter in question, the Indemnitee committed (i) acts of active and deliberate dishonesty, (ii) with actual dishonest purpose and intent, and (iii) which acts were material to the cause of action so adjudicated.</w:t>
      </w:r>
    </w:p>
    <w:p>
      <w:pPr>
        <w:spacing w:after="0" w:line="151" w:lineRule="exact"/>
        <w:rPr>
          <w:sz w:val="20"/>
          <w:szCs w:val="20"/>
          <w:color w:val="auto"/>
        </w:rPr>
      </w:pPr>
    </w:p>
    <w:p>
      <w:pPr>
        <w:ind w:right="20" w:firstLine="1305"/>
        <w:spacing w:after="0" w:line="282" w:lineRule="auto"/>
        <w:tabs>
          <w:tab w:leader="none" w:pos="1954"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Subject to their obligations and duties as members of the Board of Directors or as the General Partner, respectively,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members of the Board of Directors and the General Partner may exercise any of the powers granted to them and perform any of the duties imposed upon them hereunder either directly or by or through its agents, and the members of the Board of Directors and the General Partner shall not be responsible for any misconduct or negligence on the part of any such agent appointed by the Board of Directors or the General Partner in good faith.</w:t>
      </w:r>
    </w:p>
    <w:p>
      <w:pPr>
        <w:spacing w:after="0" w:line="147" w:lineRule="exact"/>
        <w:rPr>
          <w:rFonts w:ascii="Arial" w:cs="Arial" w:eastAsia="Arial" w:hAnsi="Arial"/>
          <w:sz w:val="19"/>
          <w:szCs w:val="19"/>
          <w:color w:val="auto"/>
        </w:rPr>
      </w:pPr>
    </w:p>
    <w:p>
      <w:pPr>
        <w:jc w:val="both"/>
        <w:ind w:right="200" w:firstLine="1305"/>
        <w:spacing w:after="0" w:line="238" w:lineRule="auto"/>
        <w:tabs>
          <w:tab w:leader="none" w:pos="1955" w:val="left"/>
        </w:tabs>
        <w:numPr>
          <w:ilvl w:val="0"/>
          <w:numId w:val="54"/>
        </w:numPr>
        <w:rPr>
          <w:rFonts w:ascii="Arial" w:cs="Arial" w:eastAsia="Arial" w:hAnsi="Arial"/>
          <w:sz w:val="22"/>
          <w:szCs w:val="22"/>
          <w:color w:val="auto"/>
        </w:rPr>
      </w:pPr>
      <w:r>
        <w:rPr>
          <w:rFonts w:ascii="Arial" w:cs="Arial" w:eastAsia="Arial" w:hAnsi="Arial"/>
          <w:sz w:val="22"/>
          <w:szCs w:val="22"/>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4" w:name="page55"/>
    <w:bookmarkEnd w:id="54"/>
    <w:p>
      <w:pPr>
        <w:ind w:firstLine="1305"/>
        <w:spacing w:after="0" w:line="287" w:lineRule="auto"/>
        <w:tabs>
          <w:tab w:leader="none" w:pos="19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 xml:space="preserve">Any amendment, modification or repeal of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or any provision hereof shall be prospective only and shall not in any way affect the limitations on the liability of the Indemnitees under this </w:t>
      </w:r>
      <w:r>
        <w:rPr>
          <w:rFonts w:ascii="Arial" w:cs="Arial" w:eastAsia="Arial" w:hAnsi="Arial"/>
          <w:sz w:val="19"/>
          <w:szCs w:val="19"/>
          <w:u w:val="single" w:color="auto"/>
          <w:color w:val="auto"/>
        </w:rPr>
        <w:t>Section 7.16</w:t>
      </w:r>
      <w:r>
        <w:rPr>
          <w:rFonts w:ascii="Arial" w:cs="Arial" w:eastAsia="Arial" w:hAnsi="Arial"/>
          <w:sz w:val="19"/>
          <w:szCs w:val="19"/>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43" w:lineRule="exact"/>
        <w:rPr>
          <w:sz w:val="20"/>
          <w:szCs w:val="20"/>
          <w:color w:val="auto"/>
        </w:rPr>
      </w:pPr>
    </w:p>
    <w:p>
      <w:pPr>
        <w:ind w:right="20" w:firstLine="1297"/>
        <w:spacing w:after="0" w:line="269" w:lineRule="auto"/>
        <w:rPr>
          <w:sz w:val="20"/>
          <w:szCs w:val="20"/>
          <w:color w:val="auto"/>
        </w:rPr>
      </w:pPr>
      <w:r>
        <w:rPr>
          <w:rFonts w:ascii="Arial" w:cs="Arial" w:eastAsia="Arial" w:hAnsi="Arial"/>
          <w:sz w:val="19"/>
          <w:szCs w:val="19"/>
          <w:color w:val="auto"/>
        </w:rPr>
        <w:t xml:space="preserve">Section 7.17. </w:t>
      </w:r>
      <w:r>
        <w:rPr>
          <w:rFonts w:ascii="Arial" w:cs="Arial" w:eastAsia="Arial" w:hAnsi="Arial"/>
          <w:sz w:val="19"/>
          <w:szCs w:val="19"/>
          <w:i w:val="1"/>
          <w:iCs w:val="1"/>
          <w:color w:val="auto"/>
        </w:rPr>
        <w:t>Resolution of Conflicts of Interest; Standards of Conduct and Modification of Duties</w:t>
      </w:r>
      <w:r>
        <w:rPr>
          <w:rFonts w:ascii="Arial" w:cs="Arial" w:eastAsia="Arial" w:hAnsi="Arial"/>
          <w:sz w:val="19"/>
          <w:szCs w:val="19"/>
          <w:color w:val="auto"/>
        </w:rPr>
        <w:t xml:space="preserve">. (a) Unless otherwise expressly provided in this Agreement or any Group Member Agreement, whenever a potential conflict of interest exists or arises between the General Partner or any of its Affiliates, or any member of the Board of Directors, on the one hand, and the Partnership, any Group Member or any Partner, on the other, any resolution or course of action in respect of such conflict of interest shall be permitted and deemed approved by all Partners, and shall not constitute a breach of this Agreement, of any Group Member Agreement, of any agreement contemplated herein or therein, or of any duty stated or implied by law or equity, if the resolution or course of action in respect of such conflict of interest is (i) approved by Special Approval, (ii) approved by the vote of a Unit Majority (excluding Common Units owned by the General Partner and its Affiliates), (iii) on terms no less favorable to the Partnership than those generally being provided to or available from unrelated third parties or (iv) fair and reasonable to the Partnership, taking into account the totality of the relationships between the parties involved (including other transactions that may be particularly favorable or advantageous to the Partnership). The General Partner and the Board of Directors may but shall not be required in connection with the resolution of such conflict of interest to seek Special Approval of such resolution, and the General Partner or the Board of Directors, as the case may be, may also adopt a resolution or course of action that has not received Special Approval. If Special Approval is sought, then, notwithstanding any other provision of this Agreement or law that would otherwise apply, (x) the Conflicts Committee will be authorized in connection with its determination of whether to provide Special Approval to consider any and all factors as it determines to be relevant or appropriate under the circumstances and (y) it will be presumed that, in making its decision, the Conflicts Committee acted in good faith, and if Special Approval is not sought and the Board of Directors determines that the resolution or course of action taken with respect to a conflict of interest satisfies either of the standards set forth in </w:t>
      </w:r>
      <w:r>
        <w:rPr>
          <w:rFonts w:ascii="Arial" w:cs="Arial" w:eastAsia="Arial" w:hAnsi="Arial"/>
          <w:sz w:val="19"/>
          <w:szCs w:val="19"/>
          <w:u w:val="single" w:color="auto"/>
          <w:color w:val="auto"/>
        </w:rPr>
        <w:t>clauses (iii)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above, then it shall be presumed that, in making its decision the Board of Directors, acted in good faith, and, in either case, in any proceeding brought by any Limited Partner or by or on behalf of such Limited Partner or any other Limited Partner or the Partnership challenging such approval, the Person bringing or prosecuting such proceeding shall have the burden of overcoming such presumption. Notwithstanding anything to the contrary in this Agreement or any duty otherwise existing at law or equity, the existence of the conflicts of interest described in the Registration Statement are hereby approved by all Partners and shall not constitute a breach of this Agreement or of any duty hereunder or existing at law, in equity or otherwise.</w:t>
      </w:r>
    </w:p>
    <w:p>
      <w:pPr>
        <w:spacing w:after="0" w:line="200" w:lineRule="exact"/>
        <w:rPr>
          <w:sz w:val="20"/>
          <w:szCs w:val="20"/>
          <w:color w:val="auto"/>
        </w:rPr>
      </w:pPr>
    </w:p>
    <w:p>
      <w:pPr>
        <w:spacing w:after="0" w:line="216" w:lineRule="exact"/>
        <w:rPr>
          <w:sz w:val="20"/>
          <w:szCs w:val="20"/>
          <w:color w:val="auto"/>
        </w:rPr>
      </w:pPr>
    </w:p>
    <w:p>
      <w:pPr>
        <w:ind w:right="100" w:firstLine="1305"/>
        <w:spacing w:after="0" w:line="249" w:lineRule="auto"/>
        <w:tabs>
          <w:tab w:leader="none" w:pos="1954" w:val="left"/>
        </w:tabs>
        <w:numPr>
          <w:ilvl w:val="0"/>
          <w:numId w:val="56"/>
        </w:numPr>
        <w:rPr>
          <w:rFonts w:ascii="Arial" w:cs="Arial" w:eastAsia="Arial" w:hAnsi="Arial"/>
          <w:sz w:val="21"/>
          <w:szCs w:val="21"/>
          <w:color w:val="auto"/>
        </w:rPr>
      </w:pPr>
      <w:r>
        <w:rPr>
          <w:rFonts w:ascii="Arial" w:cs="Arial" w:eastAsia="Arial" w:hAnsi="Arial"/>
          <w:sz w:val="21"/>
          <w:szCs w:val="21"/>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any Group Member Agreement or any other agreement contemplated hereby or otherwise, then, unless another express standard is provided for in this Agreement, the General Partner, or such Affiliates causing it to do so, shall make such determination or take or decline to take such other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55" w:name="page56"/>
    <w:bookmarkEnd w:id="55"/>
    <w:p>
      <w:pPr>
        <w:ind w:right="100"/>
        <w:spacing w:after="0" w:line="282" w:lineRule="auto"/>
        <w:rPr>
          <w:sz w:val="20"/>
          <w:szCs w:val="20"/>
          <w:color w:val="auto"/>
        </w:rPr>
      </w:pPr>
      <w:r>
        <w:rPr>
          <w:rFonts w:ascii="Arial" w:cs="Arial" w:eastAsia="Arial" w:hAnsi="Arial"/>
          <w:sz w:val="19"/>
          <w:szCs w:val="19"/>
          <w:color w:val="auto"/>
        </w:rPr>
        <w:t>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48" w:lineRule="exact"/>
        <w:rPr>
          <w:sz w:val="20"/>
          <w:szCs w:val="20"/>
          <w:color w:val="auto"/>
        </w:rPr>
      </w:pPr>
    </w:p>
    <w:p>
      <w:pPr>
        <w:ind w:firstLine="1305"/>
        <w:spacing w:after="0" w:line="271" w:lineRule="auto"/>
        <w:tabs>
          <w:tab w:leader="none" w:pos="1955"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make such determination or to take or decline to take such other action free of any duty (including any fiduciary duty) or obligation whatsoever to the Partnership or any Limited Partner, any Record Holder or any other Person bound by this Agreement, and, to the fullest extent permitted by law, the General Partner, or such Affiliates causing it to do so, shall not be required to act in good faith or pursuant to any other standard imposed by this Agreement, any Group Member Agreement, any other agreement contemplated hereby or under the Marshall Islands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Units or General Partner Interest, if any, to the extent permitted under this Agreement, or refrains from voting or transferring its Units or General Partner Units, as appropriate,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limited partnership.</w:t>
      </w:r>
    </w:p>
    <w:p>
      <w:pPr>
        <w:spacing w:after="0" w:line="158" w:lineRule="exact"/>
        <w:rPr>
          <w:rFonts w:ascii="Arial" w:cs="Arial" w:eastAsia="Arial" w:hAnsi="Arial"/>
          <w:sz w:val="19"/>
          <w:szCs w:val="19"/>
          <w:color w:val="auto"/>
        </w:rPr>
      </w:pPr>
    </w:p>
    <w:p>
      <w:pPr>
        <w:ind w:right="40" w:firstLine="1305"/>
        <w:spacing w:after="0" w:line="275" w:lineRule="auto"/>
        <w:tabs>
          <w:tab w:leader="none" w:pos="19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Whenever the Board of Directors makes a determination or takes or declines to take any other action, whether under this Agreement, any Group Member Agreement or any other agreement contemplated hereby or otherwise, then, unless another express standard is provided for in this Agreement, the Board of Directors,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58" w:lineRule="exact"/>
        <w:rPr>
          <w:rFonts w:ascii="Arial" w:cs="Arial" w:eastAsia="Arial" w:hAnsi="Arial"/>
          <w:sz w:val="19"/>
          <w:szCs w:val="19"/>
          <w:color w:val="auto"/>
        </w:rPr>
      </w:pPr>
    </w:p>
    <w:p>
      <w:pPr>
        <w:ind w:right="40" w:firstLine="1305"/>
        <w:spacing w:after="0" w:line="297" w:lineRule="auto"/>
        <w:tabs>
          <w:tab w:leader="none" w:pos="1955"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General Partner and its Affiliates shall have no duty or obligation, express or implied, to (i) approve the sale or other disposition of any asset of the Partnership Group (if such approval is required pursuant to </w:t>
      </w:r>
      <w:r>
        <w:rPr>
          <w:rFonts w:ascii="Arial" w:cs="Arial" w:eastAsia="Arial" w:hAnsi="Arial"/>
          <w:sz w:val="19"/>
          <w:szCs w:val="19"/>
          <w:u w:val="single" w:color="auto"/>
          <w:color w:val="auto"/>
        </w:rPr>
        <w:t>Section 7.11(b)</w:t>
      </w:r>
      <w:r>
        <w:rPr>
          <w:rFonts w:ascii="Arial" w:cs="Arial" w:eastAsia="Arial" w:hAnsi="Arial"/>
          <w:sz w:val="19"/>
          <w:szCs w:val="19"/>
          <w:color w:val="auto"/>
        </w:rPr>
        <w:t>) or (ii) permit any Group Member to use any facilities or assets of the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56" w:name="page57"/>
    <w:bookmarkEnd w:id="56"/>
    <w:p>
      <w:pPr>
        <w:ind w:right="260"/>
        <w:spacing w:after="0"/>
        <w:rPr>
          <w:sz w:val="20"/>
          <w:szCs w:val="20"/>
          <w:color w:val="auto"/>
        </w:rPr>
      </w:pPr>
      <w:r>
        <w:rPr>
          <w:rFonts w:ascii="Arial" w:cs="Arial" w:eastAsia="Arial" w:hAnsi="Arial"/>
          <w:sz w:val="22"/>
          <w:szCs w:val="22"/>
          <w:color w:val="auto"/>
        </w:rPr>
        <w:t>General Partner and its Affiliates, except as may be provided in contracts entered into from time to time specifically dealing with such use. Any determination by the General Partner or any of its Affiliates to enter into such contracts shall, in each case, be at their option.</w:t>
      </w:r>
    </w:p>
    <w:p>
      <w:pPr>
        <w:spacing w:after="0" w:line="186" w:lineRule="exact"/>
        <w:rPr>
          <w:sz w:val="20"/>
          <w:szCs w:val="20"/>
          <w:color w:val="auto"/>
        </w:rPr>
      </w:pPr>
    </w:p>
    <w:p>
      <w:pPr>
        <w:ind w:right="20" w:firstLine="1305"/>
        <w:spacing w:after="0" w:line="275" w:lineRule="auto"/>
        <w:tabs>
          <w:tab w:leader="none" w:pos="1945"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Except as expressly set forth in this Agreement, neither the General Partner nor the Board of Directors or any other Indemnitee shall have any duties or liabilities, including fiduciary duties, to the Partnership or any Limited Partner, and the provisions of this Agreement, to the extent that they restrict, eliminate or otherwise modify the duties and liabilities, including fiduciary duties, of the Board of Directors or the General Partner or any other Indemnitee otherwise existing at law or in equity, are agreed by the Partners to replace such other duties and liabilities of the Board of Directors or the General Partner or such other Indemnitee. Notwithstanding anything to the contrary,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the Board of Directors nor any other Indemnitee shall owe any fiduciary duties to holders of Preference Units other than the implied duty of good faith and fair dealing.</w:t>
      </w:r>
    </w:p>
    <w:p>
      <w:pPr>
        <w:spacing w:after="0" w:line="158" w:lineRule="exact"/>
        <w:rPr>
          <w:rFonts w:ascii="Arial" w:cs="Arial" w:eastAsia="Arial" w:hAnsi="Arial"/>
          <w:sz w:val="19"/>
          <w:szCs w:val="19"/>
          <w:color w:val="auto"/>
        </w:rPr>
      </w:pPr>
    </w:p>
    <w:p>
      <w:pPr>
        <w:ind w:firstLine="1305"/>
        <w:spacing w:after="0"/>
        <w:tabs>
          <w:tab w:leader="none" w:pos="1954" w:val="left"/>
        </w:tabs>
        <w:numPr>
          <w:ilvl w:val="0"/>
          <w:numId w:val="58"/>
        </w:numPr>
        <w:rPr>
          <w:rFonts w:ascii="Arial" w:cs="Arial" w:eastAsia="Arial" w:hAnsi="Arial"/>
          <w:sz w:val="22"/>
          <w:szCs w:val="22"/>
          <w:color w:val="auto"/>
        </w:rPr>
      </w:pPr>
      <w:r>
        <w:rPr>
          <w:rFonts w:ascii="Arial" w:cs="Arial" w:eastAsia="Arial" w:hAnsi="Arial"/>
          <w:sz w:val="22"/>
          <w:szCs w:val="22"/>
          <w:color w:val="auto"/>
        </w:rPr>
        <w:t xml:space="preserve">The Unitholders hereby authorize the Board of Directors, on behalf of the Partnership as a partner or member of a Group Member, to approve of actions by the general partner or managing member of such Group Member similar to those actions permitted to be taken by the Board of Directors pursuant to this </w:t>
      </w:r>
      <w:r>
        <w:rPr>
          <w:rFonts w:ascii="Arial" w:cs="Arial" w:eastAsia="Arial" w:hAnsi="Arial"/>
          <w:sz w:val="22"/>
          <w:szCs w:val="22"/>
          <w:u w:val="single" w:color="auto"/>
          <w:color w:val="auto"/>
        </w:rPr>
        <w:t>Section 7.17</w:t>
      </w:r>
      <w:r>
        <w:rPr>
          <w:rFonts w:ascii="Arial" w:cs="Arial" w:eastAsia="Arial" w:hAnsi="Arial"/>
          <w:sz w:val="22"/>
          <w:szCs w:val="22"/>
          <w:color w:val="auto"/>
        </w:rPr>
        <w:t>.</w:t>
      </w:r>
    </w:p>
    <w:p>
      <w:pPr>
        <w:spacing w:after="0" w:line="186" w:lineRule="exact"/>
        <w:rPr>
          <w:sz w:val="20"/>
          <w:szCs w:val="20"/>
          <w:color w:val="auto"/>
        </w:rPr>
      </w:pPr>
    </w:p>
    <w:p>
      <w:pPr>
        <w:ind w:right="60" w:firstLine="1297"/>
        <w:spacing w:after="0" w:line="252" w:lineRule="auto"/>
        <w:rPr>
          <w:sz w:val="20"/>
          <w:szCs w:val="20"/>
          <w:color w:val="auto"/>
        </w:rPr>
      </w:pPr>
      <w:r>
        <w:rPr>
          <w:rFonts w:ascii="Arial" w:cs="Arial" w:eastAsia="Arial" w:hAnsi="Arial"/>
          <w:sz w:val="21"/>
          <w:szCs w:val="21"/>
          <w:color w:val="auto"/>
        </w:rPr>
        <w:t xml:space="preserve">Section 7.18. </w:t>
      </w:r>
      <w:r>
        <w:rPr>
          <w:rFonts w:ascii="Arial" w:cs="Arial" w:eastAsia="Arial" w:hAnsi="Arial"/>
          <w:sz w:val="21"/>
          <w:szCs w:val="21"/>
          <w:i w:val="1"/>
          <w:iCs w:val="1"/>
          <w:color w:val="auto"/>
        </w:rPr>
        <w:t>Other Matters Concerning the General Partner and the Board of Directors</w:t>
      </w:r>
      <w:r>
        <w:rPr>
          <w:rFonts w:ascii="Arial" w:cs="Arial" w:eastAsia="Arial" w:hAnsi="Arial"/>
          <w:sz w:val="21"/>
          <w:szCs w:val="21"/>
          <w:color w:val="auto"/>
        </w:rPr>
        <w:t>. (a) The General Partner and the Board of Directors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4" w:lineRule="exact"/>
        <w:rPr>
          <w:sz w:val="20"/>
          <w:szCs w:val="20"/>
          <w:color w:val="auto"/>
        </w:rPr>
      </w:pPr>
    </w:p>
    <w:p>
      <w:pPr>
        <w:ind w:firstLine="1305"/>
        <w:spacing w:after="0" w:line="282" w:lineRule="auto"/>
        <w:tabs>
          <w:tab w:leader="none" w:pos="1954"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General Partner and the Board of Directors may consult with legal counsel, accountants, appraisers, management consultants, investment bankers and other consultants and advisers selected by either of them, and any act taken or omitted to be taken in reliance upon the advice or opinion (including an Opinion of Counsel) of such Persons as to matters that the General Partner or the Board of Directors reasonably believes to be within such Person’s professional or expert competence shall be conclusively presumed to have been done or omitted in good faith and in accordance with such advice or opinion.</w:t>
      </w:r>
    </w:p>
    <w:p>
      <w:pPr>
        <w:spacing w:after="0" w:line="147" w:lineRule="exact"/>
        <w:rPr>
          <w:rFonts w:ascii="Arial" w:cs="Arial" w:eastAsia="Arial" w:hAnsi="Arial"/>
          <w:sz w:val="19"/>
          <w:szCs w:val="19"/>
          <w:color w:val="auto"/>
        </w:rPr>
      </w:pPr>
    </w:p>
    <w:p>
      <w:pPr>
        <w:jc w:val="both"/>
        <w:ind w:right="520" w:firstLine="1305"/>
        <w:spacing w:after="0"/>
        <w:tabs>
          <w:tab w:leader="none" w:pos="1955"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86" w:lineRule="exact"/>
        <w:rPr>
          <w:sz w:val="20"/>
          <w:szCs w:val="20"/>
          <w:color w:val="auto"/>
        </w:rPr>
      </w:pPr>
    </w:p>
    <w:p>
      <w:pPr>
        <w:ind w:right="520" w:firstLine="1297"/>
        <w:spacing w:after="0" w:line="249" w:lineRule="auto"/>
        <w:rPr>
          <w:sz w:val="20"/>
          <w:szCs w:val="20"/>
          <w:color w:val="auto"/>
        </w:rPr>
      </w:pPr>
      <w:r>
        <w:rPr>
          <w:rFonts w:ascii="Arial" w:cs="Arial" w:eastAsia="Arial" w:hAnsi="Arial"/>
          <w:sz w:val="21"/>
          <w:szCs w:val="21"/>
          <w:color w:val="auto"/>
        </w:rPr>
        <w:t xml:space="preserve">Section 7.19. </w:t>
      </w:r>
      <w:r>
        <w:rPr>
          <w:rFonts w:ascii="Arial" w:cs="Arial" w:eastAsia="Arial" w:hAnsi="Arial"/>
          <w:sz w:val="21"/>
          <w:szCs w:val="21"/>
          <w:i w:val="1"/>
          <w:iCs w:val="1"/>
          <w:color w:val="auto"/>
        </w:rPr>
        <w:t>Purchase or Sale of Partnership Interests</w:t>
      </w:r>
      <w:r>
        <w:rPr>
          <w:rFonts w:ascii="Arial" w:cs="Arial" w:eastAsia="Arial" w:hAnsi="Arial"/>
          <w:sz w:val="21"/>
          <w:szCs w:val="21"/>
          <w:color w:val="auto"/>
        </w:rPr>
        <w:t xml:space="preserve">. The Board of Directors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purchase or otherwise acquire and sell or otherwise dispose of Partnership Interests for its own account, subject to the provisions of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w:t>
      </w:r>
      <w:r>
        <w:rPr>
          <w:rFonts w:ascii="Arial" w:cs="Arial" w:eastAsia="Arial" w:hAnsi="Arial"/>
          <w:sz w:val="21"/>
          <w:szCs w:val="21"/>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7" w:name="page58"/>
    <w:bookmarkEnd w:id="57"/>
    <w:p>
      <w:pPr>
        <w:ind w:firstLine="1297"/>
        <w:spacing w:after="0" w:line="268" w:lineRule="auto"/>
        <w:rPr>
          <w:sz w:val="20"/>
          <w:szCs w:val="20"/>
          <w:color w:val="auto"/>
        </w:rPr>
      </w:pPr>
      <w:r>
        <w:rPr>
          <w:rFonts w:ascii="Arial" w:cs="Arial" w:eastAsia="Arial" w:hAnsi="Arial"/>
          <w:sz w:val="19"/>
          <w:szCs w:val="19"/>
          <w:color w:val="auto"/>
        </w:rPr>
        <w:t xml:space="preserve">Section 7.20. </w:t>
      </w:r>
      <w:r>
        <w:rPr>
          <w:rFonts w:ascii="Arial" w:cs="Arial" w:eastAsia="Arial" w:hAnsi="Arial"/>
          <w:sz w:val="19"/>
          <w:szCs w:val="19"/>
          <w:i w:val="1"/>
          <w:iCs w:val="1"/>
          <w:color w:val="auto"/>
        </w:rPr>
        <w:t>Registration Rights of the General Partner and its Affiliates</w:t>
      </w:r>
      <w:r>
        <w:rPr>
          <w:rFonts w:ascii="Arial" w:cs="Arial" w:eastAsia="Arial" w:hAnsi="Arial"/>
          <w:sz w:val="19"/>
          <w:szCs w:val="19"/>
          <w:color w:val="auto"/>
        </w:rPr>
        <w:t xml:space="preserve">. (a) If (i) the General Partner or any Affiliate of the General Partner (including for purposes of this </w:t>
      </w:r>
      <w:r>
        <w:rPr>
          <w:rFonts w:ascii="Arial" w:cs="Arial" w:eastAsia="Arial" w:hAnsi="Arial"/>
          <w:sz w:val="19"/>
          <w:szCs w:val="19"/>
          <w:u w:val="single" w:color="auto"/>
          <w:color w:val="auto"/>
        </w:rPr>
        <w:t>Section 7.20</w:t>
      </w:r>
      <w:r>
        <w:rPr>
          <w:rFonts w:ascii="Arial" w:cs="Arial" w:eastAsia="Arial" w:hAnsi="Arial"/>
          <w:sz w:val="19"/>
          <w:szCs w:val="19"/>
          <w:color w:val="auto"/>
        </w:rPr>
        <w:t>, any Person that is an Affiliate of the General Partner at the date hereof notwithstanding that it may later cease to be an Affiliate of the General Partner) holds Partnership Interests that it desires to sell and (ii) Rule 144 of the Securities Act (or any successor rule or regulation to Rule 144) or another exemption from registration is not available to enable such holder of Partnership Interests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xml:space="preserve">”) to dispose of the number of Partnership Interests it desires to sell at the time it desires to do so without registration under the Securities Act, then at the option and upon the request of the Holder, the Partnership shall file with the Commission as promptly as practicable after receiving such request, and use its commercially reasonable efforts to cause to become effective and remain effective for a period of not less than six months following its effective date or such shorter period as shall terminate when all Partnership Interests covered by such registration statement have been sold, a registration statement under the Securities Act registering the offering and sale of the number of Partnership Interests specified by the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required to effect more than three registrations in total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no more than one of which shall be required to be made at any time that the Partnership is not eligible to use Form F-3 (or a comparable form) for the registration under the Securities Act of its securities; and,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further</w:t>
      </w:r>
      <w:r>
        <w:rPr>
          <w:rFonts w:ascii="Arial" w:cs="Arial" w:eastAsia="Arial" w:hAnsi="Arial"/>
          <w:sz w:val="19"/>
          <w:szCs w:val="19"/>
          <w:color w:val="auto"/>
        </w:rPr>
        <w:t>, that if the Conflicts Committee determines in good faith that the requested registration would be materially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detrimental to the Partnership and its Partners because such registration would (x) materially interfere with a significant acquisition, merger, disposition, corporate reorganization or other similar transaction involving the Partnership, (y) require premature disclosure of material information that the Partnership has a bona fide business purpose for preserving as confidential or (z) render the Partnership unable to comply with requirements under applicable securities laws, then the Partnership shall have the right to postpone such requested registration for a period of not more than six months after receipt of the Holder’s request, such right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not to be utilized more than once in any 12-month period. The Partnership shall use its commercially reasonable efforts to resolve any deferral with respect to any such registration and/or filing. Except as provided in the first sentence of this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the Partnership shall be deemed not to have used all its commercially reasonable efforts to keep the registration statement effective during the applicable period if it voluntarily takes any action that would result in Holders of Partnership Interests covered thereby not being able to offer and sell such Partnership Interests at any time during such period, unless such action is required by applicable law or regulations. In connection with any registration pursuant to this </w:t>
      </w:r>
      <w:r>
        <w:rPr>
          <w:rFonts w:ascii="Arial" w:cs="Arial" w:eastAsia="Arial" w:hAnsi="Arial"/>
          <w:sz w:val="19"/>
          <w:szCs w:val="19"/>
          <w:u w:val="single" w:color="auto"/>
          <w:color w:val="auto"/>
        </w:rPr>
        <w:t>Section 7.20(a)</w:t>
      </w:r>
      <w:r>
        <w:rPr>
          <w:rFonts w:ascii="Arial" w:cs="Arial" w:eastAsia="Arial" w:hAnsi="Arial"/>
          <w:sz w:val="19"/>
          <w:szCs w:val="19"/>
          <w:color w:val="auto"/>
        </w:rPr>
        <w:t>, the Partnership shall (i) promptly prepare and file (A) such documents as may be necessary to register or qualify the securities subject to such registration under the securities laws of such states as the Holder shall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(B) such documents as may be necessary to apply for listing or to list the Partnership Interests subject to such registration on such National Securities Exchange as the Holder shall reasonably request, and (ii) do any and all other acts and things that may be necessary or appropriate to enable the Holder to consummate a public sale of such Partnership Interests in such states. Except as set forth in </w:t>
      </w:r>
      <w:r>
        <w:rPr>
          <w:rFonts w:ascii="Arial" w:cs="Arial" w:eastAsia="Arial" w:hAnsi="Arial"/>
          <w:sz w:val="19"/>
          <w:szCs w:val="19"/>
          <w:u w:val="single" w:color="auto"/>
          <w:color w:val="auto"/>
        </w:rPr>
        <w:t>Section 7.20(c)</w:t>
      </w:r>
      <w:r>
        <w:rPr>
          <w:rFonts w:ascii="Arial" w:cs="Arial" w:eastAsia="Arial" w:hAnsi="Arial"/>
          <w:sz w:val="19"/>
          <w:szCs w:val="19"/>
          <w:color w:val="auto"/>
        </w:rPr>
        <w:t>, all costs and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58" w:name="page59"/>
    <w:bookmarkEnd w:id="58"/>
    <w:p>
      <w:pPr>
        <w:ind w:right="580"/>
        <w:spacing w:after="0" w:line="251" w:lineRule="auto"/>
        <w:rPr>
          <w:sz w:val="20"/>
          <w:szCs w:val="20"/>
          <w:color w:val="auto"/>
        </w:rPr>
      </w:pPr>
      <w:r>
        <w:rPr>
          <w:rFonts w:ascii="Arial" w:cs="Arial" w:eastAsia="Arial" w:hAnsi="Arial"/>
          <w:sz w:val="22"/>
          <w:szCs w:val="22"/>
          <w:color w:val="auto"/>
        </w:rPr>
        <w:t>expenses of any such registration and offering (other than the underwriting discounts and commissions) shall be paid by the Partnership, without reimbursement by the Holder.</w:t>
      </w:r>
    </w:p>
    <w:p>
      <w:pPr>
        <w:spacing w:after="0" w:line="173" w:lineRule="exact"/>
        <w:rPr>
          <w:sz w:val="20"/>
          <w:szCs w:val="20"/>
          <w:color w:val="auto"/>
        </w:rPr>
      </w:pPr>
    </w:p>
    <w:p>
      <w:pPr>
        <w:ind w:firstLine="1305"/>
        <w:spacing w:after="0" w:line="271" w:lineRule="auto"/>
        <w:tabs>
          <w:tab w:leader="none" w:pos="1954"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the Partnership shall at any time propose to file a registration statement under the Securities Act for an offering of equity interests of the Partnership for cash (other than an offering relating solely to an employee benefit plan), the Partnership shall use its commercially reasonable efforts to include such number or amount of Partnership Interests held by any Holder in such registration statement as the Holder shall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is not required to make any effort or take any action to so include the Partnership Interests of the Holder once the registration statement becomes or is declared effective by the Commission, including any registration statement providing for the offering from time to time of Partnership Interests pursuant to Rule 415 of the Securities Act. If the proposed offering pursuant to this </w:t>
      </w:r>
      <w:r>
        <w:rPr>
          <w:rFonts w:ascii="Arial" w:cs="Arial" w:eastAsia="Arial" w:hAnsi="Arial"/>
          <w:sz w:val="19"/>
          <w:szCs w:val="19"/>
          <w:u w:val="single" w:color="auto"/>
          <w:color w:val="auto"/>
        </w:rPr>
        <w:t>Section 7.20(b)</w:t>
      </w:r>
      <w:r>
        <w:rPr>
          <w:rFonts w:ascii="Arial" w:cs="Arial" w:eastAsia="Arial" w:hAnsi="Arial"/>
          <w:sz w:val="19"/>
          <w:szCs w:val="19"/>
          <w:color w:val="auto"/>
        </w:rPr>
        <w:t xml:space="preserve"> shall be an underwritten offering, then, in the event that the managing underwriter or managing underwriters of such offering advise the Partnership and the Holder in writing that in their opinion the inclusion of all or some of the Holder’s Partnership Interests would adversely and materially affect the success of the offering, the Partnership shall include in such offering only that number or amount, if any, of Partnership Interests held by the Holder that, in the opinion of the managing underwriter or managing underwriters, will not so adversely and materially affect the offering. Except as set forth in </w:t>
      </w:r>
      <w:r>
        <w:rPr>
          <w:rFonts w:ascii="Arial" w:cs="Arial" w:eastAsia="Arial" w:hAnsi="Arial"/>
          <w:sz w:val="19"/>
          <w:szCs w:val="19"/>
          <w:u w:val="single" w:color="auto"/>
          <w:color w:val="auto"/>
        </w:rPr>
        <w:t>Section 7.20(c)</w:t>
      </w:r>
      <w:r>
        <w:rPr>
          <w:rFonts w:ascii="Arial" w:cs="Arial" w:eastAsia="Arial" w:hAnsi="Arial"/>
          <w:sz w:val="19"/>
          <w:szCs w:val="19"/>
          <w:color w:val="auto"/>
        </w:rPr>
        <w:t>, all costs and expenses of any such registration and offering (other than the underwriting discounts and commissions) shall be paid by the Partnership, without reimbursement by the Holder.</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140" w:firstLine="1305"/>
        <w:spacing w:after="0" w:line="270" w:lineRule="auto"/>
        <w:tabs>
          <w:tab w:leader="none" w:pos="1955"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underwriters are engaged in connection with any registration referred to in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the Partnership shall provide indemnification, representations, covenants, opinions and other assurance to the underwriters in form and substance reasonably satisfactory to such underwriters. Further, in addition to and not in limitation of the Partnership’s obligation under </w:t>
      </w:r>
      <w:r>
        <w:rPr>
          <w:rFonts w:ascii="Arial" w:cs="Arial" w:eastAsia="Arial" w:hAnsi="Arial"/>
          <w:sz w:val="19"/>
          <w:szCs w:val="19"/>
          <w:u w:val="single" w:color="auto"/>
          <w:color w:val="auto"/>
        </w:rPr>
        <w:t>Section 7.15</w:t>
      </w:r>
      <w:r>
        <w:rPr>
          <w:rFonts w:ascii="Arial" w:cs="Arial" w:eastAsia="Arial" w:hAnsi="Arial"/>
          <w:sz w:val="19"/>
          <w:szCs w:val="19"/>
          <w:color w:val="auto"/>
        </w:rPr>
        <w:t>,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9"/>
          <w:szCs w:val="19"/>
          <w:b w:val="1"/>
          <w:bCs w:val="1"/>
          <w:i w:val="1"/>
          <w:iCs w:val="1"/>
          <w:color w:val="auto"/>
        </w:rPr>
        <w:t>Indemnified Persons</w:t>
      </w:r>
      <w:r>
        <w:rPr>
          <w:rFonts w:ascii="Arial" w:cs="Arial" w:eastAsia="Arial" w:hAnsi="Arial"/>
          <w:sz w:val="19"/>
          <w:szCs w:val="19"/>
          <w:color w:val="auto"/>
        </w:rPr>
        <w:t xml:space="preserve">”) from and against any and all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w:t>
      </w:r>
      <w:r>
        <w:rPr>
          <w:rFonts w:ascii="Arial" w:cs="Arial" w:eastAsia="Arial" w:hAnsi="Arial"/>
          <w:sz w:val="19"/>
          <w:szCs w:val="19"/>
          <w:u w:val="single" w:color="auto"/>
          <w:color w:val="auto"/>
        </w:rPr>
        <w:t>Section 7.20(c)</w:t>
      </w:r>
      <w:r>
        <w:rPr>
          <w:rFonts w:ascii="Arial" w:cs="Arial" w:eastAsia="Arial" w:hAnsi="Arial"/>
          <w:sz w:val="19"/>
          <w:szCs w:val="19"/>
          <w:color w:val="auto"/>
        </w:rPr>
        <w:t xml:space="preserve"> as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and in the plural as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based upon, arising out of or resulting from any untrue statement or alleged untrue statement of any material fact contained in any registration statement under which any Partnership Interests were registered under the Securities Act or any state securities or Blue Sky laws, in any preliminary prospectus or issuer free writing prospectus as defined in Rule 433 of the Securities Act (if used prior to the effective date of such registration statement), or in any summary, free writing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free writing or final prospectus or such amendment or supplement, in reliance upon and in conformity with</w:t>
      </w: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240" w:top="334" w:right="379" w:bottom="1440" w:gutter="0" w:footer="0" w:header="0"/>
        </w:sectPr>
      </w:pPr>
    </w:p>
    <w:bookmarkStart w:id="59" w:name="page60"/>
    <w:bookmarkEnd w:id="59"/>
    <w:p>
      <w:pPr>
        <w:ind w:right="180"/>
        <w:spacing w:after="0" w:line="251" w:lineRule="auto"/>
        <w:rPr>
          <w:sz w:val="20"/>
          <w:szCs w:val="20"/>
          <w:color w:val="auto"/>
        </w:rPr>
      </w:pPr>
      <w:r>
        <w:rPr>
          <w:rFonts w:ascii="Arial" w:cs="Arial" w:eastAsia="Arial" w:hAnsi="Arial"/>
          <w:sz w:val="22"/>
          <w:szCs w:val="22"/>
          <w:color w:val="auto"/>
        </w:rPr>
        <w:t>written information furnished to the Partnership by or on behalf of such Indemnified Person specifically for use in the preparation thereof.</w:t>
      </w:r>
    </w:p>
    <w:p>
      <w:pPr>
        <w:spacing w:after="0" w:line="173" w:lineRule="exact"/>
        <w:rPr>
          <w:sz w:val="20"/>
          <w:szCs w:val="20"/>
          <w:color w:val="auto"/>
        </w:rPr>
      </w:pPr>
    </w:p>
    <w:p>
      <w:pPr>
        <w:ind w:right="120" w:firstLine="1305"/>
        <w:spacing w:after="0" w:line="277" w:lineRule="auto"/>
        <w:tabs>
          <w:tab w:leader="none" w:pos="1940"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The provisions of </w:t>
      </w:r>
      <w:r>
        <w:rPr>
          <w:rFonts w:ascii="Arial" w:cs="Arial" w:eastAsia="Arial" w:hAnsi="Arial"/>
          <w:sz w:val="19"/>
          <w:szCs w:val="19"/>
          <w:u w:val="single" w:color="auto"/>
          <w:color w:val="auto"/>
        </w:rPr>
        <w:t>Section 7.20(a)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7.20(b)</w:t>
      </w:r>
      <w:r>
        <w:rPr>
          <w:rFonts w:ascii="Arial" w:cs="Arial" w:eastAsia="Arial" w:hAnsi="Arial"/>
          <w:sz w:val="19"/>
          <w:szCs w:val="19"/>
          <w:color w:val="auto"/>
        </w:rPr>
        <w:t xml:space="preserve"> shall continue to be applicable with respect to the General Partner (and any of the General Partner’s Affiliates) after it ceases to be a general partner of the Partnership, during a period of two years subsequent to the effective date of such cessation and for so long thereafter as is required for the Holder to sell all of the Partnership Interests with respect to which it has requested during such two-year period inclusion in a registration statement otherwise filed or that a registration statement be filed;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required to file successive registration statements covering the same Partnership Interests for which registration was demanded during such two-year period. The provisions of </w:t>
      </w:r>
      <w:r>
        <w:rPr>
          <w:rFonts w:ascii="Arial" w:cs="Arial" w:eastAsia="Arial" w:hAnsi="Arial"/>
          <w:sz w:val="19"/>
          <w:szCs w:val="19"/>
          <w:u w:val="single" w:color="auto"/>
          <w:color w:val="auto"/>
        </w:rPr>
        <w:t>Section 7.20(c)</w:t>
      </w:r>
      <w:r>
        <w:rPr>
          <w:rFonts w:ascii="Arial" w:cs="Arial" w:eastAsia="Arial" w:hAnsi="Arial"/>
          <w:sz w:val="19"/>
          <w:szCs w:val="19"/>
          <w:color w:val="auto"/>
        </w:rPr>
        <w:t xml:space="preserve"> shall continue in effect thereafter.</w:t>
      </w:r>
    </w:p>
    <w:p>
      <w:pPr>
        <w:spacing w:after="0" w:line="152" w:lineRule="exact"/>
        <w:rPr>
          <w:rFonts w:ascii="Arial" w:cs="Arial" w:eastAsia="Arial" w:hAnsi="Arial"/>
          <w:sz w:val="19"/>
          <w:szCs w:val="19"/>
          <w:color w:val="auto"/>
        </w:rPr>
      </w:pPr>
    </w:p>
    <w:p>
      <w:pPr>
        <w:ind w:firstLine="1305"/>
        <w:spacing w:after="0" w:line="282" w:lineRule="auto"/>
        <w:tabs>
          <w:tab w:leader="none" w:pos="1955"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The rights to cause the Partnership to register Partnership Interests pursuant to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may be assigned (but only with all related obligations) by a Holder to a transferee or assignee of such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 the Partnership is, within a reasonable time after such transfer, furnished with written notice of the name and address of such transferee or assignee and the Partnership Interests with respect to which such registration rights are being assigned, and (ii) such transferee or assignee agrees in writing to be bound by and subject to the terms set forth in this </w:t>
      </w:r>
      <w:r>
        <w:rPr>
          <w:rFonts w:ascii="Arial" w:cs="Arial" w:eastAsia="Arial" w:hAnsi="Arial"/>
          <w:sz w:val="19"/>
          <w:szCs w:val="19"/>
          <w:u w:val="single" w:color="auto"/>
          <w:color w:val="auto"/>
        </w:rPr>
        <w:t>Section 7.20</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jc w:val="both"/>
        <w:ind w:right="100" w:firstLine="1305"/>
        <w:spacing w:after="0" w:line="273" w:lineRule="auto"/>
        <w:tabs>
          <w:tab w:leader="none" w:pos="1945" w:val="left"/>
        </w:tabs>
        <w:numPr>
          <w:ilvl w:val="1"/>
          <w:numId w:val="61"/>
        </w:numPr>
        <w:rPr>
          <w:rFonts w:ascii="Arial" w:cs="Arial" w:eastAsia="Arial" w:hAnsi="Arial"/>
          <w:sz w:val="19"/>
          <w:szCs w:val="19"/>
          <w:color w:val="auto"/>
        </w:rPr>
      </w:pPr>
      <w:r>
        <w:rPr>
          <w:rFonts w:ascii="Arial" w:cs="Arial" w:eastAsia="Arial" w:hAnsi="Arial"/>
          <w:sz w:val="19"/>
          <w:szCs w:val="19"/>
          <w:color w:val="auto"/>
        </w:rPr>
        <w:t xml:space="preserve">Any request to register Partnership Interests pursuant to this </w:t>
      </w:r>
      <w:r>
        <w:rPr>
          <w:rFonts w:ascii="Arial" w:cs="Arial" w:eastAsia="Arial" w:hAnsi="Arial"/>
          <w:sz w:val="19"/>
          <w:szCs w:val="19"/>
          <w:u w:val="single" w:color="auto"/>
          <w:color w:val="auto"/>
        </w:rPr>
        <w:t>Section 7.20</w:t>
      </w:r>
      <w:r>
        <w:rPr>
          <w:rFonts w:ascii="Arial" w:cs="Arial" w:eastAsia="Arial" w:hAnsi="Arial"/>
          <w:sz w:val="19"/>
          <w:szCs w:val="19"/>
          <w:color w:val="auto"/>
        </w:rPr>
        <w:t xml:space="preserve"> shall (i) specify the Partnership Interests intended to be offered and sold by the Person making the request, (ii) express such Person’s present intent to offer such Partnership Interests for distribution, (iii) describe the nature or method of the proposed offer and sale of Partnership Interests, and</w:t>
      </w:r>
    </w:p>
    <w:p>
      <w:pPr>
        <w:spacing w:after="0" w:line="1" w:lineRule="exact"/>
        <w:rPr>
          <w:rFonts w:ascii="Arial" w:cs="Arial" w:eastAsia="Arial" w:hAnsi="Arial"/>
          <w:sz w:val="19"/>
          <w:szCs w:val="19"/>
          <w:color w:val="auto"/>
        </w:rPr>
      </w:pPr>
    </w:p>
    <w:p>
      <w:pPr>
        <w:jc w:val="both"/>
        <w:ind w:right="160" w:firstLine="8"/>
        <w:spacing w:after="0" w:line="234" w:lineRule="auto"/>
        <w:tabs>
          <w:tab w:leader="none" w:pos="366" w:val="left"/>
        </w:tabs>
        <w:numPr>
          <w:ilvl w:val="0"/>
          <w:numId w:val="62"/>
        </w:numPr>
        <w:rPr>
          <w:rFonts w:ascii="Arial" w:cs="Arial" w:eastAsia="Arial" w:hAnsi="Arial"/>
          <w:sz w:val="22"/>
          <w:szCs w:val="22"/>
          <w:color w:val="auto"/>
        </w:rPr>
      </w:pPr>
      <w:r>
        <w:rPr>
          <w:rFonts w:ascii="Arial" w:cs="Arial" w:eastAsia="Arial" w:hAnsi="Arial"/>
          <w:sz w:val="22"/>
          <w:szCs w:val="22"/>
          <w:color w:val="auto"/>
        </w:rPr>
        <w:t>contain the undertaking of such Person to provide all such information and materials and take all action as may be required in order to permit the Partnership to comply with all applicable requirements in connection with the registration of such Partnership Interests.</w:t>
      </w:r>
    </w:p>
    <w:p>
      <w:pPr>
        <w:spacing w:after="0" w:line="187" w:lineRule="exact"/>
        <w:rPr>
          <w:sz w:val="20"/>
          <w:szCs w:val="20"/>
          <w:color w:val="auto"/>
        </w:rPr>
      </w:pPr>
    </w:p>
    <w:p>
      <w:pPr>
        <w:ind w:firstLine="1297"/>
        <w:spacing w:after="0" w:line="272" w:lineRule="auto"/>
        <w:rPr>
          <w:sz w:val="20"/>
          <w:szCs w:val="20"/>
          <w:color w:val="auto"/>
        </w:rPr>
      </w:pPr>
      <w:r>
        <w:rPr>
          <w:rFonts w:ascii="Arial" w:cs="Arial" w:eastAsia="Arial" w:hAnsi="Arial"/>
          <w:sz w:val="19"/>
          <w:szCs w:val="19"/>
          <w:color w:val="auto"/>
        </w:rPr>
        <w:t xml:space="preserve">Section 7.21. </w:t>
      </w:r>
      <w:r>
        <w:rPr>
          <w:rFonts w:ascii="Arial" w:cs="Arial" w:eastAsia="Arial" w:hAnsi="Arial"/>
          <w:sz w:val="19"/>
          <w:szCs w:val="19"/>
          <w:i w:val="1"/>
          <w:iCs w:val="1"/>
          <w:color w:val="auto"/>
        </w:rPr>
        <w:t>Reliance by Third Parties</w:t>
      </w:r>
      <w:r>
        <w:rPr>
          <w:rFonts w:ascii="Arial" w:cs="Arial" w:eastAsia="Arial" w:hAnsi="Arial"/>
          <w:sz w:val="19"/>
          <w:szCs w:val="19"/>
          <w:color w:val="auto"/>
        </w:rPr>
        <w:t>. Notwithstanding anything to the contrary in this Agreement, any Person dealing with the Partnership shall be entitled to assume that the Board of Directors, the General Partner and any Officer authorized by the Board of Directors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Board of Directors,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Board of Directors, the General Partner or any such Officer in connection with any such dealing. In no event shall any Person dealing with the Board of Directors, the General Partner or any such Officer or its representatives be obligated to ascertain that the terms of this Agreement have been complied with or to inquire into the necessity or expedience of any act or action of the Board of Directors, the General Partner or any such Officer or its representatives. Each and every certificate, document or other instrument executed on behalf of the Partnership by the Board of Directors, the General Partner, the Officers or representatives of the General Partner authorized by the General Partner or the Board of Directors shall be conclusive evidence in favor of any and every Person relying thereon 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0" w:name="page61"/>
    <w:bookmarkEnd w:id="60"/>
    <w:p>
      <w:pPr>
        <w:jc w:val="both"/>
        <w:ind w:right="220"/>
        <w:spacing w:after="0" w:line="287" w:lineRule="auto"/>
        <w:rPr>
          <w:sz w:val="20"/>
          <w:szCs w:val="20"/>
          <w:color w:val="auto"/>
        </w:rPr>
      </w:pPr>
      <w:r>
        <w:rPr>
          <w:rFonts w:ascii="Arial" w:cs="Arial" w:eastAsia="Arial" w:hAnsi="Arial"/>
          <w:sz w:val="19"/>
          <w:szCs w:val="19"/>
          <w:color w:val="auto"/>
        </w:rPr>
        <w:t>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BOOKS, RECORDS, ACCOUNTING AND REPORTS</w:t>
      </w:r>
    </w:p>
    <w:p>
      <w:pPr>
        <w:spacing w:after="0" w:line="188"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Section 8.1. </w:t>
      </w:r>
      <w:r>
        <w:rPr>
          <w:rFonts w:ascii="Arial" w:cs="Arial" w:eastAsia="Arial" w:hAnsi="Arial"/>
          <w:sz w:val="19"/>
          <w:szCs w:val="19"/>
          <w:i w:val="1"/>
          <w:iCs w:val="1"/>
          <w:color w:val="auto"/>
        </w:rPr>
        <w:t>Records and Accounting</w:t>
      </w:r>
      <w:r>
        <w:rPr>
          <w:rFonts w:ascii="Arial" w:cs="Arial" w:eastAsia="Arial" w:hAnsi="Arial"/>
          <w:sz w:val="19"/>
          <w:szCs w:val="19"/>
          <w:color w:val="auto"/>
        </w:rPr>
        <w:t xml:space="preserve">. The Partnership shall keep or cause to be kept at the principal office of the Partnership appropriate books and records with respect to the Partnership’s business, including all books and records necessary to provide to the Limited Partners any information required to be provided pursuant to </w:t>
      </w:r>
      <w:r>
        <w:rPr>
          <w:rFonts w:ascii="Arial" w:cs="Arial" w:eastAsia="Arial" w:hAnsi="Arial"/>
          <w:sz w:val="19"/>
          <w:szCs w:val="19"/>
          <w:u w:val="single" w:color="auto"/>
          <w:color w:val="auto"/>
        </w:rPr>
        <w:t>Section 3.4(a)</w:t>
      </w:r>
      <w:r>
        <w:rPr>
          <w:rFonts w:ascii="Arial" w:cs="Arial" w:eastAsia="Arial" w:hAnsi="Arial"/>
          <w:sz w:val="19"/>
          <w:szCs w:val="19"/>
          <w:color w:val="auto"/>
        </w:rPr>
        <w:t xml:space="preserve"> and as otherwise required by the Marshall Islands Act. Any books and records maintained by or on behalf of the Partnership in the regular course of its business, including the record of the Record Holders of Units or other Partnership Interests, books of account and records of Partnership proceedings, may be kept on, or be in the form of, computer disks, hard drives, punch cards, magnetic tape, photographs, micrographics or any other information storage device;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books and records so maintained are convertible into clearly legible written form within a reasonable period of time. The books of the Partnership shall be maintained, for financial reporting purposes, on an accrual basis in accordance with IFRS.</w:t>
      </w:r>
    </w:p>
    <w:p>
      <w:pPr>
        <w:spacing w:after="0" w:line="15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i w:val="1"/>
          <w:iCs w:val="1"/>
          <w:color w:val="auto"/>
        </w:rPr>
        <w:t>Fiscal Year</w:t>
      </w:r>
      <w:r>
        <w:rPr>
          <w:rFonts w:ascii="Arial" w:cs="Arial" w:eastAsia="Arial" w:hAnsi="Arial"/>
          <w:sz w:val="19"/>
          <w:szCs w:val="19"/>
          <w:color w:val="auto"/>
        </w:rPr>
        <w:t>. The fiscal year of the Partnership shall be a fiscal year ending December 31.</w:t>
      </w:r>
    </w:p>
    <w:p>
      <w:pPr>
        <w:spacing w:after="0" w:line="206" w:lineRule="exact"/>
        <w:rPr>
          <w:sz w:val="20"/>
          <w:szCs w:val="20"/>
          <w:color w:val="auto"/>
        </w:rPr>
      </w:pPr>
    </w:p>
    <w:p>
      <w:pPr>
        <w:ind w:right="40" w:firstLine="1297"/>
        <w:spacing w:after="0" w:line="279"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i w:val="1"/>
          <w:iCs w:val="1"/>
          <w:color w:val="auto"/>
        </w:rPr>
        <w:t>Reports</w:t>
      </w:r>
      <w:r>
        <w:rPr>
          <w:rFonts w:ascii="Arial" w:cs="Arial" w:eastAsia="Arial" w:hAnsi="Arial"/>
          <w:sz w:val="19"/>
          <w:szCs w:val="19"/>
          <w:color w:val="auto"/>
        </w:rPr>
        <w:t>. (a) As soon as practicable, but in no event later than 120 days after the close of each fiscal year of the Partnership, the Partnership shall cause to be mailed or made available, by any reasonable means (including posting on or accessible through the Partnership’s or the Commission’s website), to each Record Holder of a Unit as of a date selected by the Board of Directors, an annual report containing financial statements of the Partnership for such fiscal year of the Partnership, presented in accordance with IFRS, including a balance sheet and statements of operations, Partnership equity and cash flows, such statements to be audited by a firm of independent public accountants selected by the Board of Directors.</w:t>
      </w:r>
    </w:p>
    <w:p>
      <w:pPr>
        <w:spacing w:after="0" w:line="151" w:lineRule="exact"/>
        <w:rPr>
          <w:sz w:val="20"/>
          <w:szCs w:val="20"/>
          <w:color w:val="auto"/>
        </w:rPr>
      </w:pPr>
    </w:p>
    <w:p>
      <w:pPr>
        <w:ind w:right="80" w:firstLine="1305"/>
        <w:spacing w:after="0" w:line="279" w:lineRule="auto"/>
        <w:tabs>
          <w:tab w:leader="none" w:pos="1954" w:val="left"/>
        </w:tabs>
        <w:numPr>
          <w:ilvl w:val="0"/>
          <w:numId w:val="63"/>
        </w:numPr>
        <w:rPr>
          <w:rFonts w:ascii="Arial" w:cs="Arial" w:eastAsia="Arial" w:hAnsi="Arial"/>
          <w:sz w:val="19"/>
          <w:szCs w:val="19"/>
          <w:color w:val="auto"/>
        </w:rPr>
      </w:pPr>
      <w:r>
        <w:rPr>
          <w:rFonts w:ascii="Arial" w:cs="Arial" w:eastAsia="Arial" w:hAnsi="Arial"/>
          <w:sz w:val="19"/>
          <w:szCs w:val="19"/>
          <w:color w:val="auto"/>
        </w:rPr>
        <w:t>As soon as practicable, but in no event later than 90 days after the close of each Quarter except the last Quarter of each fiscal year, the Partnership shall cause to be mailed or made available, by any reasonable means (including posting on or accessible through the Partnership’s or the Commission’s website), to each Record Holder of a Unit, as of a date selected by the Board of Directors, a report containing unaudited financial statements of the Partnership and such other information as may be required by applicable law, regulation or rule of any National Securities Exchange on which the Units are listed or admitted to trading, or as the Board of Directors determines to be necessary or appropriate.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TAX MATTERS</w:t>
      </w:r>
    </w:p>
    <w:p>
      <w:pPr>
        <w:spacing w:after="0" w:line="188"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i w:val="1"/>
          <w:iCs w:val="1"/>
          <w:color w:val="auto"/>
        </w:rPr>
        <w:t>Tax Elections and Information</w:t>
      </w:r>
      <w:r>
        <w:rPr>
          <w:rFonts w:ascii="Arial" w:cs="Arial" w:eastAsia="Arial" w:hAnsi="Arial"/>
          <w:sz w:val="22"/>
          <w:szCs w:val="22"/>
          <w:color w:val="auto"/>
        </w:rPr>
        <w:t>. (a) The Partnership is authorized and has elected, effective as of January 23, 2014, to be treated as an association taxable as a corporation for U.S. federal income tax purposes. Except as otherwise provided herein, the Board of Directors shall determine whether the Partnership should make any other elections permitted by any applicable tax law.</w:t>
      </w:r>
    </w:p>
    <w:p>
      <w:pPr>
        <w:spacing w:after="0" w:line="185" w:lineRule="exact"/>
        <w:rPr>
          <w:sz w:val="20"/>
          <w:szCs w:val="20"/>
          <w:color w:val="auto"/>
        </w:rPr>
      </w:pPr>
    </w:p>
    <w:p>
      <w:pPr>
        <w:ind w:right="180" w:firstLine="1305"/>
        <w:spacing w:after="0" w:line="328" w:lineRule="auto"/>
        <w:tabs>
          <w:tab w:leader="none" w:pos="1954"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tax information reasonably required by Record Holders for U.S. federal income tax reporting purposes with respect to a calendar taxable year shall be furnished to them within 90 days of the close of each calendar year.</w:t>
      </w:r>
    </w:p>
    <w:p>
      <w:pPr>
        <w:spacing w:after="0" w:line="105" w:lineRule="exact"/>
        <w:rPr>
          <w:sz w:val="20"/>
          <w:szCs w:val="20"/>
          <w:color w:val="auto"/>
        </w:rPr>
      </w:pPr>
    </w:p>
    <w:p>
      <w:pPr>
        <w:ind w:right="60" w:firstLine="1297"/>
        <w:spacing w:after="0" w:line="248" w:lineRule="auto"/>
        <w:rPr>
          <w:sz w:val="20"/>
          <w:szCs w:val="20"/>
          <w:color w:val="auto"/>
        </w:rPr>
      </w:pPr>
      <w:r>
        <w:rPr>
          <w:rFonts w:ascii="Arial" w:cs="Arial" w:eastAsia="Arial" w:hAnsi="Arial"/>
          <w:sz w:val="21"/>
          <w:szCs w:val="21"/>
          <w:color w:val="auto"/>
        </w:rPr>
        <w:t xml:space="preserve">Section 9.2. </w:t>
      </w:r>
      <w:r>
        <w:rPr>
          <w:rFonts w:ascii="Arial" w:cs="Arial" w:eastAsia="Arial" w:hAnsi="Arial"/>
          <w:sz w:val="21"/>
          <w:szCs w:val="21"/>
          <w:i w:val="1"/>
          <w:iCs w:val="1"/>
          <w:color w:val="auto"/>
        </w:rPr>
        <w:t>Tax Withholding</w:t>
      </w:r>
      <w:r>
        <w:rPr>
          <w:rFonts w:ascii="Arial" w:cs="Arial" w:eastAsia="Arial" w:hAnsi="Arial"/>
          <w:sz w:val="21"/>
          <w:szCs w:val="21"/>
          <w:color w:val="auto"/>
        </w:rPr>
        <w:t>. Notwithstanding any other provision of this Agreement, the Board of Directors is authorized to take any action that may be required or advisable to cause the Partnership and other Group Members to comply with any withholding requirements with respect to any tax established under any U.S. federal, state or local or any non-U.S. law. To the extent that the Partnership is required or elects to withhold and pay over to any taxing authority any amount with respect to a distribution or payment to or for the benefit of any Partner, the Board of Directors may treat the amount withheld as a distribution of cash to such Partner in the amount of such withholding from such Partner.</w:t>
      </w:r>
    </w:p>
    <w:p>
      <w:pPr>
        <w:spacing w:after="0" w:line="177" w:lineRule="exact"/>
        <w:rPr>
          <w:sz w:val="20"/>
          <w:szCs w:val="20"/>
          <w:color w:val="auto"/>
        </w:rPr>
      </w:pPr>
    </w:p>
    <w:p>
      <w:pPr>
        <w:ind w:right="40" w:firstLine="1297"/>
        <w:spacing w:after="0" w:line="238"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i w:val="1"/>
          <w:iCs w:val="1"/>
          <w:color w:val="auto"/>
        </w:rPr>
        <w:t>Conduct of Operations</w:t>
      </w:r>
      <w:r>
        <w:rPr>
          <w:rFonts w:ascii="Arial" w:cs="Arial" w:eastAsia="Arial" w:hAnsi="Arial"/>
          <w:sz w:val="22"/>
          <w:szCs w:val="22"/>
          <w:color w:val="auto"/>
        </w:rPr>
        <w:t>. The Board of Directors shall use commercially reasonable efforts to conduct the business of the Partnership and its Affiliates in a manner that does not require a holder of Common Units, Class B Units or Preference Units to file a tax return in any jurisdiction with which the holder has no contact other than through ownership of Common Units, Class B Units or Preference Units.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ADMISSION OF PARTNERS</w:t>
      </w:r>
    </w:p>
    <w:p>
      <w:pPr>
        <w:spacing w:after="0" w:line="188" w:lineRule="exact"/>
        <w:rPr>
          <w:sz w:val="20"/>
          <w:szCs w:val="20"/>
          <w:color w:val="auto"/>
        </w:rPr>
      </w:pPr>
    </w:p>
    <w:p>
      <w:pPr>
        <w:ind w:right="80" w:firstLine="1297"/>
        <w:spacing w:after="0" w:line="252"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i w:val="1"/>
          <w:iCs w:val="1"/>
          <w:color w:val="auto"/>
        </w:rPr>
        <w:t>Admission of Initial Limited Partners</w:t>
      </w:r>
      <w:r>
        <w:rPr>
          <w:rFonts w:ascii="Arial" w:cs="Arial" w:eastAsia="Arial" w:hAnsi="Arial"/>
          <w:sz w:val="21"/>
          <w:szCs w:val="21"/>
          <w:color w:val="auto"/>
        </w:rPr>
        <w:t xml:space="preserve">. Upon the issuance by the Partnership of Common Units, Subordinated Units and Incentive Distribution Rights to the General Partner, GasLog and the Underwriters as described in </w:t>
      </w:r>
      <w:r>
        <w:rPr>
          <w:rFonts w:ascii="Arial" w:cs="Arial" w:eastAsia="Arial" w:hAnsi="Arial"/>
          <w:sz w:val="21"/>
          <w:szCs w:val="21"/>
          <w:u w:val="single" w:color="auto"/>
          <w:color w:val="auto"/>
        </w:rPr>
        <w:t>Section 5.1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5.2</w:t>
      </w:r>
      <w:r>
        <w:rPr>
          <w:rFonts w:ascii="Arial" w:cs="Arial" w:eastAsia="Arial" w:hAnsi="Arial"/>
          <w:sz w:val="21"/>
          <w:szCs w:val="21"/>
          <w:color w:val="auto"/>
        </w:rPr>
        <w:t>, the Board of Directors admitted such parties to the Partnership as Initial Limited Partners in respect of the Common Units, Subordinated Units or Incentive Distribution Rights issued to them.</w:t>
      </w:r>
    </w:p>
    <w:p>
      <w:pPr>
        <w:spacing w:after="0" w:line="174"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i w:val="1"/>
          <w:iCs w:val="1"/>
          <w:color w:val="auto"/>
        </w:rPr>
        <w:t>Admission of Additional Limited Partners</w:t>
      </w:r>
      <w:r>
        <w:rPr>
          <w:rFonts w:ascii="Arial" w:cs="Arial" w:eastAsia="Arial" w:hAnsi="Arial"/>
          <w:sz w:val="21"/>
          <w:szCs w:val="21"/>
          <w:color w:val="auto"/>
        </w:rPr>
        <w:t xml:space="preserve">. (a) From and after the Closing Date, by acceptance of the transfer of any Limited Partner Interests in accordance with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or the acceptance of any Limited Partner Interests issued pursuant to </w:t>
      </w:r>
      <w:r>
        <w:rPr>
          <w:rFonts w:ascii="Arial" w:cs="Arial" w:eastAsia="Arial" w:hAnsi="Arial"/>
          <w:sz w:val="21"/>
          <w:szCs w:val="21"/>
          <w:u w:val="single" w:color="auto"/>
          <w:color w:val="auto"/>
        </w:rPr>
        <w:t>Article V</w:t>
      </w:r>
      <w:r>
        <w:rPr>
          <w:rFonts w:ascii="Arial" w:cs="Arial" w:eastAsia="Arial" w:hAnsi="Arial"/>
          <w:sz w:val="21"/>
          <w:szCs w:val="21"/>
          <w:color w:val="auto"/>
        </w:rPr>
        <w:t xml:space="preserve"> or pursuant to a merger, consolidation or conversion pursuant to </w:t>
      </w:r>
      <w:r>
        <w:rPr>
          <w:rFonts w:ascii="Arial" w:cs="Arial" w:eastAsia="Arial" w:hAnsi="Arial"/>
          <w:sz w:val="21"/>
          <w:szCs w:val="21"/>
          <w:u w:val="single" w:color="auto"/>
          <w:color w:val="auto"/>
        </w:rPr>
        <w:t>Article XIV</w:t>
      </w:r>
      <w:r>
        <w:rPr>
          <w:rFonts w:ascii="Arial" w:cs="Arial" w:eastAsia="Arial" w:hAnsi="Arial"/>
          <w:sz w:val="21"/>
          <w:szCs w:val="21"/>
          <w:color w:val="auto"/>
        </w:rPr>
        <w:t>, each transferee of, or other such Person acquiring,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 (ii) shall become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9"/>
          <w:szCs w:val="19"/>
          <w:color w:val="auto"/>
        </w:rPr>
        <w:t>bound, and shall be deemed to have agreed to be bound, by the terms of this Agreement, (iii) represents that the transferee or other recipient has the capacity, power and authority to enter into this Agreement and (iv) makes the consents, acknowledgements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until such Person acquires a Limited Partner Interest and until such Person is reflected in the books and records of the Partnership as the Record Holder of such Limited Partner Interest.</w:t>
      </w:r>
    </w:p>
    <w:p>
      <w:pPr>
        <w:spacing w:after="0" w:line="153" w:lineRule="exact"/>
        <w:rPr>
          <w:sz w:val="20"/>
          <w:szCs w:val="20"/>
          <w:color w:val="auto"/>
        </w:rPr>
      </w:pPr>
    </w:p>
    <w:p>
      <w:pPr>
        <w:ind w:right="120" w:firstLine="1305"/>
        <w:spacing w:after="0" w:line="287" w:lineRule="auto"/>
        <w:tabs>
          <w:tab w:leader="none" w:pos="1954"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w:t>
      </w:r>
      <w:r>
        <w:rPr>
          <w:rFonts w:ascii="Arial" w:cs="Arial" w:eastAsia="Arial" w:hAnsi="Arial"/>
          <w:sz w:val="19"/>
          <w:szCs w:val="19"/>
          <w:u w:val="single" w:color="auto"/>
          <w:color w:val="auto"/>
        </w:rPr>
        <w:t>Section 4.1</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ind w:right="400" w:firstLine="1305"/>
        <w:spacing w:after="0" w:line="328" w:lineRule="auto"/>
        <w:tabs>
          <w:tab w:leader="none" w:pos="1955"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Any transfer of a Limited Partner Interest shall not entitle the transferee to receive distributions or to any other rights to which the transferor was entitled until the transferee becomes a Limited Partner pursuant to </w:t>
      </w:r>
      <w:r>
        <w:rPr>
          <w:rFonts w:ascii="Arial" w:cs="Arial" w:eastAsia="Arial" w:hAnsi="Arial"/>
          <w:sz w:val="19"/>
          <w:szCs w:val="19"/>
          <w:u w:val="single" w:color="auto"/>
          <w:color w:val="auto"/>
        </w:rPr>
        <w:t>Section 10.2(a)</w:t>
      </w:r>
      <w:r>
        <w:rPr>
          <w:rFonts w:ascii="Arial" w:cs="Arial" w:eastAsia="Arial" w:hAnsi="Arial"/>
          <w:sz w:val="19"/>
          <w:szCs w:val="19"/>
          <w:color w:val="auto"/>
        </w:rPr>
        <w:t>.</w:t>
      </w:r>
    </w:p>
    <w:p>
      <w:pPr>
        <w:spacing w:after="0" w:line="105" w:lineRule="exact"/>
        <w:rPr>
          <w:sz w:val="20"/>
          <w:szCs w:val="20"/>
          <w:color w:val="auto"/>
        </w:rPr>
      </w:pPr>
    </w:p>
    <w:p>
      <w:pPr>
        <w:ind w:right="20" w:firstLine="1297"/>
        <w:spacing w:after="0" w:line="275"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Admission of Successor General Partner</w:t>
      </w:r>
      <w:r>
        <w:rPr>
          <w:rFonts w:ascii="Arial" w:cs="Arial" w:eastAsia="Arial" w:hAnsi="Arial"/>
          <w:sz w:val="19"/>
          <w:szCs w:val="19"/>
          <w:color w:val="auto"/>
        </w:rPr>
        <w:t xml:space="preserve">. A successor General Partner approved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transferee of or successor to all or part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who is proposed to be admitted as a successor General Partner shall be admitted to the Partnership as the General Partner, effective immediately prior to the withdrawal or removal of the predecessor or transferring General Partner,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Person shall be admitted to the Partnership as a successor or additional General Partner until compliance with the terms of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has occurred and such Person has executed and delivered such other documents or instruments as may be required to effect such admission.</w:t>
      </w:r>
    </w:p>
    <w:p>
      <w:pPr>
        <w:spacing w:after="0" w:line="158" w:lineRule="exact"/>
        <w:rPr>
          <w:sz w:val="20"/>
          <w:szCs w:val="20"/>
          <w:color w:val="auto"/>
        </w:rPr>
      </w:pPr>
    </w:p>
    <w:p>
      <w:pPr>
        <w:ind w:right="40" w:firstLine="1297"/>
        <w:spacing w:after="0" w:line="251" w:lineRule="auto"/>
        <w:rPr>
          <w:sz w:val="20"/>
          <w:szCs w:val="20"/>
          <w:color w:val="auto"/>
        </w:rPr>
      </w:pPr>
      <w:r>
        <w:rPr>
          <w:rFonts w:ascii="Arial" w:cs="Arial" w:eastAsia="Arial" w:hAnsi="Arial"/>
          <w:sz w:val="22"/>
          <w:szCs w:val="22"/>
          <w:color w:val="auto"/>
        </w:rPr>
        <w:t>Any such successor or additional General Partner is hereby authorized to and shall, subject to the terms hereof, carry on the business of the members of the Partnership Group without dissolution.</w:t>
      </w:r>
    </w:p>
    <w:p>
      <w:pPr>
        <w:spacing w:after="0" w:line="173" w:lineRule="exact"/>
        <w:rPr>
          <w:sz w:val="20"/>
          <w:szCs w:val="20"/>
          <w:color w:val="auto"/>
        </w:rPr>
      </w:pPr>
    </w:p>
    <w:p>
      <w:pPr>
        <w:ind w:right="100" w:firstLine="1297"/>
        <w:spacing w:after="0" w:line="236" w:lineRule="auto"/>
        <w:rPr>
          <w:sz w:val="20"/>
          <w:szCs w:val="20"/>
          <w:color w:val="auto"/>
        </w:rPr>
      </w:pPr>
      <w:r>
        <w:rPr>
          <w:rFonts w:ascii="Arial" w:cs="Arial" w:eastAsia="Arial" w:hAnsi="Arial"/>
          <w:sz w:val="22"/>
          <w:szCs w:val="22"/>
          <w:color w:val="auto"/>
        </w:rPr>
        <w:t xml:space="preserve">Section 10.4. </w:t>
      </w:r>
      <w:r>
        <w:rPr>
          <w:rFonts w:ascii="Arial" w:cs="Arial" w:eastAsia="Arial" w:hAnsi="Arial"/>
          <w:sz w:val="22"/>
          <w:szCs w:val="22"/>
          <w:i w:val="1"/>
          <w:iCs w:val="1"/>
          <w:color w:val="auto"/>
        </w:rPr>
        <w:t>Amendment of Agreement and Certificate of Limited Partnership</w:t>
      </w:r>
      <w:r>
        <w:rPr>
          <w:rFonts w:ascii="Arial" w:cs="Arial" w:eastAsia="Arial" w:hAnsi="Arial"/>
          <w:sz w:val="22"/>
          <w:szCs w:val="22"/>
          <w:color w:val="auto"/>
        </w:rPr>
        <w:t>. To effect the admission to the Partnership of any Partner, the Board of Directors shall take all steps necessary or appropriate under the Marshall Islands Act to amend the records of the Partnership to reflect such admission and, if necessary, to prepare as soon as practicable an amendment to this Agreement and, if required by law, the Board of Directors shall prepare and file an amendment to the Certificate of Limited Partnership.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WITHDRAWAL OR REMOVAL OF PARTNERS</w:t>
      </w:r>
    </w:p>
    <w:p>
      <w:pPr>
        <w:spacing w:after="0" w:line="188" w:lineRule="exact"/>
        <w:rPr>
          <w:sz w:val="20"/>
          <w:szCs w:val="20"/>
          <w:color w:val="auto"/>
        </w:rPr>
      </w:pPr>
    </w:p>
    <w:p>
      <w:pPr>
        <w:jc w:val="both"/>
        <w:ind w:right="360" w:firstLine="1297"/>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i w:val="1"/>
          <w:iCs w:val="1"/>
          <w:color w:val="auto"/>
        </w:rPr>
        <w:t>Withdrawal of the General Partner</w:t>
      </w:r>
      <w:r>
        <w:rPr>
          <w:rFonts w:ascii="Arial" w:cs="Arial" w:eastAsia="Arial" w:hAnsi="Arial"/>
          <w:sz w:val="22"/>
          <w:szCs w:val="22"/>
          <w:color w:val="auto"/>
        </w:rPr>
        <w:t>. (a) The General Partner shall be deemed to have withdrawn from the Partnership upon the occurrence of any one of the following events (each such event herein referred to as an “</w:t>
      </w:r>
      <w:r>
        <w:rPr>
          <w:rFonts w:ascii="Arial" w:cs="Arial" w:eastAsia="Arial" w:hAnsi="Arial"/>
          <w:sz w:val="22"/>
          <w:szCs w:val="22"/>
          <w:b w:val="1"/>
          <w:bCs w:val="1"/>
          <w:i w:val="1"/>
          <w:iCs w:val="1"/>
          <w:color w:val="auto"/>
        </w:rPr>
        <w:t>Event of</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Withdrawal</w:t>
      </w:r>
      <w:r>
        <w:rPr>
          <w:rFonts w:ascii="Arial" w:cs="Arial" w:eastAsia="Arial" w:hAnsi="Arial"/>
          <w:sz w:val="22"/>
          <w:szCs w:val="22"/>
          <w:color w:val="auto"/>
        </w:rPr>
        <w:t>”):</w:t>
      </w:r>
    </w:p>
    <w:p>
      <w:pPr>
        <w:spacing w:after="0" w:line="186" w:lineRule="exact"/>
        <w:rPr>
          <w:sz w:val="20"/>
          <w:szCs w:val="20"/>
          <w:color w:val="auto"/>
        </w:rPr>
      </w:pPr>
    </w:p>
    <w:p>
      <w:pPr>
        <w:ind w:left="1960" w:hanging="655"/>
        <w:spacing w:after="0"/>
        <w:tabs>
          <w:tab w:leader="none" w:pos="1960"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General Partner voluntarily withdraws from the Partnership by giving written notice to the other</w:t>
      </w:r>
    </w:p>
    <w:p>
      <w:pPr>
        <w:spacing w:after="0" w:line="1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Partners;</w:t>
      </w:r>
    </w:p>
    <w:p>
      <w:pPr>
        <w:spacing w:after="0" w:line="188" w:lineRule="exact"/>
        <w:rPr>
          <w:rFonts w:ascii="Arial" w:cs="Arial" w:eastAsia="Arial" w:hAnsi="Arial"/>
          <w:sz w:val="21"/>
          <w:szCs w:val="21"/>
          <w:color w:val="auto"/>
        </w:rPr>
      </w:pPr>
    </w:p>
    <w:p>
      <w:pPr>
        <w:ind w:left="1980" w:hanging="675"/>
        <w:spacing w:after="0"/>
        <w:tabs>
          <w:tab w:leader="none" w:pos="19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The General Partner transfers all of its rights as General Partner pursuant to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80" w:hanging="675"/>
        <w:spacing w:after="0"/>
        <w:tabs>
          <w:tab w:leader="none" w:pos="19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The General Partner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660" w:right="160" w:firstLine="645"/>
        <w:spacing w:after="0" w:line="279" w:lineRule="auto"/>
        <w:tabs>
          <w:tab w:leader="none" w:pos="1971"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General Partner (A) makes a general assignment for the benefit of creditors; (B) files a voluntary petition in bankruptcy; (C) files a voluntary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11.1(a)(iv)</w:t>
      </w:r>
      <w:r>
        <w:rPr>
          <w:rFonts w:ascii="Arial" w:cs="Arial" w:eastAsia="Arial" w:hAnsi="Arial"/>
          <w:sz w:val="19"/>
          <w:szCs w:val="19"/>
          <w:color w:val="auto"/>
        </w:rPr>
        <w:t>; or (E) seeks, consents to or acquiesces in the appointment of a trustee (but not a debtor in possession), receiver or liquidating trustee of the General Partner or of all or any substantial part of its properties;</w:t>
      </w:r>
    </w:p>
    <w:p>
      <w:pPr>
        <w:spacing w:after="0" w:line="150" w:lineRule="exact"/>
        <w:rPr>
          <w:rFonts w:ascii="Arial" w:cs="Arial" w:eastAsia="Arial" w:hAnsi="Arial"/>
          <w:sz w:val="19"/>
          <w:szCs w:val="19"/>
          <w:color w:val="auto"/>
        </w:rPr>
      </w:pPr>
    </w:p>
    <w:p>
      <w:pPr>
        <w:ind w:left="660" w:right="400" w:firstLine="645"/>
        <w:spacing w:after="0" w:line="251" w:lineRule="auto"/>
        <w:tabs>
          <w:tab w:leader="none" w:pos="196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General Partner is adjudged bankrupt or insolvent, or has entered against it an order for relief in any bankruptcy or insolvency proceeding;</w:t>
      </w:r>
    </w:p>
    <w:p>
      <w:pPr>
        <w:spacing w:after="0" w:line="173" w:lineRule="exact"/>
        <w:rPr>
          <w:rFonts w:ascii="Arial" w:cs="Arial" w:eastAsia="Arial" w:hAnsi="Arial"/>
          <w:sz w:val="22"/>
          <w:szCs w:val="22"/>
          <w:color w:val="auto"/>
        </w:rPr>
      </w:pPr>
    </w:p>
    <w:p>
      <w:pPr>
        <w:ind w:left="660" w:firstLine="645"/>
        <w:spacing w:after="0" w:line="234" w:lineRule="auto"/>
        <w:tabs>
          <w:tab w:leader="none" w:pos="1971"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in the event the General Partner is a corporation, the filing of a certificate of dissolution, or its equivalent, for the corporation or the revocation of its charter and the expiration of 90 days after the date of notice to the General Partner of revocation without a reinstatement of its charter;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If an Event of Withdrawal specified in </w:t>
      </w:r>
      <w:r>
        <w:rPr>
          <w:rFonts w:ascii="Arial" w:cs="Arial" w:eastAsia="Arial" w:hAnsi="Arial"/>
          <w:sz w:val="19"/>
          <w:szCs w:val="19"/>
          <w:u w:val="single" w:color="auto"/>
          <w:color w:val="auto"/>
        </w:rPr>
        <w:t>Section 11.1(a)(iv)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11.1(a)(vi)(A)</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11.1(a)(vi)(B)</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11.1(a)(vi)(C)</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w:t>
      </w:r>
    </w:p>
    <w:p>
      <w:pPr>
        <w:spacing w:after="0" w:line="43"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9"/>
          <w:szCs w:val="19"/>
          <w:u w:val="single" w:color="auto"/>
          <w:color w:val="auto"/>
        </w:rPr>
      </w:pPr>
      <w:r>
        <w:rPr>
          <w:rFonts w:ascii="Arial" w:cs="Arial" w:eastAsia="Arial" w:hAnsi="Arial"/>
          <w:sz w:val="19"/>
          <w:szCs w:val="19"/>
          <w:color w:val="auto"/>
        </w:rPr>
        <w:t>occurs, the withdrawing General Partner shall give notice to the Limited Partners within 30 days after such occurrence. The</w:t>
      </w:r>
    </w:p>
    <w:p>
      <w:pPr>
        <w:spacing w:after="0" w:line="24" w:lineRule="exact"/>
        <w:rPr>
          <w:rFonts w:ascii="Arial" w:cs="Arial" w:eastAsia="Arial" w:hAnsi="Arial"/>
          <w:sz w:val="19"/>
          <w:szCs w:val="19"/>
          <w:u w:val="single" w:color="auto"/>
          <w:color w:val="auto"/>
        </w:rPr>
      </w:pPr>
    </w:p>
    <w:p>
      <w:pPr>
        <w:spacing w:after="0" w:line="237" w:lineRule="auto"/>
        <w:rPr>
          <w:rFonts w:ascii="Arial" w:cs="Arial" w:eastAsia="Arial" w:hAnsi="Arial"/>
          <w:sz w:val="19"/>
          <w:szCs w:val="19"/>
          <w:u w:val="single" w:color="auto"/>
          <w:color w:val="auto"/>
        </w:rPr>
      </w:pPr>
      <w:r>
        <w:rPr>
          <w:rFonts w:ascii="Arial" w:cs="Arial" w:eastAsia="Arial" w:hAnsi="Arial"/>
          <w:sz w:val="22"/>
          <w:szCs w:val="22"/>
          <w:color w:val="auto"/>
        </w:rPr>
        <w:t xml:space="preserve">Partners hereby agree that only the Events of Withdrawal described in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result in the withdrawal of the General Partner from the Partnership.</w:t>
      </w:r>
    </w:p>
    <w:p>
      <w:pPr>
        <w:spacing w:after="0" w:line="184" w:lineRule="exact"/>
        <w:rPr>
          <w:rFonts w:ascii="Arial" w:cs="Arial" w:eastAsia="Arial" w:hAnsi="Arial"/>
          <w:sz w:val="19"/>
          <w:szCs w:val="19"/>
          <w:u w:val="single" w:color="auto"/>
          <w:color w:val="auto"/>
        </w:rPr>
      </w:pPr>
    </w:p>
    <w:p>
      <w:pPr>
        <w:ind w:right="20" w:firstLine="1305"/>
        <w:spacing w:after="0" w:line="251" w:lineRule="auto"/>
        <w:tabs>
          <w:tab w:leader="none" w:pos="1954" w:val="left"/>
        </w:tabs>
        <w:numPr>
          <w:ilvl w:val="1"/>
          <w:numId w:val="67"/>
        </w:numPr>
        <w:rPr>
          <w:rFonts w:ascii="Arial" w:cs="Arial" w:eastAsia="Arial" w:hAnsi="Arial"/>
          <w:sz w:val="22"/>
          <w:szCs w:val="22"/>
          <w:color w:val="auto"/>
        </w:rPr>
      </w:pPr>
      <w:r>
        <w:rPr>
          <w:rFonts w:ascii="Arial" w:cs="Arial" w:eastAsia="Arial" w:hAnsi="Arial"/>
          <w:sz w:val="22"/>
          <w:szCs w:val="22"/>
          <w:color w:val="auto"/>
        </w:rPr>
        <w:t>Withdrawal of the General Partner from the Partnership upon the occurrence of an Event of Withdrawal shall not constitute a breach of this Agreement under the following circumstances: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64" w:name="page65"/>
    <w:bookmarkEnd w:id="64"/>
    <w:p>
      <w:pPr>
        <w:ind w:left="660" w:firstLine="645"/>
        <w:spacing w:after="0" w:line="277" w:lineRule="auto"/>
        <w:tabs>
          <w:tab w:leader="none" w:pos="1971"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at any time during the period beginning on the Closing Date and ending at 12:00 midnight, prevailing Eastern Time, on March 31, 2024, the General Partner voluntarily withdraws by giving at least 90 days’ advance notice of its intention to withdraw to the Limited Partners, such withdrawal to take effect on the date specified in the notice;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prior to the effective date of such withdrawal, the withdrawal is approved by a Unit Majority (excluding</w:t>
      </w:r>
      <w:r>
        <w:rPr>
          <w:rFonts w:ascii="Arial" w:cs="Arial" w:eastAsia="Arial" w:hAnsi="Arial"/>
          <w:sz w:val="19"/>
          <w:szCs w:val="19"/>
          <w:i w:val="1"/>
          <w:iCs w:val="1"/>
          <w:color w:val="auto"/>
        </w:rPr>
        <w:t xml:space="preserve"> </w:t>
      </w:r>
      <w:r>
        <w:rPr>
          <w:rFonts w:ascii="Arial" w:cs="Arial" w:eastAsia="Arial" w:hAnsi="Arial"/>
          <w:sz w:val="19"/>
          <w:szCs w:val="19"/>
          <w:color w:val="auto"/>
        </w:rPr>
        <w:t>Common Units held by the General Partner and its Affiliates) and the General Partner delivers to the Partnership an Opinion of Counsel (“</w:t>
      </w:r>
      <w:r>
        <w:rPr>
          <w:rFonts w:ascii="Arial" w:cs="Arial" w:eastAsia="Arial" w:hAnsi="Arial"/>
          <w:sz w:val="19"/>
          <w:szCs w:val="19"/>
          <w:b w:val="1"/>
          <w:bCs w:val="1"/>
          <w:i w:val="1"/>
          <w:iCs w:val="1"/>
          <w:color w:val="auto"/>
        </w:rPr>
        <w:t>Withdrawal Opinion of Counsel</w:t>
      </w:r>
      <w:r>
        <w:rPr>
          <w:rFonts w:ascii="Arial" w:cs="Arial" w:eastAsia="Arial" w:hAnsi="Arial"/>
          <w:sz w:val="19"/>
          <w:szCs w:val="19"/>
          <w:color w:val="auto"/>
        </w:rPr>
        <w:t>”) that such withdrawal (following the selection of the successor General Partner) would not result in the loss of the limited liability of any Limited Partner or any Group Member;</w:t>
      </w:r>
    </w:p>
    <w:p>
      <w:pPr>
        <w:spacing w:after="0" w:line="152" w:lineRule="exact"/>
        <w:rPr>
          <w:rFonts w:ascii="Arial" w:cs="Arial" w:eastAsia="Arial" w:hAnsi="Arial"/>
          <w:sz w:val="19"/>
          <w:szCs w:val="19"/>
          <w:color w:val="auto"/>
        </w:rPr>
      </w:pPr>
    </w:p>
    <w:p>
      <w:pPr>
        <w:ind w:left="660" w:right="260" w:firstLine="645"/>
        <w:spacing w:after="0" w:line="238" w:lineRule="auto"/>
        <w:tabs>
          <w:tab w:leader="none" w:pos="1977" w:val="left"/>
        </w:tabs>
        <w:numPr>
          <w:ilvl w:val="0"/>
          <w:numId w:val="68"/>
        </w:numPr>
        <w:rPr>
          <w:rFonts w:ascii="Arial" w:cs="Arial" w:eastAsia="Arial" w:hAnsi="Arial"/>
          <w:sz w:val="22"/>
          <w:szCs w:val="22"/>
          <w:color w:val="auto"/>
        </w:rPr>
      </w:pPr>
      <w:r>
        <w:rPr>
          <w:rFonts w:ascii="Arial" w:cs="Arial" w:eastAsia="Arial" w:hAnsi="Arial"/>
          <w:sz w:val="22"/>
          <w:szCs w:val="22"/>
          <w:color w:val="auto"/>
        </w:rPr>
        <w:t>at any time after 12:00 midnight, prevailing Eastern Time, on March 31, 2024, the General Partner voluntarily withdraws by giving at least 90 days’ advance notice to the Unitholders, such withdrawal to take effect on the date specified in such notice (</w:t>
      </w:r>
      <w:r>
        <w:rPr>
          <w:rFonts w:ascii="Arial" w:cs="Arial" w:eastAsia="Arial" w:hAnsi="Arial"/>
          <w:sz w:val="22"/>
          <w:szCs w:val="22"/>
          <w:i w:val="1"/>
          <w:iCs w:val="1"/>
          <w:color w:val="auto"/>
        </w:rPr>
        <w:t>provided</w:t>
      </w:r>
      <w:r>
        <w:rPr>
          <w:rFonts w:ascii="Arial" w:cs="Arial" w:eastAsia="Arial" w:hAnsi="Arial"/>
          <w:sz w:val="22"/>
          <w:szCs w:val="22"/>
          <w:color w:val="auto"/>
        </w:rPr>
        <w:t>, that, prior to the effective date of such withdrawal, the General Partner delivers to the Partnership a Withdrawal Opinion of Counsel);</w:t>
      </w:r>
    </w:p>
    <w:p>
      <w:pPr>
        <w:spacing w:after="0" w:line="185" w:lineRule="exact"/>
        <w:rPr>
          <w:rFonts w:ascii="Arial" w:cs="Arial" w:eastAsia="Arial" w:hAnsi="Arial"/>
          <w:sz w:val="22"/>
          <w:szCs w:val="22"/>
          <w:color w:val="auto"/>
        </w:rPr>
      </w:pPr>
    </w:p>
    <w:p>
      <w:pPr>
        <w:ind w:left="660" w:right="460" w:firstLine="645"/>
        <w:spacing w:after="0" w:line="251" w:lineRule="auto"/>
        <w:tabs>
          <w:tab w:leader="none" w:pos="1983"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at any time that the General Partner ceases to be the General Partner pursuant to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or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or</w:t>
      </w:r>
    </w:p>
    <w:p>
      <w:pPr>
        <w:spacing w:after="0" w:line="173" w:lineRule="exact"/>
        <w:rPr>
          <w:rFonts w:ascii="Arial" w:cs="Arial" w:eastAsia="Arial" w:hAnsi="Arial"/>
          <w:sz w:val="22"/>
          <w:szCs w:val="22"/>
          <w:color w:val="auto"/>
        </w:rPr>
      </w:pPr>
    </w:p>
    <w:p>
      <w:pPr>
        <w:ind w:left="660" w:right="80" w:firstLine="645"/>
        <w:spacing w:after="0" w:line="271" w:lineRule="auto"/>
        <w:tabs>
          <w:tab w:leader="none" w:pos="1971" w:val="left"/>
        </w:tabs>
        <w:numPr>
          <w:ilvl w:val="0"/>
          <w:numId w:val="68"/>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11.1(b)</w:t>
      </w:r>
      <w:r>
        <w:rPr>
          <w:rFonts w:ascii="Arial" w:cs="Arial" w:eastAsia="Arial" w:hAnsi="Arial"/>
          <w:sz w:val="19"/>
          <w:szCs w:val="19"/>
          <w:color w:val="auto"/>
        </w:rPr>
        <w:t xml:space="preserve">,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if any, to the extent applicable, of the other Group Members. If the General Partner gives a notice of withdrawal pursuant to </w:t>
      </w:r>
      <w:r>
        <w:rPr>
          <w:rFonts w:ascii="Arial" w:cs="Arial" w:eastAsia="Arial" w:hAnsi="Arial"/>
          <w:sz w:val="19"/>
          <w:szCs w:val="19"/>
          <w:u w:val="single" w:color="auto"/>
          <w:color w:val="auto"/>
        </w:rPr>
        <w:t>Section 11.1(a)(i)</w:t>
      </w:r>
      <w:r>
        <w:rPr>
          <w:rFonts w:ascii="Arial" w:cs="Arial" w:eastAsia="Arial" w:hAnsi="Arial"/>
          <w:sz w:val="19"/>
          <w:szCs w:val="19"/>
          <w:color w:val="auto"/>
        </w:rPr>
        <w:t xml:space="preserve">, the holders of a Unit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If, prior to the effective date of the General Partner’s withdrawal, a successor is not selected by the Unitholders as provided herein or, if applicable, the Partnership does not receive a Withdrawal Opinion of Counsel, the Partnership shall be dissolved in accordance with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Any successor General Partner elected in accordance with the terms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be subject to the provisions of </w:t>
      </w:r>
      <w:r>
        <w:rPr>
          <w:rFonts w:ascii="Arial" w:cs="Arial" w:eastAsia="Arial" w:hAnsi="Arial"/>
          <w:sz w:val="19"/>
          <w:szCs w:val="19"/>
          <w:u w:val="single" w:color="auto"/>
          <w:color w:val="auto"/>
        </w:rPr>
        <w:t>Section 10.3.</w:t>
      </w:r>
    </w:p>
    <w:p>
      <w:pPr>
        <w:spacing w:after="0" w:line="165" w:lineRule="exact"/>
        <w:rPr>
          <w:sz w:val="20"/>
          <w:szCs w:val="20"/>
          <w:color w:val="auto"/>
        </w:rPr>
      </w:pPr>
    </w:p>
    <w:p>
      <w:pPr>
        <w:ind w:right="100" w:firstLine="1297"/>
        <w:spacing w:after="0" w:line="252"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i w:val="1"/>
          <w:iCs w:val="1"/>
          <w:color w:val="auto"/>
        </w:rPr>
        <w:t>Removal of the General Partner</w:t>
      </w:r>
      <w:r>
        <w:rPr>
          <w:rFonts w:ascii="Arial" w:cs="Arial" w:eastAsia="Arial" w:hAnsi="Arial"/>
          <w:sz w:val="21"/>
          <w:szCs w:val="21"/>
          <w:color w:val="auto"/>
        </w:rPr>
        <w:t>. The General Partner may be removed if such removal is approved by the Unitholders holding at least 66 2/3 % of the Outstanding Common Units (including Common Units held by the General Partner and its Affiliates). Any such action by such holders or the Board of Directors for removal of the General Partner must also provide for the election of a successor General Partner by the vote of a Unit Majority.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5" w:name="page66"/>
    <w:bookmarkEnd w:id="65"/>
    <w:p>
      <w:pPr>
        <w:ind w:right="40" w:firstLine="1297"/>
        <w:spacing w:after="0" w:line="245" w:lineRule="auto"/>
        <w:rPr>
          <w:sz w:val="20"/>
          <w:szCs w:val="20"/>
          <w:color w:val="auto"/>
        </w:rPr>
      </w:pPr>
      <w:r>
        <w:rPr>
          <w:rFonts w:ascii="Arial" w:cs="Arial" w:eastAsia="Arial" w:hAnsi="Arial"/>
          <w:sz w:val="21"/>
          <w:szCs w:val="21"/>
          <w:color w:val="auto"/>
        </w:rPr>
        <w:t xml:space="preserve">Such removal shall be effective immediately following the admission of a successor General Partner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such Person shall, upon admission pursuant to </w:t>
      </w:r>
      <w:r>
        <w:rPr>
          <w:rFonts w:ascii="Arial" w:cs="Arial" w:eastAsia="Arial" w:hAnsi="Arial"/>
          <w:sz w:val="21"/>
          <w:szCs w:val="21"/>
          <w:u w:val="single" w:color="auto"/>
          <w:color w:val="auto"/>
        </w:rPr>
        <w:t>Section 10.3</w:t>
      </w:r>
      <w:r>
        <w:rPr>
          <w:rFonts w:ascii="Arial" w:cs="Arial" w:eastAsia="Arial" w:hAnsi="Arial"/>
          <w:sz w:val="21"/>
          <w:szCs w:val="21"/>
          <w:color w:val="auto"/>
        </w:rPr>
        <w:t xml:space="preserve">, automatically become a successor general partner or managing member, to the extent applicable, of the other Group Members of which the General Partner is a general partner or a managing member. The right of the holders of Outstanding Common Units to remove the General Partner shall not exist or be exercised unless the Partnership has received an Opinion of Counsel opining as to the matters covered by a Withdrawal Opinion of Counsel. Any successor General Partner elected in accordance with the terms of this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shall be subject to the provisions of </w:t>
      </w:r>
      <w:r>
        <w:rPr>
          <w:rFonts w:ascii="Arial" w:cs="Arial" w:eastAsia="Arial" w:hAnsi="Arial"/>
          <w:sz w:val="21"/>
          <w:szCs w:val="21"/>
          <w:u w:val="single" w:color="auto"/>
          <w:color w:val="auto"/>
        </w:rPr>
        <w:t>Section 10.3</w:t>
      </w:r>
      <w:r>
        <w:rPr>
          <w:rFonts w:ascii="Arial" w:cs="Arial" w:eastAsia="Arial" w:hAnsi="Arial"/>
          <w:sz w:val="21"/>
          <w:szCs w:val="21"/>
          <w:color w:val="auto"/>
        </w:rPr>
        <w:t>.</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11.3.  </w:t>
      </w:r>
      <w:r>
        <w:rPr>
          <w:rFonts w:ascii="Arial" w:cs="Arial" w:eastAsia="Arial" w:hAnsi="Arial"/>
          <w:sz w:val="22"/>
          <w:szCs w:val="22"/>
          <w:i w:val="1"/>
          <w:iCs w:val="1"/>
          <w:color w:val="auto"/>
        </w:rPr>
        <w:t>Interest of Departing General Partner and Successor General Partner</w:t>
      </w:r>
      <w:r>
        <w:rPr>
          <w:rFonts w:ascii="Arial" w:cs="Arial" w:eastAsia="Arial" w:hAnsi="Arial"/>
          <w:sz w:val="22"/>
          <w:szCs w:val="22"/>
          <w:color w:val="auto"/>
        </w:rPr>
        <w:t>. (a) In the event of</w:t>
      </w:r>
    </w:p>
    <w:p>
      <w:pPr>
        <w:spacing w:after="0" w:line="8" w:lineRule="exact"/>
        <w:rPr>
          <w:sz w:val="20"/>
          <w:szCs w:val="20"/>
          <w:color w:val="auto"/>
        </w:rPr>
      </w:pPr>
    </w:p>
    <w:p>
      <w:pPr>
        <w:ind w:firstLine="8"/>
        <w:spacing w:after="0" w:line="269" w:lineRule="auto"/>
        <w:tabs>
          <w:tab w:leader="none" w:pos="258" w:val="left"/>
        </w:tabs>
        <w:numPr>
          <w:ilvl w:val="0"/>
          <w:numId w:val="69"/>
        </w:numPr>
        <w:rPr>
          <w:rFonts w:ascii="Arial" w:cs="Arial" w:eastAsia="Arial" w:hAnsi="Arial"/>
          <w:sz w:val="19"/>
          <w:szCs w:val="19"/>
          <w:color w:val="auto"/>
        </w:rPr>
      </w:pPr>
      <w:r>
        <w:rPr>
          <w:rFonts w:ascii="Arial" w:cs="Arial" w:eastAsia="Arial" w:hAnsi="Arial"/>
          <w:sz w:val="19"/>
          <w:szCs w:val="19"/>
          <w:color w:val="auto"/>
        </w:rPr>
        <w:t xml:space="preserve">withdrawal of the General Partner under circumstances where such withdrawal does not violate this Agreement or (ii) removal of the General Partner by the holders of Outstanding Common Units under circumstances where Cause does not exist, if the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(A) the Departing General Partner shall have the option, exercisable prior to the effective date of the departure of such Departing General Partner, to require its successor to purchase its General Partner Interest (represented by General Partner Units), its general partner interest (or equivalent interest), if any, in the other Group Members and its Class B Units, if any (collectively, the “</w:t>
      </w:r>
      <w:r>
        <w:rPr>
          <w:rFonts w:ascii="Arial" w:cs="Arial" w:eastAsia="Arial" w:hAnsi="Arial"/>
          <w:sz w:val="19"/>
          <w:szCs w:val="19"/>
          <w:b w:val="1"/>
          <w:bCs w:val="1"/>
          <w:i w:val="1"/>
          <w:iCs w:val="1"/>
          <w:color w:val="auto"/>
        </w:rPr>
        <w:t>Combined Interest</w:t>
      </w:r>
      <w:r>
        <w:rPr>
          <w:rFonts w:ascii="Arial" w:cs="Arial" w:eastAsia="Arial" w:hAnsi="Arial"/>
          <w:sz w:val="19"/>
          <w:szCs w:val="19"/>
          <w:color w:val="auto"/>
        </w:rPr>
        <w:t xml:space="preserve">”), in exchange for an amount in cash equal to the fair market value of such Combined Interest, such amount to be determined and payable as of the effective date of its departure, and (B) any other holders of the Class B Units shall have the option, exercisable prior to the effective date of the departure of such Departing General Partner, to require such successor to purchase such holders’ Class B Units in exchange for an amount in cash equal to the fair market value of such Class B Units, such amount to be determined and payable as of the effective date of the Departing General Partner’s departure. If the General Partner is removed by the holders of Outstanding Common Units under circumstances where Cause exists or if the General Partner withdraws under circumstances where such withdrawal violates this Agreement, and 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in exchange for an amount in cash equal to such fair market value of such Combined Interest of the Departing General Partner. In either event, the Departing General Partner shall be entitled to receive all reimbursements due such Departing General Partner pursuant to </w:t>
      </w:r>
      <w:r>
        <w:rPr>
          <w:rFonts w:ascii="Arial" w:cs="Arial" w:eastAsia="Arial" w:hAnsi="Arial"/>
          <w:sz w:val="19"/>
          <w:szCs w:val="19"/>
          <w:u w:val="single" w:color="auto"/>
          <w:color w:val="auto"/>
        </w:rPr>
        <w:t>Section 7.12</w:t>
      </w:r>
      <w:r>
        <w:rPr>
          <w:rFonts w:ascii="Arial" w:cs="Arial" w:eastAsia="Arial" w:hAnsi="Arial"/>
          <w:sz w:val="19"/>
          <w:szCs w:val="19"/>
          <w:color w:val="auto"/>
        </w:rPr>
        <w:t>, including any employee related liabilities (including severance liabilities), incurred in connection with the termination of any employees employed by the Departing General Partner or its Affiliates (other than any Group Member) for the benefit of the Partnership or the other Group Members.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6" w:name="page67"/>
    <w:bookmarkEnd w:id="66"/>
    <w:p>
      <w:pPr>
        <w:ind w:right="40" w:firstLine="1297"/>
        <w:spacing w:after="0" w:line="271"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11.3(a)</w:t>
      </w:r>
      <w:r>
        <w:rPr>
          <w:rFonts w:ascii="Arial" w:cs="Arial" w:eastAsia="Arial" w:hAnsi="Arial"/>
          <w:sz w:val="19"/>
          <w:szCs w:val="19"/>
          <w:color w:val="auto"/>
        </w:rPr>
        <w:t>, the fair market value of the Departing General Partner’s Combined Interest and the value of the Class B Units held by holders other than the Departing General Partner shall be determined by agreement between the Departing General Partner and its successor or, failing agreement within 30 days after the 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and the value of the Class B Units held by holders other than the Departing General Partner. In making its determination, such third independent investment banking firm or other independent expert may consider the then current trading price of Common Units on any National Securities Exchange on which Common Units are then listed or admitted to trading, the value of the Partnership’s assets, the rights and obligations of the Departing General Partner and other factors it may deem relevant.</w:t>
      </w:r>
    </w:p>
    <w:p>
      <w:pPr>
        <w:spacing w:after="0" w:line="200" w:lineRule="exact"/>
        <w:rPr>
          <w:sz w:val="20"/>
          <w:szCs w:val="20"/>
          <w:color w:val="auto"/>
        </w:rPr>
      </w:pPr>
    </w:p>
    <w:p>
      <w:pPr>
        <w:spacing w:after="0" w:line="209" w:lineRule="exact"/>
        <w:rPr>
          <w:sz w:val="20"/>
          <w:szCs w:val="20"/>
          <w:color w:val="auto"/>
        </w:rPr>
      </w:pPr>
    </w:p>
    <w:p>
      <w:pPr>
        <w:ind w:firstLine="1305"/>
        <w:spacing w:after="0" w:line="245" w:lineRule="auto"/>
        <w:tabs>
          <w:tab w:leader="none" w:pos="1954"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If the Combined Interest is not purchased in the manner set forth in </w:t>
      </w:r>
      <w:r>
        <w:rPr>
          <w:rFonts w:ascii="Arial" w:cs="Arial" w:eastAsia="Arial" w:hAnsi="Arial"/>
          <w:sz w:val="21"/>
          <w:szCs w:val="21"/>
          <w:u w:val="single" w:color="auto"/>
          <w:color w:val="auto"/>
        </w:rPr>
        <w:t>Section 11.3(a)</w:t>
      </w:r>
      <w:r>
        <w:rPr>
          <w:rFonts w:ascii="Arial" w:cs="Arial" w:eastAsia="Arial" w:hAnsi="Arial"/>
          <w:sz w:val="21"/>
          <w:szCs w:val="21"/>
          <w:color w:val="auto"/>
        </w:rPr>
        <w:t xml:space="preserve">, the Departing General Partner (or its transferee) shall become a Limited Partner and its Combined Interest shall be converted into Common Units pursuant to a valuation made by an investment banking firm or other independent expert selected pursuant to </w:t>
      </w:r>
      <w:r>
        <w:rPr>
          <w:rFonts w:ascii="Arial" w:cs="Arial" w:eastAsia="Arial" w:hAnsi="Arial"/>
          <w:sz w:val="21"/>
          <w:szCs w:val="21"/>
          <w:u w:val="single" w:color="auto"/>
          <w:color w:val="auto"/>
        </w:rPr>
        <w:t>Section 11.3(a)</w:t>
      </w:r>
      <w:r>
        <w:rPr>
          <w:rFonts w:ascii="Arial" w:cs="Arial" w:eastAsia="Arial" w:hAnsi="Arial"/>
          <w:sz w:val="21"/>
          <w:szCs w:val="21"/>
          <w:color w:val="auto"/>
        </w:rPr>
        <w:t>,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Common Units will be characterized as if the Departing General Partner (or its transferee) contributed its Combined Interest to the Partnership in exchange for the newly issued Common Units.</w:t>
      </w:r>
    </w:p>
    <w:p>
      <w:pPr>
        <w:spacing w:after="0" w:line="185" w:lineRule="exact"/>
        <w:rPr>
          <w:rFonts w:ascii="Arial" w:cs="Arial" w:eastAsia="Arial" w:hAnsi="Arial"/>
          <w:sz w:val="21"/>
          <w:szCs w:val="21"/>
          <w:color w:val="auto"/>
        </w:rPr>
      </w:pPr>
    </w:p>
    <w:p>
      <w:pPr>
        <w:ind w:right="140" w:firstLine="1305"/>
        <w:spacing w:after="0" w:line="273" w:lineRule="auto"/>
        <w:tabs>
          <w:tab w:leader="none" w:pos="1955"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and the option described in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is not exercised by the party entitled to do so, the successor General Partner shall, at the effective date of its admission to the Partnership, contribute to the Partnership cash in the amount equal to the product of (i) the quotient obtained by dividing (A) the Percentage Interest of the General Partner Interest of the Departing General Partner by (B) a percentage equal to 100% less the Percentage Interest of the General Partner Interest of the Departing General Partner and (ii) the Net Agreed Value of the Partnership’s assets on such date. In such event, such successor General Partner shall, subject to the following sentence, be entitled to its Percentage Interest of all Partnership allocations and distributions to which the Departing General Partner was entitled. In addition, the successor General Partner shall cause this Agreement to be amended to reflect that, from and after the date of such successor General Partner’s admission, the successor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7" w:name="page68"/>
    <w:bookmarkEnd w:id="67"/>
    <w:p>
      <w:pPr>
        <w:spacing w:after="0"/>
        <w:rPr>
          <w:sz w:val="20"/>
          <w:szCs w:val="20"/>
          <w:color w:val="auto"/>
        </w:rPr>
      </w:pPr>
      <w:r>
        <w:rPr>
          <w:rFonts w:ascii="Arial" w:cs="Arial" w:eastAsia="Arial" w:hAnsi="Arial"/>
          <w:sz w:val="22"/>
          <w:szCs w:val="22"/>
          <w:color w:val="auto"/>
        </w:rPr>
        <w:t>General Partner’s interest in all Partnership distributions and allocations shall be its Percentage Interest.</w:t>
      </w:r>
    </w:p>
    <w:p>
      <w:pPr>
        <w:spacing w:after="0" w:line="206" w:lineRule="exact"/>
        <w:rPr>
          <w:sz w:val="20"/>
          <w:szCs w:val="20"/>
          <w:color w:val="auto"/>
        </w:rPr>
      </w:pPr>
    </w:p>
    <w:p>
      <w:pPr>
        <w:ind w:right="60" w:firstLine="1297"/>
        <w:spacing w:after="0" w:line="248" w:lineRule="auto"/>
        <w:rPr>
          <w:sz w:val="20"/>
          <w:szCs w:val="20"/>
          <w:color w:val="auto"/>
        </w:rPr>
      </w:pPr>
      <w:r>
        <w:rPr>
          <w:rFonts w:ascii="Arial" w:cs="Arial" w:eastAsia="Arial" w:hAnsi="Arial"/>
          <w:sz w:val="21"/>
          <w:szCs w:val="21"/>
          <w:color w:val="auto"/>
        </w:rPr>
        <w:t xml:space="preserve">Section 11.4. </w:t>
      </w:r>
      <w:r>
        <w:rPr>
          <w:rFonts w:ascii="Arial" w:cs="Arial" w:eastAsia="Arial" w:hAnsi="Arial"/>
          <w:sz w:val="21"/>
          <w:szCs w:val="21"/>
          <w:i w:val="1"/>
          <w:iCs w:val="1"/>
          <w:color w:val="auto"/>
        </w:rPr>
        <w:t>Conversion of Class B Units Upon General Partner’s Removal Without Cause</w:t>
      </w:r>
      <w:r>
        <w:rPr>
          <w:rFonts w:ascii="Arial" w:cs="Arial" w:eastAsia="Arial" w:hAnsi="Arial"/>
          <w:sz w:val="21"/>
          <w:szCs w:val="21"/>
          <w:color w:val="auto"/>
        </w:rPr>
        <w:t xml:space="preserve">. Notwithstanding any provision of this Agreement, if the General Partner is removed as general partner of the Partnership under circumstances where Cause does not exist and no Common Units held by the General Partner and its Affiliates are voted in favor of such removal, (a) all Class B Units will immediately and automatically convert into Common Units on a one-for-one basis and (b) the General Partner will have the right to convert its General Partner Interest (represented by General Partner Units) into Common Units or to receive cash in exchange therefor, as provided in </w:t>
      </w:r>
      <w:r>
        <w:rPr>
          <w:rFonts w:ascii="Arial" w:cs="Arial" w:eastAsia="Arial" w:hAnsi="Arial"/>
          <w:sz w:val="21"/>
          <w:szCs w:val="21"/>
          <w:u w:val="single" w:color="auto"/>
          <w:color w:val="auto"/>
        </w:rPr>
        <w:t>Section 11.3</w:t>
      </w:r>
      <w:r>
        <w:rPr>
          <w:rFonts w:ascii="Arial" w:cs="Arial" w:eastAsia="Arial" w:hAnsi="Arial"/>
          <w:sz w:val="21"/>
          <w:szCs w:val="21"/>
          <w:color w:val="auto"/>
        </w:rPr>
        <w:t>.</w:t>
      </w:r>
    </w:p>
    <w:p>
      <w:pPr>
        <w:spacing w:after="0" w:line="177" w:lineRule="exact"/>
        <w:rPr>
          <w:sz w:val="20"/>
          <w:szCs w:val="20"/>
          <w:color w:val="auto"/>
        </w:rPr>
      </w:pPr>
    </w:p>
    <w:p>
      <w:pPr>
        <w:ind w:right="100" w:firstLine="1297"/>
        <w:spacing w:after="0" w:line="238"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i w:val="1"/>
          <w:iCs w:val="1"/>
          <w:color w:val="auto"/>
        </w:rPr>
        <w:t>Withdrawal of Limited Partners</w:t>
      </w:r>
      <w:r>
        <w:rPr>
          <w:rFonts w:ascii="Arial" w:cs="Arial" w:eastAsia="Arial" w:hAnsi="Arial"/>
          <w:sz w:val="22"/>
          <w:szCs w:val="22"/>
          <w:color w:val="auto"/>
        </w:rPr>
        <w:t xml:space="preserve">. No Limited Partner shall have any right to withdraw from the Partnership;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DISSOLUTION AND LIQUIDATION</w:t>
      </w:r>
    </w:p>
    <w:p>
      <w:pPr>
        <w:spacing w:after="0" w:line="188" w:lineRule="exact"/>
        <w:rPr>
          <w:sz w:val="20"/>
          <w:szCs w:val="20"/>
          <w:color w:val="auto"/>
        </w:rPr>
      </w:pPr>
    </w:p>
    <w:p>
      <w:pPr>
        <w:ind w:firstLine="1297"/>
        <w:spacing w:after="0" w:line="249" w:lineRule="auto"/>
        <w:rPr>
          <w:sz w:val="20"/>
          <w:szCs w:val="20"/>
          <w:color w:val="auto"/>
        </w:rPr>
      </w:pPr>
      <w:r>
        <w:rPr>
          <w:rFonts w:ascii="Arial" w:cs="Arial" w:eastAsia="Arial" w:hAnsi="Arial"/>
          <w:sz w:val="21"/>
          <w:szCs w:val="21"/>
          <w:color w:val="auto"/>
        </w:rPr>
        <w:t xml:space="preserve">Section 12.1. </w:t>
      </w:r>
      <w:r>
        <w:rPr>
          <w:rFonts w:ascii="Arial" w:cs="Arial" w:eastAsia="Arial" w:hAnsi="Arial"/>
          <w:sz w:val="21"/>
          <w:szCs w:val="21"/>
          <w:i w:val="1"/>
          <w:iCs w:val="1"/>
          <w:color w:val="auto"/>
        </w:rPr>
        <w:t>Dissolution</w:t>
      </w:r>
      <w:r>
        <w:rPr>
          <w:rFonts w:ascii="Arial" w:cs="Arial" w:eastAsia="Arial" w:hAnsi="Arial"/>
          <w:sz w:val="21"/>
          <w:szCs w:val="21"/>
          <w:color w:val="auto"/>
        </w:rPr>
        <w:t xml:space="preserve">. The Partnership shall not be dissolved by the admission of additional Limited Partners or by the admission of a successor or additional General Partner in accordance with the terms of this Agreement. Upon the removal or withdrawal of the General Partner, if a successor General Partner is elected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the Partnership shall not be dissolved and the Board of Directors shall continue the business of the Partnership. The Partnership shall dissolve, and (subject to </w:t>
      </w:r>
      <w:r>
        <w:rPr>
          <w:rFonts w:ascii="Arial" w:cs="Arial" w:eastAsia="Arial" w:hAnsi="Arial"/>
          <w:sz w:val="21"/>
          <w:szCs w:val="21"/>
          <w:u w:val="single" w:color="auto"/>
          <w:color w:val="auto"/>
        </w:rPr>
        <w:t>Section 12.2</w:t>
      </w:r>
      <w:r>
        <w:rPr>
          <w:rFonts w:ascii="Arial" w:cs="Arial" w:eastAsia="Arial" w:hAnsi="Arial"/>
          <w:sz w:val="21"/>
          <w:szCs w:val="21"/>
          <w:color w:val="auto"/>
        </w:rPr>
        <w:t>) its affairs shall be wound up, upon:</w:t>
      </w:r>
    </w:p>
    <w:p>
      <w:pPr>
        <w:spacing w:after="0" w:line="179" w:lineRule="exact"/>
        <w:rPr>
          <w:sz w:val="20"/>
          <w:szCs w:val="20"/>
          <w:color w:val="auto"/>
        </w:rPr>
      </w:pPr>
    </w:p>
    <w:p>
      <w:pPr>
        <w:ind w:left="660" w:right="80" w:firstLine="645"/>
        <w:spacing w:after="0" w:line="251" w:lineRule="auto"/>
        <w:tabs>
          <w:tab w:leader="none" w:pos="1967"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 election to dissolve the Partnership by the General Partner and our Board of Directors that is approved by the holders of a Unit Majority;</w:t>
      </w:r>
    </w:p>
    <w:p>
      <w:pPr>
        <w:spacing w:after="0" w:line="173" w:lineRule="exact"/>
        <w:rPr>
          <w:rFonts w:ascii="Arial" w:cs="Arial" w:eastAsia="Arial" w:hAnsi="Arial"/>
          <w:sz w:val="22"/>
          <w:szCs w:val="22"/>
          <w:color w:val="auto"/>
        </w:rPr>
      </w:pPr>
    </w:p>
    <w:p>
      <w:pPr>
        <w:ind w:left="660" w:right="880" w:firstLine="645"/>
        <w:spacing w:after="0" w:line="251" w:lineRule="auto"/>
        <w:tabs>
          <w:tab w:leader="none" w:pos="1965" w:val="left"/>
        </w:tabs>
        <w:numPr>
          <w:ilvl w:val="0"/>
          <w:numId w:val="71"/>
        </w:numPr>
        <w:rPr>
          <w:rFonts w:ascii="Arial" w:cs="Arial" w:eastAsia="Arial" w:hAnsi="Arial"/>
          <w:sz w:val="22"/>
          <w:szCs w:val="22"/>
          <w:color w:val="auto"/>
        </w:rPr>
      </w:pPr>
      <w:r>
        <w:rPr>
          <w:rFonts w:ascii="Arial" w:cs="Arial" w:eastAsia="Arial" w:hAnsi="Arial"/>
          <w:sz w:val="22"/>
          <w:szCs w:val="22"/>
          <w:color w:val="auto"/>
        </w:rPr>
        <w:t>at any time there are no Limited Partners, unless the Partnership is continued without dissolution in accordance with the Marshall Islands Act;</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entry of a decree of judicial dissolution of the Partnership pursuant to the provisions of the Marshall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Islands Act; or</w:t>
      </w:r>
    </w:p>
    <w:p>
      <w:pPr>
        <w:spacing w:after="0" w:line="188" w:lineRule="exact"/>
        <w:rPr>
          <w:rFonts w:ascii="Arial" w:cs="Arial" w:eastAsia="Arial" w:hAnsi="Arial"/>
          <w:sz w:val="19"/>
          <w:szCs w:val="19"/>
          <w:color w:val="auto"/>
        </w:rPr>
      </w:pPr>
    </w:p>
    <w:p>
      <w:pPr>
        <w:ind w:left="660" w:right="40" w:firstLine="645"/>
        <w:spacing w:after="0"/>
        <w:tabs>
          <w:tab w:leader="none" w:pos="1952" w:val="left"/>
        </w:tabs>
        <w:numPr>
          <w:ilvl w:val="0"/>
          <w:numId w:val="71"/>
        </w:numPr>
        <w:rPr>
          <w:rFonts w:ascii="Arial" w:cs="Arial" w:eastAsia="Arial" w:hAnsi="Arial"/>
          <w:sz w:val="22"/>
          <w:szCs w:val="22"/>
          <w:color w:val="auto"/>
        </w:rPr>
      </w:pPr>
      <w:r>
        <w:rPr>
          <w:rFonts w:ascii="Arial" w:cs="Arial" w:eastAsia="Arial" w:hAnsi="Arial"/>
          <w:sz w:val="22"/>
          <w:szCs w:val="22"/>
          <w:color w:val="auto"/>
        </w:rPr>
        <w:t xml:space="preserve">an Event of Withdrawal of the General Partner as provided in </w:t>
      </w:r>
      <w:r>
        <w:rPr>
          <w:rFonts w:ascii="Arial" w:cs="Arial" w:eastAsia="Arial" w:hAnsi="Arial"/>
          <w:sz w:val="22"/>
          <w:szCs w:val="22"/>
          <w:u w:val="single" w:color="auto"/>
          <w:color w:val="auto"/>
        </w:rPr>
        <w:t>Section 11.1(a)</w:t>
      </w:r>
      <w:r>
        <w:rPr>
          <w:rFonts w:ascii="Arial" w:cs="Arial" w:eastAsia="Arial" w:hAnsi="Arial"/>
          <w:sz w:val="22"/>
          <w:szCs w:val="22"/>
          <w:color w:val="auto"/>
        </w:rPr>
        <w:t xml:space="preserve"> (other than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unless a successor is elected and an Opinion of Counsel is received as provided in </w:t>
      </w:r>
      <w:r>
        <w:rPr>
          <w:rFonts w:ascii="Arial" w:cs="Arial" w:eastAsia="Arial" w:hAnsi="Arial"/>
          <w:sz w:val="22"/>
          <w:szCs w:val="22"/>
          <w:u w:val="single" w:color="auto"/>
          <w:color w:val="auto"/>
        </w:rPr>
        <w:t>Section 11.1(b)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 xml:space="preserve"> and such successor is admitted to the Partnership pursuant to </w:t>
      </w:r>
      <w:r>
        <w:rPr>
          <w:rFonts w:ascii="Arial" w:cs="Arial" w:eastAsia="Arial" w:hAnsi="Arial"/>
          <w:sz w:val="22"/>
          <w:szCs w:val="22"/>
          <w:u w:val="single" w:color="auto"/>
          <w:color w:val="auto"/>
        </w:rPr>
        <w:t>Section 10.3</w:t>
      </w:r>
      <w:r>
        <w:rPr>
          <w:rFonts w:ascii="Arial" w:cs="Arial" w:eastAsia="Arial" w:hAnsi="Arial"/>
          <w:sz w:val="22"/>
          <w:szCs w:val="22"/>
          <w:color w:val="auto"/>
        </w:rPr>
        <w:t>.</w:t>
      </w:r>
    </w:p>
    <w:p>
      <w:pPr>
        <w:spacing w:after="0" w:line="186" w:lineRule="exact"/>
        <w:rPr>
          <w:sz w:val="20"/>
          <w:szCs w:val="20"/>
          <w:color w:val="auto"/>
        </w:rPr>
      </w:pPr>
    </w:p>
    <w:p>
      <w:pPr>
        <w:ind w:right="240" w:firstLine="1297"/>
        <w:spacing w:after="0" w:line="252" w:lineRule="auto"/>
        <w:rPr>
          <w:sz w:val="20"/>
          <w:szCs w:val="20"/>
          <w:color w:val="auto"/>
        </w:rPr>
      </w:pPr>
      <w:r>
        <w:rPr>
          <w:rFonts w:ascii="Arial" w:cs="Arial" w:eastAsia="Arial" w:hAnsi="Arial"/>
          <w:sz w:val="21"/>
          <w:szCs w:val="21"/>
          <w:color w:val="auto"/>
        </w:rPr>
        <w:t xml:space="preserve">Section 12.2. </w:t>
      </w:r>
      <w:r>
        <w:rPr>
          <w:rFonts w:ascii="Arial" w:cs="Arial" w:eastAsia="Arial" w:hAnsi="Arial"/>
          <w:sz w:val="21"/>
          <w:szCs w:val="21"/>
          <w:i w:val="1"/>
          <w:iCs w:val="1"/>
          <w:color w:val="auto"/>
        </w:rPr>
        <w:t>Continuation of the Business of the Partnership After Dissolution</w:t>
      </w:r>
      <w:r>
        <w:rPr>
          <w:rFonts w:ascii="Arial" w:cs="Arial" w:eastAsia="Arial" w:hAnsi="Arial"/>
          <w:sz w:val="21"/>
          <w:szCs w:val="21"/>
          <w:color w:val="auto"/>
        </w:rPr>
        <w:t xml:space="preserve">. Upon (a) dissolution of the Partnership following an Event of Withdrawal caused by the withdrawal or removal of the General Partner as provided in </w:t>
      </w:r>
      <w:r>
        <w:rPr>
          <w:rFonts w:ascii="Arial" w:cs="Arial" w:eastAsia="Arial" w:hAnsi="Arial"/>
          <w:sz w:val="21"/>
          <w:szCs w:val="21"/>
          <w:u w:val="single" w:color="auto"/>
          <w:color w:val="auto"/>
        </w:rPr>
        <w:t>Section 11.1(a)(i)</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11.1(a)(iii)</w:t>
      </w:r>
      <w:r>
        <w:rPr>
          <w:rFonts w:ascii="Arial" w:cs="Arial" w:eastAsia="Arial" w:hAnsi="Arial"/>
          <w:sz w:val="21"/>
          <w:szCs w:val="21"/>
          <w:color w:val="auto"/>
        </w:rPr>
        <w:t xml:space="preserve"> and the failure of the Partners to select a successor to such Departing General Partner pursuant to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then within 90 days thereafter, or (b) dissolution of the Partnership</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68" w:name="page69"/>
    <w:bookmarkEnd w:id="68"/>
    <w:p>
      <w:pPr>
        <w:ind w:right="240"/>
        <w:spacing w:after="0" w:line="279" w:lineRule="auto"/>
        <w:rPr>
          <w:sz w:val="20"/>
          <w:szCs w:val="20"/>
          <w:color w:val="auto"/>
        </w:rPr>
      </w:pPr>
      <w:r>
        <w:rPr>
          <w:rFonts w:ascii="Arial" w:cs="Arial" w:eastAsia="Arial" w:hAnsi="Arial"/>
          <w:sz w:val="19"/>
          <w:szCs w:val="19"/>
          <w:color w:val="auto"/>
        </w:rPr>
        <w:t xml:space="preserve">upon an event constituting an Event of Withdrawal as defined in </w:t>
      </w:r>
      <w:r>
        <w:rPr>
          <w:rFonts w:ascii="Arial" w:cs="Arial" w:eastAsia="Arial" w:hAnsi="Arial"/>
          <w:sz w:val="19"/>
          <w:szCs w:val="19"/>
          <w:u w:val="single" w:color="auto"/>
          <w:color w:val="auto"/>
        </w:rPr>
        <w:t>Section 11.1(a)(iv)</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11.1(a)(vi)</w:t>
      </w:r>
      <w:r>
        <w:rPr>
          <w:rFonts w:ascii="Arial" w:cs="Arial" w:eastAsia="Arial" w:hAnsi="Arial"/>
          <w:sz w:val="19"/>
          <w:szCs w:val="19"/>
          <w:color w:val="auto"/>
        </w:rPr>
        <w:t>, then, to the maximum extent permitted by the Marshall Islands Act, within 180 days thereafter, the holders of a Unit Majority may elect in writing to continue the business of the Partnership on the same terms and conditions set forth in this Agreement by appointing, effective as of the date of the Event of Withdrawal, as a successor General Partner a Person approved by the holders of a Unit Majority. Unless such an election is made within the applicable time period as set forth above, the Partnership shall dissolve and conduct only activities necessary to wind up its affairs. If such an election is so made, then:</w:t>
      </w:r>
    </w:p>
    <w:p>
      <w:pPr>
        <w:spacing w:after="0" w:line="151" w:lineRule="exact"/>
        <w:rPr>
          <w:sz w:val="20"/>
          <w:szCs w:val="20"/>
          <w:color w:val="auto"/>
        </w:rPr>
      </w:pPr>
    </w:p>
    <w:p>
      <w:pPr>
        <w:ind w:left="1960" w:hanging="655"/>
        <w:spacing w:after="0"/>
        <w:tabs>
          <w:tab w:leader="none" w:pos="1960"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Partnership shall continue without dissolution unless earlier dissolved in accordance with this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188" w:lineRule="exact"/>
        <w:rPr>
          <w:sz w:val="20"/>
          <w:szCs w:val="20"/>
          <w:color w:val="auto"/>
        </w:rPr>
      </w:pPr>
    </w:p>
    <w:p>
      <w:pPr>
        <w:ind w:right="380" w:firstLine="1305"/>
        <w:spacing w:after="0" w:line="251" w:lineRule="auto"/>
        <w:tabs>
          <w:tab w:leader="none" w:pos="1954"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if the successor General Partner is not the former General Partner, then the interest of the former General Partner shall be treated in the manner provided in </w:t>
      </w:r>
      <w:r>
        <w:rPr>
          <w:rFonts w:ascii="Arial" w:cs="Arial" w:eastAsia="Arial" w:hAnsi="Arial"/>
          <w:sz w:val="22"/>
          <w:szCs w:val="22"/>
          <w:u w:val="single" w:color="auto"/>
          <w:color w:val="auto"/>
        </w:rPr>
        <w:t>Section 11.3</w:t>
      </w:r>
      <w:r>
        <w:rPr>
          <w:rFonts w:ascii="Arial" w:cs="Arial" w:eastAsia="Arial" w:hAnsi="Arial"/>
          <w:sz w:val="22"/>
          <w:szCs w:val="22"/>
          <w:color w:val="auto"/>
        </w:rPr>
        <w:t>; and</w:t>
      </w:r>
    </w:p>
    <w:p>
      <w:pPr>
        <w:spacing w:after="0" w:line="173" w:lineRule="exact"/>
        <w:rPr>
          <w:rFonts w:ascii="Arial" w:cs="Arial" w:eastAsia="Arial" w:hAnsi="Arial"/>
          <w:sz w:val="22"/>
          <w:szCs w:val="22"/>
          <w:color w:val="auto"/>
        </w:rPr>
      </w:pPr>
    </w:p>
    <w:p>
      <w:pPr>
        <w:ind w:right="240" w:firstLine="1305"/>
        <w:spacing w:after="0" w:line="249" w:lineRule="auto"/>
        <w:tabs>
          <w:tab w:leader="none" w:pos="1955"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right of the holders of a Unit Majority to approve a successor General Partner and to reconstitute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179"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12.3. </w:t>
      </w:r>
      <w:r>
        <w:rPr>
          <w:rFonts w:ascii="Arial" w:cs="Arial" w:eastAsia="Arial" w:hAnsi="Arial"/>
          <w:sz w:val="19"/>
          <w:szCs w:val="19"/>
          <w:i w:val="1"/>
          <w:iCs w:val="1"/>
          <w:color w:val="auto"/>
        </w:rPr>
        <w:t>Liquidating Trustee</w:t>
      </w:r>
      <w:r>
        <w:rPr>
          <w:rFonts w:ascii="Arial" w:cs="Arial" w:eastAsia="Arial" w:hAnsi="Arial"/>
          <w:sz w:val="19"/>
          <w:szCs w:val="19"/>
          <w:color w:val="auto"/>
        </w:rPr>
        <w:t xml:space="preserve">. Upon dissolution of the Partnership, unless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the Board of Directors shall select one or more Persons to act as Liquidating Trustee. The Liquidating Trustee (if other than the General Partner) shall be entitled to receive such compensation for its services as may be approved by holders of a Unit Majority. The Liquidating Trustee (if other than the General Partner) shall agree not to resign at any time without 15 days’ prior notice and may be removed at any time, with or without Cause, by notice of removal approved by a Unit Majority. Upon dissolution, removal or resignation of the Liquidating Trustee, a successor and substitute Liquidating Trustee (who shall have and succeed to all rights, powers and duties of the original Liquidating Trustee) shall within 30 days thereafter be approved by the holders of a Unit Majority. The right to approve a successor or substitute Liquidating Trustee in the manner provided herein shall be deemed to refer also to any such successor or substitute Liquidating Trustee approved in the manner herein provided. Except as expressly provided in this </w:t>
      </w:r>
      <w:r>
        <w:rPr>
          <w:rFonts w:ascii="Arial" w:cs="Arial" w:eastAsia="Arial" w:hAnsi="Arial"/>
          <w:sz w:val="19"/>
          <w:szCs w:val="19"/>
          <w:u w:val="single" w:color="auto"/>
          <w:color w:val="auto"/>
        </w:rPr>
        <w:t>Article XII</w:t>
      </w:r>
      <w:r>
        <w:rPr>
          <w:rFonts w:ascii="Arial" w:cs="Arial" w:eastAsia="Arial" w:hAnsi="Arial"/>
          <w:sz w:val="19"/>
          <w:szCs w:val="19"/>
          <w:color w:val="auto"/>
        </w:rPr>
        <w:t xml:space="preserve">, the Liquidating Trustee approved in the manner provided herein shall have and may exercise, without further authorization or consent of any of the parties hereto, all of the powers conferred upon the Board of Directors and the General Partner under the terms of this Agreement (but subject to all of the applicable limitations, contractual and otherwise, upon the exercise of such powers, other than the limitation on sale set forth in </w:t>
      </w:r>
      <w:r>
        <w:rPr>
          <w:rFonts w:ascii="Arial" w:cs="Arial" w:eastAsia="Arial" w:hAnsi="Arial"/>
          <w:sz w:val="19"/>
          <w:szCs w:val="19"/>
          <w:u w:val="single" w:color="auto"/>
          <w:color w:val="auto"/>
        </w:rPr>
        <w:t>Section 7.11(b)</w:t>
      </w:r>
      <w:r>
        <w:rPr>
          <w:rFonts w:ascii="Arial" w:cs="Arial" w:eastAsia="Arial" w:hAnsi="Arial"/>
          <w:sz w:val="19"/>
          <w:szCs w:val="19"/>
          <w:color w:val="auto"/>
        </w:rPr>
        <w:t>) necessary or appropriate to carry out the duties and functions of the Liquidating Trustee hereunder for and during the period of time required to complete the winding up and liquidation of the Partnership as provided for herein.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69" w:name="page70"/>
    <w:bookmarkEnd w:id="69"/>
    <w:p>
      <w:pPr>
        <w:ind w:right="340" w:firstLine="1297"/>
        <w:spacing w:after="0"/>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i w:val="1"/>
          <w:iCs w:val="1"/>
          <w:color w:val="auto"/>
        </w:rPr>
        <w:t>Liquidation</w:t>
      </w:r>
      <w:r>
        <w:rPr>
          <w:rFonts w:ascii="Arial" w:cs="Arial" w:eastAsia="Arial" w:hAnsi="Arial"/>
          <w:sz w:val="22"/>
          <w:szCs w:val="22"/>
          <w:color w:val="auto"/>
        </w:rPr>
        <w:t>. The Liquidating Trustee shall proceed to dispose of the assets of the Partnership, discharge its liabilities, and otherwise wind up its affairs in such manner and over such period as determined by the Liquidating Trustee, subject to the Marshall Islands Act and the following:</w:t>
      </w:r>
    </w:p>
    <w:p>
      <w:pPr>
        <w:spacing w:after="0" w:line="186" w:lineRule="exact"/>
        <w:rPr>
          <w:sz w:val="20"/>
          <w:szCs w:val="20"/>
          <w:color w:val="auto"/>
        </w:rPr>
      </w:pPr>
    </w:p>
    <w:p>
      <w:pPr>
        <w:ind w:right="60" w:firstLine="1305"/>
        <w:spacing w:after="0" w:line="246" w:lineRule="auto"/>
        <w:tabs>
          <w:tab w:leader="none" w:pos="1955" w:val="left"/>
        </w:tabs>
        <w:numPr>
          <w:ilvl w:val="0"/>
          <w:numId w:val="74"/>
        </w:numPr>
        <w:rPr>
          <w:rFonts w:ascii="Arial" w:cs="Arial" w:eastAsia="Arial" w:hAnsi="Arial"/>
          <w:sz w:val="21"/>
          <w:szCs w:val="21"/>
          <w:color w:val="auto"/>
        </w:rPr>
      </w:pPr>
      <w:r>
        <w:rPr>
          <w:rFonts w:ascii="Arial" w:cs="Arial" w:eastAsia="Arial" w:hAnsi="Arial"/>
          <w:sz w:val="21"/>
          <w:szCs w:val="21"/>
          <w:color w:val="auto"/>
        </w:rPr>
        <w:t xml:space="preserve">The assets may be disposed of by public or private sale or by distribution in kind to one or more Partners on such terms as the Liquidating Trustee and such Partner or Partners may agree. If any property is distributed in kind, the Partner receiving the property shall be deemed for purposes of </w:t>
      </w:r>
      <w:r>
        <w:rPr>
          <w:rFonts w:ascii="Arial" w:cs="Arial" w:eastAsia="Arial" w:hAnsi="Arial"/>
          <w:sz w:val="21"/>
          <w:szCs w:val="21"/>
          <w:u w:val="single" w:color="auto"/>
          <w:color w:val="auto"/>
        </w:rPr>
        <w:t>Section 12.4(c)</w:t>
      </w:r>
      <w:r>
        <w:rPr>
          <w:rFonts w:ascii="Arial" w:cs="Arial" w:eastAsia="Arial" w:hAnsi="Arial"/>
          <w:sz w:val="21"/>
          <w:szCs w:val="21"/>
          <w:color w:val="auto"/>
        </w:rPr>
        <w:t xml:space="preserve"> to have received cash equal to its fair market value, and contemporaneously therewith, appropriate cash distributions must be made to the other Partners. The Liquidating Trustee may defer liquidation or distribution of the Partnership’s assets for a reasonable time if it determines that an immediate sale or distribution of all or some of the Partnership’s assets would be impractical or would cause undue loss to the Partners. The Liquidating Trustee may distribute the Partnership’s assets, in whole or in part, in kind if it determines that a sale would be impractical or would cause undue loss to the Partners.</w:t>
      </w:r>
    </w:p>
    <w:p>
      <w:pPr>
        <w:spacing w:after="0" w:line="180" w:lineRule="exact"/>
        <w:rPr>
          <w:rFonts w:ascii="Arial" w:cs="Arial" w:eastAsia="Arial" w:hAnsi="Arial"/>
          <w:sz w:val="21"/>
          <w:szCs w:val="21"/>
          <w:color w:val="auto"/>
        </w:rPr>
      </w:pPr>
    </w:p>
    <w:p>
      <w:pPr>
        <w:ind w:right="220" w:firstLine="1305"/>
        <w:spacing w:after="0" w:line="279" w:lineRule="auto"/>
        <w:tabs>
          <w:tab w:leader="none" w:pos="1954"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Liquidating Trustee shall first satisfy the liabilities of the Partnership. Liabilities of the Partnership include amounts owed to the Liquidating Trustee as compensation for serving in such capacity (subject to the terms of </w:t>
      </w:r>
      <w:r>
        <w:rPr>
          <w:rFonts w:ascii="Arial" w:cs="Arial" w:eastAsia="Arial" w:hAnsi="Arial"/>
          <w:sz w:val="19"/>
          <w:szCs w:val="19"/>
          <w:u w:val="single" w:color="auto"/>
          <w:color w:val="auto"/>
        </w:rPr>
        <w:t>Section 12.3</w:t>
      </w:r>
      <w:r>
        <w:rPr>
          <w:rFonts w:ascii="Arial" w:cs="Arial" w:eastAsia="Arial" w:hAnsi="Arial"/>
          <w:sz w:val="19"/>
          <w:szCs w:val="19"/>
          <w:color w:val="auto"/>
        </w:rPr>
        <w:t xml:space="preserve">) and amounts to Partners otherwise than in respect of their distribution rights under </w:t>
      </w:r>
      <w:r>
        <w:rPr>
          <w:rFonts w:ascii="Arial" w:cs="Arial" w:eastAsia="Arial" w:hAnsi="Arial"/>
          <w:sz w:val="19"/>
          <w:szCs w:val="19"/>
          <w:u w:val="single" w:color="auto"/>
          <w:color w:val="auto"/>
        </w:rPr>
        <w:t>Article VI</w:t>
      </w:r>
      <w:r>
        <w:rPr>
          <w:rFonts w:ascii="Arial" w:cs="Arial" w:eastAsia="Arial" w:hAnsi="Arial"/>
          <w:sz w:val="19"/>
          <w:szCs w:val="19"/>
          <w:color w:val="auto"/>
        </w:rPr>
        <w:t>. With respect to any liability that is contingent, conditional or unmatured or is otherwise not yet due and payable, the Liquidating Trustee shall either settle such claim for such amount as it deems appropriate or establish a reserve of cash or other assets to provide for its payment. When paid, any unused portion of the reserve shall be distributed as additional liquidation proceeds.</w:t>
      </w:r>
    </w:p>
    <w:p>
      <w:pPr>
        <w:spacing w:after="0" w:line="150" w:lineRule="exact"/>
        <w:rPr>
          <w:rFonts w:ascii="Arial" w:cs="Arial" w:eastAsia="Arial" w:hAnsi="Arial"/>
          <w:sz w:val="19"/>
          <w:szCs w:val="19"/>
          <w:color w:val="auto"/>
        </w:rPr>
      </w:pPr>
    </w:p>
    <w:p>
      <w:pPr>
        <w:ind w:right="40" w:firstLine="1305"/>
        <w:spacing w:after="0" w:line="287" w:lineRule="auto"/>
        <w:tabs>
          <w:tab w:leader="none" w:pos="1955"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16.4</w:t>
      </w:r>
      <w:r>
        <w:rPr>
          <w:rFonts w:ascii="Arial" w:cs="Arial" w:eastAsia="Arial" w:hAnsi="Arial"/>
          <w:sz w:val="19"/>
          <w:szCs w:val="19"/>
          <w:color w:val="auto"/>
        </w:rPr>
        <w:t xml:space="preserve"> in respect of Series A Preference Units, </w:t>
      </w:r>
      <w:r>
        <w:rPr>
          <w:rFonts w:ascii="Arial" w:cs="Arial" w:eastAsia="Arial" w:hAnsi="Arial"/>
          <w:sz w:val="19"/>
          <w:szCs w:val="19"/>
          <w:u w:val="single" w:color="auto"/>
          <w:color w:val="auto"/>
        </w:rPr>
        <w:t>Section 17.4</w:t>
      </w:r>
      <w:r>
        <w:rPr>
          <w:rFonts w:ascii="Arial" w:cs="Arial" w:eastAsia="Arial" w:hAnsi="Arial"/>
          <w:sz w:val="19"/>
          <w:szCs w:val="19"/>
          <w:color w:val="auto"/>
        </w:rPr>
        <w:t xml:space="preserve"> in respect of Series B Preference Units and </w:t>
      </w:r>
      <w:r>
        <w:rPr>
          <w:rFonts w:ascii="Arial" w:cs="Arial" w:eastAsia="Arial" w:hAnsi="Arial"/>
          <w:sz w:val="19"/>
          <w:szCs w:val="19"/>
          <w:u w:val="single" w:color="auto"/>
          <w:color w:val="auto"/>
        </w:rPr>
        <w:t>Section 18.4</w:t>
      </w:r>
      <w:r>
        <w:rPr>
          <w:rFonts w:ascii="Arial" w:cs="Arial" w:eastAsia="Arial" w:hAnsi="Arial"/>
          <w:sz w:val="19"/>
          <w:szCs w:val="19"/>
          <w:color w:val="auto"/>
        </w:rPr>
        <w:t xml:space="preserve"> in respect of Series C Preference Units, all property and all cash in excess of that required to discharge liabilities as provided in this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shall be distributed (i) to the General Partner in accordance with its Percentage Interest and (ii) to all Unitholders, Pro Rata, a percentage equal to 100% less the General Partner’s Percentage Interest.</w:t>
      </w:r>
    </w:p>
    <w:p>
      <w:pPr>
        <w:spacing w:after="0" w:line="143" w:lineRule="exact"/>
        <w:rPr>
          <w:sz w:val="20"/>
          <w:szCs w:val="20"/>
          <w:color w:val="auto"/>
        </w:rPr>
      </w:pPr>
    </w:p>
    <w:p>
      <w:pPr>
        <w:ind w:right="120" w:firstLine="1297"/>
        <w:spacing w:after="0" w:line="287" w:lineRule="auto"/>
        <w:rPr>
          <w:sz w:val="20"/>
          <w:szCs w:val="20"/>
          <w:color w:val="auto"/>
        </w:rPr>
      </w:pPr>
      <w:r>
        <w:rPr>
          <w:rFonts w:ascii="Arial" w:cs="Arial" w:eastAsia="Arial" w:hAnsi="Arial"/>
          <w:sz w:val="19"/>
          <w:szCs w:val="19"/>
          <w:color w:val="auto"/>
        </w:rPr>
        <w:t xml:space="preserve">Distributions with respect to Series A Preference Units described in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Series B Preference Units described in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and Series C Preference Units described in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in connection with a liquidation or dissolution of the Partnership shall be made pursuant to </w:t>
      </w:r>
      <w:r>
        <w:rPr>
          <w:rFonts w:ascii="Arial" w:cs="Arial" w:eastAsia="Arial" w:hAnsi="Arial"/>
          <w:sz w:val="19"/>
          <w:szCs w:val="19"/>
          <w:u w:val="single" w:color="auto"/>
          <w:color w:val="auto"/>
        </w:rPr>
        <w:t>Section 16.4</w:t>
      </w:r>
      <w:r>
        <w:rPr>
          <w:rFonts w:ascii="Arial" w:cs="Arial" w:eastAsia="Arial" w:hAnsi="Arial"/>
          <w:sz w:val="19"/>
          <w:szCs w:val="19"/>
          <w:color w:val="auto"/>
        </w:rPr>
        <w:t xml:space="preserve"> with respect to Series A Preference Units, </w:t>
      </w:r>
      <w:r>
        <w:rPr>
          <w:rFonts w:ascii="Arial" w:cs="Arial" w:eastAsia="Arial" w:hAnsi="Arial"/>
          <w:sz w:val="19"/>
          <w:szCs w:val="19"/>
          <w:u w:val="single" w:color="auto"/>
          <w:color w:val="auto"/>
        </w:rPr>
        <w:t>Section 17.4</w:t>
      </w:r>
      <w:r>
        <w:rPr>
          <w:rFonts w:ascii="Arial" w:cs="Arial" w:eastAsia="Arial" w:hAnsi="Arial"/>
          <w:sz w:val="19"/>
          <w:szCs w:val="19"/>
          <w:color w:val="auto"/>
        </w:rPr>
        <w:t xml:space="preserve"> with respect to Series B Preference Units and </w:t>
      </w:r>
      <w:r>
        <w:rPr>
          <w:rFonts w:ascii="Arial" w:cs="Arial" w:eastAsia="Arial" w:hAnsi="Arial"/>
          <w:sz w:val="19"/>
          <w:szCs w:val="19"/>
          <w:u w:val="single" w:color="auto"/>
          <w:color w:val="auto"/>
        </w:rPr>
        <w:t>Section 18.4</w:t>
      </w:r>
      <w:r>
        <w:rPr>
          <w:rFonts w:ascii="Arial" w:cs="Arial" w:eastAsia="Arial" w:hAnsi="Arial"/>
          <w:sz w:val="19"/>
          <w:szCs w:val="19"/>
          <w:color w:val="auto"/>
        </w:rPr>
        <w:t xml:space="preserve"> with respect to Series C Preference Units, rather than pursuant to this </w:t>
      </w:r>
      <w:r>
        <w:rPr>
          <w:rFonts w:ascii="Arial" w:cs="Arial" w:eastAsia="Arial" w:hAnsi="Arial"/>
          <w:sz w:val="19"/>
          <w:szCs w:val="19"/>
          <w:u w:val="single" w:color="auto"/>
          <w:color w:val="auto"/>
        </w:rPr>
        <w:t>Section 12.4(c)</w:t>
      </w:r>
      <w:r>
        <w:rPr>
          <w:rFonts w:ascii="Arial" w:cs="Arial" w:eastAsia="Arial" w:hAnsi="Arial"/>
          <w:sz w:val="19"/>
          <w:szCs w:val="19"/>
          <w:color w:val="auto"/>
        </w:rPr>
        <w:t>.</w:t>
      </w:r>
    </w:p>
    <w:p>
      <w:pPr>
        <w:spacing w:after="0" w:line="143"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i w:val="1"/>
          <w:iCs w:val="1"/>
          <w:color w:val="auto"/>
        </w:rPr>
        <w:t>Cancellation of Certificate of Limited Partnership</w:t>
      </w:r>
      <w:r>
        <w:rPr>
          <w:rFonts w:ascii="Arial" w:cs="Arial" w:eastAsia="Arial" w:hAnsi="Arial"/>
          <w:sz w:val="19"/>
          <w:szCs w:val="19"/>
          <w:color w:val="auto"/>
        </w:rPr>
        <w:t xml:space="preserve">. Upon the completion of the distribution of Partnership cash and property as provided in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in connection with the liquidation of the Partnership, the Certificate of Limited Partnership and all qualifications of the Partnership as a foreign limited partnership in jurisdictions other than the Marshall Islands shall be canceled and such other actions as may be necessary to terminate the Partnership shall be taken.</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70" w:name="page71"/>
    <w:bookmarkEnd w:id="70"/>
    <w:p>
      <w:pPr>
        <w:ind w:right="360" w:firstLine="1297"/>
        <w:spacing w:after="0" w:line="238"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i w:val="1"/>
          <w:iCs w:val="1"/>
          <w:color w:val="auto"/>
        </w:rPr>
        <w:t>Return of Contributions</w:t>
      </w:r>
      <w:r>
        <w:rPr>
          <w:rFonts w:ascii="Arial" w:cs="Arial" w:eastAsia="Arial" w:hAnsi="Arial"/>
          <w:sz w:val="22"/>
          <w:szCs w:val="22"/>
          <w:color w:val="auto"/>
        </w:rPr>
        <w:t>.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85" w:lineRule="exact"/>
        <w:rPr>
          <w:sz w:val="20"/>
          <w:szCs w:val="20"/>
          <w:color w:val="auto"/>
        </w:rPr>
      </w:pPr>
    </w:p>
    <w:p>
      <w:pPr>
        <w:ind w:right="100" w:firstLine="1297"/>
        <w:spacing w:after="0" w:line="251"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i w:val="1"/>
          <w:iCs w:val="1"/>
          <w:color w:val="auto"/>
        </w:rPr>
        <w:t>Waiver of Partition</w:t>
      </w:r>
      <w:r>
        <w:rPr>
          <w:rFonts w:ascii="Arial" w:cs="Arial" w:eastAsia="Arial" w:hAnsi="Arial"/>
          <w:sz w:val="22"/>
          <w:szCs w:val="22"/>
          <w:color w:val="auto"/>
        </w:rPr>
        <w:t>. To the maximum extent permitted by law, each Partner hereby waives any right to partition of the Partnership property.</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AMENDMENT OF PARTNERSHIP AGREEMENT; MEETINGS; RECORD DATE</w:t>
      </w:r>
    </w:p>
    <w:p>
      <w:pPr>
        <w:spacing w:after="0" w:line="188" w:lineRule="exact"/>
        <w:rPr>
          <w:sz w:val="20"/>
          <w:szCs w:val="20"/>
          <w:color w:val="auto"/>
        </w:rPr>
      </w:pPr>
    </w:p>
    <w:p>
      <w:pPr>
        <w:ind w:right="20" w:firstLine="1297"/>
        <w:spacing w:after="0" w:line="252" w:lineRule="auto"/>
        <w:rPr>
          <w:sz w:val="20"/>
          <w:szCs w:val="20"/>
          <w:color w:val="auto"/>
        </w:rPr>
      </w:pPr>
      <w:r>
        <w:rPr>
          <w:rFonts w:ascii="Arial" w:cs="Arial" w:eastAsia="Arial" w:hAnsi="Arial"/>
          <w:sz w:val="21"/>
          <w:szCs w:val="21"/>
          <w:color w:val="auto"/>
        </w:rPr>
        <w:t xml:space="preserve">Section 13.1. </w:t>
      </w:r>
      <w:r>
        <w:rPr>
          <w:rFonts w:ascii="Arial" w:cs="Arial" w:eastAsia="Arial" w:hAnsi="Arial"/>
          <w:sz w:val="21"/>
          <w:szCs w:val="21"/>
          <w:i w:val="1"/>
          <w:iCs w:val="1"/>
          <w:color w:val="auto"/>
        </w:rPr>
        <w:t>Amendments to be Adopted Without Approval of the Limited Partners or the General Partner</w:t>
      </w:r>
      <w:r>
        <w:rPr>
          <w:rFonts w:ascii="Arial" w:cs="Arial" w:eastAsia="Arial" w:hAnsi="Arial"/>
          <w:sz w:val="21"/>
          <w:szCs w:val="21"/>
          <w:color w:val="auto"/>
        </w:rPr>
        <w:t xml:space="preserve">. The General Partner and each Limited Partner agree that the Board of Directors, without the approval of any Limited Partner or, subject to </w:t>
      </w:r>
      <w:r>
        <w:rPr>
          <w:rFonts w:ascii="Arial" w:cs="Arial" w:eastAsia="Arial" w:hAnsi="Arial"/>
          <w:sz w:val="21"/>
          <w:szCs w:val="21"/>
          <w:u w:val="single" w:color="auto"/>
          <w:color w:val="auto"/>
        </w:rPr>
        <w:t>Section 5.5</w:t>
      </w:r>
      <w:r>
        <w:rPr>
          <w:rFonts w:ascii="Arial" w:cs="Arial" w:eastAsia="Arial" w:hAnsi="Arial"/>
          <w:sz w:val="21"/>
          <w:szCs w:val="21"/>
          <w:color w:val="auto"/>
        </w:rPr>
        <w:t>, the General Partner, may amend any provision of this Agreement and execute, swear to, acknowledge, deliver, file and record whatever documents may be required in connection therewith, to reflect:</w:t>
      </w:r>
    </w:p>
    <w:p>
      <w:pPr>
        <w:spacing w:after="0" w:line="174" w:lineRule="exact"/>
        <w:rPr>
          <w:sz w:val="20"/>
          <w:szCs w:val="20"/>
          <w:color w:val="auto"/>
        </w:rPr>
      </w:pPr>
    </w:p>
    <w:p>
      <w:pPr>
        <w:ind w:left="660" w:right="20" w:firstLine="645"/>
        <w:spacing w:after="0" w:line="251" w:lineRule="auto"/>
        <w:tabs>
          <w:tab w:leader="none" w:pos="1967" w:val="left"/>
        </w:tabs>
        <w:numPr>
          <w:ilvl w:val="0"/>
          <w:numId w:val="75"/>
        </w:numPr>
        <w:rPr>
          <w:rFonts w:ascii="Arial" w:cs="Arial" w:eastAsia="Arial" w:hAnsi="Arial"/>
          <w:sz w:val="22"/>
          <w:szCs w:val="22"/>
          <w:color w:val="auto"/>
        </w:rPr>
      </w:pPr>
      <w:r>
        <w:rPr>
          <w:rFonts w:ascii="Arial" w:cs="Arial" w:eastAsia="Arial" w:hAnsi="Arial"/>
          <w:sz w:val="22"/>
          <w:szCs w:val="22"/>
          <w:color w:val="auto"/>
        </w:rPr>
        <w:t>a change in the name of the Partnership, the location of the principal place of business of the Partnership, the registered agent of the Partnership or the registered office of the Partnership;</w:t>
      </w:r>
    </w:p>
    <w:p>
      <w:pPr>
        <w:spacing w:after="0" w:line="173" w:lineRule="exact"/>
        <w:rPr>
          <w:rFonts w:ascii="Arial" w:cs="Arial" w:eastAsia="Arial" w:hAnsi="Arial"/>
          <w:sz w:val="22"/>
          <w:szCs w:val="22"/>
          <w:color w:val="auto"/>
        </w:rPr>
      </w:pPr>
    </w:p>
    <w:p>
      <w:pPr>
        <w:ind w:left="1960" w:hanging="655"/>
        <w:spacing w:after="0"/>
        <w:tabs>
          <w:tab w:leader="none" w:pos="19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admission, substitution, withdrawal or removal of Partners in accordance with this Agreement;</w:t>
      </w:r>
    </w:p>
    <w:p>
      <w:pPr>
        <w:spacing w:after="0" w:line="206" w:lineRule="exact"/>
        <w:rPr>
          <w:rFonts w:ascii="Arial" w:cs="Arial" w:eastAsia="Arial" w:hAnsi="Arial"/>
          <w:sz w:val="22"/>
          <w:szCs w:val="22"/>
          <w:color w:val="auto"/>
        </w:rPr>
      </w:pPr>
    </w:p>
    <w:p>
      <w:pPr>
        <w:ind w:left="660" w:right="80" w:firstLine="645"/>
        <w:spacing w:after="0"/>
        <w:tabs>
          <w:tab w:leader="none" w:pos="1967" w:val="left"/>
        </w:tabs>
        <w:numPr>
          <w:ilvl w:val="0"/>
          <w:numId w:val="75"/>
        </w:numPr>
        <w:rPr>
          <w:rFonts w:ascii="Arial" w:cs="Arial" w:eastAsia="Arial" w:hAnsi="Arial"/>
          <w:sz w:val="22"/>
          <w:szCs w:val="22"/>
          <w:color w:val="auto"/>
        </w:rPr>
      </w:pPr>
      <w:r>
        <w:rPr>
          <w:rFonts w:ascii="Arial" w:cs="Arial" w:eastAsia="Arial" w:hAnsi="Arial"/>
          <w:sz w:val="22"/>
          <w:szCs w:val="22"/>
          <w:color w:val="auto"/>
        </w:rPr>
        <w:t>a change that the Board of Directors determines to be necessary or appropriate to qualify or continue the qualification of the Partnership as a limited partnership or a partnership in which the Limited Partners have limited liability under the Marshall Islands Act;</w:t>
      </w:r>
    </w:p>
    <w:p>
      <w:pPr>
        <w:spacing w:after="0" w:line="186" w:lineRule="exact"/>
        <w:rPr>
          <w:rFonts w:ascii="Arial" w:cs="Arial" w:eastAsia="Arial" w:hAnsi="Arial"/>
          <w:sz w:val="22"/>
          <w:szCs w:val="22"/>
          <w:color w:val="auto"/>
        </w:rPr>
      </w:pPr>
    </w:p>
    <w:p>
      <w:pPr>
        <w:ind w:left="660" w:firstLine="645"/>
        <w:spacing w:after="0" w:line="274" w:lineRule="auto"/>
        <w:tabs>
          <w:tab w:leader="none" w:pos="1952"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to the extent applicable, a change that the Board of Directors determines (i) does not adversely affect the rights of the Limited Partners (including any particular class or series of Partnership Interests as compared to other classes or series of Partnership Interests) in any material respect, (ii) to be necessary or appropriate to (A) satisfy any requirements, conditions or guidelines contained in any opinion, directive, order, ruling or regulation of any Marshall Islands authority (including the Marshall Islands Act) or (B) facilitate the trading of the Units or comply with any rule, regulation, guideline or requirement of any National Securities Exchange on which the Units are or will be listed, or admitted to trading, (iii) to be necessary or appropriate in connection with action taken by the Board of Directors pursuant to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or (iv) is required to effect the intent expressed in the Registration Statement or the intent of the provisions of this Agreement or is otherwise contemplated by this Agreement;</w:t>
      </w:r>
    </w:p>
    <w:p>
      <w:pPr>
        <w:spacing w:after="0" w:line="158" w:lineRule="exact"/>
        <w:rPr>
          <w:rFonts w:ascii="Arial" w:cs="Arial" w:eastAsia="Arial" w:hAnsi="Arial"/>
          <w:sz w:val="19"/>
          <w:szCs w:val="19"/>
          <w:color w:val="auto"/>
        </w:rPr>
      </w:pPr>
    </w:p>
    <w:p>
      <w:pPr>
        <w:ind w:left="660" w:right="740" w:firstLine="645"/>
        <w:spacing w:after="0"/>
        <w:tabs>
          <w:tab w:leader="none" w:pos="1967" w:val="left"/>
        </w:tabs>
        <w:numPr>
          <w:ilvl w:val="0"/>
          <w:numId w:val="75"/>
        </w:numPr>
        <w:rPr>
          <w:rFonts w:ascii="Arial" w:cs="Arial" w:eastAsia="Arial" w:hAnsi="Arial"/>
          <w:sz w:val="22"/>
          <w:szCs w:val="22"/>
          <w:color w:val="auto"/>
        </w:rPr>
      </w:pPr>
      <w:r>
        <w:rPr>
          <w:rFonts w:ascii="Arial" w:cs="Arial" w:eastAsia="Arial" w:hAnsi="Arial"/>
          <w:sz w:val="22"/>
          <w:szCs w:val="22"/>
          <w:color w:val="auto"/>
        </w:rPr>
        <w:t>a change in the fiscal year or taxable year of the Partnership and any other changes that the Board of Directors determines to be necessary or appropriate as a result of a change in the fiscal year or taxable year of the Partnership including, if the Board of</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71" w:name="page72"/>
    <w:bookmarkEnd w:id="71"/>
    <w:p>
      <w:pPr>
        <w:ind w:left="660" w:right="680"/>
        <w:spacing w:after="0" w:line="328" w:lineRule="auto"/>
        <w:rPr>
          <w:sz w:val="20"/>
          <w:szCs w:val="20"/>
          <w:color w:val="auto"/>
        </w:rPr>
      </w:pPr>
      <w:r>
        <w:rPr>
          <w:rFonts w:ascii="Arial" w:cs="Arial" w:eastAsia="Arial" w:hAnsi="Arial"/>
          <w:sz w:val="19"/>
          <w:szCs w:val="19"/>
          <w:color w:val="auto"/>
        </w:rPr>
        <w:t>Directors shall so determine, a change in the definition of “Quarter” and the dates on which distributions (other than Series A Distributions, Series B Distributions and Series C Distributions) are to be made by the Partnership;</w:t>
      </w:r>
    </w:p>
    <w:p>
      <w:pPr>
        <w:spacing w:after="0" w:line="105" w:lineRule="exact"/>
        <w:rPr>
          <w:sz w:val="20"/>
          <w:szCs w:val="20"/>
          <w:color w:val="auto"/>
        </w:rPr>
      </w:pPr>
    </w:p>
    <w:p>
      <w:pPr>
        <w:ind w:left="660" w:right="60" w:firstLine="645"/>
        <w:spacing w:after="0" w:line="248" w:lineRule="auto"/>
        <w:tabs>
          <w:tab w:leader="none" w:pos="1956" w:val="left"/>
        </w:tabs>
        <w:numPr>
          <w:ilvl w:val="0"/>
          <w:numId w:val="76"/>
        </w:numPr>
        <w:rPr>
          <w:rFonts w:ascii="Arial" w:cs="Arial" w:eastAsia="Arial" w:hAnsi="Arial"/>
          <w:sz w:val="21"/>
          <w:szCs w:val="21"/>
          <w:color w:val="auto"/>
        </w:rPr>
      </w:pPr>
      <w:r>
        <w:rPr>
          <w:rFonts w:ascii="Arial" w:cs="Arial" w:eastAsia="Arial" w:hAnsi="Arial"/>
          <w:sz w:val="21"/>
          <w:szCs w:val="21"/>
          <w:color w:val="auto"/>
        </w:rPr>
        <w:t>an amendment that is necessary, in the Opinion of Counsel, to prevent the Partnership, the members of the Board of Directors, or the General Partner or its or their directors, officers, trustees or agents from in any manner being subjected to the provisions of the U.S. Investment Company Act of 1940, as amended, the U.S. Investment Advisers Act of 1940, as amended, or “plan asset” regulations adopted under the U.S. Employee Retirement Income Security Act of 1974, as amended, regardless of whether such regulations are substantially similar to plan asset regulations currently applied or proposed by the United States Department of Labor;</w:t>
      </w:r>
    </w:p>
    <w:p>
      <w:pPr>
        <w:spacing w:after="0" w:line="177" w:lineRule="exact"/>
        <w:rPr>
          <w:rFonts w:ascii="Arial" w:cs="Arial" w:eastAsia="Arial" w:hAnsi="Arial"/>
          <w:sz w:val="21"/>
          <w:szCs w:val="21"/>
          <w:color w:val="auto"/>
        </w:rPr>
      </w:pPr>
    </w:p>
    <w:p>
      <w:pPr>
        <w:ind w:left="660" w:right="60" w:firstLine="645"/>
        <w:spacing w:after="0" w:line="258" w:lineRule="auto"/>
        <w:tabs>
          <w:tab w:leader="none" w:pos="1965" w:val="left"/>
        </w:tabs>
        <w:numPr>
          <w:ilvl w:val="0"/>
          <w:numId w:val="76"/>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16.5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w:t>
      </w:r>
      <w:r>
        <w:rPr>
          <w:rFonts w:ascii="Arial" w:cs="Arial" w:eastAsia="Arial" w:hAnsi="Arial"/>
          <w:sz w:val="21"/>
          <w:szCs w:val="21"/>
          <w:color w:val="auto"/>
        </w:rPr>
        <w:t xml:space="preserve">, an amendment that the Board of Directors, and if required by </w:t>
      </w:r>
      <w:r>
        <w:rPr>
          <w:rFonts w:ascii="Arial" w:cs="Arial" w:eastAsia="Arial" w:hAnsi="Arial"/>
          <w:sz w:val="21"/>
          <w:szCs w:val="21"/>
          <w:u w:val="single" w:color="auto"/>
          <w:color w:val="auto"/>
        </w:rPr>
        <w:t>Section 5.5</w:t>
      </w:r>
      <w:r>
        <w:rPr>
          <w:rFonts w:ascii="Arial" w:cs="Arial" w:eastAsia="Arial" w:hAnsi="Arial"/>
          <w:sz w:val="21"/>
          <w:szCs w:val="21"/>
          <w:color w:val="auto"/>
        </w:rPr>
        <w:t xml:space="preserve">, the General Partner, determines to be necessary or appropriate in connection with the authorization of issuance of any class or series of Partnership Interests pursuant to </w:t>
      </w:r>
      <w:r>
        <w:rPr>
          <w:rFonts w:ascii="Arial" w:cs="Arial" w:eastAsia="Arial" w:hAnsi="Arial"/>
          <w:sz w:val="21"/>
          <w:szCs w:val="21"/>
          <w:u w:val="single" w:color="auto"/>
          <w:color w:val="auto"/>
        </w:rPr>
        <w:t>Section 5.4</w:t>
      </w:r>
      <w:r>
        <w:rPr>
          <w:rFonts w:ascii="Arial" w:cs="Arial" w:eastAsia="Arial" w:hAnsi="Arial"/>
          <w:sz w:val="21"/>
          <w:szCs w:val="21"/>
          <w:color w:val="auto"/>
        </w:rPr>
        <w:t>;</w:t>
      </w:r>
    </w:p>
    <w:p>
      <w:pPr>
        <w:spacing w:after="0" w:line="166" w:lineRule="exact"/>
        <w:rPr>
          <w:rFonts w:ascii="Arial" w:cs="Arial" w:eastAsia="Arial" w:hAnsi="Arial"/>
          <w:sz w:val="21"/>
          <w:szCs w:val="21"/>
          <w:color w:val="auto"/>
        </w:rPr>
      </w:pPr>
    </w:p>
    <w:p>
      <w:pPr>
        <w:ind w:left="660" w:right="80" w:firstLine="645"/>
        <w:spacing w:after="0" w:line="238" w:lineRule="auto"/>
        <w:tabs>
          <w:tab w:leader="none" w:pos="1965"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 amendment that the Board of Directors determines to be necessary or appropriate for the authorization of additional Partnership Interests or rights to acquire Partnership Interests, including any amendment that the Board of Directors determines is necessary or appropriate in connection with any amendment expressly permitted in this Agreement to be made by the Board of Directors acting alone;</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 amendment effected, necessitated or contemplated by a Merger Agreement approved in accordance with</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Section 14.3</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ind w:left="660" w:right="200" w:firstLine="645"/>
        <w:spacing w:after="0" w:line="238" w:lineRule="auto"/>
        <w:tabs>
          <w:tab w:leader="none" w:pos="1971"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an amendment that the Board of Directors determines to be necessary or appropriate to reflect and account for the formation by the Partnership of, or investment by the Partnership in, any corporation, partnership, joint venture, limited liability company or other Person, in connection with the conduct by the Partnership of activities permitted by the terms of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960" w:hanging="655"/>
        <w:spacing w:after="0"/>
        <w:tabs>
          <w:tab w:leader="none" w:pos="19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 xml:space="preserve">a conversion, merger or conveyance pursuant to </w:t>
      </w:r>
      <w:r>
        <w:rPr>
          <w:rFonts w:ascii="Arial" w:cs="Arial" w:eastAsia="Arial" w:hAnsi="Arial"/>
          <w:sz w:val="22"/>
          <w:szCs w:val="22"/>
          <w:u w:val="single" w:color="auto"/>
          <w:color w:val="auto"/>
        </w:rPr>
        <w:t>Section 14.3(d)</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 amendment to cure any ambiguity, defect or inconsistency; or</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other amendments substantially similar to the foregoing.</w:t>
      </w:r>
    </w:p>
    <w:p>
      <w:pPr>
        <w:spacing w:after="0" w:line="206"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13.2. </w:t>
      </w:r>
      <w:r>
        <w:rPr>
          <w:rFonts w:ascii="Arial" w:cs="Arial" w:eastAsia="Arial" w:hAnsi="Arial"/>
          <w:sz w:val="19"/>
          <w:szCs w:val="19"/>
          <w:i w:val="1"/>
          <w:iCs w:val="1"/>
          <w:color w:val="auto"/>
        </w:rPr>
        <w:t>Amendment Procedures</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all amendments to this Agreement shall be made in accordance with the following requirements. Amendments to this Agreement may be proposed only by, or with the written consent of, the Board of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Board of Directors shall have no duty or obligation to propose any amendment to this Agreement and may decline to do so free of any fiduciary duty or obligation whatsoever to the Partnership or any Limited Partner, any Record Holder or any other Person and, in declining to propose an amendment, to the fullest extent permitted by applicable law shall not be required to act in good faith or pursuant to any other standard imposed by this Agreement, any Group Member Agreement, any other agreement</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72" w:name="page73"/>
    <w:bookmarkEnd w:id="72"/>
    <w:p>
      <w:pPr>
        <w:ind w:right="20"/>
        <w:spacing w:after="0" w:line="246" w:lineRule="auto"/>
        <w:rPr>
          <w:sz w:val="20"/>
          <w:szCs w:val="20"/>
          <w:color w:val="auto"/>
        </w:rPr>
      </w:pPr>
      <w:r>
        <w:rPr>
          <w:rFonts w:ascii="Arial" w:cs="Arial" w:eastAsia="Arial" w:hAnsi="Arial"/>
          <w:sz w:val="21"/>
          <w:szCs w:val="21"/>
          <w:color w:val="auto"/>
        </w:rPr>
        <w:t xml:space="preserve">contemplated hereby or under the Marshall Islands Act or any other law, rule or regulation. Subject to </w:t>
      </w:r>
      <w:r>
        <w:rPr>
          <w:rFonts w:ascii="Arial" w:cs="Arial" w:eastAsia="Arial" w:hAnsi="Arial"/>
          <w:sz w:val="21"/>
          <w:szCs w:val="21"/>
          <w:u w:val="single" w:color="auto"/>
          <w:color w:val="auto"/>
        </w:rPr>
        <w:t>Section 16.5</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w:t>
      </w:r>
      <w:r>
        <w:rPr>
          <w:rFonts w:ascii="Arial" w:cs="Arial" w:eastAsia="Arial" w:hAnsi="Arial"/>
          <w:sz w:val="21"/>
          <w:szCs w:val="21"/>
          <w:color w:val="auto"/>
        </w:rPr>
        <w:t>, to the extent applicable, a proposed amendment shall be effective upon its approval by the Board of Directors and, if applicable, the holders of a Unit Majority, unless a greater or different percentage is required under this Agreement or by the Marshall Islands Act. Each proposed amendment that requires the approval of the holders of a specified percentage of Outstanding Units shall be set forth in a writing that contains the text of the proposed amendment. If such an amendment is proposed, the Board of Directors shall seek the written approval of the requisite percentage of Outstanding Units or call a meeting of the Unitholders to consider and vote on such proposed amendment. The Board of Directors shall notify all Record Holders upon final adoption of any such proposed amendments.</w:t>
      </w:r>
    </w:p>
    <w:p>
      <w:pPr>
        <w:spacing w:after="0" w:line="181" w:lineRule="exact"/>
        <w:rPr>
          <w:sz w:val="20"/>
          <w:szCs w:val="20"/>
          <w:color w:val="auto"/>
        </w:rPr>
      </w:pPr>
    </w:p>
    <w:p>
      <w:pPr>
        <w:ind w:right="140" w:firstLine="1297"/>
        <w:spacing w:after="0" w:line="247" w:lineRule="auto"/>
        <w:rPr>
          <w:sz w:val="20"/>
          <w:szCs w:val="20"/>
          <w:color w:val="auto"/>
        </w:rPr>
      </w:pPr>
      <w:r>
        <w:rPr>
          <w:rFonts w:ascii="Arial" w:cs="Arial" w:eastAsia="Arial" w:hAnsi="Arial"/>
          <w:sz w:val="21"/>
          <w:szCs w:val="21"/>
          <w:color w:val="auto"/>
        </w:rPr>
        <w:t xml:space="preserve">Section 13.3. </w:t>
      </w:r>
      <w:r>
        <w:rPr>
          <w:rFonts w:ascii="Arial" w:cs="Arial" w:eastAsia="Arial" w:hAnsi="Arial"/>
          <w:sz w:val="21"/>
          <w:szCs w:val="21"/>
          <w:i w:val="1"/>
          <w:iCs w:val="1"/>
          <w:color w:val="auto"/>
        </w:rPr>
        <w:t>Amendment Requirements</w:t>
      </w:r>
      <w:r>
        <w:rPr>
          <w:rFonts w:ascii="Arial" w:cs="Arial" w:eastAsia="Arial" w:hAnsi="Arial"/>
          <w:sz w:val="21"/>
          <w:szCs w:val="21"/>
          <w:color w:val="auto"/>
        </w:rPr>
        <w:t xml:space="preserve">. (a) Notwithstanding the provisions of </w:t>
      </w:r>
      <w:r>
        <w:rPr>
          <w:rFonts w:ascii="Arial" w:cs="Arial" w:eastAsia="Arial" w:hAnsi="Arial"/>
          <w:sz w:val="21"/>
          <w:szCs w:val="21"/>
          <w:u w:val="single" w:color="auto"/>
          <w:color w:val="auto"/>
        </w:rPr>
        <w:t>Section 13.1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13.2</w:t>
      </w:r>
      <w:r>
        <w:rPr>
          <w:rFonts w:ascii="Arial" w:cs="Arial" w:eastAsia="Arial" w:hAnsi="Arial"/>
          <w:sz w:val="21"/>
          <w:szCs w:val="21"/>
          <w:color w:val="auto"/>
        </w:rPr>
        <w:t xml:space="preserve">, no provision of this Agreement that establishes a percentage of Outstanding Units (including Units deemed owned by the General Partner and its Affiliates) required to take any action shall be amended, altered, changed, repealed or rescinded in any respect that would have the effect of (i) in the case of any provision of this Agreement other than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13.4</w:t>
      </w:r>
      <w:r>
        <w:rPr>
          <w:rFonts w:ascii="Arial" w:cs="Arial" w:eastAsia="Arial" w:hAnsi="Arial"/>
          <w:sz w:val="21"/>
          <w:szCs w:val="21"/>
          <w:color w:val="auto"/>
        </w:rPr>
        <w:t xml:space="preserve">, reducing such percentage or (ii) in the case of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13.4</w:t>
      </w:r>
      <w:r>
        <w:rPr>
          <w:rFonts w:ascii="Arial" w:cs="Arial" w:eastAsia="Arial" w:hAnsi="Arial"/>
          <w:sz w:val="21"/>
          <w:szCs w:val="21"/>
          <w:color w:val="auto"/>
        </w:rPr>
        <w:t>, increasing such percentage, unless such amendment is approved by the written consent or the affirmative vote of holders of Outstanding Units whose aggregate Outstanding Units constitute not less than the voting requirement sought to be reduced</w:t>
      </w:r>
      <w:r>
        <w:rPr>
          <w:rFonts w:ascii="Arial" w:cs="Arial" w:eastAsia="Arial" w:hAnsi="Arial"/>
          <w:sz w:val="21"/>
          <w:szCs w:val="21"/>
          <w:color w:val="FF0000"/>
        </w:rPr>
        <w:t>.</w:t>
      </w:r>
    </w:p>
    <w:p>
      <w:pPr>
        <w:spacing w:after="0" w:line="178" w:lineRule="exact"/>
        <w:rPr>
          <w:sz w:val="20"/>
          <w:szCs w:val="20"/>
          <w:color w:val="auto"/>
        </w:rPr>
      </w:pPr>
    </w:p>
    <w:p>
      <w:pPr>
        <w:ind w:left="1960" w:hanging="655"/>
        <w:spacing w:after="0"/>
        <w:tabs>
          <w:tab w:leader="none" w:pos="19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no amendment to this Agreement may</w:t>
      </w:r>
    </w:p>
    <w:p>
      <w:pPr>
        <w:spacing w:after="0" w:line="42" w:lineRule="exact"/>
        <w:rPr>
          <w:rFonts w:ascii="Arial" w:cs="Arial" w:eastAsia="Arial" w:hAnsi="Arial"/>
          <w:sz w:val="19"/>
          <w:szCs w:val="19"/>
          <w:color w:val="auto"/>
        </w:rPr>
      </w:pPr>
    </w:p>
    <w:p>
      <w:pPr>
        <w:ind w:firstLine="8"/>
        <w:spacing w:after="0" w:line="280" w:lineRule="auto"/>
        <w:tabs>
          <w:tab w:leader="none" w:pos="25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enlarge the obligations of any Limited Partner without its consent, unless such enlargement shall be deemed to have occurred as a result of an amendment approved pursuant to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or (ii) enlarge the obligations of, restrict in any way any action by or rights of, or reduce in any way the amounts distributable, reimbursable or otherwise payable to, the General Partner or any of its Affiliates without its consent, which consent may be given or withheld at the General Partner’s option.</w:t>
      </w:r>
    </w:p>
    <w:p>
      <w:pPr>
        <w:spacing w:after="0" w:line="150" w:lineRule="exact"/>
        <w:rPr>
          <w:rFonts w:ascii="Arial" w:cs="Arial" w:eastAsia="Arial" w:hAnsi="Arial"/>
          <w:sz w:val="19"/>
          <w:szCs w:val="19"/>
          <w:color w:val="auto"/>
        </w:rPr>
      </w:pPr>
    </w:p>
    <w:p>
      <w:pPr>
        <w:ind w:right="20" w:firstLine="1305"/>
        <w:spacing w:after="0" w:line="274" w:lineRule="auto"/>
        <w:tabs>
          <w:tab w:leader="none" w:pos="1955"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16.5(c)(i)</w:t>
      </w:r>
      <w:r>
        <w:rPr>
          <w:rFonts w:ascii="Arial" w:cs="Arial" w:eastAsia="Arial" w:hAnsi="Arial"/>
          <w:sz w:val="19"/>
          <w:szCs w:val="19"/>
          <w:color w:val="auto"/>
        </w:rPr>
        <w:t xml:space="preserve"> with respect to Series A Preference Units, </w:t>
      </w:r>
      <w:r>
        <w:rPr>
          <w:rFonts w:ascii="Arial" w:cs="Arial" w:eastAsia="Arial" w:hAnsi="Arial"/>
          <w:sz w:val="19"/>
          <w:szCs w:val="19"/>
          <w:u w:val="single" w:color="auto"/>
          <w:color w:val="auto"/>
        </w:rPr>
        <w:t>Section 17.5(c)(i)</w:t>
      </w:r>
      <w:r>
        <w:rPr>
          <w:rFonts w:ascii="Arial" w:cs="Arial" w:eastAsia="Arial" w:hAnsi="Arial"/>
          <w:sz w:val="19"/>
          <w:szCs w:val="19"/>
          <w:color w:val="auto"/>
        </w:rPr>
        <w:t xml:space="preserve"> with respect to Series B Preference Units and </w:t>
      </w:r>
      <w:r>
        <w:rPr>
          <w:rFonts w:ascii="Arial" w:cs="Arial" w:eastAsia="Arial" w:hAnsi="Arial"/>
          <w:sz w:val="19"/>
          <w:szCs w:val="19"/>
          <w:u w:val="single" w:color="auto"/>
          <w:color w:val="auto"/>
        </w:rPr>
        <w:t>Section 18.5(c)(i)</w:t>
      </w:r>
      <w:r>
        <w:rPr>
          <w:rFonts w:ascii="Arial" w:cs="Arial" w:eastAsia="Arial" w:hAnsi="Arial"/>
          <w:sz w:val="19"/>
          <w:szCs w:val="19"/>
          <w:color w:val="auto"/>
        </w:rPr>
        <w:t xml:space="preserve"> with respect to Series C Preference Units, and without limitation of the Board of Directors’ authority to adopt amendments to this Agreement without the approval of any Partners as contemplated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any amendment that would have a material adverse effect on the rights or preferences of any class or series of Partnership Interests in relation to other classes or series of Partnership Interests must be approved by the holders of not less than a majority of the Outstanding Partnership Interests of the class or series affected. If the General Partner determines an amendment does not satisfy the requirements of </w:t>
      </w:r>
      <w:r>
        <w:rPr>
          <w:rFonts w:ascii="Arial" w:cs="Arial" w:eastAsia="Arial" w:hAnsi="Arial"/>
          <w:sz w:val="19"/>
          <w:szCs w:val="19"/>
          <w:u w:val="single" w:color="auto"/>
          <w:color w:val="auto"/>
        </w:rPr>
        <w:t>Section 13.1(d)(i)</w:t>
      </w:r>
      <w:r>
        <w:rPr>
          <w:rFonts w:ascii="Arial" w:cs="Arial" w:eastAsia="Arial" w:hAnsi="Arial"/>
          <w:sz w:val="19"/>
          <w:szCs w:val="19"/>
          <w:color w:val="auto"/>
        </w:rPr>
        <w:t xml:space="preserve"> because it adversely affects one or more classes of Partnership Interests, as compared to other classes of Partnership Interests, in any material respect, such amendment shall only be required to be approved by the adversely affected class or classes.</w:t>
      </w:r>
    </w:p>
    <w:p>
      <w:pPr>
        <w:spacing w:after="0" w:line="158" w:lineRule="exact"/>
        <w:rPr>
          <w:rFonts w:ascii="Arial" w:cs="Arial" w:eastAsia="Arial" w:hAnsi="Arial"/>
          <w:sz w:val="19"/>
          <w:szCs w:val="19"/>
          <w:color w:val="auto"/>
        </w:rPr>
      </w:pPr>
    </w:p>
    <w:p>
      <w:pPr>
        <w:ind w:right="40" w:firstLine="1305"/>
        <w:spacing w:after="0" w:line="297" w:lineRule="auto"/>
        <w:tabs>
          <w:tab w:leader="none" w:pos="1940" w:val="left"/>
        </w:tabs>
        <w:numPr>
          <w:ilvl w:val="1"/>
          <w:numId w:val="78"/>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except for amendments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except as otherwise provided by </w:t>
      </w:r>
      <w:r>
        <w:rPr>
          <w:rFonts w:ascii="Arial" w:cs="Arial" w:eastAsia="Arial" w:hAnsi="Arial"/>
          <w:sz w:val="19"/>
          <w:szCs w:val="19"/>
          <w:u w:val="single" w:color="auto"/>
          <w:color w:val="auto"/>
        </w:rPr>
        <w:t>Section 14.3(b)</w:t>
      </w:r>
      <w:r>
        <w:rPr>
          <w:rFonts w:ascii="Arial" w:cs="Arial" w:eastAsia="Arial" w:hAnsi="Arial"/>
          <w:sz w:val="19"/>
          <w:szCs w:val="19"/>
          <w:color w:val="auto"/>
        </w:rPr>
        <w:t>, no amendments shall become effective without the approval of the holders of at least 90% of the Outstanding Units, voting as a single class, unless the Partnership obtains an Opinion of Counsel</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3" w:name="page74"/>
    <w:bookmarkEnd w:id="73"/>
    <w:p>
      <w:pPr>
        <w:spacing w:after="0"/>
        <w:rPr>
          <w:sz w:val="20"/>
          <w:szCs w:val="20"/>
          <w:color w:val="auto"/>
        </w:rPr>
      </w:pPr>
      <w:r>
        <w:rPr>
          <w:rFonts w:ascii="Arial" w:cs="Arial" w:eastAsia="Arial" w:hAnsi="Arial"/>
          <w:sz w:val="22"/>
          <w:szCs w:val="22"/>
          <w:color w:val="auto"/>
        </w:rPr>
        <w:t>to the effect that such amendment will not affect the limited liability of any Limited Partner under applicable law.</w:t>
      </w:r>
    </w:p>
    <w:p>
      <w:pPr>
        <w:spacing w:after="0" w:line="206" w:lineRule="exact"/>
        <w:rPr>
          <w:sz w:val="20"/>
          <w:szCs w:val="20"/>
          <w:color w:val="auto"/>
        </w:rPr>
      </w:pPr>
    </w:p>
    <w:p>
      <w:pPr>
        <w:ind w:right="40" w:firstLine="1305"/>
        <w:spacing w:after="0" w:line="251" w:lineRule="auto"/>
        <w:tabs>
          <w:tab w:leader="none" w:pos="1955"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13.3</w:t>
      </w:r>
      <w:r>
        <w:rPr>
          <w:rFonts w:ascii="Arial" w:cs="Arial" w:eastAsia="Arial" w:hAnsi="Arial"/>
          <w:sz w:val="22"/>
          <w:szCs w:val="22"/>
          <w:color w:val="auto"/>
        </w:rPr>
        <w:t xml:space="preserve"> shall only be amended with the approval of the holders of at least 90% of the Outstanding Units.</w:t>
      </w:r>
    </w:p>
    <w:p>
      <w:pPr>
        <w:spacing w:after="0" w:line="173" w:lineRule="exact"/>
        <w:rPr>
          <w:sz w:val="20"/>
          <w:szCs w:val="20"/>
          <w:color w:val="auto"/>
        </w:rPr>
      </w:pPr>
    </w:p>
    <w:p>
      <w:pPr>
        <w:ind w:firstLine="1297"/>
        <w:spacing w:after="0" w:line="271" w:lineRule="auto"/>
        <w:rPr>
          <w:sz w:val="20"/>
          <w:szCs w:val="20"/>
          <w:color w:val="auto"/>
        </w:rPr>
      </w:pPr>
      <w:r>
        <w:rPr>
          <w:rFonts w:ascii="Arial" w:cs="Arial" w:eastAsia="Arial" w:hAnsi="Arial"/>
          <w:sz w:val="19"/>
          <w:szCs w:val="19"/>
          <w:color w:val="auto"/>
        </w:rPr>
        <w:t xml:space="preserve">Section 13.4. </w:t>
      </w:r>
      <w:r>
        <w:rPr>
          <w:rFonts w:ascii="Arial" w:cs="Arial" w:eastAsia="Arial" w:hAnsi="Arial"/>
          <w:sz w:val="19"/>
          <w:szCs w:val="19"/>
          <w:i w:val="1"/>
          <w:iCs w:val="1"/>
          <w:color w:val="auto"/>
        </w:rPr>
        <w:t>Special Meetings</w:t>
      </w:r>
      <w:r>
        <w:rPr>
          <w:rFonts w:ascii="Arial" w:cs="Arial" w:eastAsia="Arial" w:hAnsi="Arial"/>
          <w:sz w:val="19"/>
          <w:szCs w:val="19"/>
          <w:color w:val="auto"/>
        </w:rPr>
        <w:t xml:space="preserve">. All acts of Limited Partners to be taken pursuant to this Agreement shall be taken in the manner provided in this </w:t>
      </w:r>
      <w:r>
        <w:rPr>
          <w:rFonts w:ascii="Arial" w:cs="Arial" w:eastAsia="Arial" w:hAnsi="Arial"/>
          <w:sz w:val="19"/>
          <w:szCs w:val="19"/>
          <w:u w:val="single" w:color="auto"/>
          <w:color w:val="auto"/>
        </w:rPr>
        <w:t>Article XIII</w:t>
      </w:r>
      <w:r>
        <w:rPr>
          <w:rFonts w:ascii="Arial" w:cs="Arial" w:eastAsia="Arial" w:hAnsi="Arial"/>
          <w:sz w:val="19"/>
          <w:szCs w:val="19"/>
          <w:color w:val="auto"/>
        </w:rPr>
        <w:t>. Special meetings of the Limited Partners may be called by the General Partner, the Board of Directors or by Limited Partners owning 20% or more of the Outstanding Units of the class or classes or series for which a meeting is proposed. Limited Partners shall call a special meeting by delivering to the Board of Directors one or more requests in writing stating that the signing Limited Partners wish to call a special meeting and indicating the general or specific purposes for which the special meeting is to be called, it being understood that the purposes of such special meeting may only be to vote on matters that require the vote of the Unitholders pursuant to this Agreement.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Board of Directors shall send a notice of the meeting to the Limited Partners either directly or indirectly through the Transfer Agent. A meeting shall be held at a time and place determined by the Board of Directors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Marshall Islands Act or the law of any other jurisdiction in which the Partnership is qualified to do business.</w:t>
      </w:r>
    </w:p>
    <w:p>
      <w:pPr>
        <w:spacing w:after="0" w:line="200" w:lineRule="exact"/>
        <w:rPr>
          <w:sz w:val="20"/>
          <w:szCs w:val="20"/>
          <w:color w:val="auto"/>
        </w:rPr>
      </w:pPr>
    </w:p>
    <w:p>
      <w:pPr>
        <w:spacing w:after="0" w:line="209"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 xml:space="preserve">Section 13.5. </w:t>
      </w:r>
      <w:r>
        <w:rPr>
          <w:rFonts w:ascii="Arial" w:cs="Arial" w:eastAsia="Arial" w:hAnsi="Arial"/>
          <w:sz w:val="21"/>
          <w:szCs w:val="21"/>
          <w:i w:val="1"/>
          <w:iCs w:val="1"/>
          <w:color w:val="auto"/>
        </w:rPr>
        <w:t>Notice of a Meeting</w:t>
      </w:r>
      <w:r>
        <w:rPr>
          <w:rFonts w:ascii="Arial" w:cs="Arial" w:eastAsia="Arial" w:hAnsi="Arial"/>
          <w:sz w:val="21"/>
          <w:szCs w:val="21"/>
          <w:color w:val="auto"/>
        </w:rPr>
        <w:t xml:space="preserve">. Notice of a meeting called pursuant to </w:t>
      </w:r>
      <w:r>
        <w:rPr>
          <w:rFonts w:ascii="Arial" w:cs="Arial" w:eastAsia="Arial" w:hAnsi="Arial"/>
          <w:sz w:val="21"/>
          <w:szCs w:val="21"/>
          <w:u w:val="single" w:color="auto"/>
          <w:color w:val="auto"/>
        </w:rPr>
        <w:t>Section 13.4</w:t>
      </w:r>
      <w:r>
        <w:rPr>
          <w:rFonts w:ascii="Arial" w:cs="Arial" w:eastAsia="Arial" w:hAnsi="Arial"/>
          <w:sz w:val="21"/>
          <w:szCs w:val="21"/>
          <w:color w:val="auto"/>
        </w:rPr>
        <w:t xml:space="preserve"> shall be given to the Record Holders of the class, classes or series of Units for which a meeting is proposed in writing by mail or other means of written communication in accordance with </w:t>
      </w:r>
      <w:r>
        <w:rPr>
          <w:rFonts w:ascii="Arial" w:cs="Arial" w:eastAsia="Arial" w:hAnsi="Arial"/>
          <w:sz w:val="21"/>
          <w:szCs w:val="21"/>
          <w:u w:val="single" w:color="auto"/>
          <w:color w:val="auto"/>
        </w:rPr>
        <w:t>Section 19.1</w:t>
      </w:r>
      <w:r>
        <w:rPr>
          <w:rFonts w:ascii="Arial" w:cs="Arial" w:eastAsia="Arial" w:hAnsi="Arial"/>
          <w:sz w:val="21"/>
          <w:szCs w:val="21"/>
          <w:color w:val="auto"/>
        </w:rPr>
        <w:t xml:space="preserve"> at least 10 days in advance of such meeting. The notice shall be deemed to have been given at the time when deposited in the mail or sent by other means of written communication.</w:t>
      </w:r>
    </w:p>
    <w:p>
      <w:pPr>
        <w:spacing w:after="0" w:line="174" w:lineRule="exact"/>
        <w:rPr>
          <w:sz w:val="20"/>
          <w:szCs w:val="20"/>
          <w:color w:val="auto"/>
        </w:rPr>
      </w:pPr>
    </w:p>
    <w:p>
      <w:pPr>
        <w:ind w:right="60" w:firstLine="1297"/>
        <w:spacing w:after="0" w:line="273" w:lineRule="auto"/>
        <w:rPr>
          <w:sz w:val="20"/>
          <w:szCs w:val="20"/>
          <w:color w:val="auto"/>
        </w:rPr>
      </w:pPr>
      <w:r>
        <w:rPr>
          <w:rFonts w:ascii="Arial" w:cs="Arial" w:eastAsia="Arial" w:hAnsi="Arial"/>
          <w:sz w:val="19"/>
          <w:szCs w:val="19"/>
          <w:color w:val="auto"/>
        </w:rPr>
        <w:t xml:space="preserve">Section 13.6. </w:t>
      </w:r>
      <w:r>
        <w:rPr>
          <w:rFonts w:ascii="Arial" w:cs="Arial" w:eastAsia="Arial" w:hAnsi="Arial"/>
          <w:sz w:val="19"/>
          <w:szCs w:val="19"/>
          <w:i w:val="1"/>
          <w:iCs w:val="1"/>
          <w:color w:val="auto"/>
        </w:rPr>
        <w:t>Record Date</w:t>
      </w:r>
      <w:r>
        <w:rPr>
          <w:rFonts w:ascii="Arial" w:cs="Arial" w:eastAsia="Arial" w:hAnsi="Arial"/>
          <w:sz w:val="19"/>
          <w:szCs w:val="19"/>
          <w:color w:val="auto"/>
        </w:rPr>
        <w:t xml:space="preserve">. For purposes of determining the Limited Partners entitled to notice of or to vote at a meeting of the Limited Partners or to give approvals without a meeting as provided in </w:t>
      </w:r>
      <w:r>
        <w:rPr>
          <w:rFonts w:ascii="Arial" w:cs="Arial" w:eastAsia="Arial" w:hAnsi="Arial"/>
          <w:sz w:val="19"/>
          <w:szCs w:val="19"/>
          <w:u w:val="single" w:color="auto"/>
          <w:color w:val="auto"/>
        </w:rPr>
        <w:t>Section 13.11</w:t>
      </w:r>
      <w:r>
        <w:rPr>
          <w:rFonts w:ascii="Arial" w:cs="Arial" w:eastAsia="Arial" w:hAnsi="Arial"/>
          <w:sz w:val="19"/>
          <w:szCs w:val="19"/>
          <w:color w:val="auto"/>
        </w:rPr>
        <w:t>, the Board of Directors may set a Record Date, which shall not be less than 10 nor more than 60 days before (a) the date of the meeting (unless such requirement conflicts with any rule, regulation, guideline or requirement of any National Securities Exchange on which the Units are listed or admitted to trading, in which case the rule, regulation, guideline or requirement of such National Securities Exchange shall govern) or (b) in the event that approvals are sought without a meeting, the date by which Limited Partners are requested in writing by the Board of Directors to give such approvals. If the Board of Directors does not set a Record Date, then (a) the Record Date for determining the Limited Partners entitled to notice of or to vote at a meeting of the Limited Partners shall be the close of business on the day next preceding the day on which notice is given, and (b) the Record Date for determining the Limited Partners entitled to give approvals without a meeting shall be the date</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74" w:name="page75"/>
    <w:bookmarkEnd w:id="74"/>
    <w:p>
      <w:pPr>
        <w:spacing w:after="0"/>
        <w:rPr>
          <w:sz w:val="20"/>
          <w:szCs w:val="20"/>
          <w:color w:val="auto"/>
        </w:rPr>
      </w:pPr>
      <w:r>
        <w:rPr>
          <w:rFonts w:ascii="Arial" w:cs="Arial" w:eastAsia="Arial" w:hAnsi="Arial"/>
          <w:sz w:val="19"/>
          <w:szCs w:val="19"/>
          <w:color w:val="auto"/>
        </w:rPr>
        <w:t xml:space="preserve">the first written approval is deposited with the Partnership in care of the Board of Directors in accordance with </w:t>
      </w:r>
      <w:r>
        <w:rPr>
          <w:rFonts w:ascii="Arial" w:cs="Arial" w:eastAsia="Arial" w:hAnsi="Arial"/>
          <w:sz w:val="19"/>
          <w:szCs w:val="19"/>
          <w:u w:val="single" w:color="auto"/>
          <w:color w:val="auto"/>
        </w:rPr>
        <w:t>Section 13.11</w:t>
      </w:r>
      <w:r>
        <w:rPr>
          <w:rFonts w:ascii="Arial" w:cs="Arial" w:eastAsia="Arial" w:hAnsi="Arial"/>
          <w:sz w:val="19"/>
          <w:szCs w:val="19"/>
          <w:color w:val="auto"/>
        </w:rPr>
        <w:t>.</w:t>
      </w:r>
    </w:p>
    <w:p>
      <w:pPr>
        <w:spacing w:after="0" w:line="241" w:lineRule="exact"/>
        <w:rPr>
          <w:sz w:val="20"/>
          <w:szCs w:val="20"/>
          <w:color w:val="auto"/>
        </w:rPr>
      </w:pPr>
    </w:p>
    <w:p>
      <w:pPr>
        <w:ind w:right="100" w:firstLine="1297"/>
        <w:spacing w:after="0" w:line="235" w:lineRule="auto"/>
        <w:rPr>
          <w:sz w:val="20"/>
          <w:szCs w:val="20"/>
          <w:color w:val="auto"/>
        </w:rPr>
      </w:pPr>
      <w:r>
        <w:rPr>
          <w:rFonts w:ascii="Arial" w:cs="Arial" w:eastAsia="Arial" w:hAnsi="Arial"/>
          <w:sz w:val="22"/>
          <w:szCs w:val="22"/>
          <w:color w:val="auto"/>
        </w:rPr>
        <w:t xml:space="preserve">Section 13.7. </w:t>
      </w:r>
      <w:r>
        <w:rPr>
          <w:rFonts w:ascii="Arial" w:cs="Arial" w:eastAsia="Arial" w:hAnsi="Arial"/>
          <w:sz w:val="22"/>
          <w:szCs w:val="22"/>
          <w:i w:val="1"/>
          <w:iCs w:val="1"/>
          <w:color w:val="auto"/>
        </w:rPr>
        <w:t>Adjournment</w:t>
      </w:r>
      <w:r>
        <w:rPr>
          <w:rFonts w:ascii="Arial" w:cs="Arial" w:eastAsia="Arial" w:hAnsi="Arial"/>
          <w:sz w:val="22"/>
          <w:szCs w:val="22"/>
          <w:color w:val="auto"/>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Arial" w:cs="Arial" w:eastAsia="Arial" w:hAnsi="Arial"/>
          <w:sz w:val="22"/>
          <w:szCs w:val="22"/>
          <w:u w:val="single" w:color="auto"/>
          <w:color w:val="auto"/>
        </w:rPr>
        <w:t>Article XIII</w:t>
      </w:r>
      <w:r>
        <w:rPr>
          <w:rFonts w:ascii="Arial" w:cs="Arial" w:eastAsia="Arial" w:hAnsi="Arial"/>
          <w:sz w:val="22"/>
          <w:szCs w:val="22"/>
          <w:color w:val="auto"/>
        </w:rPr>
        <w:t>.</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13.8. </w:t>
      </w:r>
      <w:r>
        <w:rPr>
          <w:rFonts w:ascii="Arial" w:cs="Arial" w:eastAsia="Arial" w:hAnsi="Arial"/>
          <w:sz w:val="19"/>
          <w:szCs w:val="19"/>
          <w:i w:val="1"/>
          <w:iCs w:val="1"/>
          <w:color w:val="auto"/>
        </w:rPr>
        <w:t>Waiver of Notice; Approval of Meeting; Approval of Minutes</w:t>
      </w:r>
      <w:r>
        <w:rPr>
          <w:rFonts w:ascii="Arial" w:cs="Arial" w:eastAsia="Arial" w:hAnsi="Arial"/>
          <w:sz w:val="19"/>
          <w:szCs w:val="19"/>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 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153" w:lineRule="exact"/>
        <w:rPr>
          <w:sz w:val="20"/>
          <w:szCs w:val="20"/>
          <w:color w:val="auto"/>
        </w:rPr>
      </w:pPr>
    </w:p>
    <w:p>
      <w:pPr>
        <w:ind w:right="40" w:firstLine="1297"/>
        <w:spacing w:after="0" w:line="251" w:lineRule="auto"/>
        <w:rPr>
          <w:sz w:val="20"/>
          <w:szCs w:val="20"/>
          <w:color w:val="auto"/>
        </w:rPr>
      </w:pPr>
      <w:r>
        <w:rPr>
          <w:rFonts w:ascii="Arial" w:cs="Arial" w:eastAsia="Arial" w:hAnsi="Arial"/>
          <w:sz w:val="20"/>
          <w:szCs w:val="20"/>
          <w:color w:val="auto"/>
        </w:rPr>
        <w:t xml:space="preserve">Section 13.9. </w:t>
      </w:r>
      <w:r>
        <w:rPr>
          <w:rFonts w:ascii="Arial" w:cs="Arial" w:eastAsia="Arial" w:hAnsi="Arial"/>
          <w:sz w:val="20"/>
          <w:szCs w:val="20"/>
          <w:i w:val="1"/>
          <w:iCs w:val="1"/>
          <w:color w:val="auto"/>
        </w:rPr>
        <w:t>Quorum and Voting</w:t>
      </w:r>
      <w:r>
        <w:rPr>
          <w:rFonts w:ascii="Arial" w:cs="Arial" w:eastAsia="Arial" w:hAnsi="Arial"/>
          <w:sz w:val="20"/>
          <w:szCs w:val="20"/>
          <w:color w:val="auto"/>
        </w:rPr>
        <w:t>. The holders of 33</w:t>
      </w:r>
      <w:r>
        <w:rPr>
          <w:rFonts w:ascii="Arial" w:cs="Arial" w:eastAsia="Arial" w:hAnsi="Arial"/>
          <w:sz w:val="26"/>
          <w:szCs w:val="26"/>
          <w:color w:val="auto"/>
          <w:vertAlign w:val="superscript"/>
        </w:rPr>
        <w:t>1</w:t>
      </w:r>
      <w:r>
        <w:rPr>
          <w:rFonts w:ascii="Arial" w:cs="Arial" w:eastAsia="Arial" w:hAnsi="Arial"/>
          <w:sz w:val="20"/>
          <w:szCs w:val="20"/>
          <w:color w:val="auto"/>
        </w:rPr>
        <w:t>/</w:t>
      </w:r>
      <w:r>
        <w:rPr>
          <w:rFonts w:ascii="Arial" w:cs="Arial" w:eastAsia="Arial" w:hAnsi="Arial"/>
          <w:sz w:val="13"/>
          <w:szCs w:val="13"/>
          <w:color w:val="auto"/>
        </w:rPr>
        <w:t>3</w:t>
      </w:r>
      <w:r>
        <w:rPr>
          <w:rFonts w:ascii="Arial" w:cs="Arial" w:eastAsia="Arial" w:hAnsi="Arial"/>
          <w:sz w:val="20"/>
          <w:szCs w:val="20"/>
          <w:color w:val="auto"/>
        </w:rPr>
        <w:t xml:space="preserve">% of the Outstanding Units of the class, classes or series for which a meeting has been called (including Outstanding Units deemed owned by the General Partner and its Affiliates) represented in person or by proxy shall constitute a quorum at a meeting of Limited Partners of such class, classes or series unless any such action by the Limited Partners requires approval by holders of a greater percentage of such Units, in which case the quorum shall be such greater percentage.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Units specified in this Agreement (including Outstanding Units deemed owned by the General Partner and its Affiliates). In the absence of a quorum, any meeting of Limited Partners may be adjourned from time to time by the affirmative vote of holders of at least a majority of the Outstanding Units entitled to vote at such meeting (including Outstanding Units deemed owned by the General Partner and its Affiliates) and represented either in person or by proxy, but no other business may be transacted, except as provided in </w:t>
      </w:r>
      <w:r>
        <w:rPr>
          <w:rFonts w:ascii="Arial" w:cs="Arial" w:eastAsia="Arial" w:hAnsi="Arial"/>
          <w:sz w:val="20"/>
          <w:szCs w:val="20"/>
          <w:u w:val="single" w:color="auto"/>
          <w:color w:val="auto"/>
        </w:rPr>
        <w:t>Section 13.7</w:t>
      </w:r>
      <w:r>
        <w:rPr>
          <w:rFonts w:ascii="Arial" w:cs="Arial" w:eastAsia="Arial" w:hAnsi="Arial"/>
          <w:sz w:val="20"/>
          <w:szCs w:val="20"/>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5" w:name="page76"/>
    <w:bookmarkEnd w:id="75"/>
    <w:p>
      <w:pPr>
        <w:ind w:right="80" w:firstLine="1297"/>
        <w:spacing w:after="0" w:line="244" w:lineRule="auto"/>
        <w:rPr>
          <w:sz w:val="20"/>
          <w:szCs w:val="20"/>
          <w:color w:val="auto"/>
        </w:rPr>
      </w:pPr>
      <w:r>
        <w:rPr>
          <w:rFonts w:ascii="Arial" w:cs="Arial" w:eastAsia="Arial" w:hAnsi="Arial"/>
          <w:sz w:val="21"/>
          <w:szCs w:val="21"/>
          <w:color w:val="auto"/>
        </w:rPr>
        <w:t xml:space="preserve">Section 13.10. </w:t>
      </w:r>
      <w:r>
        <w:rPr>
          <w:rFonts w:ascii="Arial" w:cs="Arial" w:eastAsia="Arial" w:hAnsi="Arial"/>
          <w:sz w:val="21"/>
          <w:szCs w:val="21"/>
          <w:i w:val="1"/>
          <w:iCs w:val="1"/>
          <w:color w:val="auto"/>
        </w:rPr>
        <w:t>Conduct of a Meeting</w:t>
      </w:r>
      <w:r>
        <w:rPr>
          <w:rFonts w:ascii="Arial" w:cs="Arial" w:eastAsia="Arial" w:hAnsi="Arial"/>
          <w:sz w:val="21"/>
          <w:szCs w:val="21"/>
          <w:color w:val="auto"/>
        </w:rPr>
        <w:t xml:space="preserve">. The Board of Directors shall have full power and authority concerning the manner of conducting any meeting of the Limited Partners or solicitation of approvals in writing, including the determination of Persons entitled to vote, the existence of a quorum, the satisfaction of the requirements of </w:t>
      </w:r>
      <w:r>
        <w:rPr>
          <w:rFonts w:ascii="Arial" w:cs="Arial" w:eastAsia="Arial" w:hAnsi="Arial"/>
          <w:sz w:val="21"/>
          <w:szCs w:val="21"/>
          <w:u w:val="single" w:color="auto"/>
          <w:color w:val="auto"/>
        </w:rPr>
        <w:t>Section 13.4</w:t>
      </w:r>
      <w:r>
        <w:rPr>
          <w:rFonts w:ascii="Arial" w:cs="Arial" w:eastAsia="Arial" w:hAnsi="Arial"/>
          <w:sz w:val="21"/>
          <w:szCs w:val="21"/>
          <w:color w:val="auto"/>
        </w:rPr>
        <w:t>, the conduct of voting, the validity and effect of any proxies and the determination of any controversies, votes or challenges arising in connection with or during the meeting or voting. The Chairman of the Board of Directors shall serve as chairman of any meeting and shall further designate a Person to take the minutes of any meeting. All minutes shall be kept with the records of the Partnership maintained by the Board of Directors. The Board of Directors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90"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13.11. </w:t>
      </w:r>
      <w:r>
        <w:rPr>
          <w:rFonts w:ascii="Arial" w:cs="Arial" w:eastAsia="Arial" w:hAnsi="Arial"/>
          <w:sz w:val="19"/>
          <w:szCs w:val="19"/>
          <w:i w:val="1"/>
          <w:iCs w:val="1"/>
          <w:color w:val="auto"/>
        </w:rPr>
        <w:t>Action Without a Meeting</w:t>
      </w:r>
      <w:r>
        <w:rPr>
          <w:rFonts w:ascii="Arial" w:cs="Arial" w:eastAsia="Arial" w:hAnsi="Arial"/>
          <w:sz w:val="19"/>
          <w:szCs w:val="19"/>
          <w:color w:val="auto"/>
        </w:rPr>
        <w:t>. If authorized by the Board of Directors, any action that may be taken at a meeting of the Limited Partners may be taken without a meeting if an approval in writing setting forth the action so taken is signed by Limited Partners owning not less than the minimum percentage of the Outstanding Units (including Units deemed owned by the General Partner and its Affiliates) that would be necessary to authorize or take such action at a meeting at which all the Limited Partners were present and voted (unless such provision conflicts with any rule, regulation, guideline or requirement of any National Securities Exchange on which the Units are listed or admitted to trading, in which case the rule, regulation, guideline or requirement of such National Securities Exchange shall govern). Prompt notice of the taking of action without a meeting shall be given to the Limited Partners who have not approved the action in writing. The Board of Directors may specify that any written ballot submitted to Limited Partners for the purpose of taking any action without a meeting shall be returned to the Partnership within the time period, which shall be not less than 20 days, specified by the Board of Directors. If a ballot returned to the Partnership does not vote all of the Units held by the Limited Partners, the Partnership shall be deemed to have failed to receive a ballot for the Units that were not voted. If approval of the taking of any action by the Limited Partners is solicited by any Person other than by or on behalf of the Board of Directors, the written approvals shall have no force and effect unless and until (a) they are deposited with the Partnership in care of the Board of Directors, (b) approvals sufficient to take the action proposed are dated as of a date not more than 90 days prior to the date sufficient approvals are deposited with the Partnership and (c) an Opinion of Counsel is delivered to the Board of Directors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applicable statutes then governing the rights, duties and liabilities of the Partnership and the Partners.</w:t>
      </w:r>
    </w:p>
    <w:p>
      <w:pPr>
        <w:spacing w:after="0" w:line="165" w:lineRule="exact"/>
        <w:rPr>
          <w:sz w:val="20"/>
          <w:szCs w:val="20"/>
          <w:color w:val="auto"/>
        </w:rPr>
      </w:pPr>
    </w:p>
    <w:p>
      <w:pPr>
        <w:ind w:right="160" w:firstLine="1297"/>
        <w:spacing w:after="0" w:line="252" w:lineRule="auto"/>
        <w:rPr>
          <w:sz w:val="20"/>
          <w:szCs w:val="20"/>
          <w:color w:val="auto"/>
        </w:rPr>
      </w:pPr>
      <w:r>
        <w:rPr>
          <w:rFonts w:ascii="Arial" w:cs="Arial" w:eastAsia="Arial" w:hAnsi="Arial"/>
          <w:sz w:val="21"/>
          <w:szCs w:val="21"/>
          <w:color w:val="auto"/>
        </w:rPr>
        <w:t xml:space="preserve">Section 13.12. </w:t>
      </w:r>
      <w:r>
        <w:rPr>
          <w:rFonts w:ascii="Arial" w:cs="Arial" w:eastAsia="Arial" w:hAnsi="Arial"/>
          <w:sz w:val="21"/>
          <w:szCs w:val="21"/>
          <w:i w:val="1"/>
          <w:iCs w:val="1"/>
          <w:color w:val="auto"/>
        </w:rPr>
        <w:t>Right to Vote and Related Matters</w:t>
      </w:r>
      <w:r>
        <w:rPr>
          <w:rFonts w:ascii="Arial" w:cs="Arial" w:eastAsia="Arial" w:hAnsi="Arial"/>
          <w:sz w:val="21"/>
          <w:szCs w:val="21"/>
          <w:color w:val="auto"/>
        </w:rPr>
        <w:t xml:space="preserve">. (a) Only those Record Holders of the Units on the Record Date set pursuant to </w:t>
      </w:r>
      <w:r>
        <w:rPr>
          <w:rFonts w:ascii="Arial" w:cs="Arial" w:eastAsia="Arial" w:hAnsi="Arial"/>
          <w:sz w:val="21"/>
          <w:szCs w:val="21"/>
          <w:u w:val="single" w:color="auto"/>
          <w:color w:val="auto"/>
        </w:rPr>
        <w:t>Section 13.6</w:t>
      </w:r>
      <w:r>
        <w:rPr>
          <w:rFonts w:ascii="Arial" w:cs="Arial" w:eastAsia="Arial" w:hAnsi="Arial"/>
          <w:sz w:val="21"/>
          <w:szCs w:val="21"/>
          <w:color w:val="auto"/>
        </w:rPr>
        <w:t xml:space="preserve"> (and also subject to the limitations contained in the definition of “Outstanding”) shall be entitled to notice of, and to vote at, a meeting of Limited Partners or to act with respect to matters as to which the holders of the Outstanding Units have the right to vote or to act. All references in this Agreement to votes of,</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76" w:name="page77"/>
    <w:bookmarkEnd w:id="76"/>
    <w:p>
      <w:pPr>
        <w:ind w:right="660"/>
        <w:spacing w:after="0" w:line="251" w:lineRule="auto"/>
        <w:rPr>
          <w:sz w:val="20"/>
          <w:szCs w:val="20"/>
          <w:color w:val="auto"/>
        </w:rPr>
      </w:pPr>
      <w:r>
        <w:rPr>
          <w:rFonts w:ascii="Arial" w:cs="Arial" w:eastAsia="Arial" w:hAnsi="Arial"/>
          <w:sz w:val="22"/>
          <w:szCs w:val="22"/>
          <w:color w:val="auto"/>
        </w:rPr>
        <w:t>or other acts that may be taken by, the Outstanding Units shall be deemed to be references to the votes or acts of the Record Holders of such Outstanding Units.</w:t>
      </w:r>
    </w:p>
    <w:p>
      <w:pPr>
        <w:spacing w:after="0" w:line="173" w:lineRule="exact"/>
        <w:rPr>
          <w:sz w:val="20"/>
          <w:szCs w:val="20"/>
          <w:color w:val="auto"/>
        </w:rPr>
      </w:pPr>
    </w:p>
    <w:p>
      <w:pPr>
        <w:ind w:right="20" w:firstLine="1305"/>
        <w:spacing w:after="0" w:line="279" w:lineRule="auto"/>
        <w:tabs>
          <w:tab w:leader="none" w:pos="1954" w:val="left"/>
        </w:tabs>
        <w:numPr>
          <w:ilvl w:val="0"/>
          <w:numId w:val="80"/>
        </w:numPr>
        <w:rPr>
          <w:rFonts w:ascii="Arial" w:cs="Arial" w:eastAsia="Arial" w:hAnsi="Arial"/>
          <w:sz w:val="19"/>
          <w:szCs w:val="19"/>
          <w:color w:val="auto"/>
        </w:rPr>
      </w:pPr>
      <w:r>
        <w:rPr>
          <w:rFonts w:ascii="Arial" w:cs="Arial" w:eastAsia="Arial" w:hAnsi="Arial"/>
          <w:sz w:val="19"/>
          <w:szCs w:val="19"/>
          <w:color w:val="auto"/>
        </w:rPr>
        <w:t xml:space="preserve">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w:t>
      </w:r>
      <w:r>
        <w:rPr>
          <w:rFonts w:ascii="Arial" w:cs="Arial" w:eastAsia="Arial" w:hAnsi="Arial"/>
          <w:sz w:val="19"/>
          <w:szCs w:val="19"/>
          <w:u w:val="single" w:color="auto"/>
          <w:color w:val="auto"/>
        </w:rPr>
        <w:t>Section 13.12(b)</w:t>
      </w:r>
      <w:r>
        <w:rPr>
          <w:rFonts w:ascii="Arial" w:cs="Arial" w:eastAsia="Arial" w:hAnsi="Arial"/>
          <w:sz w:val="19"/>
          <w:szCs w:val="19"/>
          <w:color w:val="auto"/>
        </w:rPr>
        <w:t xml:space="preserve"> (as well as all other provisions of this Agreement) are subject to the provisions of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MERGER, CONSOLIDATION OR CONVERSION</w:t>
      </w:r>
    </w:p>
    <w:p>
      <w:pPr>
        <w:spacing w:after="0" w:line="188" w:lineRule="exact"/>
        <w:rPr>
          <w:sz w:val="20"/>
          <w:szCs w:val="20"/>
          <w:color w:val="auto"/>
        </w:rPr>
      </w:pPr>
    </w:p>
    <w:p>
      <w:pPr>
        <w:ind w:right="100" w:firstLine="1297"/>
        <w:spacing w:after="0" w:line="249" w:lineRule="auto"/>
        <w:rPr>
          <w:sz w:val="20"/>
          <w:szCs w:val="20"/>
          <w:color w:val="auto"/>
        </w:rPr>
      </w:pPr>
      <w:r>
        <w:rPr>
          <w:rFonts w:ascii="Arial" w:cs="Arial" w:eastAsia="Arial" w:hAnsi="Arial"/>
          <w:sz w:val="21"/>
          <w:szCs w:val="21"/>
          <w:color w:val="auto"/>
        </w:rPr>
        <w:t xml:space="preserve">Section 14.1. </w:t>
      </w:r>
      <w:r>
        <w:rPr>
          <w:rFonts w:ascii="Arial" w:cs="Arial" w:eastAsia="Arial" w:hAnsi="Arial"/>
          <w:sz w:val="21"/>
          <w:szCs w:val="21"/>
          <w:i w:val="1"/>
          <w:iCs w:val="1"/>
          <w:color w:val="auto"/>
        </w:rPr>
        <w:t>Authority</w:t>
      </w:r>
      <w:r>
        <w:rPr>
          <w:rFonts w:ascii="Arial" w:cs="Arial" w:eastAsia="Arial" w:hAnsi="Arial"/>
          <w:sz w:val="21"/>
          <w:szCs w:val="21"/>
          <w:color w:val="auto"/>
        </w:rPr>
        <w:t>. The Partnership may merge or consolidate with or into one or more corporations, limited liability companies, statutory trusts or associations, real estate investment trusts, common law trusts or unincorporated businesses, including a partnership (whether general or limited (including a limited liability partnership)) or convert into any such entity, pursuant to a written agreement of merger or consolidation (“</w:t>
      </w:r>
      <w:r>
        <w:rPr>
          <w:rFonts w:ascii="Arial" w:cs="Arial" w:eastAsia="Arial" w:hAnsi="Arial"/>
          <w:sz w:val="21"/>
          <w:szCs w:val="21"/>
          <w:b w:val="1"/>
          <w:bCs w:val="1"/>
          <w:i w:val="1"/>
          <w:iCs w:val="1"/>
          <w:color w:val="auto"/>
        </w:rPr>
        <w:t>Merger Agreement</w:t>
      </w:r>
      <w:r>
        <w:rPr>
          <w:rFonts w:ascii="Arial" w:cs="Arial" w:eastAsia="Arial" w:hAnsi="Arial"/>
          <w:sz w:val="21"/>
          <w:szCs w:val="21"/>
          <w:color w:val="auto"/>
        </w:rPr>
        <w:t>”) or a written plan of conversion (“</w:t>
      </w:r>
      <w:r>
        <w:rPr>
          <w:rFonts w:ascii="Arial" w:cs="Arial" w:eastAsia="Arial" w:hAnsi="Arial"/>
          <w:sz w:val="21"/>
          <w:szCs w:val="21"/>
          <w:b w:val="1"/>
          <w:bCs w:val="1"/>
          <w:i w:val="1"/>
          <w:iCs w:val="1"/>
          <w:color w:val="auto"/>
        </w:rPr>
        <w:t>Plan of</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Conversion</w:t>
      </w:r>
      <w:r>
        <w:rPr>
          <w:rFonts w:ascii="Arial" w:cs="Arial" w:eastAsia="Arial" w:hAnsi="Arial"/>
          <w:sz w:val="21"/>
          <w:szCs w:val="21"/>
          <w:color w:val="auto"/>
        </w:rPr>
        <w:t>”), as the case may be, in accordance with this</w:t>
      </w:r>
      <w:r>
        <w:rPr>
          <w:rFonts w:ascii="Arial" w:cs="Arial" w:eastAsia="Arial" w:hAnsi="Arial"/>
          <w:sz w:val="21"/>
          <w:szCs w:val="21"/>
          <w:b w:val="1"/>
          <w:bCs w:val="1"/>
          <w:i w:val="1"/>
          <w:iCs w:val="1"/>
          <w:color w:val="auto"/>
        </w:rPr>
        <w:t xml:space="preserve"> </w:t>
      </w:r>
      <w:r>
        <w:rPr>
          <w:rFonts w:ascii="Arial" w:cs="Arial" w:eastAsia="Arial" w:hAnsi="Arial"/>
          <w:sz w:val="21"/>
          <w:szCs w:val="21"/>
          <w:u w:val="single" w:color="auto"/>
          <w:color w:val="auto"/>
        </w:rPr>
        <w:t>Article XIV</w:t>
      </w:r>
      <w:r>
        <w:rPr>
          <w:rFonts w:ascii="Arial" w:cs="Arial" w:eastAsia="Arial" w:hAnsi="Arial"/>
          <w:sz w:val="21"/>
          <w:szCs w:val="21"/>
          <w:color w:val="auto"/>
        </w:rPr>
        <w:t>.</w:t>
      </w:r>
    </w:p>
    <w:p>
      <w:pPr>
        <w:spacing w:after="0" w:line="179" w:lineRule="exact"/>
        <w:rPr>
          <w:sz w:val="20"/>
          <w:szCs w:val="20"/>
          <w:color w:val="auto"/>
        </w:rPr>
      </w:pPr>
    </w:p>
    <w:p>
      <w:pPr>
        <w:ind w:firstLine="1297"/>
        <w:spacing w:after="0" w:line="246" w:lineRule="auto"/>
        <w:rPr>
          <w:sz w:val="20"/>
          <w:szCs w:val="20"/>
          <w:color w:val="auto"/>
        </w:rPr>
      </w:pPr>
      <w:r>
        <w:rPr>
          <w:rFonts w:ascii="Arial" w:cs="Arial" w:eastAsia="Arial" w:hAnsi="Arial"/>
          <w:sz w:val="21"/>
          <w:szCs w:val="21"/>
          <w:color w:val="auto"/>
        </w:rPr>
        <w:t xml:space="preserve">Section 14.2. </w:t>
      </w:r>
      <w:r>
        <w:rPr>
          <w:rFonts w:ascii="Arial" w:cs="Arial" w:eastAsia="Arial" w:hAnsi="Arial"/>
          <w:sz w:val="21"/>
          <w:szCs w:val="21"/>
          <w:i w:val="1"/>
          <w:iCs w:val="1"/>
          <w:color w:val="auto"/>
        </w:rPr>
        <w:t>Procedure for Merger, Consolidation or Conversion</w:t>
      </w:r>
      <w:r>
        <w:rPr>
          <w:rFonts w:ascii="Arial" w:cs="Arial" w:eastAsia="Arial" w:hAnsi="Arial"/>
          <w:sz w:val="21"/>
          <w:szCs w:val="21"/>
          <w:color w:val="auto"/>
        </w:rPr>
        <w:t xml:space="preserve">. (a) Merger, consolidation or conversion of the Partnership pursuant to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requires the approval of the Board of Directors and the prior consent of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to the fullest extent permitted by law, neither the Board of Directors nor the General Partner shall have a duty or obligation to consent to any merger, consolidation or conversion of the Partnership and may decline to do so free of any fiduciary duty or obligation whatsoever to the Partnership or any Limited Partner and, in declining to consent to a merger, consolidation or conversion, shall not be required to act in good faith or pursuant to any other standard imposed by this Agreement, any Group Member Agreement, any other agreement contemplated hereby or under the Marshall Islands Act or any other law, rule or regulation or at equity.</w:t>
      </w:r>
    </w:p>
    <w:p>
      <w:pPr>
        <w:spacing w:after="0" w:line="181" w:lineRule="exact"/>
        <w:rPr>
          <w:sz w:val="20"/>
          <w:szCs w:val="20"/>
          <w:color w:val="auto"/>
        </w:rPr>
      </w:pPr>
    </w:p>
    <w:p>
      <w:pPr>
        <w:ind w:right="140" w:firstLine="1305"/>
        <w:spacing w:after="0" w:line="328" w:lineRule="auto"/>
        <w:tabs>
          <w:tab w:leader="none" w:pos="1954" w:val="left"/>
        </w:tabs>
        <w:numPr>
          <w:ilvl w:val="0"/>
          <w:numId w:val="81"/>
        </w:numPr>
        <w:rPr>
          <w:rFonts w:ascii="Arial" w:cs="Arial" w:eastAsia="Arial" w:hAnsi="Arial"/>
          <w:sz w:val="19"/>
          <w:szCs w:val="19"/>
          <w:color w:val="auto"/>
        </w:rPr>
      </w:pPr>
      <w:r>
        <w:rPr>
          <w:rFonts w:ascii="Arial" w:cs="Arial" w:eastAsia="Arial" w:hAnsi="Arial"/>
          <w:sz w:val="19"/>
          <w:szCs w:val="19"/>
          <w:color w:val="auto"/>
        </w:rPr>
        <w:t>If the Board of Directors and the General Partner shall determine to consent to the merger, consolidation or conversion, the Board of Directors and the General Partner shall approve the Merger Agreement, which shall set forth:</w:t>
      </w:r>
    </w:p>
    <w:p>
      <w:pPr>
        <w:spacing w:after="0" w:line="105" w:lineRule="exact"/>
        <w:rPr>
          <w:sz w:val="20"/>
          <w:szCs w:val="20"/>
          <w:color w:val="auto"/>
        </w:rPr>
      </w:pPr>
    </w:p>
    <w:p>
      <w:pPr>
        <w:ind w:left="1960" w:hanging="655"/>
        <w:spacing w:after="0"/>
        <w:tabs>
          <w:tab w:leader="none" w:pos="196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names and jurisdictions of formation or organization of each of the business entities proposing to merge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 consolidate;</w:t>
      </w:r>
    </w:p>
    <w:p>
      <w:pPr>
        <w:spacing w:after="0" w:line="188" w:lineRule="exact"/>
        <w:rPr>
          <w:rFonts w:ascii="Arial" w:cs="Arial" w:eastAsia="Arial" w:hAnsi="Arial"/>
          <w:sz w:val="19"/>
          <w:szCs w:val="19"/>
          <w:color w:val="auto"/>
        </w:rPr>
      </w:pPr>
    </w:p>
    <w:p>
      <w:pPr>
        <w:ind w:left="660" w:right="160" w:firstLine="645"/>
        <w:spacing w:after="0" w:line="251" w:lineRule="auto"/>
        <w:tabs>
          <w:tab w:leader="none" w:pos="1977"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name and jurisdiction of formation or organization of the business entity that is to survive the proposed merger or consolidation (the “</w:t>
      </w:r>
      <w:r>
        <w:rPr>
          <w:rFonts w:ascii="Arial" w:cs="Arial" w:eastAsia="Arial" w:hAnsi="Arial"/>
          <w:sz w:val="22"/>
          <w:szCs w:val="22"/>
          <w:b w:val="1"/>
          <w:bCs w:val="1"/>
          <w:i w:val="1"/>
          <w:iCs w:val="1"/>
          <w:color w:val="auto"/>
        </w:rPr>
        <w:t>Surviving Business Entity</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left="1980" w:hanging="675"/>
        <w:spacing w:after="0"/>
        <w:tabs>
          <w:tab w:leader="none" w:pos="19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terms and conditions of the proposed merger or consolidation;</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77" w:name="page78"/>
    <w:bookmarkEnd w:id="77"/>
    <w:p>
      <w:pPr>
        <w:ind w:left="660" w:firstLine="645"/>
        <w:spacing w:after="0" w:line="244" w:lineRule="auto"/>
        <w:tabs>
          <w:tab w:leader="none" w:pos="1971" w:val="left"/>
        </w:tabs>
        <w:numPr>
          <w:ilvl w:val="0"/>
          <w:numId w:val="83"/>
        </w:numPr>
        <w:rPr>
          <w:rFonts w:ascii="Arial" w:cs="Arial" w:eastAsia="Arial" w:hAnsi="Arial"/>
          <w:sz w:val="21"/>
          <w:szCs w:val="21"/>
          <w:color w:val="auto"/>
        </w:rPr>
      </w:pPr>
      <w:r>
        <w:rPr>
          <w:rFonts w:ascii="Arial" w:cs="Arial" w:eastAsia="Arial" w:hAnsi="Arial"/>
          <w:sz w:val="21"/>
          <w:szCs w:val="21"/>
          <w:color w:val="auto"/>
        </w:rPr>
        <w:t>the manner and basis of exchanging or converting the equity securities of each constituent business entity for, or into, cash, property or interests, rights, securities or obligations of the Surviving Business Entity; and (A) if any interests, securities or rights of any constituent business entity are not to be exchanged or converted solely for, or into, cash, property or interests, rights, securities or obligations of the Surviving Business Entity, the cash, property or interests, rights, securities or obligations of any general or limited partnership, corporation, trust, limited liability company, unincorporated business or other Person (other than the Surviving Business Entity) which the holders of such interests, securities or rights are to receive in exchange for, or upon conversion of their interests, securities or rights, and (B) in the case of securities represented by certificates, upon the surrender of such certificates, which cash, property or interests, rights, securities or obligations of the Surviving Business Entity or any general or limited partnership, corporation, trust, limited liability company, unincorporated business or other Person (other than the Surviving Business Entity), or evidences thereof, are to be delivered;</w:t>
      </w:r>
    </w:p>
    <w:p>
      <w:pPr>
        <w:spacing w:after="0" w:line="189" w:lineRule="exact"/>
        <w:rPr>
          <w:rFonts w:ascii="Arial" w:cs="Arial" w:eastAsia="Arial" w:hAnsi="Arial"/>
          <w:sz w:val="21"/>
          <w:szCs w:val="21"/>
          <w:color w:val="auto"/>
        </w:rPr>
      </w:pPr>
    </w:p>
    <w:p>
      <w:pPr>
        <w:ind w:left="660" w:right="80" w:firstLine="645"/>
        <w:spacing w:after="0" w:line="238" w:lineRule="auto"/>
        <w:tabs>
          <w:tab w:leader="none" w:pos="1965" w:val="left"/>
        </w:tabs>
        <w:numPr>
          <w:ilvl w:val="0"/>
          <w:numId w:val="83"/>
        </w:numPr>
        <w:rPr>
          <w:rFonts w:ascii="Arial" w:cs="Arial" w:eastAsia="Arial" w:hAnsi="Arial"/>
          <w:sz w:val="22"/>
          <w:szCs w:val="22"/>
          <w:color w:val="auto"/>
        </w:rPr>
      </w:pPr>
      <w:r>
        <w:rPr>
          <w:rFonts w:ascii="Arial" w:cs="Arial" w:eastAsia="Arial" w:hAnsi="Arial"/>
          <w:sz w:val="22"/>
          <w:szCs w:val="22"/>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85" w:lineRule="exact"/>
        <w:rPr>
          <w:rFonts w:ascii="Arial" w:cs="Arial" w:eastAsia="Arial" w:hAnsi="Arial"/>
          <w:sz w:val="22"/>
          <w:szCs w:val="22"/>
          <w:color w:val="auto"/>
        </w:rPr>
      </w:pPr>
    </w:p>
    <w:p>
      <w:pPr>
        <w:ind w:left="660" w:right="180" w:firstLine="645"/>
        <w:spacing w:after="0" w:line="287" w:lineRule="auto"/>
        <w:tabs>
          <w:tab w:leader="none" w:pos="1971"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effective time of the merger, which may be the date of the filing of the certificate of merger pursuant to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or a later date specified in or determinable in accordance with the Merger Agreement (</w:t>
      </w:r>
      <w:r>
        <w:rPr>
          <w:rFonts w:ascii="Arial" w:cs="Arial" w:eastAsia="Arial" w:hAnsi="Arial"/>
          <w:sz w:val="19"/>
          <w:szCs w:val="19"/>
          <w:i w:val="1"/>
          <w:iCs w:val="1"/>
          <w:color w:val="auto"/>
        </w:rPr>
        <w:t>provided</w:t>
      </w:r>
      <w:r>
        <w:rPr>
          <w:rFonts w:ascii="Arial" w:cs="Arial" w:eastAsia="Arial" w:hAnsi="Arial"/>
          <w:sz w:val="19"/>
          <w:szCs w:val="19"/>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43" w:lineRule="exact"/>
        <w:rPr>
          <w:rFonts w:ascii="Arial" w:cs="Arial" w:eastAsia="Arial" w:hAnsi="Arial"/>
          <w:sz w:val="19"/>
          <w:szCs w:val="19"/>
          <w:color w:val="auto"/>
        </w:rPr>
      </w:pPr>
    </w:p>
    <w:p>
      <w:pPr>
        <w:ind w:left="660" w:right="260" w:firstLine="645"/>
        <w:spacing w:after="0" w:line="251" w:lineRule="auto"/>
        <w:tabs>
          <w:tab w:leader="none" w:pos="1977" w:val="left"/>
        </w:tabs>
        <w:numPr>
          <w:ilvl w:val="0"/>
          <w:numId w:val="83"/>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merger or consolidation that the Board of Directors and the General Partner determine to be necessary or appropriate.</w:t>
      </w:r>
    </w:p>
    <w:p>
      <w:pPr>
        <w:spacing w:after="0" w:line="173" w:lineRule="exact"/>
        <w:rPr>
          <w:sz w:val="20"/>
          <w:szCs w:val="20"/>
          <w:color w:val="auto"/>
        </w:rPr>
      </w:pPr>
    </w:p>
    <w:p>
      <w:pPr>
        <w:ind w:right="220" w:firstLine="1305"/>
        <w:spacing w:after="0" w:line="251" w:lineRule="auto"/>
        <w:tabs>
          <w:tab w:leader="none" w:pos="1955"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the Board of Directors and the General Partner shall determine to consent to the conversion the Board of Directors and the General Partner shall approve the Plan of Conversion, which shall set forth:</w:t>
      </w:r>
    </w:p>
    <w:p>
      <w:pPr>
        <w:spacing w:after="0" w:line="173" w:lineRule="exact"/>
        <w:rPr>
          <w:sz w:val="20"/>
          <w:szCs w:val="20"/>
          <w:color w:val="auto"/>
        </w:rPr>
      </w:pPr>
    </w:p>
    <w:p>
      <w:pPr>
        <w:ind w:left="1960" w:hanging="655"/>
        <w:spacing w:after="0"/>
        <w:tabs>
          <w:tab w:leader="none" w:pos="196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name of the converting entity and the converted entity;</w:t>
      </w:r>
    </w:p>
    <w:p>
      <w:pPr>
        <w:spacing w:after="0" w:line="206" w:lineRule="exact"/>
        <w:rPr>
          <w:rFonts w:ascii="Arial" w:cs="Arial" w:eastAsia="Arial" w:hAnsi="Arial"/>
          <w:sz w:val="22"/>
          <w:szCs w:val="22"/>
          <w:color w:val="auto"/>
        </w:rPr>
      </w:pPr>
    </w:p>
    <w:p>
      <w:pPr>
        <w:ind w:left="1980" w:hanging="675"/>
        <w:spacing w:after="0"/>
        <w:tabs>
          <w:tab w:leader="none" w:pos="19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 statement that the Partnership is continuing its existence in the organizational form of the converted entity;</w:t>
      </w:r>
    </w:p>
    <w:p>
      <w:pPr>
        <w:spacing w:after="0" w:line="240" w:lineRule="exact"/>
        <w:rPr>
          <w:rFonts w:ascii="Arial" w:cs="Arial" w:eastAsia="Arial" w:hAnsi="Arial"/>
          <w:sz w:val="19"/>
          <w:szCs w:val="19"/>
          <w:color w:val="auto"/>
        </w:rPr>
      </w:pPr>
    </w:p>
    <w:p>
      <w:pPr>
        <w:ind w:left="660" w:right="20" w:firstLine="645"/>
        <w:spacing w:after="0" w:line="251" w:lineRule="auto"/>
        <w:tabs>
          <w:tab w:leader="none" w:pos="1983" w:val="left"/>
        </w:tabs>
        <w:numPr>
          <w:ilvl w:val="0"/>
          <w:numId w:val="85"/>
        </w:numPr>
        <w:rPr>
          <w:rFonts w:ascii="Arial" w:cs="Arial" w:eastAsia="Arial" w:hAnsi="Arial"/>
          <w:sz w:val="22"/>
          <w:szCs w:val="22"/>
          <w:color w:val="auto"/>
        </w:rPr>
      </w:pPr>
      <w:r>
        <w:rPr>
          <w:rFonts w:ascii="Arial" w:cs="Arial" w:eastAsia="Arial" w:hAnsi="Arial"/>
          <w:sz w:val="22"/>
          <w:szCs w:val="22"/>
          <w:color w:val="auto"/>
        </w:rPr>
        <w:t>a statement as to the type of entity that the converted entity is to be and the state or country under the laws of which the converted entity is to be incorporated, formed or organized;</w:t>
      </w:r>
    </w:p>
    <w:p>
      <w:pPr>
        <w:spacing w:after="0" w:line="173" w:lineRule="exact"/>
        <w:rPr>
          <w:rFonts w:ascii="Arial" w:cs="Arial" w:eastAsia="Arial" w:hAnsi="Arial"/>
          <w:sz w:val="22"/>
          <w:szCs w:val="22"/>
          <w:color w:val="auto"/>
        </w:rPr>
      </w:pPr>
    </w:p>
    <w:p>
      <w:pPr>
        <w:ind w:left="660" w:right="340" w:firstLine="645"/>
        <w:spacing w:after="0" w:line="251" w:lineRule="auto"/>
        <w:tabs>
          <w:tab w:leader="none" w:pos="1971"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manner and basis of exchanging or converting the equity securities of each constituent business entity for, or into, cash, property or interests, rights, securities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22"/>
          <w:szCs w:val="22"/>
          <w:color w:val="auto"/>
        </w:rPr>
        <w:t>or obligations of the converted entity or another entity, or for the cancellation of such equity securities;</w:t>
      </w:r>
    </w:p>
    <w:p>
      <w:pPr>
        <w:spacing w:after="0" w:line="206" w:lineRule="exact"/>
        <w:rPr>
          <w:sz w:val="20"/>
          <w:szCs w:val="20"/>
          <w:color w:val="auto"/>
        </w:rPr>
      </w:pPr>
    </w:p>
    <w:p>
      <w:pPr>
        <w:ind w:left="1960" w:hanging="655"/>
        <w:spacing w:after="0"/>
        <w:tabs>
          <w:tab w:leader="none" w:pos="1960"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of the Partnership;</w:t>
      </w:r>
    </w:p>
    <w:p>
      <w:pPr>
        <w:spacing w:after="0" w:line="206" w:lineRule="exact"/>
        <w:rPr>
          <w:rFonts w:ascii="Arial" w:cs="Arial" w:eastAsia="Arial" w:hAnsi="Arial"/>
          <w:sz w:val="22"/>
          <w:szCs w:val="22"/>
          <w:color w:val="auto"/>
        </w:rPr>
      </w:pPr>
    </w:p>
    <w:p>
      <w:pPr>
        <w:ind w:left="660" w:right="840" w:firstLine="645"/>
        <w:spacing w:after="0" w:line="251" w:lineRule="auto"/>
        <w:tabs>
          <w:tab w:leader="none" w:pos="1971"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certificate of formation, articles of incorporation, or other organizational documents of the converted entity;</w:t>
      </w:r>
    </w:p>
    <w:p>
      <w:pPr>
        <w:spacing w:after="0" w:line="173" w:lineRule="exact"/>
        <w:rPr>
          <w:rFonts w:ascii="Arial" w:cs="Arial" w:eastAsia="Arial" w:hAnsi="Arial"/>
          <w:sz w:val="22"/>
          <w:szCs w:val="22"/>
          <w:color w:val="auto"/>
        </w:rPr>
      </w:pPr>
    </w:p>
    <w:p>
      <w:pPr>
        <w:ind w:left="660" w:right="20" w:firstLine="645"/>
        <w:spacing w:after="0" w:line="238" w:lineRule="auto"/>
        <w:tabs>
          <w:tab w:leader="none" w:pos="1977"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22"/>
          <w:szCs w:val="22"/>
          <w:i w:val="1"/>
          <w:iCs w:val="1"/>
          <w:color w:val="auto"/>
        </w:rPr>
        <w:t>provided</w:t>
      </w:r>
      <w:r>
        <w:rPr>
          <w:rFonts w:ascii="Arial" w:cs="Arial" w:eastAsia="Arial" w:hAnsi="Arial"/>
          <w:sz w:val="22"/>
          <w:szCs w:val="22"/>
          <w:color w:val="auto"/>
        </w:rPr>
        <w:t>, that if the effective time of the conversion is to be later than the date of the filing of such articles of conversion, the effective time shall be fixed at a date or time certain and stated in such articles of conversion); and</w:t>
      </w:r>
    </w:p>
    <w:p>
      <w:pPr>
        <w:spacing w:after="0" w:line="185" w:lineRule="exact"/>
        <w:rPr>
          <w:rFonts w:ascii="Arial" w:cs="Arial" w:eastAsia="Arial" w:hAnsi="Arial"/>
          <w:sz w:val="22"/>
          <w:szCs w:val="22"/>
          <w:color w:val="auto"/>
        </w:rPr>
      </w:pPr>
    </w:p>
    <w:p>
      <w:pPr>
        <w:ind w:left="660" w:firstLine="645"/>
        <w:spacing w:after="0" w:line="251" w:lineRule="auto"/>
        <w:tabs>
          <w:tab w:leader="none" w:pos="1983"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conversion the Board of Directors and the General Partner determines to be necessary or appropriate.</w:t>
      </w:r>
    </w:p>
    <w:p>
      <w:pPr>
        <w:spacing w:after="0" w:line="173" w:lineRule="exact"/>
        <w:rPr>
          <w:sz w:val="20"/>
          <w:szCs w:val="20"/>
          <w:color w:val="auto"/>
        </w:rPr>
      </w:pPr>
    </w:p>
    <w:p>
      <w:pPr>
        <w:ind w:right="300" w:firstLine="1297"/>
        <w:spacing w:after="0" w:line="247" w:lineRule="auto"/>
        <w:rPr>
          <w:sz w:val="20"/>
          <w:szCs w:val="20"/>
          <w:color w:val="auto"/>
        </w:rPr>
      </w:pPr>
      <w:r>
        <w:rPr>
          <w:rFonts w:ascii="Arial" w:cs="Arial" w:eastAsia="Arial" w:hAnsi="Arial"/>
          <w:sz w:val="21"/>
          <w:szCs w:val="21"/>
          <w:color w:val="auto"/>
        </w:rPr>
        <w:t xml:space="preserve">Section 14.3. </w:t>
      </w:r>
      <w:r>
        <w:rPr>
          <w:rFonts w:ascii="Arial" w:cs="Arial" w:eastAsia="Arial" w:hAnsi="Arial"/>
          <w:sz w:val="21"/>
          <w:szCs w:val="21"/>
          <w:i w:val="1"/>
          <w:iCs w:val="1"/>
          <w:color w:val="auto"/>
        </w:rPr>
        <w:t>Approval by Limited Partners of Merger, Consolidation or Conversion</w:t>
      </w:r>
      <w:r>
        <w:rPr>
          <w:rFonts w:ascii="Arial" w:cs="Arial" w:eastAsia="Arial" w:hAnsi="Arial"/>
          <w:sz w:val="21"/>
          <w:szCs w:val="21"/>
          <w:color w:val="auto"/>
        </w:rPr>
        <w:t xml:space="preserve">. (a) Except as provided in </w:t>
      </w:r>
      <w:r>
        <w:rPr>
          <w:rFonts w:ascii="Arial" w:cs="Arial" w:eastAsia="Arial" w:hAnsi="Arial"/>
          <w:sz w:val="21"/>
          <w:szCs w:val="21"/>
          <w:u w:val="single" w:color="auto"/>
          <w:color w:val="auto"/>
        </w:rPr>
        <w:t>Section 14.3(d)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14.3(e)</w:t>
      </w:r>
      <w:r>
        <w:rPr>
          <w:rFonts w:ascii="Arial" w:cs="Arial" w:eastAsia="Arial" w:hAnsi="Arial"/>
          <w:sz w:val="21"/>
          <w:szCs w:val="21"/>
          <w:color w:val="auto"/>
        </w:rPr>
        <w:t xml:space="preserve">, the Board of Directors, upon its and the General Partner’s approval of the Merger Agreement or the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w:t>
      </w:r>
      <w:r>
        <w:rPr>
          <w:rFonts w:ascii="Arial" w:cs="Arial" w:eastAsia="Arial" w:hAnsi="Arial"/>
          <w:sz w:val="21"/>
          <w:szCs w:val="21"/>
          <w:u w:val="single" w:color="auto"/>
          <w:color w:val="auto"/>
        </w:rPr>
        <w:t>Article XIII</w:t>
      </w:r>
      <w:r>
        <w:rPr>
          <w:rFonts w:ascii="Arial" w:cs="Arial" w:eastAsia="Arial" w:hAnsi="Arial"/>
          <w:sz w:val="21"/>
          <w:szCs w:val="21"/>
          <w:color w:val="auto"/>
        </w:rPr>
        <w:t>. A copy or a summary of the Merger Agreement or the Plan of Conversion, as the case may be, shall be included in or enclosed with the notice of a special meeting or the written consent.</w:t>
      </w:r>
    </w:p>
    <w:p>
      <w:pPr>
        <w:spacing w:after="0" w:line="178" w:lineRule="exact"/>
        <w:rPr>
          <w:sz w:val="20"/>
          <w:szCs w:val="20"/>
          <w:color w:val="auto"/>
        </w:rPr>
      </w:pPr>
    </w:p>
    <w:p>
      <w:pPr>
        <w:ind w:right="100" w:firstLine="1305"/>
        <w:spacing w:after="0" w:line="274" w:lineRule="auto"/>
        <w:tabs>
          <w:tab w:leader="none" w:pos="1954"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Except as provided in </w:t>
      </w:r>
      <w:r>
        <w:rPr>
          <w:rFonts w:ascii="Arial" w:cs="Arial" w:eastAsia="Arial" w:hAnsi="Arial"/>
          <w:sz w:val="21"/>
          <w:szCs w:val="21"/>
          <w:u w:val="single" w:color="auto"/>
          <w:color w:val="auto"/>
        </w:rPr>
        <w:t>Section 14.3(d)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14.3(e)</w:t>
      </w:r>
      <w:r>
        <w:rPr>
          <w:rFonts w:ascii="Arial" w:cs="Arial" w:eastAsia="Arial" w:hAnsi="Arial"/>
          <w:sz w:val="21"/>
          <w:szCs w:val="21"/>
          <w:color w:val="auto"/>
        </w:rPr>
        <w:t>, the Merger Agreement or Plan of Conversion, as the case may be, shall be approved upon receiving the affirmative vote or consent of the holders of a Unit Majority.</w:t>
      </w:r>
    </w:p>
    <w:p>
      <w:pPr>
        <w:spacing w:after="0" w:line="150" w:lineRule="exact"/>
        <w:rPr>
          <w:rFonts w:ascii="Arial" w:cs="Arial" w:eastAsia="Arial" w:hAnsi="Arial"/>
          <w:sz w:val="21"/>
          <w:szCs w:val="21"/>
          <w:color w:val="auto"/>
        </w:rPr>
      </w:pPr>
    </w:p>
    <w:p>
      <w:pPr>
        <w:jc w:val="both"/>
        <w:ind w:right="40" w:firstLine="1305"/>
        <w:spacing w:after="0" w:line="238" w:lineRule="auto"/>
        <w:tabs>
          <w:tab w:leader="none" w:pos="1955"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14.3(d)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14.3(e)</w:t>
      </w:r>
      <w:r>
        <w:rPr>
          <w:rFonts w:ascii="Arial" w:cs="Arial" w:eastAsia="Arial" w:hAnsi="Arial"/>
          <w:sz w:val="22"/>
          <w:szCs w:val="22"/>
          <w:color w:val="auto"/>
        </w:rPr>
        <w:t xml:space="preserve">, after such approval by vote or consent of the Limited Partners, and at any time prior to the filing of the certificate of merger or certificate of conversion pursuant to </w:t>
      </w:r>
      <w:r>
        <w:rPr>
          <w:rFonts w:ascii="Arial" w:cs="Arial" w:eastAsia="Arial" w:hAnsi="Arial"/>
          <w:sz w:val="22"/>
          <w:szCs w:val="22"/>
          <w:u w:val="single" w:color="auto"/>
          <w:color w:val="auto"/>
        </w:rPr>
        <w:t>Section 14.4</w:t>
      </w:r>
      <w:r>
        <w:rPr>
          <w:rFonts w:ascii="Arial" w:cs="Arial" w:eastAsia="Arial" w:hAnsi="Arial"/>
          <w:sz w:val="22"/>
          <w:szCs w:val="22"/>
          <w:color w:val="auto"/>
        </w:rPr>
        <w:t>, the merger, consolidation or conversion may be abandoned pursuant to provisions therefor, if any, set forth in the Merger Agreement or Plan of Conversion, as the case may be.</w:t>
      </w:r>
    </w:p>
    <w:p>
      <w:pPr>
        <w:spacing w:after="0" w:line="185" w:lineRule="exact"/>
        <w:rPr>
          <w:rFonts w:ascii="Arial" w:cs="Arial" w:eastAsia="Arial" w:hAnsi="Arial"/>
          <w:sz w:val="22"/>
          <w:szCs w:val="22"/>
          <w:color w:val="auto"/>
        </w:rPr>
      </w:pPr>
    </w:p>
    <w:p>
      <w:pPr>
        <w:ind w:right="60" w:firstLine="1305"/>
        <w:spacing w:after="0" w:line="277" w:lineRule="auto"/>
        <w:tabs>
          <w:tab w:leader="none" w:pos="19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Notwithstanding anything else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or in this Agreement, the Board of Directors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Board of Directors has received an Opinion of Counsel that the conversion, merger or conveyance, as the case may be, would not result in the loss of the limited liability of any Limited Partner, (ii) the sole purpose of such conversion, merger or conveyance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79" w:name="page80"/>
    <w:bookmarkEnd w:id="79"/>
    <w:p>
      <w:pPr>
        <w:jc w:val="both"/>
        <w:spacing w:after="0"/>
        <w:rPr>
          <w:sz w:val="20"/>
          <w:szCs w:val="20"/>
          <w:color w:val="auto"/>
        </w:rPr>
      </w:pPr>
      <w:r>
        <w:rPr>
          <w:rFonts w:ascii="Arial" w:cs="Arial" w:eastAsia="Arial" w:hAnsi="Arial"/>
          <w:sz w:val="22"/>
          <w:szCs w:val="22"/>
          <w:color w:val="auto"/>
        </w:rPr>
        <w:t>is to effect a mere change in the legal form of the Partnership into another limited liability entity and (iii) the governing instruments of the new entity provide the Limited Partners, the General Partner and the Board of Directors with the same rights and obligations as are herein contained.</w:t>
      </w:r>
    </w:p>
    <w:p>
      <w:pPr>
        <w:spacing w:after="0" w:line="186" w:lineRule="exact"/>
        <w:rPr>
          <w:sz w:val="20"/>
          <w:szCs w:val="20"/>
          <w:color w:val="auto"/>
        </w:rPr>
      </w:pPr>
    </w:p>
    <w:p>
      <w:pPr>
        <w:ind w:right="20" w:firstLine="1305"/>
        <w:spacing w:after="0" w:line="245" w:lineRule="auto"/>
        <w:tabs>
          <w:tab w:leader="none" w:pos="1955" w:val="left"/>
        </w:tabs>
        <w:numPr>
          <w:ilvl w:val="0"/>
          <w:numId w:val="88"/>
        </w:numPr>
        <w:rPr>
          <w:rFonts w:ascii="Arial" w:cs="Arial" w:eastAsia="Arial" w:hAnsi="Arial"/>
          <w:sz w:val="21"/>
          <w:szCs w:val="21"/>
          <w:color w:val="auto"/>
        </w:rPr>
      </w:pPr>
      <w:r>
        <w:rPr>
          <w:rFonts w:ascii="Arial" w:cs="Arial" w:eastAsia="Arial" w:hAnsi="Arial"/>
          <w:sz w:val="21"/>
          <w:szCs w:val="21"/>
          <w:color w:val="auto"/>
        </w:rPr>
        <w:t xml:space="preserve">Additionally, notwithstanding anything else contained in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or in this Agreement, the Board of Directors, with the prior consent of the General Partner, is permitted, without Limited Partner approval, to merge or consolidate the Partnership with or into another entity if (i) the Board of Directors has received an Opinion of Counsel that the merger or consolidation, as the case may be, would not result in the loss of the limited liability of any Limited Partner, (ii) the merger or consolidation would not result in an amendment to this Agreement, other than any amendments that could be adopted pursuant to </w:t>
      </w:r>
      <w:r>
        <w:rPr>
          <w:rFonts w:ascii="Arial" w:cs="Arial" w:eastAsia="Arial" w:hAnsi="Arial"/>
          <w:sz w:val="21"/>
          <w:szCs w:val="21"/>
          <w:u w:val="single" w:color="auto"/>
          <w:color w:val="auto"/>
        </w:rPr>
        <w:t>Section 13.1</w:t>
      </w:r>
      <w:r>
        <w:rPr>
          <w:rFonts w:ascii="Arial" w:cs="Arial" w:eastAsia="Arial" w:hAnsi="Arial"/>
          <w:sz w:val="21"/>
          <w:szCs w:val="21"/>
          <w:color w:val="auto"/>
        </w:rPr>
        <w:t>, (iii) the Partnership is the Surviving Business Entity in such merger or consolidation, (iv) each Unit outstanding immediately prior to the effective date of the merger or consolidation is to be an identical Unit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182" w:lineRule="exact"/>
        <w:rPr>
          <w:sz w:val="20"/>
          <w:szCs w:val="20"/>
          <w:color w:val="auto"/>
        </w:rPr>
      </w:pPr>
    </w:p>
    <w:p>
      <w:pPr>
        <w:ind w:right="240" w:firstLine="1297"/>
        <w:spacing w:after="0" w:line="297" w:lineRule="auto"/>
        <w:rPr>
          <w:sz w:val="20"/>
          <w:szCs w:val="20"/>
          <w:color w:val="auto"/>
        </w:rPr>
      </w:pPr>
      <w:r>
        <w:rPr>
          <w:rFonts w:ascii="Arial" w:cs="Arial" w:eastAsia="Arial" w:hAnsi="Arial"/>
          <w:sz w:val="19"/>
          <w:szCs w:val="19"/>
          <w:color w:val="auto"/>
        </w:rPr>
        <w:t xml:space="preserve">Section 14.4. </w:t>
      </w:r>
      <w:r>
        <w:rPr>
          <w:rFonts w:ascii="Arial" w:cs="Arial" w:eastAsia="Arial" w:hAnsi="Arial"/>
          <w:sz w:val="19"/>
          <w:szCs w:val="19"/>
          <w:i w:val="1"/>
          <w:iCs w:val="1"/>
          <w:color w:val="auto"/>
        </w:rPr>
        <w:t>Certificate of Merger or Conversion</w:t>
      </w:r>
      <w:r>
        <w:rPr>
          <w:rFonts w:ascii="Arial" w:cs="Arial" w:eastAsia="Arial" w:hAnsi="Arial"/>
          <w:sz w:val="19"/>
          <w:szCs w:val="19"/>
          <w:color w:val="auto"/>
        </w:rPr>
        <w:t>. Upon the required approval by the Board of Directors, the General Partner and the Unitholders of a Merger Agreement or Plan of Conversion, as the case may be, a certificate of merger or conversion, as applicable, shall be executed and filed in conformity with the requirements of the Marshall Islands Act.</w:t>
      </w:r>
    </w:p>
    <w:p>
      <w:pPr>
        <w:spacing w:after="0" w:line="134" w:lineRule="exact"/>
        <w:rPr>
          <w:sz w:val="20"/>
          <w:szCs w:val="20"/>
          <w:color w:val="auto"/>
        </w:rPr>
      </w:pPr>
    </w:p>
    <w:p>
      <w:pPr>
        <w:ind w:right="140" w:firstLine="1297"/>
        <w:spacing w:after="0" w:line="236" w:lineRule="auto"/>
        <w:rPr>
          <w:sz w:val="20"/>
          <w:szCs w:val="20"/>
          <w:color w:val="auto"/>
        </w:rPr>
      </w:pPr>
      <w:r>
        <w:rPr>
          <w:rFonts w:ascii="Arial" w:cs="Arial" w:eastAsia="Arial" w:hAnsi="Arial"/>
          <w:sz w:val="22"/>
          <w:szCs w:val="22"/>
          <w:color w:val="auto"/>
        </w:rPr>
        <w:t xml:space="preserve">Section 14.5. </w:t>
      </w:r>
      <w:r>
        <w:rPr>
          <w:rFonts w:ascii="Arial" w:cs="Arial" w:eastAsia="Arial" w:hAnsi="Arial"/>
          <w:sz w:val="22"/>
          <w:szCs w:val="22"/>
          <w:i w:val="1"/>
          <w:iCs w:val="1"/>
          <w:color w:val="auto"/>
        </w:rPr>
        <w:t>Amendment of Partnership Agreement</w:t>
      </w:r>
      <w:r>
        <w:rPr>
          <w:rFonts w:ascii="Arial" w:cs="Arial" w:eastAsia="Arial" w:hAnsi="Arial"/>
          <w:sz w:val="22"/>
          <w:szCs w:val="22"/>
          <w:color w:val="auto"/>
        </w:rPr>
        <w:t xml:space="preserve">. Pursuant to Section 20(2) of the Marshall Islands Act, an agreement of merger or consolidation approved in accordance with Section 20(2) of the Marshall Islands Act may (a) effect any amendment to this Agreement or (b) effect the adoption of a new partnership agreement for a limited partnership if it is the Surviving Business Entity. Any such amendment or adoption made pursuant to this </w:t>
      </w:r>
      <w:r>
        <w:rPr>
          <w:rFonts w:ascii="Arial" w:cs="Arial" w:eastAsia="Arial" w:hAnsi="Arial"/>
          <w:sz w:val="22"/>
          <w:szCs w:val="22"/>
          <w:u w:val="single" w:color="auto"/>
          <w:color w:val="auto"/>
        </w:rPr>
        <w:t>Section 14.5</w:t>
      </w:r>
      <w:r>
        <w:rPr>
          <w:rFonts w:ascii="Arial" w:cs="Arial" w:eastAsia="Arial" w:hAnsi="Arial"/>
          <w:sz w:val="22"/>
          <w:szCs w:val="22"/>
          <w:color w:val="auto"/>
        </w:rPr>
        <w:t xml:space="preserve"> shall be effective at the effective time or date of the merger or consolidation.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14.6.  </w:t>
      </w:r>
      <w:r>
        <w:rPr>
          <w:rFonts w:ascii="Arial" w:cs="Arial" w:eastAsia="Arial" w:hAnsi="Arial"/>
          <w:sz w:val="19"/>
          <w:szCs w:val="19"/>
          <w:i w:val="1"/>
          <w:iCs w:val="1"/>
          <w:color w:val="auto"/>
        </w:rPr>
        <w:t>Effect of Merger, Consolidation or Conversion</w:t>
      </w:r>
      <w:r>
        <w:rPr>
          <w:rFonts w:ascii="Arial" w:cs="Arial" w:eastAsia="Arial" w:hAnsi="Arial"/>
          <w:sz w:val="19"/>
          <w:szCs w:val="19"/>
          <w:color w:val="auto"/>
        </w:rPr>
        <w:t>. (a) At the effective time of the certificate of merger:</w:t>
      </w:r>
    </w:p>
    <w:p>
      <w:pPr>
        <w:spacing w:after="0" w:line="241" w:lineRule="exact"/>
        <w:rPr>
          <w:sz w:val="20"/>
          <w:szCs w:val="20"/>
          <w:color w:val="auto"/>
        </w:rPr>
      </w:pPr>
    </w:p>
    <w:p>
      <w:pPr>
        <w:ind w:left="660" w:right="140" w:firstLine="645"/>
        <w:spacing w:after="0" w:line="236" w:lineRule="auto"/>
        <w:tabs>
          <w:tab w:leader="none" w:pos="1971"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7" w:lineRule="exact"/>
        <w:rPr>
          <w:rFonts w:ascii="Arial" w:cs="Arial" w:eastAsia="Arial" w:hAnsi="Arial"/>
          <w:sz w:val="22"/>
          <w:szCs w:val="22"/>
          <w:color w:val="auto"/>
        </w:rPr>
      </w:pPr>
    </w:p>
    <w:p>
      <w:pPr>
        <w:ind w:left="660" w:right="280" w:firstLine="645"/>
        <w:spacing w:after="0" w:line="251" w:lineRule="auto"/>
        <w:tabs>
          <w:tab w:leader="none" w:pos="1977"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title to any real property vested by deed or otherwise in any of those constituent business entities shall not revert and is not in any way impaired because of the merger or consolidation;</w:t>
      </w:r>
    </w:p>
    <w:p>
      <w:pPr>
        <w:spacing w:after="0" w:line="173" w:lineRule="exact"/>
        <w:rPr>
          <w:rFonts w:ascii="Arial" w:cs="Arial" w:eastAsia="Arial" w:hAnsi="Arial"/>
          <w:sz w:val="22"/>
          <w:szCs w:val="22"/>
          <w:color w:val="auto"/>
        </w:rPr>
      </w:pPr>
    </w:p>
    <w:p>
      <w:pPr>
        <w:ind w:left="660" w:right="340" w:firstLine="645"/>
        <w:spacing w:after="0" w:line="251" w:lineRule="auto"/>
        <w:tabs>
          <w:tab w:leader="none" w:pos="1983" w:val="left"/>
        </w:tabs>
        <w:numPr>
          <w:ilvl w:val="0"/>
          <w:numId w:val="89"/>
        </w:numPr>
        <w:rPr>
          <w:rFonts w:ascii="Arial" w:cs="Arial" w:eastAsia="Arial" w:hAnsi="Arial"/>
          <w:sz w:val="22"/>
          <w:szCs w:val="22"/>
          <w:color w:val="auto"/>
        </w:rPr>
      </w:pPr>
      <w:r>
        <w:rPr>
          <w:rFonts w:ascii="Arial" w:cs="Arial" w:eastAsia="Arial" w:hAnsi="Arial"/>
          <w:sz w:val="22"/>
          <w:szCs w:val="22"/>
          <w:color w:val="auto"/>
        </w:rPr>
        <w:t>all rights of creditors and all liens on or security interests in property of any of those constituent business entities shall be preserved unimpaired; and</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0" w:name="page81"/>
    <w:bookmarkEnd w:id="80"/>
    <w:p>
      <w:pPr>
        <w:ind w:left="660" w:right="20" w:firstLine="645"/>
        <w:spacing w:after="0"/>
        <w:tabs>
          <w:tab w:leader="none" w:pos="1971" w:val="left"/>
        </w:tabs>
        <w:numPr>
          <w:ilvl w:val="0"/>
          <w:numId w:val="90"/>
        </w:numPr>
        <w:rPr>
          <w:rFonts w:ascii="Arial" w:cs="Arial" w:eastAsia="Arial" w:hAnsi="Arial"/>
          <w:sz w:val="22"/>
          <w:szCs w:val="22"/>
          <w:color w:val="auto"/>
        </w:rPr>
      </w:pPr>
      <w:r>
        <w:rPr>
          <w:rFonts w:ascii="Arial" w:cs="Arial" w:eastAsia="Arial" w:hAnsi="Arial"/>
          <w:sz w:val="22"/>
          <w:szCs w:val="22"/>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86" w:lineRule="exact"/>
        <w:rPr>
          <w:sz w:val="20"/>
          <w:szCs w:val="20"/>
          <w:color w:val="auto"/>
        </w:rPr>
      </w:pPr>
    </w:p>
    <w:p>
      <w:pPr>
        <w:ind w:left="1960" w:hanging="655"/>
        <w:spacing w:after="0"/>
        <w:tabs>
          <w:tab w:leader="none" w:pos="19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At the effective time of the certificate of conversion, for all purposes of the laws of the Marshall Islands:</w:t>
      </w:r>
    </w:p>
    <w:p>
      <w:pPr>
        <w:spacing w:after="0" w:line="241" w:lineRule="exact"/>
        <w:rPr>
          <w:sz w:val="20"/>
          <w:szCs w:val="20"/>
          <w:color w:val="auto"/>
        </w:rPr>
      </w:pPr>
    </w:p>
    <w:p>
      <w:pPr>
        <w:ind w:left="660" w:right="220" w:firstLine="645"/>
        <w:spacing w:after="0" w:line="251" w:lineRule="auto"/>
        <w:tabs>
          <w:tab w:leader="none" w:pos="1971"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Partnership shall continue to exist, without interruption, but in the organizational form of the converted entity rather than in its prior organizational form;</w:t>
      </w:r>
    </w:p>
    <w:p>
      <w:pPr>
        <w:spacing w:after="0" w:line="173" w:lineRule="exact"/>
        <w:rPr>
          <w:rFonts w:ascii="Arial" w:cs="Arial" w:eastAsia="Arial" w:hAnsi="Arial"/>
          <w:sz w:val="22"/>
          <w:szCs w:val="22"/>
          <w:color w:val="auto"/>
        </w:rPr>
      </w:pPr>
    </w:p>
    <w:p>
      <w:pPr>
        <w:ind w:left="660" w:firstLine="645"/>
        <w:spacing w:after="0" w:line="297" w:lineRule="auto"/>
        <w:tabs>
          <w:tab w:leader="none" w:pos="1977" w:val="left"/>
        </w:tabs>
        <w:numPr>
          <w:ilvl w:val="0"/>
          <w:numId w:val="92"/>
        </w:numPr>
        <w:rPr>
          <w:rFonts w:ascii="Arial" w:cs="Arial" w:eastAsia="Arial" w:hAnsi="Arial"/>
          <w:sz w:val="19"/>
          <w:szCs w:val="19"/>
          <w:color w:val="auto"/>
        </w:rPr>
      </w:pPr>
      <w:r>
        <w:rPr>
          <w:rFonts w:ascii="Arial" w:cs="Arial" w:eastAsia="Arial" w:hAnsi="Arial"/>
          <w:sz w:val="19"/>
          <w:szCs w:val="19"/>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34" w:lineRule="exact"/>
        <w:rPr>
          <w:rFonts w:ascii="Arial" w:cs="Arial" w:eastAsia="Arial" w:hAnsi="Arial"/>
          <w:sz w:val="19"/>
          <w:szCs w:val="19"/>
          <w:color w:val="auto"/>
        </w:rPr>
      </w:pPr>
    </w:p>
    <w:p>
      <w:pPr>
        <w:ind w:left="660" w:right="860" w:firstLine="645"/>
        <w:spacing w:after="0" w:line="328" w:lineRule="auto"/>
        <w:tabs>
          <w:tab w:leader="none" w:pos="1983" w:val="left"/>
        </w:tabs>
        <w:numPr>
          <w:ilvl w:val="0"/>
          <w:numId w:val="92"/>
        </w:numPr>
        <w:rPr>
          <w:rFonts w:ascii="Arial" w:cs="Arial" w:eastAsia="Arial" w:hAnsi="Arial"/>
          <w:sz w:val="19"/>
          <w:szCs w:val="19"/>
          <w:color w:val="auto"/>
        </w:rPr>
      </w:pPr>
      <w:r>
        <w:rPr>
          <w:rFonts w:ascii="Arial" w:cs="Arial" w:eastAsia="Arial" w:hAnsi="Arial"/>
          <w:sz w:val="19"/>
          <w:szCs w:val="19"/>
          <w:color w:val="auto"/>
        </w:rPr>
        <w:t>all liabilities and obligations of the Partnership shall continue to be liabilities and obligations of the converted entity in its new organizational form without impairment or diminution by reason of the conversion;</w:t>
      </w:r>
    </w:p>
    <w:p>
      <w:pPr>
        <w:spacing w:after="0" w:line="105" w:lineRule="exact"/>
        <w:rPr>
          <w:rFonts w:ascii="Arial" w:cs="Arial" w:eastAsia="Arial" w:hAnsi="Arial"/>
          <w:sz w:val="19"/>
          <w:szCs w:val="19"/>
          <w:color w:val="auto"/>
        </w:rPr>
      </w:pPr>
    </w:p>
    <w:p>
      <w:pPr>
        <w:ind w:left="660" w:right="40" w:firstLine="645"/>
        <w:spacing w:after="0" w:line="287" w:lineRule="auto"/>
        <w:tabs>
          <w:tab w:leader="none" w:pos="1971" w:val="left"/>
        </w:tabs>
        <w:numPr>
          <w:ilvl w:val="0"/>
          <w:numId w:val="92"/>
        </w:numPr>
        <w:rPr>
          <w:rFonts w:ascii="Arial" w:cs="Arial" w:eastAsia="Arial" w:hAnsi="Arial"/>
          <w:sz w:val="19"/>
          <w:szCs w:val="19"/>
          <w:color w:val="auto"/>
        </w:rPr>
      </w:pPr>
      <w:r>
        <w:rPr>
          <w:rFonts w:ascii="Arial" w:cs="Arial" w:eastAsia="Arial" w:hAnsi="Arial"/>
          <w:sz w:val="19"/>
          <w:szCs w:val="19"/>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and are enforceable against the converted entity by such creditors and obligees to the same extent as if the liabilities and obligations had originally been incurred or contracted by the converted entity; and</w:t>
      </w:r>
    </w:p>
    <w:p>
      <w:pPr>
        <w:spacing w:after="0" w:line="143" w:lineRule="exact"/>
        <w:rPr>
          <w:rFonts w:ascii="Arial" w:cs="Arial" w:eastAsia="Arial" w:hAnsi="Arial"/>
          <w:sz w:val="19"/>
          <w:szCs w:val="19"/>
          <w:color w:val="auto"/>
        </w:rPr>
      </w:pPr>
    </w:p>
    <w:p>
      <w:pPr>
        <w:ind w:left="660" w:right="20" w:firstLine="645"/>
        <w:spacing w:after="0"/>
        <w:tabs>
          <w:tab w:leader="none" w:pos="1965"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Partnership Interests that are to be converted into partnership interests, shares, evidences of ownership, or other rights or securities in the converted entity or cash as provided in the Plan of Conversion shall be so converted, and Partners shall be entitled only to the rights provided in the Plan of Conversion.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RIGHT TO ACQUIRE LIMITED PARTNER INTERESTS</w:t>
      </w:r>
    </w:p>
    <w:p>
      <w:pPr>
        <w:spacing w:after="0" w:line="188" w:lineRule="exact"/>
        <w:rPr>
          <w:sz w:val="20"/>
          <w:szCs w:val="20"/>
          <w:color w:val="auto"/>
        </w:rPr>
      </w:pPr>
    </w:p>
    <w:p>
      <w:pPr>
        <w:ind w:firstLine="1297"/>
        <w:spacing w:after="0" w:line="274" w:lineRule="auto"/>
        <w:rPr>
          <w:sz w:val="20"/>
          <w:szCs w:val="20"/>
          <w:color w:val="auto"/>
        </w:rPr>
      </w:pPr>
      <w:r>
        <w:rPr>
          <w:rFonts w:ascii="Arial" w:cs="Arial" w:eastAsia="Arial" w:hAnsi="Arial"/>
          <w:sz w:val="19"/>
          <w:szCs w:val="19"/>
          <w:color w:val="auto"/>
        </w:rPr>
        <w:t xml:space="preserve">Section 15.1. </w:t>
      </w:r>
      <w:r>
        <w:rPr>
          <w:rFonts w:ascii="Arial" w:cs="Arial" w:eastAsia="Arial" w:hAnsi="Arial"/>
          <w:sz w:val="19"/>
          <w:szCs w:val="19"/>
          <w:i w:val="1"/>
          <w:iCs w:val="1"/>
          <w:color w:val="auto"/>
        </w:rPr>
        <w:t>Right to Acquire Limited Partner Interests</w:t>
      </w:r>
      <w:r>
        <w:rPr>
          <w:rFonts w:ascii="Arial" w:cs="Arial" w:eastAsia="Arial" w:hAnsi="Arial"/>
          <w:sz w:val="19"/>
          <w:szCs w:val="19"/>
          <w:color w:val="auto"/>
        </w:rPr>
        <w:t xml:space="preserve">. (a) Notwithstanding any other provision of this Agreement, if at any time from and after the Closing Date the General Partner and its Affiliates hold more than 80% of the total Limited Partner Interests of any class or series then Outstanding, except for the Class B Units, Series A Preference Units, the Series B Preference Units and the Series C Preference Units, the General Partner shall then have the right, which right it may assign and transfer in whole or in part to the Partnership or any Affiliate of the General Partner, exercisable at its option, to purchase all, but not less than all, of such Limited Partner Interests of such class or series then Outstanding held by Persons other than the General Partner and its Affiliates, at the greater of (x) the Current Market Price as of the date three days prior to the date that the notice described in </w:t>
      </w:r>
      <w:r>
        <w:rPr>
          <w:rFonts w:ascii="Arial" w:cs="Arial" w:eastAsia="Arial" w:hAnsi="Arial"/>
          <w:sz w:val="19"/>
          <w:szCs w:val="19"/>
          <w:u w:val="single" w:color="auto"/>
          <w:color w:val="auto"/>
        </w:rPr>
        <w:t>Section 15.1(b)</w:t>
      </w:r>
      <w:r>
        <w:rPr>
          <w:rFonts w:ascii="Arial" w:cs="Arial" w:eastAsia="Arial" w:hAnsi="Arial"/>
          <w:sz w:val="19"/>
          <w:szCs w:val="19"/>
          <w:color w:val="auto"/>
        </w:rPr>
        <w:t xml:space="preserve"> is mailed and (y) the highest price paid by the General Partner or any of its Affiliates for any such Limited Partner Interest of such class or series purchased during the 90-day period preceding the date that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1" w:name="page82"/>
    <w:bookmarkEnd w:id="81"/>
    <w:p>
      <w:pPr>
        <w:ind w:right="420"/>
        <w:spacing w:after="0" w:line="251" w:lineRule="auto"/>
        <w:rPr>
          <w:sz w:val="20"/>
          <w:szCs w:val="20"/>
          <w:color w:val="auto"/>
        </w:rPr>
      </w:pPr>
      <w:r>
        <w:rPr>
          <w:rFonts w:ascii="Arial" w:cs="Arial" w:eastAsia="Arial" w:hAnsi="Arial"/>
          <w:sz w:val="22"/>
          <w:szCs w:val="22"/>
          <w:color w:val="auto"/>
        </w:rPr>
        <w:t xml:space="preserve">notice described in </w:t>
      </w:r>
      <w:r>
        <w:rPr>
          <w:rFonts w:ascii="Arial" w:cs="Arial" w:eastAsia="Arial" w:hAnsi="Arial"/>
          <w:sz w:val="22"/>
          <w:szCs w:val="22"/>
          <w:u w:val="single" w:color="auto"/>
          <w:color w:val="auto"/>
        </w:rPr>
        <w:t>Section 15.1(b)</w:t>
      </w:r>
      <w:r>
        <w:rPr>
          <w:rFonts w:ascii="Arial" w:cs="Arial" w:eastAsia="Arial" w:hAnsi="Arial"/>
          <w:sz w:val="22"/>
          <w:szCs w:val="22"/>
          <w:color w:val="auto"/>
        </w:rPr>
        <w:t xml:space="preserve"> is mailed. Notwithstanding the foregoing, the repurchase right described in this </w:t>
      </w:r>
      <w:r>
        <w:rPr>
          <w:rFonts w:ascii="Arial" w:cs="Arial" w:eastAsia="Arial" w:hAnsi="Arial"/>
          <w:sz w:val="22"/>
          <w:szCs w:val="22"/>
          <w:u w:val="single" w:color="auto"/>
          <w:color w:val="auto"/>
        </w:rPr>
        <w:t>Article XV</w:t>
      </w:r>
      <w:r>
        <w:rPr>
          <w:rFonts w:ascii="Arial" w:cs="Arial" w:eastAsia="Arial" w:hAnsi="Arial"/>
          <w:sz w:val="22"/>
          <w:szCs w:val="22"/>
          <w:color w:val="auto"/>
        </w:rPr>
        <w:t xml:space="preserve"> shall not apply to Class B Units and Preference Units.</w:t>
      </w:r>
    </w:p>
    <w:p>
      <w:pPr>
        <w:spacing w:after="0" w:line="173" w:lineRule="exact"/>
        <w:rPr>
          <w:sz w:val="20"/>
          <w:szCs w:val="20"/>
          <w:color w:val="auto"/>
        </w:rPr>
      </w:pPr>
    </w:p>
    <w:p>
      <w:pPr>
        <w:ind w:firstLine="1305"/>
        <w:spacing w:after="0" w:line="269" w:lineRule="auto"/>
        <w:tabs>
          <w:tab w:leader="none" w:pos="1954"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If the General Partner, any Affiliate of the General Partner or the Partnership elects to exercise the right to purchase Limited Partner Interests granted pursuant to </w:t>
      </w:r>
      <w:r>
        <w:rPr>
          <w:rFonts w:ascii="Arial" w:cs="Arial" w:eastAsia="Arial" w:hAnsi="Arial"/>
          <w:sz w:val="19"/>
          <w:szCs w:val="19"/>
          <w:u w:val="single" w:color="auto"/>
          <w:color w:val="auto"/>
        </w:rPr>
        <w:t>Section 15.1(a)</w:t>
      </w:r>
      <w:r>
        <w:rPr>
          <w:rFonts w:ascii="Arial" w:cs="Arial" w:eastAsia="Arial" w:hAnsi="Arial"/>
          <w:sz w:val="19"/>
          <w:szCs w:val="19"/>
          <w:color w:val="auto"/>
        </w:rPr>
        <w:t>, the General Partner shall deliver to the Transfer Agent notice of such election to purchase (the “</w:t>
      </w:r>
      <w:r>
        <w:rPr>
          <w:rFonts w:ascii="Arial" w:cs="Arial" w:eastAsia="Arial" w:hAnsi="Arial"/>
          <w:sz w:val="19"/>
          <w:szCs w:val="19"/>
          <w:b w:val="1"/>
          <w:bCs w:val="1"/>
          <w:i w:val="1"/>
          <w:iCs w:val="1"/>
          <w:color w:val="auto"/>
        </w:rPr>
        <w:t>Notice of Election to Purchase</w:t>
      </w:r>
      <w:r>
        <w:rPr>
          <w:rFonts w:ascii="Arial" w:cs="Arial" w:eastAsia="Arial" w:hAnsi="Arial"/>
          <w:sz w:val="19"/>
          <w:szCs w:val="19"/>
          <w:color w:val="auto"/>
        </w:rPr>
        <w:t xml:space="preserve">”) and shall cause the Transfer Agent to mail a copy of such Notice of Election to Purchase to the Record Holders of Limited Partner Interests of such class or series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xml:space="preserve">) at which Limited Partner Interests will be purchased and state that the General Partner, its Affiliate or the Partnership, as the case may be, elects to purchase such Limited Partner Interests, upon surrender of Certificates representing such Limited Partner Interests, if any, in exchange for payment, at such office or offices of the Transfer Agent as the Transfer Agent may specify, or as may be required by any National Securities Exchange on which such Limited Partner Interests are listed.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to the extent Certificates for the Limited Partner Interests are outstanding, notwithstanding that any Certificate shall not have been surrendered for purchase, all rights of the holders of such Limited Partner Interests (including any rights pursuant to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 xml:space="preserve">) shall thereupon cease, except the right to receive the applicable purchase price (determined in accordance with </w:t>
      </w:r>
      <w:r>
        <w:rPr>
          <w:rFonts w:ascii="Arial" w:cs="Arial" w:eastAsia="Arial" w:hAnsi="Arial"/>
          <w:sz w:val="19"/>
          <w:szCs w:val="19"/>
          <w:u w:val="single" w:color="auto"/>
          <w:color w:val="auto"/>
        </w:rPr>
        <w:t>Section 15.1(a)</w:t>
      </w:r>
      <w:r>
        <w:rPr>
          <w:rFonts w:ascii="Arial" w:cs="Arial" w:eastAsia="Arial" w:hAnsi="Arial"/>
          <w:sz w:val="19"/>
          <w:szCs w:val="19"/>
          <w:color w:val="auto"/>
        </w:rPr>
        <w:t xml:space="preserve">) for Limited Partner Interests therefor, without interest, upon surrender to the Transfer Agent of the Certificates representing such Limited Partner Interests,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w:t>
      </w:r>
      <w:r>
        <w:rPr>
          <w:rFonts w:ascii="Arial" w:cs="Arial" w:eastAsia="Arial" w:hAnsi="Arial"/>
          <w:sz w:val="19"/>
          <w:szCs w:val="19"/>
          <w:u w:val="single" w:color="auto"/>
          <w:color w:val="auto"/>
        </w:rPr>
        <w:t>Articles 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XII</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1960" w:hanging="655"/>
        <w:spacing w:after="0"/>
        <w:tabs>
          <w:tab w:leader="none" w:pos="1960" w:val="left"/>
        </w:tabs>
        <w:numPr>
          <w:ilvl w:val="0"/>
          <w:numId w:val="93"/>
        </w:numPr>
        <w:rPr>
          <w:rFonts w:ascii="Arial" w:cs="Arial" w:eastAsia="Arial" w:hAnsi="Arial"/>
          <w:sz w:val="19"/>
          <w:szCs w:val="19"/>
          <w:color w:val="auto"/>
        </w:rPr>
      </w:pPr>
      <w:r>
        <w:rPr>
          <w:rFonts w:ascii="Arial" w:cs="Arial" w:eastAsia="Arial" w:hAnsi="Arial"/>
          <w:sz w:val="19"/>
          <w:szCs w:val="19"/>
          <w:color w:val="auto"/>
        </w:rPr>
        <w:t>At any time from and after the Purchase Date, a holder of an Outstanding Limited Partner Interest subject</w:t>
      </w:r>
    </w:p>
    <w:p>
      <w:pPr>
        <w:spacing w:after="0" w:line="43" w:lineRule="exact"/>
        <w:rPr>
          <w:sz w:val="20"/>
          <w:szCs w:val="20"/>
          <w:color w:val="auto"/>
        </w:rPr>
      </w:pPr>
    </w:p>
    <w:p>
      <w:pPr>
        <w:ind w:right="960"/>
        <w:spacing w:after="0" w:line="308" w:lineRule="auto"/>
        <w:rPr>
          <w:sz w:val="20"/>
          <w:szCs w:val="20"/>
          <w:color w:val="auto"/>
        </w:rPr>
      </w:pPr>
      <w:r>
        <w:rPr>
          <w:rFonts w:ascii="Arial" w:cs="Arial" w:eastAsia="Arial" w:hAnsi="Arial"/>
          <w:sz w:val="19"/>
          <w:szCs w:val="19"/>
          <w:color w:val="auto"/>
        </w:rPr>
        <w:t xml:space="preserve">to purchase as provided in this </w:t>
      </w:r>
      <w:r>
        <w:rPr>
          <w:rFonts w:ascii="Arial" w:cs="Arial" w:eastAsia="Arial" w:hAnsi="Arial"/>
          <w:sz w:val="19"/>
          <w:szCs w:val="19"/>
          <w:u w:val="single" w:color="auto"/>
          <w:color w:val="auto"/>
        </w:rPr>
        <w:t>Section 15.1</w:t>
      </w:r>
      <w:r>
        <w:rPr>
          <w:rFonts w:ascii="Arial" w:cs="Arial" w:eastAsia="Arial" w:hAnsi="Arial"/>
          <w:sz w:val="19"/>
          <w:szCs w:val="19"/>
          <w:color w:val="auto"/>
        </w:rPr>
        <w:t xml:space="preserve"> may surrender his Certificate evidencing such Limited Partner Interest to the Transfer Agent in exchange for payment of the amount described in </w:t>
      </w:r>
      <w:r>
        <w:rPr>
          <w:rFonts w:ascii="Arial" w:cs="Arial" w:eastAsia="Arial" w:hAnsi="Arial"/>
          <w:sz w:val="19"/>
          <w:szCs w:val="19"/>
          <w:u w:val="single" w:color="auto"/>
          <w:color w:val="auto"/>
        </w:rPr>
        <w:t>Section 15.1(a)</w:t>
      </w:r>
      <w:r>
        <w:rPr>
          <w:rFonts w:ascii="Arial" w:cs="Arial" w:eastAsia="Arial" w:hAnsi="Arial"/>
          <w:sz w:val="19"/>
          <w:szCs w:val="19"/>
          <w:color w:val="auto"/>
        </w:rPr>
        <w:t>, without interest thereon.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22"/>
          <w:szCs w:val="22"/>
          <w:b w:val="1"/>
          <w:bCs w:val="1"/>
          <w:color w:val="auto"/>
        </w:rPr>
        <w:t>ARTICLE XVI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A CUMULATIVE REDEEMABLE PERPETUAL FIXED TO FLOATING RATE PREFERENCE UNITS</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16.1.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May 15, 2017, the Board of Directors designated and created a series of Preference Units designated as “8.625% Series A Cumulative Redeemable Perpetual Fixed to Floating Rate Preference Units,” and fixed the preferences, rights, powers and duties of the holders of the Series A Preference Units as set forth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Each Series A Preference Unit shall be identical in all respects to every other Series A Preference Unit, except as to the respective dates from which the Series A Liquidation Preference shall increase or from which Series A Distributions may begin accruing, to the extent such dates may differ. The Series A Preference Units represent perpetual equity interests in the Partnership and shall not give rise to a claim by the holder for redemption thereof at a particular date.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06" w:lineRule="exact"/>
        <w:rPr>
          <w:sz w:val="20"/>
          <w:szCs w:val="20"/>
          <w:color w:val="auto"/>
        </w:rPr>
      </w:pPr>
    </w:p>
    <w:p>
      <w:pPr>
        <w:ind w:right="220" w:firstLine="1305"/>
        <w:spacing w:after="0" w:line="251" w:lineRule="auto"/>
        <w:tabs>
          <w:tab w:leader="none" w:pos="1955"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authorized number of Series A Preference Units shall be unlimited. Series A Preference Units that are purchased or otherwise acquired by the Partnership shall be cancelled.</w:t>
      </w:r>
    </w:p>
    <w:p>
      <w:pPr>
        <w:spacing w:after="0" w:line="173" w:lineRule="exact"/>
        <w:rPr>
          <w:rFonts w:ascii="Arial" w:cs="Arial" w:eastAsia="Arial" w:hAnsi="Arial"/>
          <w:sz w:val="22"/>
          <w:szCs w:val="22"/>
          <w:color w:val="auto"/>
        </w:rPr>
      </w:pPr>
    </w:p>
    <w:p>
      <w:pPr>
        <w:ind w:right="20" w:firstLine="1305"/>
        <w:spacing w:after="0" w:line="234" w:lineRule="auto"/>
        <w:tabs>
          <w:tab w:leader="none" w:pos="1954"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Series A Preference Units shall be represented by a single Certificate registered in the name of the Depositary or its nominee, and no Series A Holder shall be entitled to receive a Certificate evidencing such applicable Units, unless otherwise required by law or the Depositary gives notice of its intention to resign or is no longer eligible to act as such with respect to such series of Preference Units and the Partnership shall have not selected a substitute Depositary within 60 calendar days thereafter. So long as the Depositary shall have been appointed and is serving with respect to such series of Preference Units, payments and communications made by the Partnership to Series A Holders shall be made by making payments to, and communicating with, the Depositary.</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06" w:lineRule="exact"/>
        <w:rPr>
          <w:sz w:val="20"/>
          <w:szCs w:val="20"/>
          <w:color w:val="auto"/>
        </w:rPr>
      </w:pPr>
    </w:p>
    <w:p>
      <w:pPr>
        <w:ind w:right="160" w:firstLine="1305"/>
        <w:spacing w:after="0" w:line="244" w:lineRule="auto"/>
        <w:tabs>
          <w:tab w:leader="none" w:pos="1955" w:val="left"/>
        </w:tabs>
        <w:numPr>
          <w:ilvl w:val="0"/>
          <w:numId w:val="95"/>
        </w:numPr>
        <w:rPr>
          <w:rFonts w:ascii="Arial" w:cs="Arial" w:eastAsia="Arial" w:hAnsi="Arial"/>
          <w:sz w:val="21"/>
          <w:szCs w:val="21"/>
          <w:color w:val="auto"/>
        </w:rPr>
      </w:pPr>
      <w:r>
        <w:rPr>
          <w:rFonts w:ascii="Arial" w:cs="Arial" w:eastAsia="Arial" w:hAnsi="Arial"/>
          <w:sz w:val="21"/>
          <w:szCs w:val="21"/>
          <w:color w:val="auto"/>
        </w:rPr>
        <w:t xml:space="preserve">Distributions on each Series A Preference Unit shall be cumulative and shall accrue at the Series A Distribution Rate from the Series A Original Issue Date (or, for any subsequently issued and newly Outstanding Series A Preference Units, from the Series A Distribution Payment Date immediately preceding the issuance date of such Units) until such time as the Partnership pays the Series A Distribution or redeems the Series A Preference Units in full in accordance with </w:t>
      </w:r>
      <w:r>
        <w:rPr>
          <w:rFonts w:ascii="Arial" w:cs="Arial" w:eastAsia="Arial" w:hAnsi="Arial"/>
          <w:sz w:val="21"/>
          <w:szCs w:val="21"/>
          <w:u w:val="single" w:color="auto"/>
          <w:color w:val="auto"/>
        </w:rPr>
        <w:t>Section 16.6</w:t>
      </w:r>
      <w:r>
        <w:rPr>
          <w:rFonts w:ascii="Arial" w:cs="Arial" w:eastAsia="Arial" w:hAnsi="Arial"/>
          <w:sz w:val="21"/>
          <w:szCs w:val="21"/>
          <w:color w:val="auto"/>
        </w:rPr>
        <w:t xml:space="preserve"> below, whether or not such Series A Distributions shall have been declared. Series A Holders shall be entitled to receive Series A Distributions from time to time out of any assets of the Partnership legally available for the payment of distributions at the Series A Distribution Rate per Series A Preference Unit when, as, and if declared by the Board of Directors. Series A Distributions, to the extent declared by the Board of Directors to be paid by the Partnership in accordance with this </w:t>
      </w:r>
      <w:r>
        <w:rPr>
          <w:rFonts w:ascii="Arial" w:cs="Arial" w:eastAsia="Arial" w:hAnsi="Arial"/>
          <w:sz w:val="21"/>
          <w:szCs w:val="21"/>
          <w:u w:val="single" w:color="auto"/>
          <w:color w:val="auto"/>
        </w:rPr>
        <w:t>Section 16.3</w:t>
      </w:r>
      <w:r>
        <w:rPr>
          <w:rFonts w:ascii="Arial" w:cs="Arial" w:eastAsia="Arial" w:hAnsi="Arial"/>
          <w:sz w:val="21"/>
          <w:szCs w:val="21"/>
          <w:color w:val="auto"/>
        </w:rPr>
        <w:t>, shall be paid quarterly on each Series A Distribution Payment Date. Distributions shall accumulate in each Series A Distribution Period from and including the preceding Series A Distribution Payment Date (other than the initial Series A Distribution Period, which shall commence on and include the Series A</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83" w:name="page84"/>
    <w:bookmarkEnd w:id="83"/>
    <w:p>
      <w:pPr>
        <w:ind w:right="60"/>
        <w:spacing w:after="0" w:line="245" w:lineRule="auto"/>
        <w:rPr>
          <w:sz w:val="20"/>
          <w:szCs w:val="20"/>
          <w:color w:val="auto"/>
        </w:rPr>
      </w:pPr>
      <w:r>
        <w:rPr>
          <w:rFonts w:ascii="Arial" w:cs="Arial" w:eastAsia="Arial" w:hAnsi="Arial"/>
          <w:sz w:val="21"/>
          <w:szCs w:val="21"/>
          <w:color w:val="auto"/>
        </w:rPr>
        <w:t>Original Issue Date), to but excluding the next Series A Distribution Payment Date for such Series A Distribution Period and distributions shall accrue on accumulated Series A Distributions at the Series A Distribution Rate. If any Series A Distribution Payment Date during the Series A Fixed Rate Period would otherwise occur on a date that is not a Business Day, declared Series A Distributions shall be paid on the immediately succeeding Business Day without the accumulation of additional distributions. If any Series A Distribution Payment Date during the Series A Floating Rate Period would otherwise occur on a date that is not a Business Day, then the Series A Distribution Payment Date will be the next day that is a Business Day. Series A Distributions payable for any Series A Distribution Period during the Series A Fixed Rate Period will be calculated based on a 360-day year consisting of twelve 30-day months. Series A Distributions payable for any Series A Distribution Period during the Series A Floating Rate Period will be calculated based on a 360-day year and the number of days actually elapsed during such Series A Distribution Period.</w:t>
      </w:r>
    </w:p>
    <w:p>
      <w:pPr>
        <w:spacing w:after="0" w:line="182" w:lineRule="exact"/>
        <w:rPr>
          <w:sz w:val="20"/>
          <w:szCs w:val="20"/>
          <w:color w:val="auto"/>
        </w:rPr>
      </w:pPr>
    </w:p>
    <w:p>
      <w:pPr>
        <w:ind w:right="240" w:firstLine="1305"/>
        <w:spacing w:after="0" w:line="236" w:lineRule="auto"/>
        <w:tabs>
          <w:tab w:leader="none" w:pos="1954" w:val="left"/>
        </w:tabs>
        <w:numPr>
          <w:ilvl w:val="0"/>
          <w:numId w:val="96"/>
        </w:numPr>
        <w:rPr>
          <w:rFonts w:ascii="Arial" w:cs="Arial" w:eastAsia="Arial" w:hAnsi="Arial"/>
          <w:sz w:val="22"/>
          <w:szCs w:val="22"/>
          <w:color w:val="auto"/>
        </w:rPr>
      </w:pPr>
      <w:r>
        <w:rPr>
          <w:rFonts w:ascii="Arial" w:cs="Arial" w:eastAsia="Arial" w:hAnsi="Arial"/>
          <w:sz w:val="22"/>
          <w:szCs w:val="22"/>
          <w:color w:val="auto"/>
        </w:rPr>
        <w:t>For each Series A Distribution Period during the Series A Floating Rate Period, the applicable Series A Distribution Rate will be determined by the Partnership as of the applicable Series A Distribution Determination Date for such Series A Distribution Period. For purposes of determining the applicable Series A Distribution Rate, the Series A Three-Month LIBOR Rate will be determined by the Partnership, as of the applicable Series A Distribution Determination Date, in accordance with the following provisions:</w:t>
      </w:r>
    </w:p>
    <w:p>
      <w:pPr>
        <w:spacing w:after="0" w:line="188" w:lineRule="exact"/>
        <w:rPr>
          <w:sz w:val="20"/>
          <w:szCs w:val="20"/>
          <w:color w:val="auto"/>
        </w:rPr>
      </w:pPr>
    </w:p>
    <w:p>
      <w:pPr>
        <w:jc w:val="both"/>
        <w:ind w:left="660" w:right="200" w:firstLine="645"/>
        <w:spacing w:after="0" w:line="297" w:lineRule="auto"/>
        <w:tabs>
          <w:tab w:leader="none" w:pos="1971"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Series A Three-Month LIBOR Rate will be the rate (expressed as a percentage per year) for deposits in U.S. dollars having an index maturity of three months, in amounts of at least $1,000,000, as such rate appears on Reuters Page LIBOR01 at approximately 11:00 a.m. (London time) on the relevant Series A Distribution Determination Date; or</w:t>
      </w:r>
    </w:p>
    <w:p>
      <w:pPr>
        <w:spacing w:after="0" w:line="134" w:lineRule="exact"/>
        <w:rPr>
          <w:rFonts w:ascii="Arial" w:cs="Arial" w:eastAsia="Arial" w:hAnsi="Arial"/>
          <w:sz w:val="19"/>
          <w:szCs w:val="19"/>
          <w:color w:val="auto"/>
        </w:rPr>
      </w:pPr>
    </w:p>
    <w:p>
      <w:pPr>
        <w:ind w:left="660" w:firstLine="645"/>
        <w:spacing w:after="0" w:line="271" w:lineRule="auto"/>
        <w:tabs>
          <w:tab w:leader="none" w:pos="1977" w:val="left"/>
        </w:tabs>
        <w:numPr>
          <w:ilvl w:val="0"/>
          <w:numId w:val="97"/>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A Distribution Determination Date, then the Partnership will select four nationally-recognized banks in the London interbank market and request that the principal London offices of those four selected banks provide their offered quotation for deposits in U.S. dollars for a period of three months, commencing on the first day of the applicable Series A Distribution Period, to prime banks in the London interbank market at approximately 11:00 a.m. (London time) on that Series A Distribution Determination Date for the applicable Series A Distribution Period. Offered quotations must be based on a principal amount equal to an amount that, in the Partnership’s discretion, is representative of a single transaction in U.S. dollars in the London interbank market at that time. If at least two quotations are provided, the Series A Three-Month LIBOR Rate for such Series A Distribution Period will be the arithmetic mean (rounded upward if necessary, to the nearest 0.00001 of 1%) of those quotations. If fewer than two quotations are provided, the Series A Three-Month LIBOR Rate for such Series A Distribution Period will be the arithmetic mean (rounded upward if necessary, to the nearest 0.00001 of 1%) of the rates quoted at approximately 11:00 a.m. (New York City time) on that Series A Distribution Determination Date for such Series A Distribution Period by three nationally-recognized banks in New York, New York selected by the Partnership, for loans in U.S. dollars to nationally-recognized European banks (as selected by the Partnership), for a period of</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84" w:name="page85"/>
    <w:bookmarkEnd w:id="84"/>
    <w:p>
      <w:pPr>
        <w:ind w:left="620" w:right="220"/>
        <w:spacing w:after="0" w:line="279" w:lineRule="auto"/>
        <w:rPr>
          <w:sz w:val="20"/>
          <w:szCs w:val="20"/>
          <w:color w:val="auto"/>
        </w:rPr>
      </w:pPr>
      <w:r>
        <w:rPr>
          <w:rFonts w:ascii="Arial" w:cs="Arial" w:eastAsia="Arial" w:hAnsi="Arial"/>
          <w:sz w:val="19"/>
          <w:szCs w:val="19"/>
          <w:color w:val="auto"/>
        </w:rPr>
        <w:t>three months commencing on the first day of such Series A Distribution Period. The rates quoted must be based on an amount that, in the Partnership’s discretion, is representative of a single transaction in U.S. dollars in that market at that time. If fewer than three New York City banks selected by the Partnership provide quote rates in the manner described above, the Series A Three-Month LIBOR Rate for the applicable Series A Distribution Period will be the same as for the immediately preceding Series A Distribution Period, or, if there was no such Series A Distribution Period, the distribution shall be calculated at the Series A Distribution Rate in effect for the immediately preceding Series A Distribution Period.</w:t>
      </w:r>
    </w:p>
    <w:p>
      <w:pPr>
        <w:spacing w:after="0" w:line="151" w:lineRule="exact"/>
        <w:rPr>
          <w:sz w:val="20"/>
          <w:szCs w:val="20"/>
          <w:color w:val="auto"/>
        </w:rPr>
      </w:pPr>
    </w:p>
    <w:p>
      <w:pPr>
        <w:ind w:left="-40" w:firstLine="1305"/>
        <w:spacing w:after="0" w:line="269" w:lineRule="auto"/>
        <w:tabs>
          <w:tab w:leader="none" w:pos="1915"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A Distribution Payment Date, the Partnership shall pay those Series A Distributions, if any, that shall have been declared by the Board of Directors to Series A Holders on the Record Date for the applicable Series A Distribution. The Record Date (the “</w:t>
      </w:r>
      <w:r>
        <w:rPr>
          <w:rFonts w:ascii="Arial" w:cs="Arial" w:eastAsia="Arial" w:hAnsi="Arial"/>
          <w:sz w:val="19"/>
          <w:szCs w:val="19"/>
          <w:b w:val="1"/>
          <w:bCs w:val="1"/>
          <w:i w:val="1"/>
          <w:iCs w:val="1"/>
          <w:color w:val="auto"/>
        </w:rPr>
        <w:t>Series A Distribution Record Date</w:t>
      </w:r>
      <w:r>
        <w:rPr>
          <w:rFonts w:ascii="Arial" w:cs="Arial" w:eastAsia="Arial" w:hAnsi="Arial"/>
          <w:sz w:val="19"/>
          <w:szCs w:val="19"/>
          <w:color w:val="auto"/>
        </w:rPr>
        <w:t xml:space="preserve">”) for the payment of any Series A Distributions shall be the fifth Business Day immediately preceding the applicable Series A Distribution Payment Date, except that in the case of payments of Series A Distributions in Arrears, the Series A Distribution Record Date with respect to a Series A Distribution Payment Date shall be such date as may be designated by the Board of Directors in accordance with this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No distribution shall be declared or paid or set apart for payment on any Junior Securities (other than a distribution payable solely in Junior Securities) unless full cumulative Series A Distributions have been or contemporaneously are being paid or provided for on all Outstanding Series A Preference Units and any other Parity Securities through the most recent respective Series A Distribution Payment Dates. Accumulated Series A Distributions in Arrears for any past Series A Distribution Period may be declared by the Board of Directors and paid on any date fixed by the Board of Directors, whether or not a Series A Distribution Payment Date, to Series A Holders on the record date for such payment, which may not be more than 60 days, nor less than 15 days, before such payment date. Subject to the next succeeding sentence, if all accumulated Series A Distributions in Arrears on all Outstanding Series A Preference Units and any other Parity Securities shall not have been declared and paid, or if sufficient funds for the payment thereof shall not have been set apart, payment of accumulated distributions in Arrears on the Series A Preference Units and any such Parity Securities shall be made in order of their respective distribution payment dates, commencing with the earliest. If less than all distributions payable with respect to all Series A Preference Units and any other Parity Securities are paid, any partial payment shall be made pro rata with respect to the Series A Preference Units and any such other Parity Securities entitled to a distribution payment at such time in proportion to the aggregate distribution amounts remaining due in respect of such Series A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Series A Holders shall not be entitled to any distribution, whether payable in cash, property or stock, in excess of full cumulative Series A Distributions. Except insofar as distributions accrue on the amount of any accumulated and unpaid Series A Distributions as described in </w:t>
      </w:r>
      <w:r>
        <w:rPr>
          <w:rFonts w:ascii="Arial" w:cs="Arial" w:eastAsia="Arial" w:hAnsi="Arial"/>
          <w:sz w:val="19"/>
          <w:szCs w:val="19"/>
          <w:u w:val="single" w:color="auto"/>
          <w:color w:val="auto"/>
        </w:rPr>
        <w:t>Section 16.3(a)</w:t>
      </w:r>
      <w:r>
        <w:rPr>
          <w:rFonts w:ascii="Arial" w:cs="Arial" w:eastAsia="Arial" w:hAnsi="Arial"/>
          <w:sz w:val="19"/>
          <w:szCs w:val="19"/>
          <w:color w:val="auto"/>
        </w:rPr>
        <w:t>, no interest or sum of money in lieu of interest shall be payable in respect of any distribution payment which may be in Arrears on the Series A Preference Units. So long as the Series A Preference Units are held of record by the nominee of the Depositary, declared Series A Distributions shall be paid to the Depositary in same-day funds on each Series A Distribution Payment Date.</w:t>
      </w: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 xml:space="preserve">Section 16.4.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73660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80" w:top="334" w:right="259" w:bottom="1440" w:gutter="0" w:footer="0" w:header="0"/>
        </w:sectPr>
      </w:pPr>
    </w:p>
    <w:bookmarkStart w:id="85" w:name="page86"/>
    <w:bookmarkEnd w:id="85"/>
    <w:p>
      <w:pPr>
        <w:ind w:left="-20" w:right="40" w:firstLine="1305"/>
        <w:spacing w:after="0" w:line="270" w:lineRule="auto"/>
        <w:tabs>
          <w:tab w:leader="none" w:pos="1935" w:val="left"/>
        </w:tabs>
        <w:numPr>
          <w:ilvl w:val="0"/>
          <w:numId w:val="99"/>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A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A Preference Units or other Parity Securities then Outstanding in respect of such Liquidation Event and (iv) before any distribution of such assets or proceeds is made to or set aside for the holders of Common Units, Class B Units and any other classes or series of Junior Securities as to such distribution, a liquidating distribution or payment in full redemption of such Series A Preference Units in an amount equal to the Series A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A Preference Units or any Parity Securities and (y) the Series A Holders shall be entitled to the Series A Liquidation Preference per Series A Preference Unit in cash, concurrently with any distribution made to the holders of any Parity Securities and before any distribution shall be made to the holders of Common Units, Class B Units or any other Junior Securities. Series A Holders shall not be entitled to any other amounts from the Partnership, in their capacity as Series A Holders, after they have received the Series A Liquidation Preference. The payment of the Series A Liquidation Preference shall be a payment in redemption of the Series A Preference Units such that, from and after payment of the full Series A Liquidation Preference, any such Series A Preference Unit shall thereafter be cancelled and no longer be Outstanding.</w:t>
      </w:r>
    </w:p>
    <w:p>
      <w:pPr>
        <w:spacing w:after="0" w:line="170" w:lineRule="exact"/>
        <w:rPr>
          <w:rFonts w:ascii="Arial" w:cs="Arial" w:eastAsia="Arial" w:hAnsi="Arial"/>
          <w:sz w:val="19"/>
          <w:szCs w:val="19"/>
          <w:color w:val="auto"/>
        </w:rPr>
      </w:pPr>
    </w:p>
    <w:p>
      <w:pPr>
        <w:ind w:left="-20" w:right="40" w:firstLine="1305"/>
        <w:spacing w:after="0" w:line="246" w:lineRule="auto"/>
        <w:tabs>
          <w:tab w:leader="none" w:pos="1934" w:val="left"/>
        </w:tabs>
        <w:numPr>
          <w:ilvl w:val="0"/>
          <w:numId w:val="99"/>
        </w:numPr>
        <w:rPr>
          <w:rFonts w:ascii="Arial" w:cs="Arial" w:eastAsia="Arial" w:hAnsi="Arial"/>
          <w:sz w:val="21"/>
          <w:szCs w:val="21"/>
          <w:color w:val="auto"/>
        </w:rPr>
      </w:pPr>
      <w:r>
        <w:rPr>
          <w:rFonts w:ascii="Arial" w:cs="Arial" w:eastAsia="Arial" w:hAnsi="Arial"/>
          <w:sz w:val="21"/>
          <w:szCs w:val="21"/>
          <w:color w:val="auto"/>
        </w:rPr>
        <w:t xml:space="preserve">If, in the event of any distribution or payment described in </w:t>
      </w:r>
      <w:r>
        <w:rPr>
          <w:rFonts w:ascii="Arial" w:cs="Arial" w:eastAsia="Arial" w:hAnsi="Arial"/>
          <w:sz w:val="21"/>
          <w:szCs w:val="21"/>
          <w:u w:val="single" w:color="auto"/>
          <w:color w:val="auto"/>
        </w:rPr>
        <w:t>Section 16.4(a)</w:t>
      </w:r>
      <w:r>
        <w:rPr>
          <w:rFonts w:ascii="Arial" w:cs="Arial" w:eastAsia="Arial" w:hAnsi="Arial"/>
          <w:sz w:val="21"/>
          <w:szCs w:val="21"/>
          <w:color w:val="auto"/>
        </w:rPr>
        <w:t xml:space="preserve"> above where the Partnership’s assets available for distribution to holders of the Outstanding Series A Preference Units and any other Parity Securities are insufficient to satisfy the applicable Liquidation Preference for such Series A Preference Units and Parity Securities, the Partnership’s then remaining assets or proceeds thereof legally available for distribution to unitholders of the Partnership shall be distributed among the holders of Outstanding Series A Preference Units and such Parity Securities, as applicable, ratably on the basis of their relative aggregate Liquidation Preferences. To the extent that the Series A Holders receive a partial payment of their Series A Liquidation Preference, such partial payment shall reduce the Series A Liquidation Preference of their Series A Preference Units, but only to the extent of such amount paid.</w:t>
      </w:r>
    </w:p>
    <w:p>
      <w:pPr>
        <w:spacing w:after="0" w:line="180" w:lineRule="exact"/>
        <w:rPr>
          <w:rFonts w:ascii="Arial" w:cs="Arial" w:eastAsia="Arial" w:hAnsi="Arial"/>
          <w:sz w:val="21"/>
          <w:szCs w:val="21"/>
          <w:color w:val="auto"/>
        </w:rPr>
      </w:pPr>
    </w:p>
    <w:p>
      <w:pPr>
        <w:ind w:left="-20" w:firstLine="1305"/>
        <w:spacing w:after="0" w:line="238" w:lineRule="auto"/>
        <w:tabs>
          <w:tab w:leader="none" w:pos="1935" w:val="left"/>
        </w:tabs>
        <w:numPr>
          <w:ilvl w:val="0"/>
          <w:numId w:val="99"/>
        </w:numPr>
        <w:rPr>
          <w:rFonts w:ascii="Arial" w:cs="Arial" w:eastAsia="Arial" w:hAnsi="Arial"/>
          <w:sz w:val="22"/>
          <w:szCs w:val="22"/>
          <w:color w:val="auto"/>
        </w:rPr>
      </w:pPr>
      <w:r>
        <w:rPr>
          <w:rFonts w:ascii="Arial" w:cs="Arial" w:eastAsia="Arial" w:hAnsi="Arial"/>
          <w:sz w:val="22"/>
          <w:szCs w:val="22"/>
          <w:color w:val="auto"/>
        </w:rPr>
        <w:t>After payment of the applicable Liquidation Preference to the holders of the Outstanding Series A Preference Units and any other Parity Securities, the Partnership’s remaining assets and funds shall be distributed among the holders of the Common Units, Class B Units and any other Junior Securities then Outstanding according to their respective rights and preferences.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xml:space="preserve">Section 16.5.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86" w:name="page87"/>
    <w:bookmarkEnd w:id="86"/>
    <w:p>
      <w:pPr>
        <w:ind w:left="-20" w:firstLine="1305"/>
        <w:spacing w:after="0" w:line="328" w:lineRule="auto"/>
        <w:tabs>
          <w:tab w:leader="none" w:pos="1935"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A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or as otherwise provided by the Marshall Islands Act.</w:t>
      </w:r>
    </w:p>
    <w:p>
      <w:pPr>
        <w:spacing w:after="0" w:line="105" w:lineRule="exact"/>
        <w:rPr>
          <w:rFonts w:ascii="Arial" w:cs="Arial" w:eastAsia="Arial" w:hAnsi="Arial"/>
          <w:sz w:val="19"/>
          <w:szCs w:val="19"/>
          <w:color w:val="auto"/>
        </w:rPr>
      </w:pPr>
    </w:p>
    <w:p>
      <w:pPr>
        <w:ind w:left="-20" w:firstLine="1305"/>
        <w:spacing w:after="0" w:line="270" w:lineRule="auto"/>
        <w:tabs>
          <w:tab w:leader="none" w:pos="193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A Distributions, whether consecutive or not, are in Arrears, the Series A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A Holders holding a majority of the Outstanding Series A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A Holders shall not apply to the election of another director if (i) Series A Holders and holders of Parity Securities upon which like voting rights have been conferred, voting as a class, have previously elected a member of the Board of Directors and (ii) such director continues then to serve on the Board of Directors. Such right of such Series A Holders to elect a member of the Board of Directors shall continue until the Partnership pays in full, or declares and sets aside funds for the payment of, all Series A Distributions accumulated and in Arrears on the Series A Preference Units, at which time such right shall terminate, subject to the revesting of such right in the event of each and every subsequent failure to pay six quarterly Series A Distributions as described above in this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Upon any termination of the right of the Series A Holders and holders of any other Parity Securities to vote as a class for such director, the term of office of the director then in office elected by such Series A Holders and holders voting as a class shall terminate immediately. Any director elected by the Series A Holders and holders of any other Parity Securities shall be entitled to one vote on any matter before the Board of Directors. Upon each election of a member of the Board of Directors by Series A Holders pursuant to this </w:t>
      </w:r>
      <w:r>
        <w:rPr>
          <w:rFonts w:ascii="Arial" w:cs="Arial" w:eastAsia="Arial" w:hAnsi="Arial"/>
          <w:sz w:val="19"/>
          <w:szCs w:val="19"/>
          <w:u w:val="single" w:color="auto"/>
          <w:color w:val="auto"/>
        </w:rPr>
        <w:t>Section 16.5(b)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A Holders.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20" w:right="60" w:firstLine="1305"/>
        <w:spacing w:after="0" w:line="238" w:lineRule="auto"/>
        <w:tabs>
          <w:tab w:leader="none" w:pos="1935" w:val="left"/>
        </w:tabs>
        <w:numPr>
          <w:ilvl w:val="0"/>
          <w:numId w:val="100"/>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A Preference Units, voting as a separate class, neither the General Partner nor the Board of Directors shall adopt any amendment to this Agreement that would have a material adverse effect on the existing terms of the Series A Preference Units.</w:t>
      </w:r>
    </w:p>
    <w:p>
      <w:pPr>
        <w:spacing w:after="0" w:line="185" w:lineRule="exact"/>
        <w:rPr>
          <w:sz w:val="20"/>
          <w:szCs w:val="20"/>
          <w:color w:val="auto"/>
        </w:rPr>
      </w:pPr>
    </w:p>
    <w:p>
      <w:pPr>
        <w:ind w:left="640" w:right="20" w:firstLine="645"/>
        <w:spacing w:after="0" w:line="236" w:lineRule="auto"/>
        <w:tabs>
          <w:tab w:leader="none" w:pos="195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A Preference Units voting as a class together with holders of any other Parity Securities upon which like voting rights have been conferred and are exercisable, the Partnership shall not (x) issue any Parity Securities if the cumulative dividends payable on Outstanding Series A Preference Units are in Arrears or (y) create or issue any Senior Securities.</w:t>
      </w:r>
    </w:p>
    <w:p>
      <w:pPr>
        <w:spacing w:after="0" w:line="188" w:lineRule="exact"/>
        <w:rPr>
          <w:sz w:val="20"/>
          <w:szCs w:val="20"/>
          <w:color w:val="auto"/>
        </w:rPr>
      </w:pPr>
    </w:p>
    <w:p>
      <w:pPr>
        <w:ind w:left="-20" w:right="320" w:firstLine="1305"/>
        <w:spacing w:after="0"/>
        <w:tabs>
          <w:tab w:leader="none" w:pos="192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16.5</w:t>
      </w:r>
      <w:r>
        <w:rPr>
          <w:rFonts w:ascii="Arial" w:cs="Arial" w:eastAsia="Arial" w:hAnsi="Arial"/>
          <w:sz w:val="22"/>
          <w:szCs w:val="22"/>
          <w:color w:val="auto"/>
        </w:rPr>
        <w:t xml:space="preserve"> in which the Series A Holders are entitled to vote as a class (whether separately or together with the holders of any Parity Securities), such Series A Holders shall be entitled to one vote per Series A Preference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87" w:name="page88"/>
    <w:bookmarkEnd w:id="87"/>
    <w:p>
      <w:pPr>
        <w:spacing w:after="0"/>
        <w:rPr>
          <w:sz w:val="20"/>
          <w:szCs w:val="20"/>
          <w:color w:val="auto"/>
        </w:rPr>
      </w:pPr>
      <w:r>
        <w:rPr>
          <w:rFonts w:ascii="Arial" w:cs="Arial" w:eastAsia="Arial" w:hAnsi="Arial"/>
          <w:sz w:val="19"/>
          <w:szCs w:val="19"/>
          <w:color w:val="auto"/>
        </w:rPr>
        <w:t>Unit. Any Series A Preference Units held by the Partnership or any of its subsidiaries or Affiliates shall not be entitled to vote.</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16.6.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ind w:right="120" w:firstLine="1297"/>
        <w:spacing w:after="0" w:line="258" w:lineRule="auto"/>
        <w:rPr>
          <w:sz w:val="20"/>
          <w:szCs w:val="20"/>
          <w:color w:val="auto"/>
        </w:rPr>
      </w:pPr>
      <w:r>
        <w:rPr>
          <w:rFonts w:ascii="Arial" w:cs="Arial" w:eastAsia="Arial" w:hAnsi="Arial"/>
          <w:sz w:val="21"/>
          <w:szCs w:val="21"/>
          <w:color w:val="auto"/>
        </w:rPr>
        <w:t>The Partnership shall have the right at any time, and from time to time, on or after June 15, 2027 to redeem the Series A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A Redemption Date</w:t>
      </w:r>
      <w:r>
        <w:rPr>
          <w:rFonts w:ascii="Arial" w:cs="Arial" w:eastAsia="Arial" w:hAnsi="Arial"/>
          <w:sz w:val="21"/>
          <w:szCs w:val="21"/>
          <w:color w:val="auto"/>
        </w:rPr>
        <w:t>”).</w:t>
      </w:r>
    </w:p>
    <w:p>
      <w:pPr>
        <w:spacing w:after="0" w:line="167" w:lineRule="exact"/>
        <w:rPr>
          <w:sz w:val="20"/>
          <w:szCs w:val="20"/>
          <w:color w:val="auto"/>
        </w:rPr>
      </w:pPr>
    </w:p>
    <w:p>
      <w:pPr>
        <w:ind w:right="120" w:firstLine="1305"/>
        <w:spacing w:after="0" w:line="287" w:lineRule="auto"/>
        <w:tabs>
          <w:tab w:leader="none" w:pos="1955"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A Preference Unit to be redeemed equal to the Series A Liquidation Preference for such Series A Preference Unit on such Series A Redemption Date (the “</w:t>
      </w:r>
      <w:r>
        <w:rPr>
          <w:rFonts w:ascii="Arial" w:cs="Arial" w:eastAsia="Arial" w:hAnsi="Arial"/>
          <w:sz w:val="19"/>
          <w:szCs w:val="19"/>
          <w:b w:val="1"/>
          <w:bCs w:val="1"/>
          <w:i w:val="1"/>
          <w:iCs w:val="1"/>
          <w:color w:val="auto"/>
        </w:rPr>
        <w:t>Series A Redemption Price</w:t>
      </w:r>
      <w:r>
        <w:rPr>
          <w:rFonts w:ascii="Arial" w:cs="Arial" w:eastAsia="Arial" w:hAnsi="Arial"/>
          <w:sz w:val="19"/>
          <w:szCs w:val="19"/>
          <w:color w:val="auto"/>
        </w:rPr>
        <w:t>”). So long as the Series A Preference Units to be redeemed are held of record by the nominee of the Depositary, the Series A Redemption Price shall be paid by the Paying Agent to the Depositary on the Series A Redemption Date.</w:t>
      </w:r>
    </w:p>
    <w:p>
      <w:pPr>
        <w:spacing w:after="0" w:line="143" w:lineRule="exact"/>
        <w:rPr>
          <w:rFonts w:ascii="Arial" w:cs="Arial" w:eastAsia="Arial" w:hAnsi="Arial"/>
          <w:sz w:val="19"/>
          <w:szCs w:val="19"/>
          <w:color w:val="auto"/>
        </w:rPr>
      </w:pPr>
    </w:p>
    <w:p>
      <w:pPr>
        <w:ind w:firstLine="1305"/>
        <w:spacing w:after="0" w:line="245" w:lineRule="auto"/>
        <w:tabs>
          <w:tab w:leader="none" w:pos="195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A Redemption Date to the Series A Holders (as of 5:00 p.m. New York City time on the Business Day next preceding the day on which notice is given) of any Series A Preference Units to be redeemed as such Series A Holders’ names appear on the books of the Transfer Agent and at the address of such Series A Holders shown therein. Such notice (the “</w:t>
      </w:r>
      <w:r>
        <w:rPr>
          <w:rFonts w:ascii="Arial" w:cs="Arial" w:eastAsia="Arial" w:hAnsi="Arial"/>
          <w:sz w:val="21"/>
          <w:szCs w:val="21"/>
          <w:b w:val="1"/>
          <w:bCs w:val="1"/>
          <w:i w:val="1"/>
          <w:iCs w:val="1"/>
          <w:color w:val="auto"/>
        </w:rPr>
        <w:t>Series A Redemption Notice</w:t>
      </w:r>
      <w:r>
        <w:rPr>
          <w:rFonts w:ascii="Arial" w:cs="Arial" w:eastAsia="Arial" w:hAnsi="Arial"/>
          <w:sz w:val="21"/>
          <w:szCs w:val="21"/>
          <w:color w:val="auto"/>
        </w:rPr>
        <w:t>”) shall state, as applicable: (1) the Series A Redemption Date, (2) the number of Series A Preference Units to be redeemed and, if less than all Outstanding Series A Preference Units are to be redeemed, the number (and the identification) of Units to be redeemed from such Series A Holder, (3) the Series A Redemption Price, (4) the place where the Series A Preference Units are to be redeemed and shall be presented and surrendered for payment of the Series A Redemption Price therefor and (5) that distributions on the Units to be redeemed shall cease to accumulate from and after such Series A Redemption Date.</w:t>
      </w:r>
    </w:p>
    <w:p>
      <w:pPr>
        <w:spacing w:after="0" w:line="181" w:lineRule="exact"/>
        <w:rPr>
          <w:rFonts w:ascii="Arial" w:cs="Arial" w:eastAsia="Arial" w:hAnsi="Arial"/>
          <w:sz w:val="21"/>
          <w:szCs w:val="21"/>
          <w:color w:val="auto"/>
        </w:rPr>
      </w:pPr>
    </w:p>
    <w:p>
      <w:pPr>
        <w:ind w:right="40" w:firstLine="1305"/>
        <w:spacing w:after="0" w:line="234" w:lineRule="auto"/>
        <w:tabs>
          <w:tab w:leader="none" w:pos="1955" w:val="left"/>
        </w:tabs>
        <w:numPr>
          <w:ilvl w:val="0"/>
          <w:numId w:val="103"/>
        </w:numPr>
        <w:rPr>
          <w:rFonts w:ascii="Arial" w:cs="Arial" w:eastAsia="Arial" w:hAnsi="Arial"/>
          <w:sz w:val="22"/>
          <w:szCs w:val="22"/>
          <w:color w:val="auto"/>
        </w:rPr>
      </w:pPr>
      <w:r>
        <w:rPr>
          <w:rFonts w:ascii="Arial" w:cs="Arial" w:eastAsia="Arial" w:hAnsi="Arial"/>
          <w:sz w:val="22"/>
          <w:szCs w:val="22"/>
          <w:color w:val="auto"/>
        </w:rPr>
        <w:t xml:space="preserve">If the Partnership elects to redeem less than all of the Outstanding Series A Preference Units, the number of Series A Preference Units to be redeemed shall be determined by the Board of Directors, and such Series A Preference Units shall be redeemed by such method of selection as the Depositary shall determine either Pro Rata or by lot, with adjustments to avoid redemption of fractional Series A Preference Units. The aggregate Series A Redemption Price for any such partial redemption of the Outstanding Series A Preference Units shall be allocated correspondingly among the redeemed Series A Preference Units. The Series A Preference Units not redeemed shall remain Outstanding and entitled to all the rights and preferences provided in this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right="140" w:firstLine="1305"/>
        <w:spacing w:after="0" w:line="249" w:lineRule="auto"/>
        <w:tabs>
          <w:tab w:leader="none" w:pos="194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If the Partnership gives or causes to be given a Series A Redemption Notice, the Partnership shall deposit with the Paying Agent funds, sufficient to redeem the Series A Preference Units, as to which such Series A Redemption Notice shall have been given, no later than 5:00 p.m. New York City time on the Business Day immediately preceding the Series A Redemption Date, and shall give the Paying Agent irrevocable instructions and authority to pay the Series A Redemption Price to the Series A Holders to be redeemed upon surrender or deemed</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34" w:right="319" w:bottom="1440" w:gutter="0" w:footer="0" w:header="0"/>
        </w:sectPr>
      </w:pPr>
    </w:p>
    <w:bookmarkStart w:id="88" w:name="page89"/>
    <w:bookmarkEnd w:id="88"/>
    <w:p>
      <w:pPr>
        <w:ind w:right="80"/>
        <w:spacing w:after="0" w:line="270" w:lineRule="auto"/>
        <w:rPr>
          <w:sz w:val="20"/>
          <w:szCs w:val="20"/>
          <w:color w:val="auto"/>
        </w:rPr>
      </w:pPr>
      <w:r>
        <w:rPr>
          <w:rFonts w:ascii="Arial" w:cs="Arial" w:eastAsia="Arial" w:hAnsi="Arial"/>
          <w:sz w:val="19"/>
          <w:szCs w:val="19"/>
          <w:color w:val="auto"/>
        </w:rPr>
        <w:t>surrender (which shall occur automatically if the Certificate representing such Series A Preference Units is issued in the name of the Depositary or its nominee) of the Certificates therefor as set forth in the Series A Redemption Notice. If the Series A Redemption Notice shall have been given, from and after the Series A Redemption Date, unless the Partnership defaults in providing funds sufficient for such redemption at the time and place specified for payment pursuant to the Series A Redemption Notice, all Series A Distributions on such Series A Preference Units to be redeemed shall cease to accumulate and all rights of holders of such Series A Preference Units as Limited Partners with respect to such Series A Preference Units to be redeemed shall cease, except the right to receive the Series A Redemption Price, and such Series A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A Redemption Price of the Series A Preference Units to be redeemed), and the holders of any Series A Preference Units so redeemed shall have no claim to any such interest income. Any funds deposited with the Paying Agent hereunder by the Partnership for any reason, including redemption of Series A Preference Units, that remain unclaimed or unpaid after two years after the applicable Series A Redemption Date or other payment date, as applicable, shall be, to the extent permitted by law, repaid to the Partnership upon its written request, after which repayment the Series A Holders entitled to such redemption or other payment shall have recourse only to the Partnership. Notwithstanding any Series A Redemption Notice, there shall be no redemption of any Series A Preference Units called for redemption until funds sufficient to pay the full Series A Redemption Price of such Series A Preference Units shall have been deposited by the Partnership with the Paying Agent.</w:t>
      </w:r>
    </w:p>
    <w:p>
      <w:pPr>
        <w:spacing w:after="0" w:line="200" w:lineRule="exact"/>
        <w:rPr>
          <w:sz w:val="20"/>
          <w:szCs w:val="20"/>
          <w:color w:val="auto"/>
        </w:rPr>
      </w:pPr>
    </w:p>
    <w:p>
      <w:pPr>
        <w:spacing w:after="0" w:line="213" w:lineRule="exact"/>
        <w:rPr>
          <w:sz w:val="20"/>
          <w:szCs w:val="20"/>
          <w:color w:val="auto"/>
        </w:rPr>
      </w:pPr>
    </w:p>
    <w:p>
      <w:pPr>
        <w:ind w:firstLine="1305"/>
        <w:spacing w:after="0" w:line="248" w:lineRule="auto"/>
        <w:tabs>
          <w:tab w:leader="none" w:pos="195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Any Series A Preference Units that are redeemed or otherwise acquired by the Partnership shall be canceled. If only a portion of the Series A Preference Units represented by a Certificate shall have been called for redemption, upon surrender of the Certificate to the Paying Agent (which shall occur automatically if the Certificate representing such Series A Preference Units is registered in the name of the Depositary or its nominee), the Paying Agent shall issue to the Series A Holders a new Certificate (or adjust the applicable book-entry account) representing the number of Series A Preference Units represented by the surrendered Certificate that have not been called for redemption.</w:t>
      </w:r>
    </w:p>
    <w:p>
      <w:pPr>
        <w:spacing w:after="0" w:line="177" w:lineRule="exact"/>
        <w:rPr>
          <w:rFonts w:ascii="Arial" w:cs="Arial" w:eastAsia="Arial" w:hAnsi="Arial"/>
          <w:sz w:val="21"/>
          <w:szCs w:val="21"/>
          <w:color w:val="auto"/>
        </w:rPr>
      </w:pPr>
    </w:p>
    <w:p>
      <w:pPr>
        <w:ind w:right="40" w:firstLine="1305"/>
        <w:spacing w:after="0" w:line="245" w:lineRule="auto"/>
        <w:tabs>
          <w:tab w:leader="none" w:pos="1945"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w:t>
      </w:r>
      <w:r>
        <w:rPr>
          <w:rFonts w:ascii="Arial" w:cs="Arial" w:eastAsia="Arial" w:hAnsi="Arial"/>
          <w:sz w:val="21"/>
          <w:szCs w:val="21"/>
          <w:color w:val="auto"/>
        </w:rPr>
        <w:t>, in the event that full cumulative distributions on the Series A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A Preference Units or other Parity Securities except pursuant to a purchase or exchange offer made on the same terms to all Series A Holders and holders of any other Parity Securities. None of the Partnership, the General Partner or any Affiliate of the General Partner shall be permitted to redeem, repurchase or otherwise acquire any Common Units, Class B Units or any other Junior Securities unless full cumulative distributions on the Series A Preference Units and any other Parity Securities for all prior and the then-ending Series A Distribution Periods shall have been paid or declared and set apart for payment.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89" w:name="page90"/>
    <w:bookmarkEnd w:id="89"/>
    <w:p>
      <w:pPr>
        <w:ind w:left="1300"/>
        <w:spacing w:after="0"/>
        <w:rPr>
          <w:sz w:val="20"/>
          <w:szCs w:val="20"/>
          <w:color w:val="auto"/>
        </w:rPr>
      </w:pPr>
      <w:r>
        <w:rPr>
          <w:rFonts w:ascii="Arial" w:cs="Arial" w:eastAsia="Arial" w:hAnsi="Arial"/>
          <w:sz w:val="22"/>
          <w:szCs w:val="22"/>
          <w:color w:val="auto"/>
        </w:rPr>
        <w:t xml:space="preserve">Section 16.7.  </w:t>
      </w:r>
      <w:r>
        <w:rPr>
          <w:rFonts w:ascii="Arial" w:cs="Arial" w:eastAsia="Arial" w:hAnsi="Arial"/>
          <w:sz w:val="22"/>
          <w:szCs w:val="22"/>
          <w:i w:val="1"/>
          <w:iCs w:val="1"/>
          <w:color w:val="auto"/>
        </w:rPr>
        <w:t>Rank</w:t>
      </w:r>
      <w:r>
        <w:rPr>
          <w:rFonts w:ascii="Arial" w:cs="Arial" w:eastAsia="Arial" w:hAnsi="Arial"/>
          <w:sz w:val="22"/>
          <w:szCs w:val="22"/>
          <w:color w:val="auto"/>
        </w:rPr>
        <w:t>. The Series A Preference Units shall each be deemed to rank:</w:t>
      </w:r>
    </w:p>
    <w:p>
      <w:pPr>
        <w:spacing w:after="0" w:line="206" w:lineRule="exact"/>
        <w:rPr>
          <w:sz w:val="20"/>
          <w:szCs w:val="20"/>
          <w:color w:val="auto"/>
        </w:rPr>
      </w:pPr>
    </w:p>
    <w:p>
      <w:pPr>
        <w:ind w:left="1960" w:hanging="655"/>
        <w:spacing w:after="0"/>
        <w:tabs>
          <w:tab w:leader="none" w:pos="1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06" w:lineRule="exact"/>
        <w:rPr>
          <w:sz w:val="20"/>
          <w:szCs w:val="20"/>
          <w:color w:val="auto"/>
        </w:rPr>
      </w:pPr>
    </w:p>
    <w:p>
      <w:pPr>
        <w:ind w:right="140" w:firstLine="1297"/>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A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16.8.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A Preference Units shall not have the benefit of any sinking fund.</w:t>
      </w:r>
    </w:p>
    <w:p>
      <w:pPr>
        <w:spacing w:after="0" w:line="241"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 xml:space="preserve">Section 16.9.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A Holder as the true, lawful and absolute owner of the applicable Series A Preference Units for all purposes, and neither the General Partner, the Partnership nor the Transfer Agent or the Paying Agent shall be affected by any notice to the contrary.</w:t>
      </w:r>
    </w:p>
    <w:p>
      <w:pPr>
        <w:spacing w:after="0" w:line="185" w:lineRule="exact"/>
        <w:rPr>
          <w:sz w:val="20"/>
          <w:szCs w:val="20"/>
          <w:color w:val="auto"/>
        </w:rPr>
      </w:pPr>
    </w:p>
    <w:p>
      <w:pPr>
        <w:ind w:firstLine="1297"/>
        <w:spacing w:after="0"/>
        <w:rPr>
          <w:sz w:val="20"/>
          <w:szCs w:val="20"/>
          <w:color w:val="auto"/>
        </w:rPr>
      </w:pPr>
      <w:r>
        <w:rPr>
          <w:rFonts w:ascii="Arial" w:cs="Arial" w:eastAsia="Arial" w:hAnsi="Arial"/>
          <w:sz w:val="22"/>
          <w:szCs w:val="22"/>
          <w:color w:val="auto"/>
        </w:rPr>
        <w:t xml:space="preserve">Section 16.10.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A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w:t>
      </w:r>
      <w:r>
        <w:rPr>
          <w:rFonts w:ascii="Arial" w:cs="Arial" w:eastAsia="Arial" w:hAnsi="Arial"/>
          <w:sz w:val="22"/>
          <w:szCs w:val="22"/>
          <w:color w:val="auto"/>
        </w:rPr>
        <w:t>, this Agreement or by applicable law.</w:t>
      </w:r>
    </w:p>
    <w:p>
      <w:pPr>
        <w:spacing w:after="0" w:line="186"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16.11.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A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A Holders, other than the implied duty of good faith and fair dealing.</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SERIES B CUMULATIVE REDEEMABLE PERPETUAL FIXED TO FLOATING RATE PREFERENCE UNITS</w:t>
      </w:r>
    </w:p>
    <w:p>
      <w:pPr>
        <w:spacing w:after="0" w:line="188" w:lineRule="exact"/>
        <w:rPr>
          <w:sz w:val="20"/>
          <w:szCs w:val="20"/>
          <w:color w:val="auto"/>
        </w:rPr>
      </w:pPr>
    </w:p>
    <w:p>
      <w:pPr>
        <w:ind w:right="60" w:firstLine="1297"/>
        <w:spacing w:after="0" w:line="252" w:lineRule="auto"/>
        <w:rPr>
          <w:sz w:val="20"/>
          <w:szCs w:val="20"/>
          <w:color w:val="auto"/>
        </w:rPr>
      </w:pPr>
      <w:r>
        <w:rPr>
          <w:rFonts w:ascii="Arial" w:cs="Arial" w:eastAsia="Arial" w:hAnsi="Arial"/>
          <w:sz w:val="21"/>
          <w:szCs w:val="21"/>
          <w:color w:val="auto"/>
        </w:rPr>
        <w:t xml:space="preserve">Section 17.1. </w:t>
      </w:r>
      <w:r>
        <w:rPr>
          <w:rFonts w:ascii="Arial" w:cs="Arial" w:eastAsia="Arial" w:hAnsi="Arial"/>
          <w:sz w:val="21"/>
          <w:szCs w:val="21"/>
          <w:i w:val="1"/>
          <w:iCs w:val="1"/>
          <w:color w:val="auto"/>
        </w:rPr>
        <w:t>Designations</w:t>
      </w:r>
      <w:r>
        <w:rPr>
          <w:rFonts w:ascii="Arial" w:cs="Arial" w:eastAsia="Arial" w:hAnsi="Arial"/>
          <w:sz w:val="21"/>
          <w:szCs w:val="21"/>
          <w:color w:val="auto"/>
        </w:rPr>
        <w:t xml:space="preserve">. On January 17, 2018, the Board of Directors designated and created a series of Preference Units designated as “8.200% Series B Cumulative Redeemable Perpetual Fixed to Floating Rate Preference Units,” and fixed the preferences, rights, powers and duties of the holders of the Series B Preference Units as set forth in this </w:t>
      </w:r>
      <w:r>
        <w:rPr>
          <w:rFonts w:ascii="Arial" w:cs="Arial" w:eastAsia="Arial" w:hAnsi="Arial"/>
          <w:sz w:val="21"/>
          <w:szCs w:val="21"/>
          <w:u w:val="single" w:color="auto"/>
          <w:color w:val="auto"/>
        </w:rPr>
        <w:t>Article XVII</w:t>
      </w:r>
      <w:r>
        <w:rPr>
          <w:rFonts w:ascii="Arial" w:cs="Arial" w:eastAsia="Arial" w:hAnsi="Arial"/>
          <w:sz w:val="21"/>
          <w:szCs w:val="21"/>
          <w:color w:val="auto"/>
        </w:rPr>
        <w:t>. Each Series B Preference Unit shall be identical in all respects to every other</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90" w:name="page91"/>
    <w:bookmarkEnd w:id="90"/>
    <w:p>
      <w:pPr>
        <w:ind w:right="220"/>
        <w:spacing w:after="0" w:line="238" w:lineRule="auto"/>
        <w:rPr>
          <w:sz w:val="20"/>
          <w:szCs w:val="20"/>
          <w:color w:val="auto"/>
        </w:rPr>
      </w:pPr>
      <w:r>
        <w:rPr>
          <w:rFonts w:ascii="Arial" w:cs="Arial" w:eastAsia="Arial" w:hAnsi="Arial"/>
          <w:sz w:val="22"/>
          <w:szCs w:val="22"/>
          <w:color w:val="auto"/>
        </w:rPr>
        <w:t>Series B Preference Unit, except as to the respective dates from which the Series B Liquidation Preference shall increase or from which Series B Distributions may begin accruing, to the extent such dates may differ. The Series B Preference Units represent perpetual equity interests in the Partnership and shall not give rise to a claim by the holder for redemption thereof at a particular date.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06" w:lineRule="exact"/>
        <w:rPr>
          <w:sz w:val="20"/>
          <w:szCs w:val="20"/>
          <w:color w:val="auto"/>
        </w:rPr>
      </w:pPr>
    </w:p>
    <w:p>
      <w:pPr>
        <w:ind w:right="200" w:firstLine="1305"/>
        <w:spacing w:after="0" w:line="251" w:lineRule="auto"/>
        <w:tabs>
          <w:tab w:leader="none" w:pos="1955"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authorized number of Series B Preference Units shall be unlimited. Series B Preference Units that are purchased or otherwise acquired by the Partnership shall be cancelled.</w:t>
      </w:r>
    </w:p>
    <w:p>
      <w:pPr>
        <w:spacing w:after="0" w:line="173" w:lineRule="exact"/>
        <w:rPr>
          <w:rFonts w:ascii="Arial" w:cs="Arial" w:eastAsia="Arial" w:hAnsi="Arial"/>
          <w:sz w:val="22"/>
          <w:szCs w:val="22"/>
          <w:color w:val="auto"/>
        </w:rPr>
      </w:pPr>
    </w:p>
    <w:p>
      <w:pPr>
        <w:ind w:firstLine="1305"/>
        <w:spacing w:after="0" w:line="234" w:lineRule="auto"/>
        <w:tabs>
          <w:tab w:leader="none" w:pos="1954" w:val="left"/>
        </w:tabs>
        <w:numPr>
          <w:ilvl w:val="0"/>
          <w:numId w:val="106"/>
        </w:numPr>
        <w:rPr>
          <w:rFonts w:ascii="Arial" w:cs="Arial" w:eastAsia="Arial" w:hAnsi="Arial"/>
          <w:sz w:val="22"/>
          <w:szCs w:val="22"/>
          <w:color w:val="auto"/>
        </w:rPr>
      </w:pPr>
      <w:r>
        <w:rPr>
          <w:rFonts w:ascii="Arial" w:cs="Arial" w:eastAsia="Arial" w:hAnsi="Arial"/>
          <w:sz w:val="22"/>
          <w:szCs w:val="22"/>
          <w:color w:val="auto"/>
        </w:rPr>
        <w:t>The Series B Preference Units shall be represented by a single Certificate registered in the name of the Depositary or its nominee, and no Series B Holder shall be entitled to receive a Certificate evidencing such applicable Units, unless otherwise required by law or the Depositary gives notice of its intention to resign or is no longer eligible to act as such with respect to such series of Preference Units and the Partnership shall have not selected a substitute Depositary within 60 calendar days thereafter. So long as the Depositary shall have been appointed and is serving with respect to such series of Preference Units, payments and communications made by the Partnership to Series B Holders shall be made by making payments to, and communicating with, the Depositary.</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06" w:lineRule="exact"/>
        <w:rPr>
          <w:sz w:val="20"/>
          <w:szCs w:val="20"/>
          <w:color w:val="auto"/>
        </w:rPr>
      </w:pPr>
    </w:p>
    <w:p>
      <w:pPr>
        <w:ind w:right="140" w:firstLine="1305"/>
        <w:spacing w:after="0" w:line="270" w:lineRule="auto"/>
        <w:tabs>
          <w:tab w:leader="none" w:pos="1955"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Distributions on each Series B Preference Unit shall be cumulative and shall accrue at the Series B Distribution Rate from the Series B Original Issue Date (or, for any subsequently issued and newly Outstanding Series B Preference Units, from the Series B Distribution Payment Date immediately preceding the issuance date of such Units) until such time as the Partnership pays the Series B Distribution or redeems the Series B Preference Units in full in accordance with </w:t>
      </w:r>
      <w:r>
        <w:rPr>
          <w:rFonts w:ascii="Arial" w:cs="Arial" w:eastAsia="Arial" w:hAnsi="Arial"/>
          <w:sz w:val="19"/>
          <w:szCs w:val="19"/>
          <w:u w:val="single" w:color="auto"/>
          <w:color w:val="auto"/>
        </w:rPr>
        <w:t>Section 17.6</w:t>
      </w:r>
      <w:r>
        <w:rPr>
          <w:rFonts w:ascii="Arial" w:cs="Arial" w:eastAsia="Arial" w:hAnsi="Arial"/>
          <w:sz w:val="19"/>
          <w:szCs w:val="19"/>
          <w:color w:val="auto"/>
        </w:rPr>
        <w:t xml:space="preserve"> below, whether or not such Series B Distributions shall have been declared. Series B Holders shall be entitled to receive Series B Distributions from time to time out of any assets of the Partnership legally available for the payment of distributions at the Series B Distribution Rate per Series B Preference Unit when, as, and if declared by the Board of Directors. Series B Distributions, to the extent declared by the Board of Directors to be paid by the Partnership in accordance with this </w:t>
      </w:r>
      <w:r>
        <w:rPr>
          <w:rFonts w:ascii="Arial" w:cs="Arial" w:eastAsia="Arial" w:hAnsi="Arial"/>
          <w:sz w:val="19"/>
          <w:szCs w:val="19"/>
          <w:u w:val="single" w:color="auto"/>
          <w:color w:val="auto"/>
        </w:rPr>
        <w:t>Section 17.3</w:t>
      </w:r>
      <w:r>
        <w:rPr>
          <w:rFonts w:ascii="Arial" w:cs="Arial" w:eastAsia="Arial" w:hAnsi="Arial"/>
          <w:sz w:val="19"/>
          <w:szCs w:val="19"/>
          <w:color w:val="auto"/>
        </w:rPr>
        <w:t>, shall be paid quarterly on each Series B Distribution Payment Date. Distributions shall accumulate in each Series B Distribution Period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 and distributions shall accrue on accumulated Series B Distributions at the Series B Distribution Rate. If any Series B Distribution Payment Date during the Series B Fixed Rate Period would otherwise occur on a date that is not a Business Day, declared Series B Distributions shall be paid on the immediately succeeding Business Day without the accumulation of additional distributions. If any Series B Distribution Payment Date during the Series B Floating Rate Period would otherwise occur on a date that is not a Business Day, then the Series B Distribution Payment Date will be the next day that is a Business Day. Series B Distributions payable for any Series B Distribution Period during the Series B Fixed Rate Period</w:t>
      </w: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91" w:name="page92"/>
    <w:bookmarkEnd w:id="91"/>
    <w:p>
      <w:pPr>
        <w:jc w:val="both"/>
        <w:ind w:right="340"/>
        <w:spacing w:after="0"/>
        <w:rPr>
          <w:sz w:val="20"/>
          <w:szCs w:val="20"/>
          <w:color w:val="auto"/>
        </w:rPr>
      </w:pPr>
      <w:r>
        <w:rPr>
          <w:rFonts w:ascii="Arial" w:cs="Arial" w:eastAsia="Arial" w:hAnsi="Arial"/>
          <w:sz w:val="22"/>
          <w:szCs w:val="22"/>
          <w:color w:val="auto"/>
        </w:rPr>
        <w:t>will be calculated based on a 360-day year consisting of twelve 30-day months. Series B Distributions payable for any Series B Distribution Period during the Series B Floating Rate Period will be calculated based on a 360-day year and the number of days actually elapsed during such Series B Distribution Period.</w:t>
      </w:r>
    </w:p>
    <w:p>
      <w:pPr>
        <w:spacing w:after="0" w:line="186" w:lineRule="exact"/>
        <w:rPr>
          <w:sz w:val="20"/>
          <w:szCs w:val="20"/>
          <w:color w:val="auto"/>
        </w:rPr>
      </w:pPr>
    </w:p>
    <w:p>
      <w:pPr>
        <w:ind w:right="80" w:firstLine="1305"/>
        <w:spacing w:after="0" w:line="236" w:lineRule="auto"/>
        <w:tabs>
          <w:tab w:leader="none" w:pos="195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For each Series B Distribution Period during the Series B Floating Rate Period, the applicable Series B Distribution Rate will be determined by the Calculation Agent as of the applicable Series B Distribution Determination Date for such Series B Distribution Period. For purposes of determining the applicable Series B Distribution Rate, the Series B Three-Month LIBOR Rate will be determined by the Calculation Agent, as of the applicable Series B Distribution Determination Date, in accordance with the following provisions:</w:t>
      </w:r>
    </w:p>
    <w:p>
      <w:pPr>
        <w:spacing w:after="0" w:line="188" w:lineRule="exact"/>
        <w:rPr>
          <w:sz w:val="20"/>
          <w:szCs w:val="20"/>
          <w:color w:val="auto"/>
        </w:rPr>
      </w:pPr>
    </w:p>
    <w:p>
      <w:pPr>
        <w:jc w:val="both"/>
        <w:ind w:left="660" w:right="240" w:firstLine="645"/>
        <w:spacing w:after="0" w:line="297" w:lineRule="auto"/>
        <w:tabs>
          <w:tab w:leader="none" w:pos="1971"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Series B Three-Month LIBOR Rate will be the rate (expressed as a percentage per year) for deposits in U.S. dollars having an index maturity of three months, in amounts of at least $1,000,000, as such rate appears on Reuters Page LIBOR01 at approximately 11:00 a.m. (London time) on the relevant Series B Distribution Determination Date; or</w:t>
      </w:r>
    </w:p>
    <w:p>
      <w:pPr>
        <w:spacing w:after="0" w:line="134" w:lineRule="exact"/>
        <w:rPr>
          <w:rFonts w:ascii="Arial" w:cs="Arial" w:eastAsia="Arial" w:hAnsi="Arial"/>
          <w:sz w:val="19"/>
          <w:szCs w:val="19"/>
          <w:color w:val="auto"/>
        </w:rPr>
      </w:pPr>
    </w:p>
    <w:p>
      <w:pPr>
        <w:ind w:left="660" w:firstLine="645"/>
        <w:spacing w:after="0" w:line="270" w:lineRule="auto"/>
        <w:tabs>
          <w:tab w:leader="none" w:pos="1977" w:val="left"/>
        </w:tabs>
        <w:numPr>
          <w:ilvl w:val="0"/>
          <w:numId w:val="109"/>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B Distribution Determination Date, then the Calculation Agent, after consultation with the Partnership,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Series B Distribution Period, to prime banks in the London interbank market at approximately 11:00 a.m. (London time) on that Series B Distribution Determination Date for the applicable Series B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B Three-Month LIBOR Rate for such Series B Distribution Period will be the arithmetic mean (rounded upward if necessary, to the nearest 0.00001 of 1%) of those quotations. If fewer than two quotations are provided, the Series B Three-Month LIBOR Rate for such Series B Distribution Period will be the arithmetic mean (rounded upward if necessary, to the nearest 0.00001 of 1%) of the rates quoted at approximately 11:00 a.m. (New York City time) on that Series B Distribution Determination Date for such Series B Distribution Period by three nationally-recognized banks in New York, New York selected by the Calculation Agent, for loans in U.S. dollars to nationally-recognized European banks (as selected by the Calculation Agent), for a period of three months commencing on the first day of such Series B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B Three-Month LIBOR Rate or any of the foregoing lending rates, shall determine Series B Three-Month</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2" w:name="page93"/>
    <w:bookmarkEnd w:id="92"/>
    <w:p>
      <w:pPr>
        <w:ind w:left="640"/>
        <w:spacing w:after="0"/>
        <w:rPr>
          <w:sz w:val="20"/>
          <w:szCs w:val="20"/>
          <w:color w:val="auto"/>
        </w:rPr>
      </w:pPr>
      <w:r>
        <w:rPr>
          <w:rFonts w:ascii="Arial" w:cs="Arial" w:eastAsia="Arial" w:hAnsi="Arial"/>
          <w:sz w:val="21"/>
          <w:szCs w:val="21"/>
          <w:color w:val="auto"/>
        </w:rPr>
        <w:t>LIBOR Rate for the applicable Series B Distribution Period in its discretion, after consultation with the Partnership.</w:t>
      </w:r>
    </w:p>
    <w:p>
      <w:pPr>
        <w:spacing w:after="0" w:line="218" w:lineRule="exact"/>
        <w:rPr>
          <w:sz w:val="20"/>
          <w:szCs w:val="20"/>
          <w:color w:val="auto"/>
        </w:rPr>
      </w:pPr>
    </w:p>
    <w:p>
      <w:pPr>
        <w:ind w:left="640" w:firstLine="645"/>
        <w:spacing w:after="0" w:line="274" w:lineRule="auto"/>
        <w:tabs>
          <w:tab w:leader="none" w:pos="196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the Calculation Agent determines on the relevant Series B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B Distribution Determination Date and any other relevant methodology for calculating such substitute or successor base rate in a manner that is consistent with industry-accepted practices for such substitute or successor base rate.</w:t>
      </w:r>
    </w:p>
    <w:p>
      <w:pPr>
        <w:spacing w:after="0" w:line="159" w:lineRule="exact"/>
        <w:rPr>
          <w:sz w:val="20"/>
          <w:szCs w:val="20"/>
          <w:color w:val="auto"/>
        </w:rPr>
      </w:pPr>
    </w:p>
    <w:p>
      <w:pPr>
        <w:ind w:left="640" w:right="220" w:firstLine="1297"/>
        <w:spacing w:after="0" w:line="258" w:lineRule="auto"/>
        <w:rPr>
          <w:sz w:val="20"/>
          <w:szCs w:val="20"/>
          <w:color w:val="auto"/>
        </w:rPr>
      </w:pPr>
      <w:r>
        <w:rPr>
          <w:rFonts w:ascii="Arial" w:cs="Arial" w:eastAsia="Arial" w:hAnsi="Arial"/>
          <w:sz w:val="21"/>
          <w:szCs w:val="21"/>
          <w:color w:val="auto"/>
        </w:rPr>
        <w:t>The Partnership will appoint a Calculation Agent for the Series B Preference Units prior to the commencement of the Series B Floating Rate Period and will be entitled to remove or replace the Calculation Agent in its discretion. In addition, the Partnership or its Affiliate may assume the duties of the Calculation Agent.</w:t>
      </w:r>
    </w:p>
    <w:p>
      <w:pPr>
        <w:spacing w:after="0" w:line="167" w:lineRule="exact"/>
        <w:rPr>
          <w:sz w:val="20"/>
          <w:szCs w:val="20"/>
          <w:color w:val="auto"/>
        </w:rPr>
      </w:pPr>
    </w:p>
    <w:p>
      <w:pPr>
        <w:ind w:left="-20" w:firstLine="1305"/>
        <w:spacing w:after="0" w:line="270" w:lineRule="auto"/>
        <w:tabs>
          <w:tab w:leader="none" w:pos="1935"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B Distribution Payment Date, the Partnership shall pay those Series B Distributions, if any, that shall have been declared by the Board of Directors to Series B Holders on the Record Date for the applicable Series B Distribution. The Record Date (the “</w:t>
      </w:r>
      <w:r>
        <w:rPr>
          <w:rFonts w:ascii="Arial" w:cs="Arial" w:eastAsia="Arial" w:hAnsi="Arial"/>
          <w:sz w:val="19"/>
          <w:szCs w:val="19"/>
          <w:b w:val="1"/>
          <w:bCs w:val="1"/>
          <w:i w:val="1"/>
          <w:iCs w:val="1"/>
          <w:color w:val="auto"/>
        </w:rPr>
        <w:t>Series B Distribution Record Date</w:t>
      </w:r>
      <w:r>
        <w:rPr>
          <w:rFonts w:ascii="Arial" w:cs="Arial" w:eastAsia="Arial" w:hAnsi="Arial"/>
          <w:sz w:val="19"/>
          <w:szCs w:val="19"/>
          <w:color w:val="auto"/>
        </w:rPr>
        <w:t xml:space="preserve">”) for the payment of any Series B Distributions shall be the fifth Business Day immediately preceding the applicable Series B Distribution Payment Date, except that in the case of payments of Series B Distributions in Arrears, the Series B Distribution Record Date with respect to a Series B Distribution Payment Date shall be such date as may be designated by the Board of Directors in accordance with this </w:t>
      </w:r>
      <w:r>
        <w:rPr>
          <w:rFonts w:ascii="Arial" w:cs="Arial" w:eastAsia="Arial" w:hAnsi="Arial"/>
          <w:sz w:val="19"/>
          <w:szCs w:val="19"/>
          <w:u w:val="single" w:color="auto"/>
          <w:color w:val="auto"/>
        </w:rPr>
        <w:t>Article XVII</w:t>
      </w:r>
      <w:r>
        <w:rPr>
          <w:rFonts w:ascii="Arial" w:cs="Arial" w:eastAsia="Arial" w:hAnsi="Arial"/>
          <w:sz w:val="19"/>
          <w:szCs w:val="19"/>
          <w:color w:val="auto"/>
        </w:rPr>
        <w:t>. No distribution shall be declared or paid or set apart for payment on any Junior Securities (other than a distribution payable solely in Junior Securities) unless full cumulative Series B Distributions have been or contemporaneously are being paid or provided for on all Outstanding Series B Preference Units and any other Parity Securities through the most recent respective Series B Distribution Payment Dates. Accumulated Series B Distributions in Arrears for any past Series B Distribution Period may be declared by the Board of Directors and paid on any date fixed by the Board of Directors, whether or not a Series B Distribution Payment Date, to Series B Holders on the record date for such payment, which may not be more than 60 days, nor less than 15 days, before such payment date. Subject to the next succeeding sentence, if all accumulated Series B Distributions in Arrears on all Outstanding Series B Preference Units and any other Parity Securities shall not have been declared and paid, or if sufficient funds for the payment thereof shall not have been set apart, payment of accumulated distributions in Arrears on the Series B Preference Units and any such Parity Securities shall be made in order of their respective distribution payment dates, commencing with the earliest. If less than all distributions payable with respect to all Series B Preference Units and any other Parity Securities are paid, any partial payment shall be made pro rata with respect to the Series B Preference Units and any such other Parity Securities entitled to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9"/>
          <w:szCs w:val="19"/>
          <w:color w:val="auto"/>
        </w:rPr>
        <w:t xml:space="preserve">a distribution payment at such time in proportion to the aggregate distribution amounts remaining due in respect of such Series B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17.6</w:t>
      </w:r>
      <w:r>
        <w:rPr>
          <w:rFonts w:ascii="Arial" w:cs="Arial" w:eastAsia="Arial" w:hAnsi="Arial"/>
          <w:sz w:val="19"/>
          <w:szCs w:val="19"/>
          <w:color w:val="auto"/>
        </w:rPr>
        <w:t xml:space="preserve">, Series B Holders shall not be entitled to any distribution, whether payable in cash, property or stock, in excess of full cumulative Series B Distributions. Except insofar as distributions accrue on the amount of any accumulated and unpaid Series B Distributions as described in </w:t>
      </w:r>
      <w:r>
        <w:rPr>
          <w:rFonts w:ascii="Arial" w:cs="Arial" w:eastAsia="Arial" w:hAnsi="Arial"/>
          <w:sz w:val="19"/>
          <w:szCs w:val="19"/>
          <w:u w:val="single" w:color="auto"/>
          <w:color w:val="auto"/>
        </w:rPr>
        <w:t>Section 17.3(a)</w:t>
      </w:r>
      <w:r>
        <w:rPr>
          <w:rFonts w:ascii="Arial" w:cs="Arial" w:eastAsia="Arial" w:hAnsi="Arial"/>
          <w:sz w:val="19"/>
          <w:szCs w:val="19"/>
          <w:color w:val="auto"/>
        </w:rPr>
        <w:t>, no interest or sum of money in lieu of interest shall be payable in respect of any distribution payment which may be in Arrears on the Series B Preference Units. So long as the Series B Preference Units are held of record by the nominee of the Depositary, declared Series B Distributions shall be paid to the Depositary in same-day funds on each Series B Distribution Payment Date.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06" w:lineRule="exact"/>
        <w:rPr>
          <w:sz w:val="20"/>
          <w:szCs w:val="20"/>
          <w:color w:val="auto"/>
        </w:rPr>
      </w:pPr>
    </w:p>
    <w:p>
      <w:pPr>
        <w:ind w:firstLine="1305"/>
        <w:spacing w:after="0" w:line="270" w:lineRule="auto"/>
        <w:tabs>
          <w:tab w:leader="none" w:pos="195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B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B Preference Units or other Parity Securities then Outstanding in respect of such Liquidation Event and (iv) before any distribution of such assets or proceeds is made to or set aside for the holders of Common Units, Class B Units and any other classes or series of Junior Securities as to such distribution, a liquidating distribution or payment in full redemption of such Series B Preference Units in an amount equal to the Series B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B Preference Units or any Parity Securities and (y) the Series B Holders shall be entitled to the Series B Liquidation Preference per Series B Preference Unit in cash, concurrently with any distribution made to the holders of any Parity Securities and before any distribution shall be made to the holders of Common Units, Class B Units or any other Junior Securities. Series B Holders shall not be entitled to any other amounts from the Partnership, in their capacity as Series B Holders, after they have received the Series B Liquidation Preference. The payment of the Series B Liquidation Preference shall be a payment in redemption of the Series B Preference Units such that, from and after payment of the full Series B Liquidation Preference, any such Series B Preference Unit shall thereafter be cancelled and no longer be Outstanding.</w:t>
      </w:r>
    </w:p>
    <w:p>
      <w:pPr>
        <w:spacing w:after="0" w:line="170" w:lineRule="exact"/>
        <w:rPr>
          <w:rFonts w:ascii="Arial" w:cs="Arial" w:eastAsia="Arial" w:hAnsi="Arial"/>
          <w:sz w:val="19"/>
          <w:szCs w:val="19"/>
          <w:color w:val="auto"/>
        </w:rPr>
      </w:pPr>
    </w:p>
    <w:p>
      <w:pPr>
        <w:ind w:right="100" w:firstLine="1305"/>
        <w:spacing w:after="0" w:line="277" w:lineRule="auto"/>
        <w:tabs>
          <w:tab w:leader="none" w:pos="195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If, in the event of any distribution or payment described in </w:t>
      </w:r>
      <w:r>
        <w:rPr>
          <w:rFonts w:ascii="Arial" w:cs="Arial" w:eastAsia="Arial" w:hAnsi="Arial"/>
          <w:sz w:val="19"/>
          <w:szCs w:val="19"/>
          <w:u w:val="single" w:color="auto"/>
          <w:color w:val="auto"/>
        </w:rPr>
        <w:t>Section 17.4(a)</w:t>
      </w:r>
      <w:r>
        <w:rPr>
          <w:rFonts w:ascii="Arial" w:cs="Arial" w:eastAsia="Arial" w:hAnsi="Arial"/>
          <w:sz w:val="19"/>
          <w:szCs w:val="19"/>
          <w:color w:val="auto"/>
        </w:rPr>
        <w:t xml:space="preserve"> above where the Partnership’s assets available for distribution to holders of the Outstanding Series B Preference Units and any other Parity Securities are insufficient to satisfy the applicable Liquidation Preference for such Series B Preference Units and Parity Securities, the Partnership’s then remaining assets or proceeds thereof legally available for distribution to unitholders of the Partnership shall be distributed among the holders of Outstanding Series B Preference Units and such Parity Securities, as applicable, ratably on the basis of their relative aggregate Liquidation Preferences. To the extent that the Series B Holders receive a partial payment of their Series B Liquidation Preference, such partial payment shall reduce the Series B</w:t>
      </w:r>
    </w:p>
    <w:p>
      <w:pPr>
        <w:spacing w:after="0" w:line="15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94" w:name="page95"/>
    <w:bookmarkEnd w:id="94"/>
    <w:p>
      <w:pPr>
        <w:spacing w:after="0"/>
        <w:rPr>
          <w:sz w:val="20"/>
          <w:szCs w:val="20"/>
          <w:color w:val="auto"/>
        </w:rPr>
      </w:pPr>
      <w:r>
        <w:rPr>
          <w:rFonts w:ascii="Arial" w:cs="Arial" w:eastAsia="Arial" w:hAnsi="Arial"/>
          <w:sz w:val="22"/>
          <w:szCs w:val="22"/>
          <w:color w:val="auto"/>
        </w:rPr>
        <w:t>Liquidation Preference of their Series B Preference Units, but only to the extent of such amount paid.</w:t>
      </w:r>
    </w:p>
    <w:p>
      <w:pPr>
        <w:spacing w:after="0" w:line="233" w:lineRule="exact"/>
        <w:rPr>
          <w:sz w:val="20"/>
          <w:szCs w:val="20"/>
          <w:color w:val="auto"/>
        </w:rPr>
      </w:pPr>
    </w:p>
    <w:p>
      <w:pPr>
        <w:ind w:firstLine="1305"/>
        <w:spacing w:after="0" w:line="238" w:lineRule="auto"/>
        <w:tabs>
          <w:tab w:leader="none" w:pos="1955"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After payment of the applicable Liquidation Preference to the holders of the Outstanding Series B Preference Units and any other Parity Securities, the Partnership’s remaining assets and funds shall be distributed among the holders of the Common Units, Class B Units and any other Junior Securities then Outstanding according to their respective rights and preferences.</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06" w:lineRule="exact"/>
        <w:rPr>
          <w:sz w:val="20"/>
          <w:szCs w:val="20"/>
          <w:color w:val="auto"/>
        </w:rPr>
      </w:pPr>
    </w:p>
    <w:p>
      <w:pPr>
        <w:ind w:firstLine="1305"/>
        <w:spacing w:after="0" w:line="328" w:lineRule="auto"/>
        <w:tabs>
          <w:tab w:leader="none" w:pos="1955"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B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or as otherwise provided by the Marshall Islands Act.</w:t>
      </w:r>
    </w:p>
    <w:p>
      <w:pPr>
        <w:spacing w:after="0" w:line="105" w:lineRule="exact"/>
        <w:rPr>
          <w:rFonts w:ascii="Arial" w:cs="Arial" w:eastAsia="Arial" w:hAnsi="Arial"/>
          <w:sz w:val="19"/>
          <w:szCs w:val="19"/>
          <w:color w:val="auto"/>
        </w:rPr>
      </w:pPr>
    </w:p>
    <w:p>
      <w:pPr>
        <w:ind w:firstLine="1305"/>
        <w:spacing w:after="0" w:line="270" w:lineRule="auto"/>
        <w:tabs>
          <w:tab w:leader="none" w:pos="195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B Distributions, whether consecutive or not, are in Arrears, the Series B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B Holders holding a majority of the Outstanding Series B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B Holders shall not apply to the election of another director if (i) Series B Holders and holders of Parity Securities upon which like voting rights have been conferred, voting as a class, have previously elected a member of the Board of Directors and (ii) such director continues then to serve on the Board of Directors. Such right of such Series B Holders to elect a member of the Board of Directors shall continue until the Partnership pays in full, or declares and sets aside funds for the payment of, all Series B Distributions accumulated and in Arrears on the Series B Preference Units, at which time such right shall terminate, subject to the revesting of such right in the event of each and every subsequent failure to pay six quarterly Series B Distributions as described above in this </w:t>
      </w: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Upon any termination of the right of the Series B Holders and holders of any other Parity Securities to vote as a class for such director, the term of office of the director then in office elected by such Series B Holders and holders voting as a class shall terminate immediately. Any director elected by the Series B Holders and holders of any other Parity Securities shall be entitled to one vote on any matter before the Board of Directors. Upon each election of a member of the Board of Directors by Series B Holders pursuant to this </w:t>
      </w:r>
      <w:r>
        <w:rPr>
          <w:rFonts w:ascii="Arial" w:cs="Arial" w:eastAsia="Arial" w:hAnsi="Arial"/>
          <w:sz w:val="19"/>
          <w:szCs w:val="19"/>
          <w:u w:val="single" w:color="auto"/>
          <w:color w:val="auto"/>
        </w:rPr>
        <w:t>Section 17.5(b)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B Holders.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60" w:firstLine="1305"/>
        <w:spacing w:after="0" w:line="238" w:lineRule="auto"/>
        <w:tabs>
          <w:tab w:leader="none" w:pos="195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B Preference Units, voting as a separate class, neither the General Partner nor the Board of Directors shall adopt any amendment to this Agreement that would have a material adverse effect on the existing terms of the Series B Preference Units.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5" w:name="page96"/>
    <w:bookmarkEnd w:id="95"/>
    <w:p>
      <w:pPr>
        <w:ind w:left="660" w:firstLine="645"/>
        <w:spacing w:after="0" w:line="236" w:lineRule="auto"/>
        <w:tabs>
          <w:tab w:leader="none" w:pos="197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B Preference Units voting as a class together with holders of any other Parity Securities upon which like voting rights have been conferred and are exercisable, the Partnership shall not (x) issue any Parity Securities if the cumulative dividends payable on Outstanding Series B Preference Units are in Arrears or (y) create or issue any Senior Securities.</w:t>
      </w:r>
    </w:p>
    <w:p>
      <w:pPr>
        <w:spacing w:after="0" w:line="188" w:lineRule="exact"/>
        <w:rPr>
          <w:sz w:val="20"/>
          <w:szCs w:val="20"/>
          <w:color w:val="auto"/>
        </w:rPr>
      </w:pPr>
    </w:p>
    <w:p>
      <w:pPr>
        <w:ind w:right="40" w:firstLine="1305"/>
        <w:spacing w:after="0" w:line="238" w:lineRule="auto"/>
        <w:tabs>
          <w:tab w:leader="none" w:pos="19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17.5</w:t>
      </w:r>
      <w:r>
        <w:rPr>
          <w:rFonts w:ascii="Arial" w:cs="Arial" w:eastAsia="Arial" w:hAnsi="Arial"/>
          <w:sz w:val="22"/>
          <w:szCs w:val="22"/>
          <w:color w:val="auto"/>
        </w:rPr>
        <w:t xml:space="preserve"> in which the Series B Holders are entitled to vote as a class (whether separately or together with the holders of any Parity Securities), such Series B Holders shall be entitled to one vote per Series B Preference Unit. Any Series B Preference Units held by the Partnership or any of its subsidiaries or Affiliates shall not be entitled to vote.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ind w:right="160" w:firstLine="1297"/>
        <w:spacing w:after="0" w:line="258" w:lineRule="auto"/>
        <w:rPr>
          <w:sz w:val="20"/>
          <w:szCs w:val="20"/>
          <w:color w:val="auto"/>
        </w:rPr>
      </w:pPr>
      <w:r>
        <w:rPr>
          <w:rFonts w:ascii="Arial" w:cs="Arial" w:eastAsia="Arial" w:hAnsi="Arial"/>
          <w:sz w:val="21"/>
          <w:szCs w:val="21"/>
          <w:color w:val="auto"/>
        </w:rPr>
        <w:t>The Partnership shall have the right at any time, and from time to time, on or after March 15, 2023 to redeem the Series B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B Redemption Date</w:t>
      </w:r>
      <w:r>
        <w:rPr>
          <w:rFonts w:ascii="Arial" w:cs="Arial" w:eastAsia="Arial" w:hAnsi="Arial"/>
          <w:sz w:val="21"/>
          <w:szCs w:val="21"/>
          <w:color w:val="auto"/>
        </w:rPr>
        <w:t>”).</w:t>
      </w:r>
    </w:p>
    <w:p>
      <w:pPr>
        <w:spacing w:after="0" w:line="167" w:lineRule="exact"/>
        <w:rPr>
          <w:sz w:val="20"/>
          <w:szCs w:val="20"/>
          <w:color w:val="auto"/>
        </w:rPr>
      </w:pPr>
    </w:p>
    <w:p>
      <w:pPr>
        <w:ind w:right="160" w:firstLine="1305"/>
        <w:spacing w:after="0" w:line="287" w:lineRule="auto"/>
        <w:tabs>
          <w:tab w:leader="none" w:pos="1955" w:val="left"/>
        </w:tabs>
        <w:numPr>
          <w:ilvl w:val="0"/>
          <w:numId w:val="117"/>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B Preference Unit to be redeemed equal to the Series B Liquidation Preference for such Series B Preference Unit on such Series B Redemption Date (the “</w:t>
      </w:r>
      <w:r>
        <w:rPr>
          <w:rFonts w:ascii="Arial" w:cs="Arial" w:eastAsia="Arial" w:hAnsi="Arial"/>
          <w:sz w:val="19"/>
          <w:szCs w:val="19"/>
          <w:b w:val="1"/>
          <w:bCs w:val="1"/>
          <w:i w:val="1"/>
          <w:iCs w:val="1"/>
          <w:color w:val="auto"/>
        </w:rPr>
        <w:t>Series B Redemption Price</w:t>
      </w:r>
      <w:r>
        <w:rPr>
          <w:rFonts w:ascii="Arial" w:cs="Arial" w:eastAsia="Arial" w:hAnsi="Arial"/>
          <w:sz w:val="19"/>
          <w:szCs w:val="19"/>
          <w:color w:val="auto"/>
        </w:rPr>
        <w:t>”). So long as the Series B Preference Units to be redeemed are held of record by the nominee of the Depositary, the Series B Redemption Price shall be paid by the Paying Agent to the Depositary on the Series B Redemption Date.</w:t>
      </w:r>
    </w:p>
    <w:p>
      <w:pPr>
        <w:spacing w:after="0" w:line="143" w:lineRule="exact"/>
        <w:rPr>
          <w:rFonts w:ascii="Arial" w:cs="Arial" w:eastAsia="Arial" w:hAnsi="Arial"/>
          <w:sz w:val="19"/>
          <w:szCs w:val="19"/>
          <w:color w:val="auto"/>
        </w:rPr>
      </w:pPr>
    </w:p>
    <w:p>
      <w:pPr>
        <w:ind w:right="40" w:firstLine="1305"/>
        <w:spacing w:after="0" w:line="245" w:lineRule="auto"/>
        <w:tabs>
          <w:tab w:leader="none" w:pos="1954"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B Redemption Date to the Series B Holders (as of 5:00 p.m. New York City time on the Business Day next preceding the day on which notice is given) of any Series B Preference Units to be redeemed as such Series B Holders’ names appear on the books of the Transfer Agent and at the address of such Series B Holders shown therein. Such notice (the “</w:t>
      </w:r>
      <w:r>
        <w:rPr>
          <w:rFonts w:ascii="Arial" w:cs="Arial" w:eastAsia="Arial" w:hAnsi="Arial"/>
          <w:sz w:val="21"/>
          <w:szCs w:val="21"/>
          <w:b w:val="1"/>
          <w:bCs w:val="1"/>
          <w:i w:val="1"/>
          <w:iCs w:val="1"/>
          <w:color w:val="auto"/>
        </w:rPr>
        <w:t>Series B Redemption Notice</w:t>
      </w:r>
      <w:r>
        <w:rPr>
          <w:rFonts w:ascii="Arial" w:cs="Arial" w:eastAsia="Arial" w:hAnsi="Arial"/>
          <w:sz w:val="21"/>
          <w:szCs w:val="21"/>
          <w:color w:val="auto"/>
        </w:rPr>
        <w:t>”) shall state, as applicable: (1) the Series B Redemption Date, (2) the number of Series B Preference Units to be redeemed and, if less than all Outstanding Series B Preference Units are to be redeemed, the number (and the identification) of Units to be redeemed from such Series B Holder, (3) the Series B Redemption Price, (4) the place where the Series B Preference Units are to be redeemed and shall be presented and surrendered for payment of the Series B Redemption Price therefor and (5) that distributions on the Units to be redeemed shall cease to accumulate from and after such Series B Redemption Date.</w:t>
      </w:r>
    </w:p>
    <w:p>
      <w:pPr>
        <w:spacing w:after="0" w:line="181" w:lineRule="exact"/>
        <w:rPr>
          <w:rFonts w:ascii="Arial" w:cs="Arial" w:eastAsia="Arial" w:hAnsi="Arial"/>
          <w:sz w:val="21"/>
          <w:szCs w:val="21"/>
          <w:color w:val="auto"/>
        </w:rPr>
      </w:pPr>
    </w:p>
    <w:p>
      <w:pPr>
        <w:ind w:right="120" w:firstLine="1305"/>
        <w:spacing w:after="0" w:line="249" w:lineRule="auto"/>
        <w:tabs>
          <w:tab w:leader="none" w:pos="1955" w:val="left"/>
        </w:tabs>
        <w:numPr>
          <w:ilvl w:val="0"/>
          <w:numId w:val="117"/>
        </w:numPr>
        <w:rPr>
          <w:rFonts w:ascii="Arial" w:cs="Arial" w:eastAsia="Arial" w:hAnsi="Arial"/>
          <w:sz w:val="21"/>
          <w:szCs w:val="21"/>
          <w:color w:val="auto"/>
        </w:rPr>
      </w:pPr>
      <w:r>
        <w:rPr>
          <w:rFonts w:ascii="Arial" w:cs="Arial" w:eastAsia="Arial" w:hAnsi="Arial"/>
          <w:sz w:val="21"/>
          <w:szCs w:val="21"/>
          <w:color w:val="auto"/>
        </w:rPr>
        <w:t>If the Partnership elects to redeem less than all of the Outstanding Series B Preference Units, the number of Series B Preference Units to be redeemed shall be determined by the Board of Directors, and such Series B Preference Units shall be redeemed by such method of selection as the Depositary shall determine either Pro Rata or by lot, with adjustments to avoid redemption of fractional Series B Preference Units. The aggregate Series B Redemption Price for any such partial redemption of the Outstanding Series B Preference Units shall be allocated</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96" w:name="page97"/>
    <w:bookmarkEnd w:id="96"/>
    <w:p>
      <w:pPr>
        <w:ind w:right="740"/>
        <w:spacing w:after="0" w:line="251" w:lineRule="auto"/>
        <w:rPr>
          <w:sz w:val="20"/>
          <w:szCs w:val="20"/>
          <w:color w:val="auto"/>
        </w:rPr>
      </w:pPr>
      <w:r>
        <w:rPr>
          <w:rFonts w:ascii="Arial" w:cs="Arial" w:eastAsia="Arial" w:hAnsi="Arial"/>
          <w:sz w:val="22"/>
          <w:szCs w:val="22"/>
          <w:color w:val="auto"/>
        </w:rPr>
        <w:t xml:space="preserve">correspondingly among the redeemed Series B Preference Units. The Series B Preference Units not redeemed shall remain Outstanding and entitled to all the rights and preferences provided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w:t>
      </w:r>
    </w:p>
    <w:p>
      <w:pPr>
        <w:spacing w:after="0" w:line="173" w:lineRule="exact"/>
        <w:rPr>
          <w:sz w:val="20"/>
          <w:szCs w:val="20"/>
          <w:color w:val="auto"/>
        </w:rPr>
      </w:pPr>
    </w:p>
    <w:p>
      <w:pPr>
        <w:ind w:right="20" w:firstLine="1305"/>
        <w:spacing w:after="0" w:line="270" w:lineRule="auto"/>
        <w:tabs>
          <w:tab w:leader="none" w:pos="194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B Redemption Notice, the Partnership shall deposit with the Paying Agent funds, sufficient to redeem the Series B Preference Units, as to which such Series B Redemption Notice shall have been given, no later than 5:00 p.m. New York City time on the Business Day immediately preceding the Series B Redemption Date, and shall give the Paying Agent irrevocable instructions and authority to pay the Series B Redemption Price to the Series B Holders to be redeemed upon surrender or deemed surrender (which shall occur automatically if the Certificate representing such Series B Preference Units is issued in the name of the Depositary or its nominee) of the Certificates therefor as set forth in the Series B Redemption Notice. If the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Preference Units to be redeemed shall cease to accumulate and all rights of holders of such Series B Preference Units as Limited Partners with respect to such Series B Preference Units to be redeemed shall cease, except the right to receive the Series B Redemption Price, and such Series B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B Redemption Price of the Series B Preference Units to be redeemed), and the holders of any Series B Preference Units so redeemed shall have no claim to any such interest income. Any funds deposited with the Paying Agent hereunder by the Partnership for any reason, including redemption of Series B Preference Units, that remain unclaimed or unpaid after two years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Preference Units called for redemption until funds sufficient to pay the full Series B Redemption Price of such Series B Preference Units shall have been deposited by the Partnership with the Paying Agent.</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firstLine="1305"/>
        <w:spacing w:after="0" w:line="248" w:lineRule="auto"/>
        <w:tabs>
          <w:tab w:leader="none" w:pos="1955" w:val="left"/>
        </w:tabs>
        <w:numPr>
          <w:ilvl w:val="0"/>
          <w:numId w:val="118"/>
        </w:numPr>
        <w:rPr>
          <w:rFonts w:ascii="Arial" w:cs="Arial" w:eastAsia="Arial" w:hAnsi="Arial"/>
          <w:sz w:val="21"/>
          <w:szCs w:val="21"/>
          <w:color w:val="auto"/>
        </w:rPr>
      </w:pPr>
      <w:r>
        <w:rPr>
          <w:rFonts w:ascii="Arial" w:cs="Arial" w:eastAsia="Arial" w:hAnsi="Arial"/>
          <w:sz w:val="21"/>
          <w:szCs w:val="21"/>
          <w:color w:val="auto"/>
        </w:rPr>
        <w:t>Any Series B Preference Units that are redeemed or otherwise acquired by the Partnership shall be canceled. If only a portion of the Series B Preference Units represented by a Certificate shall have been called for redemption, upon surrender of the Certificate to the Paying Agent (which shall occur automatically if the Certificate representing such Series B Preference Units is registered in the name of the Depositary or its nominee), the Paying Agent shall issue to the Series B Holders a new Certificate (or adjust the applicable book-entry account) representing the number of Series B Preference Units represented by the surrendered Certificate that have not been called for redemption.</w:t>
      </w:r>
    </w:p>
    <w:p>
      <w:pPr>
        <w:spacing w:after="0" w:line="177" w:lineRule="exact"/>
        <w:rPr>
          <w:rFonts w:ascii="Arial" w:cs="Arial" w:eastAsia="Arial" w:hAnsi="Arial"/>
          <w:sz w:val="21"/>
          <w:szCs w:val="21"/>
          <w:color w:val="auto"/>
        </w:rPr>
      </w:pPr>
    </w:p>
    <w:p>
      <w:pPr>
        <w:ind w:right="140" w:firstLine="1305"/>
        <w:spacing w:after="0"/>
        <w:tabs>
          <w:tab w:leader="none" w:pos="1945"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 in the event that full cumulative distributions on the Series B Preference Units and any other Parity Securities shall not have been paid or declared and set apart for payment, none of the Partnership,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97" w:name="page98"/>
    <w:bookmarkEnd w:id="97"/>
    <w:p>
      <w:pPr>
        <w:spacing w:after="0" w:line="279" w:lineRule="auto"/>
        <w:rPr>
          <w:sz w:val="20"/>
          <w:szCs w:val="20"/>
          <w:color w:val="auto"/>
        </w:rPr>
      </w:pPr>
      <w:r>
        <w:rPr>
          <w:rFonts w:ascii="Arial" w:cs="Arial" w:eastAsia="Arial" w:hAnsi="Arial"/>
          <w:sz w:val="19"/>
          <w:szCs w:val="19"/>
          <w:color w:val="auto"/>
        </w:rPr>
        <w:t>General Partner or any Affiliate of the General Partner shall be permitted to repurchase, redeem or otherwise acquire, in whole or in part, any Series B Preference Units or other Parity Securities except pursuant to a purchase or exchange offer made on the same terms to all Series B Holders and holders of any other Parity Securities. None of the Partnership, the General Partner or any Affiliate of the General Partner shall be permitted to redeem, repurchase or otherwise acquire any Common Units, Class B Units or any other Junior Securities unless full cumulative distributions on the Series B Preference Units and any other Parity Securities for all prior and the then-ending Series B Distribution Periods shall have been paid or declared and set apart for payment.</w:t>
      </w:r>
    </w:p>
    <w:p>
      <w:pPr>
        <w:spacing w:after="0" w:line="15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17.7.  </w:t>
      </w:r>
      <w:r>
        <w:rPr>
          <w:rFonts w:ascii="Arial" w:cs="Arial" w:eastAsia="Arial" w:hAnsi="Arial"/>
          <w:sz w:val="22"/>
          <w:szCs w:val="22"/>
          <w:i w:val="1"/>
          <w:iCs w:val="1"/>
          <w:color w:val="auto"/>
        </w:rPr>
        <w:t>Rank</w:t>
      </w:r>
      <w:r>
        <w:rPr>
          <w:rFonts w:ascii="Arial" w:cs="Arial" w:eastAsia="Arial" w:hAnsi="Arial"/>
          <w:sz w:val="22"/>
          <w:szCs w:val="22"/>
          <w:color w:val="auto"/>
        </w:rPr>
        <w:t>. The Series B Preference Units shall each be deemed to rank:</w:t>
      </w:r>
    </w:p>
    <w:p>
      <w:pPr>
        <w:spacing w:after="0" w:line="206" w:lineRule="exact"/>
        <w:rPr>
          <w:sz w:val="20"/>
          <w:szCs w:val="20"/>
          <w:color w:val="auto"/>
        </w:rPr>
      </w:pPr>
    </w:p>
    <w:p>
      <w:pPr>
        <w:ind w:left="1960" w:hanging="655"/>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19"/>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06"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B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xml:space="preserve">Section 17.8.  </w:t>
      </w:r>
      <w:r>
        <w:rPr>
          <w:rFonts w:ascii="Arial" w:cs="Arial" w:eastAsia="Arial" w:hAnsi="Arial"/>
          <w:sz w:val="21"/>
          <w:szCs w:val="21"/>
          <w:i w:val="1"/>
          <w:iCs w:val="1"/>
          <w:color w:val="auto"/>
        </w:rPr>
        <w:t>No Sinking Fund</w:t>
      </w:r>
      <w:r>
        <w:rPr>
          <w:rFonts w:ascii="Arial" w:cs="Arial" w:eastAsia="Arial" w:hAnsi="Arial"/>
          <w:sz w:val="21"/>
          <w:szCs w:val="21"/>
          <w:color w:val="auto"/>
        </w:rPr>
        <w:t>. The Series B Preference Units shall not have the benefit of any sinking fund.</w:t>
      </w:r>
    </w:p>
    <w:p>
      <w:pPr>
        <w:spacing w:after="0" w:line="218" w:lineRule="exact"/>
        <w:rPr>
          <w:sz w:val="20"/>
          <w:szCs w:val="20"/>
          <w:color w:val="auto"/>
        </w:rPr>
      </w:pPr>
    </w:p>
    <w:p>
      <w:pPr>
        <w:ind w:right="60" w:firstLine="1297"/>
        <w:spacing w:after="0" w:line="238" w:lineRule="auto"/>
        <w:rPr>
          <w:sz w:val="20"/>
          <w:szCs w:val="20"/>
          <w:color w:val="auto"/>
        </w:rPr>
      </w:pPr>
      <w:r>
        <w:rPr>
          <w:rFonts w:ascii="Arial" w:cs="Arial" w:eastAsia="Arial" w:hAnsi="Arial"/>
          <w:sz w:val="22"/>
          <w:szCs w:val="22"/>
          <w:color w:val="auto"/>
        </w:rPr>
        <w:t xml:space="preserve">Section 17.9.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B Holder as the true, lawful and absolute owner of the applicable Series B Preference Units for all purposes, and neither the General Partner, the Partnership nor the Transfer Agent or the Paying Agent shall be affected by any notice to the contrary.</w:t>
      </w:r>
    </w:p>
    <w:p>
      <w:pPr>
        <w:spacing w:after="0" w:line="185" w:lineRule="exact"/>
        <w:rPr>
          <w:sz w:val="20"/>
          <w:szCs w:val="20"/>
          <w:color w:val="auto"/>
        </w:rPr>
      </w:pPr>
    </w:p>
    <w:p>
      <w:pPr>
        <w:ind w:right="40" w:firstLine="1297"/>
        <w:spacing w:after="0"/>
        <w:rPr>
          <w:sz w:val="20"/>
          <w:szCs w:val="20"/>
          <w:color w:val="auto"/>
        </w:rPr>
      </w:pPr>
      <w:r>
        <w:rPr>
          <w:rFonts w:ascii="Arial" w:cs="Arial" w:eastAsia="Arial" w:hAnsi="Arial"/>
          <w:sz w:val="22"/>
          <w:szCs w:val="22"/>
          <w:color w:val="auto"/>
        </w:rPr>
        <w:t xml:space="preserve">Section 17.10.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B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 this Agreement or by applicable law.</w:t>
      </w:r>
    </w:p>
    <w:p>
      <w:pPr>
        <w:spacing w:after="0" w:line="186" w:lineRule="exact"/>
        <w:rPr>
          <w:sz w:val="20"/>
          <w:szCs w:val="20"/>
          <w:color w:val="auto"/>
        </w:rPr>
      </w:pPr>
    </w:p>
    <w:p>
      <w:pPr>
        <w:ind w:right="80" w:firstLine="1297"/>
        <w:spacing w:after="0" w:line="282" w:lineRule="auto"/>
        <w:rPr>
          <w:sz w:val="20"/>
          <w:szCs w:val="20"/>
          <w:color w:val="auto"/>
        </w:rPr>
      </w:pPr>
      <w:r>
        <w:rPr>
          <w:rFonts w:ascii="Arial" w:cs="Arial" w:eastAsia="Arial" w:hAnsi="Arial"/>
          <w:sz w:val="19"/>
          <w:szCs w:val="19"/>
          <w:color w:val="auto"/>
        </w:rPr>
        <w:t xml:space="preserve">Section 17.11.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B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B Holders, other than the implied duty of good faith and fair dealing.</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22"/>
          <w:szCs w:val="22"/>
          <w:b w:val="1"/>
          <w:bCs w:val="1"/>
          <w:color w:val="auto"/>
        </w:rPr>
        <w:t>ARTICLE XVIII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SERIES C CUMULATIVE REDEEMABLE PERPETUAL FIXED TO FLOATING RATE PREFERENCE UNITS</w:t>
      </w:r>
    </w:p>
    <w:p>
      <w:pPr>
        <w:spacing w:after="0" w:line="188" w:lineRule="exact"/>
        <w:rPr>
          <w:sz w:val="20"/>
          <w:szCs w:val="20"/>
          <w:color w:val="auto"/>
        </w:rPr>
      </w:pPr>
    </w:p>
    <w:p>
      <w:pPr>
        <w:ind w:firstLine="1297"/>
        <w:spacing w:after="0" w:line="277" w:lineRule="auto"/>
        <w:rPr>
          <w:sz w:val="20"/>
          <w:szCs w:val="20"/>
          <w:color w:val="auto"/>
        </w:rPr>
      </w:pPr>
      <w:r>
        <w:rPr>
          <w:rFonts w:ascii="Arial" w:cs="Arial" w:eastAsia="Arial" w:hAnsi="Arial"/>
          <w:sz w:val="19"/>
          <w:szCs w:val="19"/>
          <w:color w:val="auto"/>
        </w:rPr>
        <w:t xml:space="preserve">Section 18.1.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November 15, 2018, the Board of Directors designated and created a series of Preference Units designated as “8.500% Series C Cumulative Redeemable Perpetual Fixed to Floating Rate Preference Units,” and fixed the preferences, rights, powers and duties of the holders of the Series C Preference Units as set forth in this </w:t>
      </w:r>
      <w:r>
        <w:rPr>
          <w:rFonts w:ascii="Arial" w:cs="Arial" w:eastAsia="Arial" w:hAnsi="Arial"/>
          <w:sz w:val="19"/>
          <w:szCs w:val="19"/>
          <w:u w:val="single" w:color="auto"/>
          <w:color w:val="auto"/>
        </w:rPr>
        <w:t>Article XVIII</w:t>
      </w:r>
      <w:r>
        <w:rPr>
          <w:rFonts w:ascii="Arial" w:cs="Arial" w:eastAsia="Arial" w:hAnsi="Arial"/>
          <w:sz w:val="19"/>
          <w:szCs w:val="19"/>
          <w:color w:val="auto"/>
        </w:rPr>
        <w:t>. Each Series C Preference Unit shall be identical in all respects to every other Series C Preference Unit, except as to the respective dates from which the Series C Liquidation Preference shall increase or from which Series C Distributions may begin accruing, to the extent such dates may differ. The Series C Preference Units represent perpetual equity interests in the Partnership and shall not give rise to a claim by the holder for redemption thereof at a particular date.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18.2.  </w:t>
      </w:r>
      <w:r>
        <w:rPr>
          <w:rFonts w:ascii="Arial" w:cs="Arial" w:eastAsia="Arial" w:hAnsi="Arial"/>
          <w:sz w:val="22"/>
          <w:szCs w:val="22"/>
          <w:i w:val="1"/>
          <w:iCs w:val="1"/>
          <w:color w:val="auto"/>
        </w:rPr>
        <w:t>Units</w:t>
      </w:r>
      <w:r>
        <w:rPr>
          <w:rFonts w:ascii="Arial" w:cs="Arial" w:eastAsia="Arial" w:hAnsi="Arial"/>
          <w:sz w:val="22"/>
          <w:szCs w:val="22"/>
          <w:color w:val="auto"/>
        </w:rPr>
        <w:t>.</w:t>
      </w:r>
    </w:p>
    <w:p>
      <w:pPr>
        <w:spacing w:after="0" w:line="206" w:lineRule="exact"/>
        <w:rPr>
          <w:sz w:val="20"/>
          <w:szCs w:val="20"/>
          <w:color w:val="auto"/>
        </w:rPr>
      </w:pPr>
    </w:p>
    <w:p>
      <w:pPr>
        <w:ind w:right="200" w:firstLine="1305"/>
        <w:spacing w:after="0" w:line="251" w:lineRule="auto"/>
        <w:tabs>
          <w:tab w:leader="none" w:pos="1955"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authorized number of Series C Preference Units shall be unlimited. Series C Preference Units that are purchased or otherwise acquired by the Partnership shall be cancelled.</w:t>
      </w:r>
    </w:p>
    <w:p>
      <w:pPr>
        <w:spacing w:after="0" w:line="173" w:lineRule="exact"/>
        <w:rPr>
          <w:rFonts w:ascii="Arial" w:cs="Arial" w:eastAsia="Arial" w:hAnsi="Arial"/>
          <w:sz w:val="22"/>
          <w:szCs w:val="22"/>
          <w:color w:val="auto"/>
        </w:rPr>
      </w:pPr>
    </w:p>
    <w:p>
      <w:pPr>
        <w:ind w:firstLine="1305"/>
        <w:spacing w:after="0" w:line="234" w:lineRule="auto"/>
        <w:tabs>
          <w:tab w:leader="none" w:pos="195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Series C Preference Units shall be represented by a single Certificate registered in the name of the Depositary or its nominee, and no Series C Holder shall be entitled to receive a Certificate evidencing such applicable Units, unless otherwise required by law or the Depositary gives notice of its intention to resign or is no longer eligible to act as such with respect to such series of Preference Units and the Partnership shall have not selected a substitute Depositary within 60 calendar days thereafter. So long as the Depositary shall have been appointed and is serving with respect to such series of Preference Units, payments and communications made by the Partnership to Series C Holders shall be made by making payments to, and communicating with, the Depositary.</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18.3.  </w:t>
      </w:r>
      <w:r>
        <w:rPr>
          <w:rFonts w:ascii="Arial" w:cs="Arial" w:eastAsia="Arial" w:hAnsi="Arial"/>
          <w:sz w:val="22"/>
          <w:szCs w:val="22"/>
          <w:i w:val="1"/>
          <w:iCs w:val="1"/>
          <w:color w:val="auto"/>
        </w:rPr>
        <w:t>Distributions</w:t>
      </w:r>
      <w:r>
        <w:rPr>
          <w:rFonts w:ascii="Arial" w:cs="Arial" w:eastAsia="Arial" w:hAnsi="Arial"/>
          <w:sz w:val="22"/>
          <w:szCs w:val="22"/>
          <w:color w:val="auto"/>
        </w:rPr>
        <w:t>.</w:t>
      </w:r>
    </w:p>
    <w:p>
      <w:pPr>
        <w:spacing w:after="0" w:line="206" w:lineRule="exact"/>
        <w:rPr>
          <w:sz w:val="20"/>
          <w:szCs w:val="20"/>
          <w:color w:val="auto"/>
        </w:rPr>
      </w:pPr>
    </w:p>
    <w:p>
      <w:pPr>
        <w:ind w:right="140" w:firstLine="1305"/>
        <w:spacing w:after="0" w:line="244" w:lineRule="auto"/>
        <w:tabs>
          <w:tab w:leader="none" w:pos="1955" w:val="left"/>
        </w:tabs>
        <w:numPr>
          <w:ilvl w:val="0"/>
          <w:numId w:val="121"/>
        </w:numPr>
        <w:rPr>
          <w:rFonts w:ascii="Arial" w:cs="Arial" w:eastAsia="Arial" w:hAnsi="Arial"/>
          <w:sz w:val="21"/>
          <w:szCs w:val="21"/>
          <w:color w:val="auto"/>
        </w:rPr>
      </w:pPr>
      <w:r>
        <w:rPr>
          <w:rFonts w:ascii="Arial" w:cs="Arial" w:eastAsia="Arial" w:hAnsi="Arial"/>
          <w:sz w:val="21"/>
          <w:szCs w:val="21"/>
          <w:color w:val="auto"/>
        </w:rPr>
        <w:t xml:space="preserve">Distributions on each Series C Preference Unit shall be cumulative and shall accrue at the Series C Distribution Rate from the Series C Original Issue Date (or, for any subsequently issued and newly Outstanding Series C Preference Units, from the Series C Distribution Payment Date immediately preceding the issuance date of such Units) until such time as the Partnership pays the Series C Distribution or redeems the Series C Preference Units in full in accordance with </w:t>
      </w:r>
      <w:r>
        <w:rPr>
          <w:rFonts w:ascii="Arial" w:cs="Arial" w:eastAsia="Arial" w:hAnsi="Arial"/>
          <w:sz w:val="21"/>
          <w:szCs w:val="21"/>
          <w:u w:val="single" w:color="auto"/>
          <w:color w:val="auto"/>
        </w:rPr>
        <w:t>Section 18.6</w:t>
      </w:r>
      <w:r>
        <w:rPr>
          <w:rFonts w:ascii="Arial" w:cs="Arial" w:eastAsia="Arial" w:hAnsi="Arial"/>
          <w:sz w:val="21"/>
          <w:szCs w:val="21"/>
          <w:color w:val="auto"/>
        </w:rPr>
        <w:t xml:space="preserve"> below, whether or not such Series C Distributions shall have been declared. Series C Holders shall be entitled to receive Series C Distributions from time to time out of any assets of the Partnership legally available for the payment of distributions at the Series C Distribution Rate per Series C Preference Unit when, as, and if declared by the Board of Directors. Series C Distributions, to the extent declared by the Board of Directors to be paid by the Partnership in accordance with this </w:t>
      </w:r>
      <w:r>
        <w:rPr>
          <w:rFonts w:ascii="Arial" w:cs="Arial" w:eastAsia="Arial" w:hAnsi="Arial"/>
          <w:sz w:val="21"/>
          <w:szCs w:val="21"/>
          <w:u w:val="single" w:color="auto"/>
          <w:color w:val="auto"/>
        </w:rPr>
        <w:t>Section 18.3</w:t>
      </w:r>
      <w:r>
        <w:rPr>
          <w:rFonts w:ascii="Arial" w:cs="Arial" w:eastAsia="Arial" w:hAnsi="Arial"/>
          <w:sz w:val="21"/>
          <w:szCs w:val="21"/>
          <w:color w:val="auto"/>
        </w:rPr>
        <w:t>, shall be paid quarterly on each Series C Distribution Payment Date. Distributions shall accumulate in each Series C Distribution Period from and including the preceding Series C Distribution Payment Date (other than the initial Series C Distribution Period, which shall commence on and include the Series C</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28" w:right="279" w:bottom="1440" w:gutter="0" w:footer="0" w:header="0"/>
        </w:sectPr>
      </w:pPr>
    </w:p>
    <w:bookmarkStart w:id="99" w:name="page100"/>
    <w:bookmarkEnd w:id="99"/>
    <w:p>
      <w:pPr>
        <w:ind w:right="60"/>
        <w:spacing w:after="0" w:line="245" w:lineRule="auto"/>
        <w:rPr>
          <w:sz w:val="20"/>
          <w:szCs w:val="20"/>
          <w:color w:val="auto"/>
        </w:rPr>
      </w:pPr>
      <w:r>
        <w:rPr>
          <w:rFonts w:ascii="Arial" w:cs="Arial" w:eastAsia="Arial" w:hAnsi="Arial"/>
          <w:sz w:val="21"/>
          <w:szCs w:val="21"/>
          <w:color w:val="auto"/>
        </w:rPr>
        <w:t>Original Issue Date), to but excluding the next Series C Distribution Payment Date for such Series C Distribution Period and distributions shall accrue on accumulated Series C Distributions at the Series C Distribution Rate. If any Series C Distribution Payment Date during the Series C Fixed Rate Period would otherwise occur on a date that is not a Business Day, declared Series C Distributions shall be paid on the immediately succeeding Business Day without the accumulation of additional distributions. If any Series C Distribution Payment Date during the Series C Floating Rate Period would otherwise occur on a date that is not a Business Day, then the Series C Distribution Payment Date will be the next day that is a Business Day. Series C Distributions payable for any Series C Distribution Period during the Series C Fixed Rate Period will be calculated based on a 360-day year consisting of twelve 30-day months. Series C Distributions payable for any Series C Distribution Period during the Series C Floating Rate Period will be calculated based on a 360-day year and the number of days actually elapsed during such Series C Distribution Period.</w:t>
      </w:r>
    </w:p>
    <w:p>
      <w:pPr>
        <w:spacing w:after="0" w:line="182" w:lineRule="exact"/>
        <w:rPr>
          <w:sz w:val="20"/>
          <w:szCs w:val="20"/>
          <w:color w:val="auto"/>
        </w:rPr>
      </w:pPr>
    </w:p>
    <w:p>
      <w:pPr>
        <w:ind w:right="40" w:firstLine="1305"/>
        <w:spacing w:after="0" w:line="236" w:lineRule="auto"/>
        <w:tabs>
          <w:tab w:leader="none" w:pos="1954" w:val="left"/>
        </w:tabs>
        <w:numPr>
          <w:ilvl w:val="0"/>
          <w:numId w:val="122"/>
        </w:numPr>
        <w:rPr>
          <w:rFonts w:ascii="Arial" w:cs="Arial" w:eastAsia="Arial" w:hAnsi="Arial"/>
          <w:sz w:val="22"/>
          <w:szCs w:val="22"/>
          <w:color w:val="auto"/>
        </w:rPr>
      </w:pPr>
      <w:r>
        <w:rPr>
          <w:rFonts w:ascii="Arial" w:cs="Arial" w:eastAsia="Arial" w:hAnsi="Arial"/>
          <w:sz w:val="22"/>
          <w:szCs w:val="22"/>
          <w:color w:val="auto"/>
        </w:rPr>
        <w:t>For each Series C Distribution Period during the Series C Floating Rate Period, the applicable Series C Distribution Rate will be determined by the Calculation Agent as of the applicable Series C Distribution Determination Date for such Series C Distribution Period. For purposes of determining the applicable Series C Distribution Rate, the Series C Three-Month LIBOR Rate will be determined by the Calculation Agent, as of the applicable Series C Distribution Determination Date, in accordance with the following provisions:</w:t>
      </w:r>
    </w:p>
    <w:p>
      <w:pPr>
        <w:spacing w:after="0" w:line="188" w:lineRule="exact"/>
        <w:rPr>
          <w:sz w:val="20"/>
          <w:szCs w:val="20"/>
          <w:color w:val="auto"/>
        </w:rPr>
      </w:pPr>
    </w:p>
    <w:p>
      <w:pPr>
        <w:jc w:val="both"/>
        <w:ind w:left="660" w:right="200" w:firstLine="645"/>
        <w:spacing w:after="0" w:line="297" w:lineRule="auto"/>
        <w:tabs>
          <w:tab w:leader="none" w:pos="1971" w:val="left"/>
        </w:tabs>
        <w:numPr>
          <w:ilvl w:val="0"/>
          <w:numId w:val="123"/>
        </w:numPr>
        <w:rPr>
          <w:rFonts w:ascii="Arial" w:cs="Arial" w:eastAsia="Arial" w:hAnsi="Arial"/>
          <w:sz w:val="19"/>
          <w:szCs w:val="19"/>
          <w:color w:val="auto"/>
        </w:rPr>
      </w:pPr>
      <w:r>
        <w:rPr>
          <w:rFonts w:ascii="Arial" w:cs="Arial" w:eastAsia="Arial" w:hAnsi="Arial"/>
          <w:sz w:val="19"/>
          <w:szCs w:val="19"/>
          <w:color w:val="auto"/>
        </w:rPr>
        <w:t>the Series C Three-Month LIBOR Rate will be the rate (expressed as a percentage per year) for deposits in U.S. dollars having an index maturity of three months, in amounts of at least $1,000,000, as such rate appears on Reuters Page LIBOR01 at approximately 11:00 a.m. (London time) on the relevant Series C Distribution Determination Date; or</w:t>
      </w:r>
    </w:p>
    <w:p>
      <w:pPr>
        <w:spacing w:after="0" w:line="134" w:lineRule="exact"/>
        <w:rPr>
          <w:rFonts w:ascii="Arial" w:cs="Arial" w:eastAsia="Arial" w:hAnsi="Arial"/>
          <w:sz w:val="19"/>
          <w:szCs w:val="19"/>
          <w:color w:val="auto"/>
        </w:rPr>
      </w:pPr>
    </w:p>
    <w:p>
      <w:pPr>
        <w:ind w:left="660" w:firstLine="645"/>
        <w:spacing w:after="0" w:line="271" w:lineRule="auto"/>
        <w:tabs>
          <w:tab w:leader="none" w:pos="1977" w:val="left"/>
        </w:tabs>
        <w:numPr>
          <w:ilvl w:val="0"/>
          <w:numId w:val="123"/>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C Distribution Determination Date, then the Calculation Agent, after consultation with the Partnership,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Series C Distribution Period, to prime banks in the London interbank market at approximately 11:00 a.m. (London time) on that Series C Distribution Determination Date for the applicable Series C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C Three-Month LIBOR Rate for such Series C Distribution Period will be the arithmetic mean (rounded upward if necessary, to the nearest 0.00001 of 1%) of those quotations. If fewer than two quotations are provided, the Series C Three-Month LIBOR Rate for such Series C Distribution Period will be the arithmetic mean (rounded upward if necessary, to the nearest 0.00001 of 1%) of the rates quoted at approximately 11:00 a.m. (New York City time) on that Series C Distribution Determination Date for such Series C Distribution Period by three nationally-recognized banks in New York, New York selected by the Calculation Agent, for loans in U.S.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00" w:name="page101"/>
    <w:bookmarkEnd w:id="100"/>
    <w:p>
      <w:pPr>
        <w:ind w:left="640"/>
        <w:spacing w:after="0" w:line="246" w:lineRule="auto"/>
        <w:rPr>
          <w:sz w:val="20"/>
          <w:szCs w:val="20"/>
          <w:color w:val="auto"/>
        </w:rPr>
      </w:pPr>
      <w:r>
        <w:rPr>
          <w:rFonts w:ascii="Arial" w:cs="Arial" w:eastAsia="Arial" w:hAnsi="Arial"/>
          <w:sz w:val="21"/>
          <w:szCs w:val="21"/>
          <w:color w:val="auto"/>
        </w:rPr>
        <w:t>dollars to nationally-recognized European banks (as selected by the Calculation Agent), for a period of three months commencing on the first day of such Series C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C Three-Month LIBOR Rate or any of the foregoing lending rates, shall determine Series C Three-Month LIBOR Rate for the applicable Series C Distribution Period in its discretion, after consultation with the Partnership.</w:t>
      </w:r>
    </w:p>
    <w:p>
      <w:pPr>
        <w:spacing w:after="0" w:line="181" w:lineRule="exact"/>
        <w:rPr>
          <w:sz w:val="20"/>
          <w:szCs w:val="20"/>
          <w:color w:val="auto"/>
        </w:rPr>
      </w:pPr>
    </w:p>
    <w:p>
      <w:pPr>
        <w:ind w:left="640" w:firstLine="645"/>
        <w:spacing w:after="0" w:line="274" w:lineRule="auto"/>
        <w:tabs>
          <w:tab w:leader="none" w:pos="1963"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the Calculation Agent determines on the relevant Series C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C Distribution Determination Date and any other relevant methodology for calculating such substitute or successor base rate in a manner that is consistent with industry-accepted practices for such substitute or successor base rate.</w:t>
      </w:r>
    </w:p>
    <w:p>
      <w:pPr>
        <w:spacing w:after="0" w:line="159" w:lineRule="exact"/>
        <w:rPr>
          <w:sz w:val="20"/>
          <w:szCs w:val="20"/>
          <w:color w:val="auto"/>
        </w:rPr>
      </w:pPr>
    </w:p>
    <w:p>
      <w:pPr>
        <w:ind w:left="640" w:right="320" w:firstLine="1297"/>
        <w:spacing w:after="0" w:line="297" w:lineRule="auto"/>
        <w:rPr>
          <w:sz w:val="20"/>
          <w:szCs w:val="20"/>
          <w:color w:val="auto"/>
        </w:rPr>
      </w:pPr>
      <w:r>
        <w:rPr>
          <w:rFonts w:ascii="Arial" w:cs="Arial" w:eastAsia="Arial" w:hAnsi="Arial"/>
          <w:sz w:val="19"/>
          <w:szCs w:val="19"/>
          <w:color w:val="auto"/>
        </w:rPr>
        <w:t>The Partnership will appoint a Calculation Agent for the Series C Preference Units prior to the commencement of the Series C Floating Rate Period and will be entitled to remove or replace the calculation agent in its discretion. In addition, the Partnership or its Affiliate may assume the duties of the Calculation Agent.</w:t>
      </w:r>
    </w:p>
    <w:p>
      <w:pPr>
        <w:spacing w:after="0" w:line="134" w:lineRule="exact"/>
        <w:rPr>
          <w:sz w:val="20"/>
          <w:szCs w:val="20"/>
          <w:color w:val="auto"/>
        </w:rPr>
      </w:pPr>
    </w:p>
    <w:p>
      <w:pPr>
        <w:ind w:left="-20" w:right="20" w:firstLine="1305"/>
        <w:spacing w:after="0" w:line="272" w:lineRule="auto"/>
        <w:tabs>
          <w:tab w:leader="none" w:pos="1935"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C Distribution Payment Date, the Partnership shall pay those Series C Distributions, if any, that shall have been declared by the Board of Directors to Series C Holders on the Record Date for the applicable Series C Distribution. The Record Date (the “</w:t>
      </w:r>
      <w:r>
        <w:rPr>
          <w:rFonts w:ascii="Arial" w:cs="Arial" w:eastAsia="Arial" w:hAnsi="Arial"/>
          <w:sz w:val="19"/>
          <w:szCs w:val="19"/>
          <w:b w:val="1"/>
          <w:bCs w:val="1"/>
          <w:i w:val="1"/>
          <w:iCs w:val="1"/>
          <w:color w:val="auto"/>
        </w:rPr>
        <w:t>Series C Distribution Record Date</w:t>
      </w:r>
      <w:r>
        <w:rPr>
          <w:rFonts w:ascii="Arial" w:cs="Arial" w:eastAsia="Arial" w:hAnsi="Arial"/>
          <w:sz w:val="19"/>
          <w:szCs w:val="19"/>
          <w:color w:val="auto"/>
        </w:rPr>
        <w:t xml:space="preserve">”) for the payment of any Series C Distributions shall be the fifth Business Day immediately preceding the applicable Series C Distribution Payment Date, except that in the case of payments of Series C Distributions in Arrears, the Series C Distribution Record Date with respect to a Series C Distribution Payment Date shall be such date as may be designated by the Board of Directors in accordance with this </w:t>
      </w:r>
      <w:r>
        <w:rPr>
          <w:rFonts w:ascii="Arial" w:cs="Arial" w:eastAsia="Arial" w:hAnsi="Arial"/>
          <w:sz w:val="19"/>
          <w:szCs w:val="19"/>
          <w:u w:val="single" w:color="auto"/>
          <w:color w:val="auto"/>
        </w:rPr>
        <w:t>Article XVIII</w:t>
      </w:r>
      <w:r>
        <w:rPr>
          <w:rFonts w:ascii="Arial" w:cs="Arial" w:eastAsia="Arial" w:hAnsi="Arial"/>
          <w:sz w:val="19"/>
          <w:szCs w:val="19"/>
          <w:color w:val="auto"/>
        </w:rPr>
        <w:t>. No distribution shall be declared or paid or set apart for payment on any Junior Securities (other than a distribution payable solely in Junior Securities) unless full cumulative Series C Distributions have been or contemporaneously are being paid or provided for on all Outstanding Series C Preference Units and any other Parity Securities through the most recent respective Series C Distribution Payment Dates. Accumulated Series C Distributions in Arrears for any past Series C Distribution Period may be declared by the Board of Directors and paid on any date fixed by the Board of Directors, whether or not a Series C Distribution Payment Date, to Series C Holders on the record date for such</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101" w:name="page102"/>
    <w:bookmarkEnd w:id="101"/>
    <w:p>
      <w:pPr>
        <w:spacing w:after="0" w:line="271" w:lineRule="auto"/>
        <w:rPr>
          <w:sz w:val="20"/>
          <w:szCs w:val="20"/>
          <w:color w:val="auto"/>
        </w:rPr>
      </w:pPr>
      <w:r>
        <w:rPr>
          <w:rFonts w:ascii="Arial" w:cs="Arial" w:eastAsia="Arial" w:hAnsi="Arial"/>
          <w:sz w:val="19"/>
          <w:szCs w:val="19"/>
          <w:color w:val="auto"/>
        </w:rPr>
        <w:t xml:space="preserve">payment, which may not be more than 60 days, nor less than 15 days, before such payment date. Subject to the next succeeding sentence, if all accumulated Series C Distributions in Arrears on all Outstanding Series C Preference Units and any other Parity Securities shall not have been declared and paid, or if sufficient funds for the payment thereof shall not have been set apart, payment of accumulated distributions in Arrears on the Series C Preference Units and any such Parity Securities shall be made in order of their respective distribution payment dates, commencing with the earliest. If less than all distributions payable with respect to all Series C Preference Units and any other Parity Securities are paid, any partial payment shall be made pro rata with respect to the Series C Preference Units and any such other Parity Securities entitled to a distribution payment at such time in proportion to the aggregate distribution amounts remaining due in respect of such Series C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18.6</w:t>
      </w:r>
      <w:r>
        <w:rPr>
          <w:rFonts w:ascii="Arial" w:cs="Arial" w:eastAsia="Arial" w:hAnsi="Arial"/>
          <w:sz w:val="19"/>
          <w:szCs w:val="19"/>
          <w:color w:val="auto"/>
        </w:rPr>
        <w:t xml:space="preserve">, Series C Holders shall not be entitled to any distribution, whether payable in cash, property or stock, in excess of full cumulative Series C Distributions. Except insofar as distributions accrue on the amount of any accumulated and unpaid Series C Distributions as described in </w:t>
      </w:r>
      <w:r>
        <w:rPr>
          <w:rFonts w:ascii="Arial" w:cs="Arial" w:eastAsia="Arial" w:hAnsi="Arial"/>
          <w:sz w:val="19"/>
          <w:szCs w:val="19"/>
          <w:u w:val="single" w:color="auto"/>
          <w:color w:val="auto"/>
        </w:rPr>
        <w:t>Section 18.3(a)</w:t>
      </w:r>
      <w:r>
        <w:rPr>
          <w:rFonts w:ascii="Arial" w:cs="Arial" w:eastAsia="Arial" w:hAnsi="Arial"/>
          <w:sz w:val="19"/>
          <w:szCs w:val="19"/>
          <w:color w:val="auto"/>
        </w:rPr>
        <w:t>, no interest or sum of money in lieu of interest shall be payable in respect of any distribution payment which may be in Arrears on the Series C Preference Units. So long as the Series C Preference Units are held of record by the nominee of the Depositary, declared Series C Distributions shall be paid to the Depositary in same-day funds on each Series C Distribution Payment Date.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18.4.  </w:t>
      </w:r>
      <w:r>
        <w:rPr>
          <w:rFonts w:ascii="Arial" w:cs="Arial" w:eastAsia="Arial" w:hAnsi="Arial"/>
          <w:sz w:val="22"/>
          <w:szCs w:val="22"/>
          <w:i w:val="1"/>
          <w:iCs w:val="1"/>
          <w:color w:val="auto"/>
        </w:rPr>
        <w:t>Liquidation Rights</w:t>
      </w:r>
      <w:r>
        <w:rPr>
          <w:rFonts w:ascii="Arial" w:cs="Arial" w:eastAsia="Arial" w:hAnsi="Arial"/>
          <w:sz w:val="22"/>
          <w:szCs w:val="22"/>
          <w:color w:val="auto"/>
        </w:rPr>
        <w:t>.</w:t>
      </w:r>
    </w:p>
    <w:p>
      <w:pPr>
        <w:spacing w:after="0" w:line="206" w:lineRule="exact"/>
        <w:rPr>
          <w:sz w:val="20"/>
          <w:szCs w:val="20"/>
          <w:color w:val="auto"/>
        </w:rPr>
      </w:pPr>
    </w:p>
    <w:p>
      <w:pPr>
        <w:ind w:right="20" w:firstLine="1305"/>
        <w:spacing w:after="0" w:line="270" w:lineRule="auto"/>
        <w:tabs>
          <w:tab w:leader="none" w:pos="1955" w:val="left"/>
        </w:tabs>
        <w:numPr>
          <w:ilvl w:val="0"/>
          <w:numId w:val="126"/>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C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C Preference Units or other Parity Securities then Outstanding in respect of such Liquidation Event and (iv) before any distribution of such assets or proceeds is made to or set aside for the holders of Common Units, Class B Units and any other classes or series of Junior Securities as to such distribution, a liquidating distribution or payment in full redemption of such Series C Preference Units in an amount equal to the Series C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C Preference Units or any Parity Securities and (y) the Series C Holders shall be entitled to the Series C Liquidation Preference per Series C Preference Unit in cash, concurrently with any distribution made to the holders of any Parity Securities and before any distribution shall be made to the holders of Common Units, Class B Units or any other Junior Securities. Series C Holders shall not be entitled to any other amounts from the Partnership, in their capacity as Series C Holders, after they have received the Series C Liquidation Preference. The payment of the Series C Liquidation Preference shall be a payment in redemption of the Series C Preference Units such that, from and after payment of the full Series C Liquidation Preference, any such Series C Preference Unit shall thereafter be cancelled and no longer be Outstanding.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02" w:name="page103"/>
    <w:bookmarkEnd w:id="102"/>
    <w:p>
      <w:pPr>
        <w:ind w:left="-20" w:right="40" w:firstLine="1305"/>
        <w:spacing w:after="0" w:line="246" w:lineRule="auto"/>
        <w:tabs>
          <w:tab w:leader="none" w:pos="1934" w:val="left"/>
        </w:tabs>
        <w:numPr>
          <w:ilvl w:val="0"/>
          <w:numId w:val="127"/>
        </w:numPr>
        <w:rPr>
          <w:rFonts w:ascii="Arial" w:cs="Arial" w:eastAsia="Arial" w:hAnsi="Arial"/>
          <w:sz w:val="21"/>
          <w:szCs w:val="21"/>
          <w:color w:val="auto"/>
        </w:rPr>
      </w:pPr>
      <w:r>
        <w:rPr>
          <w:rFonts w:ascii="Arial" w:cs="Arial" w:eastAsia="Arial" w:hAnsi="Arial"/>
          <w:sz w:val="21"/>
          <w:szCs w:val="21"/>
          <w:color w:val="auto"/>
        </w:rPr>
        <w:t xml:space="preserve">If, in the event of any distribution or payment described in </w:t>
      </w:r>
      <w:r>
        <w:rPr>
          <w:rFonts w:ascii="Arial" w:cs="Arial" w:eastAsia="Arial" w:hAnsi="Arial"/>
          <w:sz w:val="21"/>
          <w:szCs w:val="21"/>
          <w:u w:val="single" w:color="auto"/>
          <w:color w:val="auto"/>
        </w:rPr>
        <w:t>Section 18.4(a)</w:t>
      </w:r>
      <w:r>
        <w:rPr>
          <w:rFonts w:ascii="Arial" w:cs="Arial" w:eastAsia="Arial" w:hAnsi="Arial"/>
          <w:sz w:val="21"/>
          <w:szCs w:val="21"/>
          <w:color w:val="auto"/>
        </w:rPr>
        <w:t xml:space="preserve"> above where the Partnership’s assets available for distribution to holders of the Outstanding Series C Preference Units and any other Parity Securities are insufficient to satisfy the applicable Liquidation Preference for such Series C Preference Units and Parity Securities, the Partnership’s then remaining assets or proceeds thereof legally available for distribution to unitholders of the Partnership shall be distributed among the holders of Outstanding Series C Preference Units and such Parity Securities, as applicable, ratably on the basis of their relative aggregate Liquidation Preferences. To the extent that the Series C Holders receive a partial payment of their Series C Liquidation Preference, such partial payment shall reduce the Series C Liquidation Preference of their Series C Preference Units, but only to the extent of such amount paid.</w:t>
      </w:r>
    </w:p>
    <w:p>
      <w:pPr>
        <w:spacing w:after="0" w:line="180" w:lineRule="exact"/>
        <w:rPr>
          <w:rFonts w:ascii="Arial" w:cs="Arial" w:eastAsia="Arial" w:hAnsi="Arial"/>
          <w:sz w:val="21"/>
          <w:szCs w:val="21"/>
          <w:color w:val="auto"/>
        </w:rPr>
      </w:pPr>
    </w:p>
    <w:p>
      <w:pPr>
        <w:ind w:left="-20" w:firstLine="1305"/>
        <w:spacing w:after="0" w:line="238" w:lineRule="auto"/>
        <w:tabs>
          <w:tab w:leader="none" w:pos="1935" w:val="left"/>
        </w:tabs>
        <w:numPr>
          <w:ilvl w:val="0"/>
          <w:numId w:val="127"/>
        </w:numPr>
        <w:rPr>
          <w:rFonts w:ascii="Arial" w:cs="Arial" w:eastAsia="Arial" w:hAnsi="Arial"/>
          <w:sz w:val="22"/>
          <w:szCs w:val="22"/>
          <w:color w:val="auto"/>
        </w:rPr>
      </w:pPr>
      <w:r>
        <w:rPr>
          <w:rFonts w:ascii="Arial" w:cs="Arial" w:eastAsia="Arial" w:hAnsi="Arial"/>
          <w:sz w:val="22"/>
          <w:szCs w:val="22"/>
          <w:color w:val="auto"/>
        </w:rPr>
        <w:t>After payment of the applicable Liquidation Preference to the holders of the Outstanding Series C Preference Units and any other Parity Securities, the Partnership’s remaining assets and funds shall be distributed among the holders of the Common Units, Class B Units and any other Junior Securities then Outstanding according to their respective rights and preferences.</w:t>
      </w:r>
    </w:p>
    <w:p>
      <w:pPr>
        <w:spacing w:after="0" w:line="185"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 xml:space="preserve">Section 18.5.  </w:t>
      </w:r>
      <w:r>
        <w:rPr>
          <w:rFonts w:ascii="Arial" w:cs="Arial" w:eastAsia="Arial" w:hAnsi="Arial"/>
          <w:sz w:val="22"/>
          <w:szCs w:val="22"/>
          <w:i w:val="1"/>
          <w:iCs w:val="1"/>
          <w:color w:val="auto"/>
        </w:rPr>
        <w:t>Voting Rights</w:t>
      </w:r>
      <w:r>
        <w:rPr>
          <w:rFonts w:ascii="Arial" w:cs="Arial" w:eastAsia="Arial" w:hAnsi="Arial"/>
          <w:sz w:val="22"/>
          <w:szCs w:val="22"/>
          <w:color w:val="auto"/>
        </w:rPr>
        <w:t>.</w:t>
      </w:r>
    </w:p>
    <w:p>
      <w:pPr>
        <w:spacing w:after="0" w:line="206" w:lineRule="exact"/>
        <w:rPr>
          <w:sz w:val="20"/>
          <w:szCs w:val="20"/>
          <w:color w:val="auto"/>
        </w:rPr>
      </w:pPr>
    </w:p>
    <w:p>
      <w:pPr>
        <w:ind w:left="-20" w:firstLine="1305"/>
        <w:spacing w:after="0" w:line="328" w:lineRule="auto"/>
        <w:tabs>
          <w:tab w:leader="none" w:pos="1935"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C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or as otherwise provided by the Marshall Islands Act.</w:t>
      </w:r>
    </w:p>
    <w:p>
      <w:pPr>
        <w:spacing w:after="0" w:line="105" w:lineRule="exact"/>
        <w:rPr>
          <w:rFonts w:ascii="Arial" w:cs="Arial" w:eastAsia="Arial" w:hAnsi="Arial"/>
          <w:sz w:val="19"/>
          <w:szCs w:val="19"/>
          <w:color w:val="auto"/>
        </w:rPr>
      </w:pPr>
    </w:p>
    <w:p>
      <w:pPr>
        <w:ind w:left="-20" w:firstLine="1305"/>
        <w:spacing w:after="0" w:line="270" w:lineRule="auto"/>
        <w:tabs>
          <w:tab w:leader="none" w:pos="1934"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C Distributions, whether consecutive or not, are in Arrears, the Series C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C Holders holding a majority of the Outstanding Series C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C Holders shall not apply to the election of another director if (i) Series C Holders and holders of Parity Securities upon which like voting rights have been conferred, voting as a class, have previously elected a member of the Board of Directors and (ii) such director continues then to serve on the Board of Directors. Such right of such Series C Holders to elect a member of the Board of Directors shall continue until the Partnership pays in full, or declares and sets aside funds for the payment of, all Series C Distributions accumulated and in Arrears on the Series C Preference Units, at which time such right shall terminate, subject to the revesting of such right in the event of each and every subsequent failure to pay six quarterly Series C Distributions as described above in this </w:t>
      </w:r>
      <w:r>
        <w:rPr>
          <w:rFonts w:ascii="Arial" w:cs="Arial" w:eastAsia="Arial" w:hAnsi="Arial"/>
          <w:sz w:val="19"/>
          <w:szCs w:val="19"/>
          <w:u w:val="single" w:color="auto"/>
          <w:color w:val="auto"/>
        </w:rPr>
        <w:t>Section 18.5(b)</w:t>
      </w:r>
      <w:r>
        <w:rPr>
          <w:rFonts w:ascii="Arial" w:cs="Arial" w:eastAsia="Arial" w:hAnsi="Arial"/>
          <w:sz w:val="19"/>
          <w:szCs w:val="19"/>
          <w:color w:val="auto"/>
        </w:rPr>
        <w:t xml:space="preserve">. Upon any termination of the right of the Series C Holders and holders of any other Parity Securities to vote as a class for such director, the term of office of the director then in office elected by such Series C Holders and holders voting as a class shall terminate immediately. Any director elected by the Series C Holders and holders of any other Parity Securities shall be entitled to one vote on any matter before the Board of Directors. Upon each election of a member of the Board of Directors by Series C Holders pursuant to this </w:t>
      </w:r>
      <w:r>
        <w:rPr>
          <w:rFonts w:ascii="Arial" w:cs="Arial" w:eastAsia="Arial" w:hAnsi="Arial"/>
          <w:sz w:val="19"/>
          <w:szCs w:val="19"/>
          <w:u w:val="single" w:color="auto"/>
          <w:color w:val="auto"/>
        </w:rPr>
        <w:t>Section 18.5(b)</w:t>
      </w:r>
      <w:r>
        <w:rPr>
          <w:rFonts w:ascii="Arial" w:cs="Arial" w:eastAsia="Arial" w:hAnsi="Arial"/>
          <w:sz w:val="19"/>
          <w:szCs w:val="19"/>
          <w:color w:val="auto"/>
        </w:rPr>
        <w:t>, the General Partner shall have the right to appoint an additional member of the Board of</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73660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60" w:top="334" w:right="259" w:bottom="1440" w:gutter="0" w:footer="0" w:header="0"/>
        </w:sectPr>
      </w:pPr>
    </w:p>
    <w:bookmarkStart w:id="103" w:name="page104"/>
    <w:bookmarkEnd w:id="103"/>
    <w:p>
      <w:pPr>
        <w:spacing w:after="0" w:line="251" w:lineRule="auto"/>
        <w:rPr>
          <w:sz w:val="20"/>
          <w:szCs w:val="20"/>
          <w:color w:val="auto"/>
        </w:rPr>
      </w:pPr>
      <w:r>
        <w:rPr>
          <w:rFonts w:ascii="Arial" w:cs="Arial" w:eastAsia="Arial" w:hAnsi="Arial"/>
          <w:sz w:val="22"/>
          <w:szCs w:val="22"/>
          <w:color w:val="auto"/>
        </w:rPr>
        <w:t>Directors, which member shall be an Appointed Director for purposes of this Agreement, the term of such director to begin and end on the same dates as the corresponding director elected by the Series C Holders.</w:t>
      </w:r>
    </w:p>
    <w:p>
      <w:pPr>
        <w:spacing w:after="0" w:line="173" w:lineRule="exact"/>
        <w:rPr>
          <w:sz w:val="20"/>
          <w:szCs w:val="20"/>
          <w:color w:val="auto"/>
        </w:rPr>
      </w:pPr>
    </w:p>
    <w:p>
      <w:pPr>
        <w:ind w:right="60" w:firstLine="1305"/>
        <w:spacing w:after="0" w:line="238" w:lineRule="auto"/>
        <w:tabs>
          <w:tab w:leader="none" w:pos="1955" w:val="left"/>
        </w:tabs>
        <w:numPr>
          <w:ilvl w:val="0"/>
          <w:numId w:val="129"/>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C Preference Units, voting as a separate class, neither the General Partner nor the Board of Directors shall adopt any amendment to this Agreement that would have a material adverse effect on the existing terms of the Series C Preference Units.</w:t>
      </w:r>
    </w:p>
    <w:p>
      <w:pPr>
        <w:spacing w:after="0" w:line="185" w:lineRule="exact"/>
        <w:rPr>
          <w:sz w:val="20"/>
          <w:szCs w:val="20"/>
          <w:color w:val="auto"/>
        </w:rPr>
      </w:pPr>
    </w:p>
    <w:p>
      <w:pPr>
        <w:ind w:left="660" w:right="20" w:firstLine="645"/>
        <w:spacing w:after="0" w:line="236" w:lineRule="auto"/>
        <w:tabs>
          <w:tab w:leader="none" w:pos="1977" w:val="left"/>
        </w:tabs>
        <w:numPr>
          <w:ilvl w:val="0"/>
          <w:numId w:val="130"/>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C Preference Units voting as a class together with holders of any other Parity Securities upon which like voting rights have been conferred and are exercisable, the Partnership shall not (x) issue any Parity Securities if the cumulative dividends payable on Outstanding Series C Preference Units are in Arrears or (y) create or issue any Senior Securities.</w:t>
      </w:r>
    </w:p>
    <w:p>
      <w:pPr>
        <w:spacing w:after="0" w:line="188" w:lineRule="exact"/>
        <w:rPr>
          <w:sz w:val="20"/>
          <w:szCs w:val="20"/>
          <w:color w:val="auto"/>
        </w:rPr>
      </w:pPr>
    </w:p>
    <w:p>
      <w:pPr>
        <w:ind w:right="60" w:firstLine="1305"/>
        <w:spacing w:after="0" w:line="238" w:lineRule="auto"/>
        <w:tabs>
          <w:tab w:leader="none" w:pos="194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18.5</w:t>
      </w:r>
      <w:r>
        <w:rPr>
          <w:rFonts w:ascii="Arial" w:cs="Arial" w:eastAsia="Arial" w:hAnsi="Arial"/>
          <w:sz w:val="22"/>
          <w:szCs w:val="22"/>
          <w:color w:val="auto"/>
        </w:rPr>
        <w:t xml:space="preserve"> in which the Series C Holders are entitled to vote as a class (whether separately or together with the holders of any Parity Securities), such Series C Holders shall be entitled to one vote per Series C Preference Unit. Any Series C Preference Units held by the Partnership or any of its subsidiaries or Affiliates shall not be entitled to vote.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18.6.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06" w:lineRule="exact"/>
        <w:rPr>
          <w:sz w:val="20"/>
          <w:szCs w:val="20"/>
          <w:color w:val="auto"/>
        </w:rPr>
      </w:pPr>
    </w:p>
    <w:p>
      <w:pPr>
        <w:ind w:right="180" w:firstLine="1297"/>
        <w:spacing w:after="0" w:line="258" w:lineRule="auto"/>
        <w:rPr>
          <w:sz w:val="20"/>
          <w:szCs w:val="20"/>
          <w:color w:val="auto"/>
        </w:rPr>
      </w:pPr>
      <w:r>
        <w:rPr>
          <w:rFonts w:ascii="Arial" w:cs="Arial" w:eastAsia="Arial" w:hAnsi="Arial"/>
          <w:sz w:val="21"/>
          <w:szCs w:val="21"/>
          <w:color w:val="auto"/>
        </w:rPr>
        <w:t>The Partnership shall have the right at any time, and from time to time, on or after March 15, 2024 to redeem the Series C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C Redemption Date</w:t>
      </w:r>
      <w:r>
        <w:rPr>
          <w:rFonts w:ascii="Arial" w:cs="Arial" w:eastAsia="Arial" w:hAnsi="Arial"/>
          <w:sz w:val="21"/>
          <w:szCs w:val="21"/>
          <w:color w:val="auto"/>
        </w:rPr>
        <w:t>”).</w:t>
      </w:r>
    </w:p>
    <w:p>
      <w:pPr>
        <w:spacing w:after="0" w:line="167" w:lineRule="exact"/>
        <w:rPr>
          <w:sz w:val="20"/>
          <w:szCs w:val="20"/>
          <w:color w:val="auto"/>
        </w:rPr>
      </w:pPr>
    </w:p>
    <w:p>
      <w:pPr>
        <w:ind w:right="180" w:firstLine="1305"/>
        <w:spacing w:after="0" w:line="287" w:lineRule="auto"/>
        <w:tabs>
          <w:tab w:leader="none" w:pos="195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C Preference Unit to be redeemed equal to the Series C Liquidation Preference for such Series C Preference Unit on such Series C Redemption Date (the “</w:t>
      </w:r>
      <w:r>
        <w:rPr>
          <w:rFonts w:ascii="Arial" w:cs="Arial" w:eastAsia="Arial" w:hAnsi="Arial"/>
          <w:sz w:val="19"/>
          <w:szCs w:val="19"/>
          <w:b w:val="1"/>
          <w:bCs w:val="1"/>
          <w:i w:val="1"/>
          <w:iCs w:val="1"/>
          <w:color w:val="auto"/>
        </w:rPr>
        <w:t>Series C Redemption Price</w:t>
      </w:r>
      <w:r>
        <w:rPr>
          <w:rFonts w:ascii="Arial" w:cs="Arial" w:eastAsia="Arial" w:hAnsi="Arial"/>
          <w:sz w:val="19"/>
          <w:szCs w:val="19"/>
          <w:color w:val="auto"/>
        </w:rPr>
        <w:t>”). So long as the Series C Preference Units to be redeemed are held of record by the nominee of the Depositary, the Series C Redemption Price shall be paid by the Paying Agent to the Depositary on the Series C Redemption Date.</w:t>
      </w:r>
    </w:p>
    <w:p>
      <w:pPr>
        <w:spacing w:after="0" w:line="143" w:lineRule="exact"/>
        <w:rPr>
          <w:rFonts w:ascii="Arial" w:cs="Arial" w:eastAsia="Arial" w:hAnsi="Arial"/>
          <w:sz w:val="19"/>
          <w:szCs w:val="19"/>
          <w:color w:val="auto"/>
        </w:rPr>
      </w:pPr>
    </w:p>
    <w:p>
      <w:pPr>
        <w:ind w:right="60" w:firstLine="1305"/>
        <w:spacing w:after="0" w:line="246" w:lineRule="auto"/>
        <w:tabs>
          <w:tab w:leader="none" w:pos="1954"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C Redemption Date to the Series C Holders (as of 5:00 p.m. New York City time on the Business Day next preceding the day on which notice is given) of any Series C Preference Units to be redeemed as such Series C Holders’ names appear on the books of the Transfer Agent and at the address of such Series C Holders shown therein. Such notice (the “</w:t>
      </w:r>
      <w:r>
        <w:rPr>
          <w:rFonts w:ascii="Arial" w:cs="Arial" w:eastAsia="Arial" w:hAnsi="Arial"/>
          <w:sz w:val="21"/>
          <w:szCs w:val="21"/>
          <w:b w:val="1"/>
          <w:bCs w:val="1"/>
          <w:i w:val="1"/>
          <w:iCs w:val="1"/>
          <w:color w:val="auto"/>
        </w:rPr>
        <w:t>Series C Redemption Notice</w:t>
      </w:r>
      <w:r>
        <w:rPr>
          <w:rFonts w:ascii="Arial" w:cs="Arial" w:eastAsia="Arial" w:hAnsi="Arial"/>
          <w:sz w:val="21"/>
          <w:szCs w:val="21"/>
          <w:color w:val="auto"/>
        </w:rPr>
        <w:t>”) shall state, as applicable: (1) the Series C Redemption Date, (2) the number of Series C Preference Units to be redeemed and, if less than all Outstanding Series C Preference Units are to be redeemed, the number (and the identification) of Units to be redeemed from such Series C Holder, (3) the Series C Redemption Price, (4) the place where the Series C Preference Units are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4" w:right="259" w:bottom="1440" w:gutter="0" w:footer="0" w:header="0"/>
        </w:sectPr>
      </w:pPr>
    </w:p>
    <w:bookmarkStart w:id="104" w:name="page105"/>
    <w:bookmarkEnd w:id="104"/>
    <w:p>
      <w:pPr>
        <w:ind w:right="820"/>
        <w:spacing w:after="0" w:line="328" w:lineRule="auto"/>
        <w:rPr>
          <w:sz w:val="20"/>
          <w:szCs w:val="20"/>
          <w:color w:val="auto"/>
        </w:rPr>
      </w:pPr>
      <w:r>
        <w:rPr>
          <w:rFonts w:ascii="Arial" w:cs="Arial" w:eastAsia="Arial" w:hAnsi="Arial"/>
          <w:sz w:val="19"/>
          <w:szCs w:val="19"/>
          <w:color w:val="auto"/>
        </w:rPr>
        <w:t>to be redeemed and shall be presented and surrendered for payment of the Series C Redemption Price therefor and (5) that distributions on the Units to be redeemed shall cease to accumulate from and after such Series C Redemption Date.</w:t>
      </w:r>
    </w:p>
    <w:p>
      <w:pPr>
        <w:spacing w:after="0" w:line="105" w:lineRule="exact"/>
        <w:rPr>
          <w:sz w:val="20"/>
          <w:szCs w:val="20"/>
          <w:color w:val="auto"/>
        </w:rPr>
      </w:pPr>
    </w:p>
    <w:p>
      <w:pPr>
        <w:ind w:right="80" w:firstLine="1305"/>
        <w:spacing w:after="0" w:line="234" w:lineRule="auto"/>
        <w:tabs>
          <w:tab w:leader="none" w:pos="195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 xml:space="preserve">If the Partnership elects to redeem less than all of the Outstanding Series C Preference Units, the number of Series C Preference Units to be redeemed shall be determined by the Board of Directors, and such Series C Preference Units shall be redeemed by such method of selection as the Depositary shall determine either Pro Rata or by lot, with adjustments to avoid redemption of fractional Series C Preference Units. The aggregate Series C Redemption Price for any such partial redemption of the Outstanding Series C Preference Units shall be allocated correspondingly among the redeemed Series C Preference Units. The Series C Preference Units not redeemed shall remain Outstanding and entitled to all the rights and preferences provided in this </w:t>
      </w:r>
      <w:r>
        <w:rPr>
          <w:rFonts w:ascii="Arial" w:cs="Arial" w:eastAsia="Arial" w:hAnsi="Arial"/>
          <w:sz w:val="22"/>
          <w:szCs w:val="22"/>
          <w:u w:val="single" w:color="auto"/>
          <w:color w:val="auto"/>
        </w:rPr>
        <w:t>Article XVIII</w:t>
      </w:r>
      <w:r>
        <w:rPr>
          <w:rFonts w:ascii="Arial" w:cs="Arial" w:eastAsia="Arial" w:hAnsi="Arial"/>
          <w:sz w:val="22"/>
          <w:szCs w:val="22"/>
          <w:color w:val="auto"/>
        </w:rPr>
        <w:t>.</w:t>
      </w:r>
    </w:p>
    <w:p>
      <w:pPr>
        <w:spacing w:after="0" w:line="191" w:lineRule="exact"/>
        <w:rPr>
          <w:rFonts w:ascii="Arial" w:cs="Arial" w:eastAsia="Arial" w:hAnsi="Arial"/>
          <w:sz w:val="22"/>
          <w:szCs w:val="22"/>
          <w:color w:val="auto"/>
        </w:rPr>
      </w:pPr>
    </w:p>
    <w:p>
      <w:pPr>
        <w:ind w:firstLine="1305"/>
        <w:spacing w:after="0" w:line="270" w:lineRule="auto"/>
        <w:tabs>
          <w:tab w:leader="none" w:pos="194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C Redemption Notice, the Partnership shall deposit with the Paying Agent funds, sufficient to redeem the Series C Preference Units, as to which such Series C Redemption Notice shall have been given, no later than 5:00 p.m. New York City time on the Business Day immediately preceding the Series C Redemption Date, and shall give the Paying Agent irrevocable instructions and authority to pay the Series C Redemption Price to the Series C Holders to be redeemed upon surrender or deemed surrender (which shall occur automatically if the Certificate representing such Series C Preference Units is issued in the name of the Depositary or its nominee) of the Certificates therefor as set forth in the Series C Redemption Notice. If the Series C Redemption Notice shall have been given, from and after the Series C Redemption Date, unless the Partnership defaults in providing funds sufficient for such redemption at the time and place specified for payment pursuant to the Series C Redemption Notice, all Series C Distributions on such Series C Preference Units to be redeemed shall cease to accumulate and all rights of holders of such Series C Preference Units as Limited Partners with respect to such Series C Preference Units to be redeemed shall cease, except the right to receive the Series C Redemption Price, and such Series C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C Redemption Price of the Series C Preference Units to be redeemed), and the holders of any Series C Preference Units so redeemed shall have no claim to any such interest income. Any funds deposited with the Paying Agent hereunder by the Partnership for any reason, including redemption of Series C Preference Units, that remain unclaimed or unpaid after two years after the applicable Series C Redemption Date or other payment date, as applicable, shall be, to the extent permitted by law, repaid to the Partnership upon its written request, after which repayment the Series C Holders entitled to such redemption or other payment shall have recourse only to the Partnership. Notwithstanding any Series C Redemption Notice, there shall be no redemption of any Series C Preference Units called for redemption until funds sufficient to pay the full Series C Redemption Price of such Series C Preference Units shall have been deposited by the Partnership with the Paying Agent.</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right="40" w:firstLine="1305"/>
        <w:spacing w:after="0" w:line="251" w:lineRule="auto"/>
        <w:tabs>
          <w:tab w:leader="none" w:pos="1955"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Any Series C Preference Units that are redeemed or otherwise acquired by the Partnership shall be canceled. If only a portion of the Series C Preference Units represented</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05" w:name="page106"/>
    <w:bookmarkEnd w:id="105"/>
    <w:p>
      <w:pPr>
        <w:ind w:right="360"/>
        <w:spacing w:after="0" w:line="236" w:lineRule="auto"/>
        <w:rPr>
          <w:sz w:val="20"/>
          <w:szCs w:val="20"/>
          <w:color w:val="auto"/>
        </w:rPr>
      </w:pPr>
      <w:r>
        <w:rPr>
          <w:rFonts w:ascii="Arial" w:cs="Arial" w:eastAsia="Arial" w:hAnsi="Arial"/>
          <w:sz w:val="22"/>
          <w:szCs w:val="22"/>
          <w:color w:val="auto"/>
        </w:rPr>
        <w:t>by a Certificate shall have been called for redemption, upon surrender of the Certificate to the Paying Agent (which shall occur automatically if the Certificate representing such Series C Preference Units is registered in the name of the Depositary or its nominee), the Paying Agent shall issue to the Series C Holders a new Certificate (or adjust the applicable book-entry account) representing the number of Series C Preference Units represented by the surrendered Certificate that have not been called for redemption.</w:t>
      </w:r>
    </w:p>
    <w:p>
      <w:pPr>
        <w:spacing w:after="0" w:line="188" w:lineRule="exact"/>
        <w:rPr>
          <w:sz w:val="20"/>
          <w:szCs w:val="20"/>
          <w:color w:val="auto"/>
        </w:rPr>
      </w:pPr>
    </w:p>
    <w:p>
      <w:pPr>
        <w:ind w:firstLine="1305"/>
        <w:spacing w:after="0" w:line="245" w:lineRule="auto"/>
        <w:tabs>
          <w:tab w:leader="none" w:pos="1945" w:val="left"/>
        </w:tabs>
        <w:numPr>
          <w:ilvl w:val="0"/>
          <w:numId w:val="134"/>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XVIII</w:t>
      </w:r>
      <w:r>
        <w:rPr>
          <w:rFonts w:ascii="Arial" w:cs="Arial" w:eastAsia="Arial" w:hAnsi="Arial"/>
          <w:sz w:val="21"/>
          <w:szCs w:val="21"/>
          <w:color w:val="auto"/>
        </w:rPr>
        <w:t>, in the event that full cumulative distributions on the Series C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C Preference Units or other Parity Securities except pursuant to a purchase or exchange offer made on the same terms to all Series C Holders and holders of any other Parity Securities. None of the Partnership, the General Partner or any Affiliate of the General Partner shall be permitted to redeem, repurchase or otherwise acquire any Common Units, Class B Units or any other Junior Securities unless full cumulative distributions on the Series C Preference Units and any other Parity Securities for all prior and the then-ending Series C Distribution Periods shall have been paid or declared and set apart for payment.</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Section 18.7.  </w:t>
      </w:r>
      <w:r>
        <w:rPr>
          <w:rFonts w:ascii="Arial" w:cs="Arial" w:eastAsia="Arial" w:hAnsi="Arial"/>
          <w:sz w:val="22"/>
          <w:szCs w:val="22"/>
          <w:i w:val="1"/>
          <w:iCs w:val="1"/>
          <w:color w:val="auto"/>
        </w:rPr>
        <w:t>Rank</w:t>
      </w:r>
      <w:r>
        <w:rPr>
          <w:rFonts w:ascii="Arial" w:cs="Arial" w:eastAsia="Arial" w:hAnsi="Arial"/>
          <w:sz w:val="22"/>
          <w:szCs w:val="22"/>
          <w:color w:val="auto"/>
        </w:rPr>
        <w:t>. The Series C Preference Units shall each be deemed to rank:</w:t>
      </w:r>
    </w:p>
    <w:p>
      <w:pPr>
        <w:spacing w:after="0" w:line="206" w:lineRule="exact"/>
        <w:rPr>
          <w:sz w:val="20"/>
          <w:szCs w:val="20"/>
          <w:color w:val="auto"/>
        </w:rPr>
      </w:pPr>
    </w:p>
    <w:p>
      <w:pPr>
        <w:ind w:left="1960" w:hanging="655"/>
        <w:spacing w:after="0"/>
        <w:tabs>
          <w:tab w:leader="none" w:pos="19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06" w:lineRule="exact"/>
        <w:rPr>
          <w:rFonts w:ascii="Arial" w:cs="Arial" w:eastAsia="Arial" w:hAnsi="Arial"/>
          <w:sz w:val="22"/>
          <w:szCs w:val="22"/>
          <w:color w:val="auto"/>
        </w:rPr>
      </w:pPr>
    </w:p>
    <w:p>
      <w:pPr>
        <w:ind w:left="1960" w:hanging="655"/>
        <w:spacing w:after="0"/>
        <w:tabs>
          <w:tab w:leader="none" w:pos="196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06" w:lineRule="exact"/>
        <w:rPr>
          <w:sz w:val="20"/>
          <w:szCs w:val="20"/>
          <w:color w:val="auto"/>
        </w:rPr>
      </w:pPr>
    </w:p>
    <w:p>
      <w:pPr>
        <w:ind w:right="120" w:firstLine="1297"/>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C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18.8.  </w:t>
      </w:r>
      <w:r>
        <w:rPr>
          <w:rFonts w:ascii="Arial" w:cs="Arial" w:eastAsia="Arial" w:hAnsi="Arial"/>
          <w:sz w:val="19"/>
          <w:szCs w:val="19"/>
          <w:i w:val="1"/>
          <w:iCs w:val="1"/>
          <w:color w:val="auto"/>
        </w:rPr>
        <w:t>No Sinking Fund</w:t>
      </w:r>
      <w:r>
        <w:rPr>
          <w:rFonts w:ascii="Arial" w:cs="Arial" w:eastAsia="Arial" w:hAnsi="Arial"/>
          <w:sz w:val="19"/>
          <w:szCs w:val="19"/>
          <w:color w:val="auto"/>
        </w:rPr>
        <w:t>. The Series C Preference Units shall not have the benefit of any sinking fund.</w:t>
      </w:r>
    </w:p>
    <w:p>
      <w:pPr>
        <w:spacing w:after="0" w:line="241" w:lineRule="exact"/>
        <w:rPr>
          <w:sz w:val="20"/>
          <w:szCs w:val="20"/>
          <w:color w:val="auto"/>
        </w:rPr>
      </w:pPr>
    </w:p>
    <w:p>
      <w:pPr>
        <w:ind w:firstLine="1297"/>
        <w:spacing w:after="0" w:line="238" w:lineRule="auto"/>
        <w:rPr>
          <w:sz w:val="20"/>
          <w:szCs w:val="20"/>
          <w:color w:val="auto"/>
        </w:rPr>
      </w:pPr>
      <w:r>
        <w:rPr>
          <w:rFonts w:ascii="Arial" w:cs="Arial" w:eastAsia="Arial" w:hAnsi="Arial"/>
          <w:sz w:val="22"/>
          <w:szCs w:val="22"/>
          <w:color w:val="auto"/>
        </w:rPr>
        <w:t xml:space="preserve">Section 18.9.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 any Series C Holder as the true, lawful and absolute owner of the applicable Series C Preference Units for all purposes, and neither the General Partner, the Partnership nor the Transfer Agent or the Paying Agent shall be affected by any notice to the contrary.</w:t>
      </w:r>
    </w:p>
    <w:p>
      <w:pPr>
        <w:spacing w:after="0" w:line="185" w:lineRule="exact"/>
        <w:rPr>
          <w:sz w:val="20"/>
          <w:szCs w:val="20"/>
          <w:color w:val="auto"/>
        </w:rPr>
      </w:pPr>
    </w:p>
    <w:p>
      <w:pPr>
        <w:ind w:right="840" w:firstLine="1297"/>
        <w:spacing w:after="0" w:line="251" w:lineRule="auto"/>
        <w:rPr>
          <w:sz w:val="20"/>
          <w:szCs w:val="20"/>
          <w:color w:val="auto"/>
        </w:rPr>
      </w:pPr>
      <w:r>
        <w:rPr>
          <w:rFonts w:ascii="Arial" w:cs="Arial" w:eastAsia="Arial" w:hAnsi="Arial"/>
          <w:sz w:val="22"/>
          <w:szCs w:val="22"/>
          <w:color w:val="auto"/>
        </w:rPr>
        <w:t xml:space="preserve">Section 18.10. </w:t>
      </w:r>
      <w:r>
        <w:rPr>
          <w:rFonts w:ascii="Arial" w:cs="Arial" w:eastAsia="Arial" w:hAnsi="Arial"/>
          <w:sz w:val="22"/>
          <w:szCs w:val="22"/>
          <w:i w:val="1"/>
          <w:iCs w:val="1"/>
          <w:color w:val="auto"/>
        </w:rPr>
        <w:t>Notices</w:t>
      </w:r>
      <w:r>
        <w:rPr>
          <w:rFonts w:ascii="Arial" w:cs="Arial" w:eastAsia="Arial" w:hAnsi="Arial"/>
          <w:sz w:val="22"/>
          <w:szCs w:val="22"/>
          <w:color w:val="auto"/>
        </w:rPr>
        <w:t>. All notices or communications in respect of the Series C Preference Units shall be sufficiently given if given in writing and delivered in person or by first</w:t>
      </w:r>
    </w:p>
    <w:p>
      <w:pPr>
        <w:spacing w:after="0" w:line="1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06" w:name="page107"/>
    <w:bookmarkEnd w:id="106"/>
    <w:p>
      <w:pPr>
        <w:ind w:right="600"/>
        <w:spacing w:after="0" w:line="251" w:lineRule="auto"/>
        <w:rPr>
          <w:sz w:val="20"/>
          <w:szCs w:val="20"/>
          <w:color w:val="auto"/>
        </w:rPr>
      </w:pPr>
      <w:r>
        <w:rPr>
          <w:rFonts w:ascii="Arial" w:cs="Arial" w:eastAsia="Arial" w:hAnsi="Arial"/>
          <w:sz w:val="22"/>
          <w:szCs w:val="22"/>
          <w:color w:val="auto"/>
        </w:rPr>
        <w:t xml:space="preserve">class mail, postage prepaid, or if given in such other manner as may be permitted in this </w:t>
      </w:r>
      <w:r>
        <w:rPr>
          <w:rFonts w:ascii="Arial" w:cs="Arial" w:eastAsia="Arial" w:hAnsi="Arial"/>
          <w:sz w:val="22"/>
          <w:szCs w:val="22"/>
          <w:u w:val="single" w:color="auto"/>
          <w:color w:val="auto"/>
        </w:rPr>
        <w:t>Article XVIII</w:t>
      </w:r>
      <w:r>
        <w:rPr>
          <w:rFonts w:ascii="Arial" w:cs="Arial" w:eastAsia="Arial" w:hAnsi="Arial"/>
          <w:sz w:val="22"/>
          <w:szCs w:val="22"/>
          <w:color w:val="auto"/>
        </w:rPr>
        <w:t>, this Agreement or by applicable law.</w:t>
      </w:r>
    </w:p>
    <w:p>
      <w:pPr>
        <w:spacing w:after="0" w:line="173"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18.11. </w:t>
      </w:r>
      <w:r>
        <w:rPr>
          <w:rFonts w:ascii="Arial" w:cs="Arial" w:eastAsia="Arial" w:hAnsi="Arial"/>
          <w:sz w:val="19"/>
          <w:szCs w:val="19"/>
          <w:i w:val="1"/>
          <w:iCs w:val="1"/>
          <w:color w:val="auto"/>
        </w:rPr>
        <w:t>Other Rights; Fiduciary Duties</w:t>
      </w:r>
      <w:r>
        <w:rPr>
          <w:rFonts w:ascii="Arial" w:cs="Arial" w:eastAsia="Arial" w:hAnsi="Arial"/>
          <w:sz w:val="19"/>
          <w:szCs w:val="19"/>
          <w:color w:val="auto"/>
        </w:rPr>
        <w:t xml:space="preserve">. The Series C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or as provided by applicable law. Notwithstanding anything to the contrary in this Agreement, but subject to </w:t>
      </w:r>
      <w:r>
        <w:rPr>
          <w:rFonts w:ascii="Arial" w:cs="Arial" w:eastAsia="Arial" w:hAnsi="Arial"/>
          <w:sz w:val="19"/>
          <w:szCs w:val="19"/>
          <w:u w:val="single" w:color="auto"/>
          <w:color w:val="auto"/>
        </w:rPr>
        <w:t>Section 7.17(c)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7.17(b)</w:t>
      </w:r>
      <w:r>
        <w:rPr>
          <w:rFonts w:ascii="Arial" w:cs="Arial" w:eastAsia="Arial" w:hAnsi="Arial"/>
          <w:sz w:val="19"/>
          <w:szCs w:val="19"/>
          <w:color w:val="auto"/>
        </w:rPr>
        <w:t>, neither the General Partner nor any other Indemnitee shall owe any fiduciary duties to Series C Holders, other than the implied duty of good faith and fair dealing.</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XIX</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GENERAL PROVISIONS</w:t>
      </w:r>
    </w:p>
    <w:p>
      <w:pPr>
        <w:spacing w:after="0" w:line="188" w:lineRule="exact"/>
        <w:rPr>
          <w:sz w:val="20"/>
          <w:szCs w:val="20"/>
          <w:color w:val="auto"/>
        </w:rPr>
      </w:pPr>
    </w:p>
    <w:p>
      <w:pPr>
        <w:ind w:firstLine="1297"/>
        <w:spacing w:after="0" w:line="270" w:lineRule="auto"/>
        <w:rPr>
          <w:sz w:val="20"/>
          <w:szCs w:val="20"/>
          <w:color w:val="auto"/>
        </w:rPr>
      </w:pPr>
      <w:r>
        <w:rPr>
          <w:rFonts w:ascii="Arial" w:cs="Arial" w:eastAsia="Arial" w:hAnsi="Arial"/>
          <w:sz w:val="19"/>
          <w:szCs w:val="19"/>
          <w:color w:val="auto"/>
        </w:rPr>
        <w:t xml:space="preserve">Section 19.1. </w:t>
      </w:r>
      <w:r>
        <w:rPr>
          <w:rFonts w:ascii="Arial" w:cs="Arial" w:eastAsia="Arial" w:hAnsi="Arial"/>
          <w:sz w:val="19"/>
          <w:szCs w:val="19"/>
          <w:i w:val="1"/>
          <w:iCs w:val="1"/>
          <w:color w:val="auto"/>
        </w:rPr>
        <w:t>Addresses and Notices</w:t>
      </w:r>
      <w:r>
        <w:rPr>
          <w:rFonts w:ascii="Arial" w:cs="Arial" w:eastAsia="Arial" w:hAnsi="Arial"/>
          <w:sz w:val="19"/>
          <w:szCs w:val="19"/>
          <w:color w:val="auto"/>
        </w:rPr>
        <w:t xml:space="preserve">. (a)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w:t>
      </w:r>
      <w:r>
        <w:rPr>
          <w:rFonts w:ascii="Arial" w:cs="Arial" w:eastAsia="Arial" w:hAnsi="Arial"/>
          <w:sz w:val="19"/>
          <w:szCs w:val="19"/>
          <w:u w:val="single" w:color="auto"/>
          <w:color w:val="auto"/>
        </w:rPr>
        <w:t>Section 19.1</w:t>
      </w:r>
      <w:r>
        <w:rPr>
          <w:rFonts w:ascii="Arial" w:cs="Arial" w:eastAsia="Arial" w:hAnsi="Arial"/>
          <w:sz w:val="19"/>
          <w:szCs w:val="19"/>
          <w:color w:val="auto"/>
        </w:rPr>
        <w:t xml:space="preserve"> executed by a member of the Board of Directors,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or the Board of Directors at the principal office of the Partnership designated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The General Partner and the Board of Directors may rely and shall be protected in relying on any notice or other document from a Partner or other Person if believed by it to be genuine.</w:t>
      </w:r>
    </w:p>
    <w:p>
      <w:pPr>
        <w:spacing w:after="0" w:line="200" w:lineRule="exact"/>
        <w:rPr>
          <w:sz w:val="20"/>
          <w:szCs w:val="20"/>
          <w:color w:val="auto"/>
        </w:rPr>
      </w:pPr>
    </w:p>
    <w:p>
      <w:pPr>
        <w:spacing w:after="0" w:line="208" w:lineRule="exact"/>
        <w:rPr>
          <w:sz w:val="20"/>
          <w:szCs w:val="20"/>
          <w:color w:val="auto"/>
        </w:rPr>
      </w:pPr>
    </w:p>
    <w:p>
      <w:pPr>
        <w:ind w:right="380" w:firstLine="1305"/>
        <w:spacing w:after="0" w:line="251" w:lineRule="auto"/>
        <w:tabs>
          <w:tab w:leader="none" w:pos="195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The terms “in writing,” “written communications,” “written notice” and words of similar import shall be deemed satisfied under this Agreement by use of e-mail and other forms of electronic communication.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4" w:right="279" w:bottom="1440" w:gutter="0" w:footer="0" w:header="0"/>
        </w:sectPr>
      </w:pPr>
    </w:p>
    <w:bookmarkStart w:id="107" w:name="page108"/>
    <w:bookmarkEnd w:id="107"/>
    <w:p>
      <w:pPr>
        <w:ind w:right="60" w:firstLine="1297"/>
        <w:spacing w:after="0" w:line="274" w:lineRule="auto"/>
        <w:rPr>
          <w:sz w:val="20"/>
          <w:szCs w:val="20"/>
          <w:color w:val="auto"/>
        </w:rPr>
      </w:pPr>
      <w:r>
        <w:rPr>
          <w:rFonts w:ascii="Arial" w:cs="Arial" w:eastAsia="Arial" w:hAnsi="Arial"/>
          <w:sz w:val="21"/>
          <w:szCs w:val="21"/>
          <w:color w:val="auto"/>
        </w:rPr>
        <w:t xml:space="preserve">Section 19.2. </w:t>
      </w:r>
      <w:r>
        <w:rPr>
          <w:rFonts w:ascii="Arial" w:cs="Arial" w:eastAsia="Arial" w:hAnsi="Arial"/>
          <w:sz w:val="21"/>
          <w:szCs w:val="21"/>
          <w:i w:val="1"/>
          <w:iCs w:val="1"/>
          <w:color w:val="auto"/>
        </w:rPr>
        <w:t>Further Action</w:t>
      </w:r>
      <w:r>
        <w:rPr>
          <w:rFonts w:ascii="Arial" w:cs="Arial" w:eastAsia="Arial" w:hAnsi="Arial"/>
          <w:sz w:val="21"/>
          <w:szCs w:val="21"/>
          <w:color w:val="auto"/>
        </w:rPr>
        <w:t>. The parties shall execute and deliver all documents, provide all information and take or refrain from taking action as may be necessary or appropriate to achieve the purposes of this Agreement.</w:t>
      </w:r>
    </w:p>
    <w:p>
      <w:pPr>
        <w:spacing w:after="0" w:line="151" w:lineRule="exact"/>
        <w:rPr>
          <w:sz w:val="20"/>
          <w:szCs w:val="20"/>
          <w:color w:val="auto"/>
        </w:rPr>
      </w:pPr>
    </w:p>
    <w:p>
      <w:pPr>
        <w:ind w:right="260" w:firstLine="1297"/>
        <w:spacing w:after="0" w:line="274" w:lineRule="auto"/>
        <w:rPr>
          <w:sz w:val="20"/>
          <w:szCs w:val="20"/>
          <w:color w:val="auto"/>
        </w:rPr>
      </w:pPr>
      <w:r>
        <w:rPr>
          <w:rFonts w:ascii="Arial" w:cs="Arial" w:eastAsia="Arial" w:hAnsi="Arial"/>
          <w:sz w:val="21"/>
          <w:szCs w:val="21"/>
          <w:color w:val="auto"/>
        </w:rPr>
        <w:t xml:space="preserve">Section 19.3. </w:t>
      </w:r>
      <w:r>
        <w:rPr>
          <w:rFonts w:ascii="Arial" w:cs="Arial" w:eastAsia="Arial" w:hAnsi="Arial"/>
          <w:sz w:val="21"/>
          <w:szCs w:val="21"/>
          <w:i w:val="1"/>
          <w:iCs w:val="1"/>
          <w:color w:val="auto"/>
        </w:rPr>
        <w:t>Binding Effect</w:t>
      </w:r>
      <w:r>
        <w:rPr>
          <w:rFonts w:ascii="Arial" w:cs="Arial" w:eastAsia="Arial" w:hAnsi="Arial"/>
          <w:sz w:val="21"/>
          <w:szCs w:val="21"/>
          <w:color w:val="auto"/>
        </w:rPr>
        <w:t>. This Agreement shall be binding upon and inure to the benefit of the parties hereto and their respective heirs, executors, administrators, successors, legal representatives and permitted assigns.</w:t>
      </w:r>
    </w:p>
    <w:p>
      <w:pPr>
        <w:spacing w:after="0" w:line="151" w:lineRule="exact"/>
        <w:rPr>
          <w:sz w:val="20"/>
          <w:szCs w:val="20"/>
          <w:color w:val="auto"/>
        </w:rPr>
      </w:pPr>
    </w:p>
    <w:p>
      <w:pPr>
        <w:jc w:val="both"/>
        <w:ind w:right="160" w:firstLine="1297"/>
        <w:spacing w:after="0"/>
        <w:rPr>
          <w:sz w:val="20"/>
          <w:szCs w:val="20"/>
          <w:color w:val="auto"/>
        </w:rPr>
      </w:pPr>
      <w:r>
        <w:rPr>
          <w:rFonts w:ascii="Arial" w:cs="Arial" w:eastAsia="Arial" w:hAnsi="Arial"/>
          <w:sz w:val="22"/>
          <w:szCs w:val="22"/>
          <w:color w:val="auto"/>
        </w:rPr>
        <w:t xml:space="preserve">Section 19.4. </w:t>
      </w:r>
      <w:r>
        <w:rPr>
          <w:rFonts w:ascii="Arial" w:cs="Arial" w:eastAsia="Arial" w:hAnsi="Arial"/>
          <w:sz w:val="22"/>
          <w:szCs w:val="22"/>
          <w:i w:val="1"/>
          <w:iCs w:val="1"/>
          <w:color w:val="auto"/>
        </w:rPr>
        <w:t>Integration</w:t>
      </w:r>
      <w:r>
        <w:rPr>
          <w:rFonts w:ascii="Arial" w:cs="Arial" w:eastAsia="Arial" w:hAnsi="Arial"/>
          <w:sz w:val="22"/>
          <w:szCs w:val="22"/>
          <w:color w:val="auto"/>
        </w:rPr>
        <w:t>. This Agreement constitutes the entire agreement among the parties hereto pertaining to the subject matter hereof and supersedes all prior agreements and understandings pertaining thereto, including the Fifth Amended Agreement.</w:t>
      </w:r>
    </w:p>
    <w:p>
      <w:pPr>
        <w:spacing w:after="0" w:line="186" w:lineRule="exact"/>
        <w:rPr>
          <w:sz w:val="20"/>
          <w:szCs w:val="20"/>
          <w:color w:val="auto"/>
        </w:rPr>
      </w:pPr>
    </w:p>
    <w:p>
      <w:pPr>
        <w:ind w:right="1000" w:firstLine="1297"/>
        <w:spacing w:after="0" w:line="251" w:lineRule="auto"/>
        <w:rPr>
          <w:sz w:val="20"/>
          <w:szCs w:val="20"/>
          <w:color w:val="auto"/>
        </w:rPr>
      </w:pPr>
      <w:r>
        <w:rPr>
          <w:rFonts w:ascii="Arial" w:cs="Arial" w:eastAsia="Arial" w:hAnsi="Arial"/>
          <w:sz w:val="22"/>
          <w:szCs w:val="22"/>
          <w:color w:val="auto"/>
        </w:rPr>
        <w:t xml:space="preserve">Section 19.5. </w:t>
      </w:r>
      <w:r>
        <w:rPr>
          <w:rFonts w:ascii="Arial" w:cs="Arial" w:eastAsia="Arial" w:hAnsi="Arial"/>
          <w:sz w:val="22"/>
          <w:szCs w:val="22"/>
          <w:i w:val="1"/>
          <w:iCs w:val="1"/>
          <w:color w:val="auto"/>
        </w:rPr>
        <w:t>Creditors</w:t>
      </w:r>
      <w:r>
        <w:rPr>
          <w:rFonts w:ascii="Arial" w:cs="Arial" w:eastAsia="Arial" w:hAnsi="Arial"/>
          <w:sz w:val="22"/>
          <w:szCs w:val="22"/>
          <w:color w:val="auto"/>
        </w:rPr>
        <w:t>. None of the provisions of this Agreement shall be for the benefit of, or shall be enforceable by, any creditor of the Partnership.</w:t>
      </w:r>
    </w:p>
    <w:p>
      <w:pPr>
        <w:spacing w:after="0" w:line="173" w:lineRule="exact"/>
        <w:rPr>
          <w:sz w:val="20"/>
          <w:szCs w:val="20"/>
          <w:color w:val="auto"/>
        </w:rPr>
      </w:pPr>
    </w:p>
    <w:p>
      <w:pPr>
        <w:ind w:right="500" w:firstLine="1297"/>
        <w:spacing w:after="0"/>
        <w:rPr>
          <w:sz w:val="20"/>
          <w:szCs w:val="20"/>
          <w:color w:val="auto"/>
        </w:rPr>
      </w:pPr>
      <w:r>
        <w:rPr>
          <w:rFonts w:ascii="Arial" w:cs="Arial" w:eastAsia="Arial" w:hAnsi="Arial"/>
          <w:sz w:val="22"/>
          <w:szCs w:val="22"/>
          <w:color w:val="auto"/>
        </w:rPr>
        <w:t xml:space="preserve">Section 19.6. </w:t>
      </w:r>
      <w:r>
        <w:rPr>
          <w:rFonts w:ascii="Arial" w:cs="Arial" w:eastAsia="Arial" w:hAnsi="Arial"/>
          <w:sz w:val="22"/>
          <w:szCs w:val="22"/>
          <w:i w:val="1"/>
          <w:iCs w:val="1"/>
          <w:color w:val="auto"/>
        </w:rPr>
        <w:t>Waiver</w:t>
      </w:r>
      <w:r>
        <w:rPr>
          <w:rFonts w:ascii="Arial" w:cs="Arial" w:eastAsia="Arial" w:hAnsi="Arial"/>
          <w:sz w:val="22"/>
          <w:szCs w:val="22"/>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86" w:lineRule="exact"/>
        <w:rPr>
          <w:sz w:val="20"/>
          <w:szCs w:val="20"/>
          <w:color w:val="auto"/>
        </w:rPr>
      </w:pPr>
    </w:p>
    <w:p>
      <w:pPr>
        <w:ind w:firstLine="1297"/>
        <w:spacing w:after="0" w:line="236" w:lineRule="auto"/>
        <w:rPr>
          <w:sz w:val="20"/>
          <w:szCs w:val="20"/>
          <w:color w:val="auto"/>
        </w:rPr>
      </w:pPr>
      <w:r>
        <w:rPr>
          <w:rFonts w:ascii="Arial" w:cs="Arial" w:eastAsia="Arial" w:hAnsi="Arial"/>
          <w:sz w:val="22"/>
          <w:szCs w:val="22"/>
          <w:color w:val="auto"/>
        </w:rPr>
        <w:t xml:space="preserve">Section 19.7. </w:t>
      </w:r>
      <w:r>
        <w:rPr>
          <w:rFonts w:ascii="Arial" w:cs="Arial" w:eastAsia="Arial" w:hAnsi="Arial"/>
          <w:sz w:val="22"/>
          <w:szCs w:val="22"/>
          <w:i w:val="1"/>
          <w:iCs w:val="1"/>
          <w:color w:val="auto"/>
        </w:rPr>
        <w:t>Counterparts</w:t>
      </w:r>
      <w:r>
        <w:rPr>
          <w:rFonts w:ascii="Arial" w:cs="Arial" w:eastAsia="Arial" w:hAnsi="Arial"/>
          <w:sz w:val="22"/>
          <w:szCs w:val="22"/>
          <w:color w:val="auto"/>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w:t>
      </w:r>
      <w:r>
        <w:rPr>
          <w:rFonts w:ascii="Arial" w:cs="Arial" w:eastAsia="Arial" w:hAnsi="Arial"/>
          <w:sz w:val="22"/>
          <w:szCs w:val="22"/>
          <w:u w:val="single" w:color="auto"/>
          <w:color w:val="auto"/>
        </w:rPr>
        <w:t>Section 10.2(a)</w:t>
      </w:r>
      <w:r>
        <w:rPr>
          <w:rFonts w:ascii="Arial" w:cs="Arial" w:eastAsia="Arial" w:hAnsi="Arial"/>
          <w:sz w:val="22"/>
          <w:szCs w:val="22"/>
          <w:color w:val="auto"/>
        </w:rPr>
        <w:t>, immediately upon the acquisition of such Limited Partner Interests without execution hereof.</w:t>
      </w:r>
    </w:p>
    <w:p>
      <w:pPr>
        <w:spacing w:after="0" w:line="188" w:lineRule="exact"/>
        <w:rPr>
          <w:sz w:val="20"/>
          <w:szCs w:val="20"/>
          <w:color w:val="auto"/>
        </w:rPr>
      </w:pPr>
    </w:p>
    <w:p>
      <w:pPr>
        <w:ind w:right="160" w:firstLine="1297"/>
        <w:spacing w:after="0"/>
        <w:rPr>
          <w:sz w:val="20"/>
          <w:szCs w:val="20"/>
          <w:color w:val="auto"/>
        </w:rPr>
      </w:pPr>
      <w:r>
        <w:rPr>
          <w:rFonts w:ascii="Arial" w:cs="Arial" w:eastAsia="Arial" w:hAnsi="Arial"/>
          <w:sz w:val="22"/>
          <w:szCs w:val="22"/>
          <w:color w:val="auto"/>
        </w:rPr>
        <w:t xml:space="preserve">Section 19.8. </w:t>
      </w:r>
      <w:r>
        <w:rPr>
          <w:rFonts w:ascii="Arial" w:cs="Arial" w:eastAsia="Arial" w:hAnsi="Arial"/>
          <w:sz w:val="22"/>
          <w:szCs w:val="22"/>
          <w:i w:val="1"/>
          <w:iCs w:val="1"/>
          <w:color w:val="auto"/>
        </w:rPr>
        <w:t>Applicable Law; Forum, Venue and Jurisdiction</w:t>
      </w:r>
      <w:r>
        <w:rPr>
          <w:rFonts w:ascii="Arial" w:cs="Arial" w:eastAsia="Arial" w:hAnsi="Arial"/>
          <w:sz w:val="22"/>
          <w:szCs w:val="22"/>
          <w:color w:val="auto"/>
        </w:rPr>
        <w:t>. (a) This Agreement shall be construed in accordance with and governed by the laws of The Republic of the Marshall Islands, without regard to the principles of conflicts of law.</w:t>
      </w:r>
    </w:p>
    <w:p>
      <w:pPr>
        <w:spacing w:after="0" w:line="186" w:lineRule="exact"/>
        <w:rPr>
          <w:sz w:val="20"/>
          <w:szCs w:val="20"/>
          <w:color w:val="auto"/>
        </w:rPr>
      </w:pPr>
    </w:p>
    <w:p>
      <w:pPr>
        <w:ind w:right="300" w:firstLine="1305"/>
        <w:spacing w:after="0" w:line="274" w:lineRule="auto"/>
        <w:tabs>
          <w:tab w:leader="none" w:pos="195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Each of the Partners and each Person holding any beneficial interest in the Partnership (whether through a broker, dealer, bank, trust company or clearing corporation or an agent of any of the foregoing or otherwise):</w:t>
      </w:r>
    </w:p>
    <w:p>
      <w:pPr>
        <w:spacing w:after="0" w:line="151" w:lineRule="exact"/>
        <w:rPr>
          <w:sz w:val="20"/>
          <w:szCs w:val="20"/>
          <w:color w:val="auto"/>
        </w:rPr>
      </w:pPr>
    </w:p>
    <w:p>
      <w:pPr>
        <w:ind w:left="660" w:right="20" w:firstLine="645"/>
        <w:spacing w:after="0" w:line="245" w:lineRule="auto"/>
        <w:tabs>
          <w:tab w:leader="none" w:pos="1971" w:val="left"/>
        </w:tabs>
        <w:numPr>
          <w:ilvl w:val="0"/>
          <w:numId w:val="138"/>
        </w:numPr>
        <w:rPr>
          <w:rFonts w:ascii="Arial" w:cs="Arial" w:eastAsia="Arial" w:hAnsi="Arial"/>
          <w:sz w:val="21"/>
          <w:szCs w:val="21"/>
          <w:color w:val="auto"/>
        </w:rPr>
      </w:pPr>
      <w:r>
        <w:rPr>
          <w:rFonts w:ascii="Arial" w:cs="Arial" w:eastAsia="Arial" w:hAnsi="Arial"/>
          <w:sz w:val="21"/>
          <w:szCs w:val="21"/>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Marshall Islands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unless otherwise provided for by Marshall Islands law, in each case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08" w:name="page109"/>
    <w:bookmarkEnd w:id="108"/>
    <w:p>
      <w:pPr>
        <w:ind w:left="660" w:right="380"/>
        <w:spacing w:after="0" w:line="274" w:lineRule="auto"/>
        <w:rPr>
          <w:sz w:val="20"/>
          <w:szCs w:val="20"/>
          <w:color w:val="auto"/>
        </w:rPr>
      </w:pPr>
      <w:r>
        <w:rPr>
          <w:rFonts w:ascii="Arial" w:cs="Arial" w:eastAsia="Arial" w:hAnsi="Arial"/>
          <w:sz w:val="21"/>
          <w:szCs w:val="21"/>
          <w:color w:val="auto"/>
        </w:rPr>
        <w:t>regardless of whether such claims, suits, actions or proceedings sound in contract, tort, fraud or otherwise, are based on common law, statutory, equitable, legal or other grounds, or are derivative or direct claims;</w:t>
      </w:r>
    </w:p>
    <w:p>
      <w:pPr>
        <w:spacing w:after="0" w:line="151" w:lineRule="exact"/>
        <w:rPr>
          <w:sz w:val="20"/>
          <w:szCs w:val="20"/>
          <w:color w:val="auto"/>
        </w:rPr>
      </w:pPr>
    </w:p>
    <w:p>
      <w:pPr>
        <w:jc w:val="both"/>
        <w:ind w:left="660" w:right="140" w:firstLine="645"/>
        <w:spacing w:after="0" w:line="238" w:lineRule="auto"/>
        <w:tabs>
          <w:tab w:leader="none" w:pos="1977" w:val="left"/>
        </w:tabs>
        <w:numPr>
          <w:ilvl w:val="1"/>
          <w:numId w:val="139"/>
        </w:numPr>
        <w:rPr>
          <w:rFonts w:ascii="Arial" w:cs="Arial" w:eastAsia="Arial" w:hAnsi="Arial"/>
          <w:sz w:val="22"/>
          <w:szCs w:val="22"/>
          <w:color w:val="auto"/>
        </w:rPr>
      </w:pPr>
      <w:r>
        <w:rPr>
          <w:rFonts w:ascii="Arial" w:cs="Arial" w:eastAsia="Arial" w:hAnsi="Arial"/>
          <w:sz w:val="22"/>
          <w:szCs w:val="22"/>
          <w:color w:val="auto"/>
        </w:rPr>
        <w:t>irrevocably submits to the exclusive jurisdiction of the Court of Chancery of the State of Delaware (or, if such court does not have subject matter jurisdiction thereof, any other court located in the State of Delaware with subject matter jurisdiction), unless otherwise provided for by Marshall Islands law, in connection with any such claim, suit, action or proceeding;</w:t>
      </w:r>
    </w:p>
    <w:p>
      <w:pPr>
        <w:spacing w:after="0" w:line="185" w:lineRule="exact"/>
        <w:rPr>
          <w:rFonts w:ascii="Arial" w:cs="Arial" w:eastAsia="Arial" w:hAnsi="Arial"/>
          <w:sz w:val="22"/>
          <w:szCs w:val="22"/>
          <w:color w:val="auto"/>
        </w:rPr>
      </w:pPr>
    </w:p>
    <w:p>
      <w:pPr>
        <w:ind w:left="660" w:right="120" w:firstLine="645"/>
        <w:spacing w:after="0" w:line="287" w:lineRule="auto"/>
        <w:tabs>
          <w:tab w:leader="none" w:pos="1983" w:val="left"/>
        </w:tabs>
        <w:numPr>
          <w:ilvl w:val="1"/>
          <w:numId w:val="139"/>
        </w:numPr>
        <w:rPr>
          <w:rFonts w:ascii="Arial" w:cs="Arial" w:eastAsia="Arial" w:hAnsi="Arial"/>
          <w:sz w:val="19"/>
          <w:szCs w:val="19"/>
          <w:color w:val="auto"/>
        </w:rPr>
      </w:pPr>
      <w:r>
        <w:rPr>
          <w:rFonts w:ascii="Arial" w:cs="Arial" w:eastAsia="Arial" w:hAnsi="Arial"/>
          <w:sz w:val="19"/>
          <w:szCs w:val="19"/>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43" w:lineRule="exact"/>
        <w:rPr>
          <w:rFonts w:ascii="Arial" w:cs="Arial" w:eastAsia="Arial" w:hAnsi="Arial"/>
          <w:sz w:val="19"/>
          <w:szCs w:val="19"/>
          <w:color w:val="auto"/>
        </w:rPr>
      </w:pPr>
    </w:p>
    <w:p>
      <w:pPr>
        <w:ind w:left="660" w:right="300" w:firstLine="645"/>
        <w:spacing w:after="0" w:line="251" w:lineRule="auto"/>
        <w:tabs>
          <w:tab w:leader="none" w:pos="1971" w:val="left"/>
        </w:tabs>
        <w:numPr>
          <w:ilvl w:val="1"/>
          <w:numId w:val="139"/>
        </w:numPr>
        <w:rPr>
          <w:rFonts w:ascii="Arial" w:cs="Arial" w:eastAsia="Arial" w:hAnsi="Arial"/>
          <w:sz w:val="22"/>
          <w:szCs w:val="22"/>
          <w:color w:val="auto"/>
        </w:rPr>
      </w:pPr>
      <w:r>
        <w:rPr>
          <w:rFonts w:ascii="Arial" w:cs="Arial" w:eastAsia="Arial" w:hAnsi="Arial"/>
          <w:sz w:val="22"/>
          <w:szCs w:val="22"/>
          <w:color w:val="auto"/>
        </w:rPr>
        <w:t>expressly waives any requirement for the posting of a bond by a party bringing such claim, suit, action or proceeding; and</w:t>
      </w:r>
    </w:p>
    <w:p>
      <w:pPr>
        <w:spacing w:after="0" w:line="173" w:lineRule="exact"/>
        <w:rPr>
          <w:rFonts w:ascii="Arial" w:cs="Arial" w:eastAsia="Arial" w:hAnsi="Arial"/>
          <w:sz w:val="22"/>
          <w:szCs w:val="22"/>
          <w:color w:val="auto"/>
        </w:rPr>
      </w:pPr>
    </w:p>
    <w:p>
      <w:pPr>
        <w:jc w:val="both"/>
        <w:ind w:left="660" w:right="400" w:firstLine="645"/>
        <w:spacing w:after="0" w:line="273" w:lineRule="auto"/>
        <w:tabs>
          <w:tab w:leader="none" w:pos="1965" w:val="left"/>
        </w:tabs>
        <w:numPr>
          <w:ilvl w:val="1"/>
          <w:numId w:val="139"/>
        </w:numPr>
        <w:rPr>
          <w:rFonts w:ascii="Arial" w:cs="Arial" w:eastAsia="Arial" w:hAnsi="Arial"/>
          <w:sz w:val="19"/>
          <w:szCs w:val="19"/>
          <w:color w:val="auto"/>
        </w:rPr>
      </w:pPr>
      <w:r>
        <w:rPr>
          <w:rFonts w:ascii="Arial" w:cs="Arial" w:eastAsia="Arial" w:hAnsi="Arial"/>
          <w:sz w:val="19"/>
          <w:szCs w:val="19"/>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nothing in </w:t>
      </w:r>
      <w:r>
        <w:rPr>
          <w:rFonts w:ascii="Arial" w:cs="Arial" w:eastAsia="Arial" w:hAnsi="Arial"/>
          <w:sz w:val="19"/>
          <w:szCs w:val="19"/>
          <w:u w:val="single" w:color="auto"/>
          <w:color w:val="auto"/>
        </w:rPr>
        <w:t>clause</w:t>
      </w:r>
    </w:p>
    <w:p>
      <w:pPr>
        <w:spacing w:after="0" w:line="1" w:lineRule="exact"/>
        <w:rPr>
          <w:rFonts w:ascii="Arial" w:cs="Arial" w:eastAsia="Arial" w:hAnsi="Arial"/>
          <w:sz w:val="19"/>
          <w:szCs w:val="19"/>
          <w:color w:val="auto"/>
        </w:rPr>
      </w:pPr>
    </w:p>
    <w:p>
      <w:pPr>
        <w:ind w:left="960" w:hanging="304"/>
        <w:spacing w:after="0"/>
        <w:tabs>
          <w:tab w:leader="none" w:pos="960" w:val="left"/>
        </w:tabs>
        <w:numPr>
          <w:ilvl w:val="0"/>
          <w:numId w:val="140"/>
        </w:numPr>
        <w:rPr>
          <w:rFonts w:ascii="Arial" w:cs="Arial" w:eastAsia="Arial" w:hAnsi="Arial"/>
          <w:sz w:val="22"/>
          <w:szCs w:val="22"/>
          <w:u w:val="single" w:color="auto"/>
          <w:color w:val="auto"/>
        </w:rPr>
      </w:pPr>
      <w:r>
        <w:rPr>
          <w:rFonts w:ascii="Arial" w:cs="Arial" w:eastAsia="Arial" w:hAnsi="Arial"/>
          <w:sz w:val="22"/>
          <w:szCs w:val="22"/>
          <w:color w:val="auto"/>
        </w:rPr>
        <w:t>hereof shall affect or limit any right to serve process in any other manner permitted by law.</w:t>
      </w:r>
    </w:p>
    <w:p>
      <w:pPr>
        <w:spacing w:after="0" w:line="188" w:lineRule="exact"/>
        <w:rPr>
          <w:sz w:val="20"/>
          <w:szCs w:val="20"/>
          <w:color w:val="auto"/>
        </w:rPr>
      </w:pPr>
    </w:p>
    <w:p>
      <w:pPr>
        <w:ind w:right="40" w:firstLine="1297"/>
        <w:spacing w:after="0" w:line="282" w:lineRule="auto"/>
        <w:rPr>
          <w:sz w:val="20"/>
          <w:szCs w:val="20"/>
          <w:color w:val="auto"/>
        </w:rPr>
      </w:pPr>
      <w:r>
        <w:rPr>
          <w:rFonts w:ascii="Arial" w:cs="Arial" w:eastAsia="Arial" w:hAnsi="Arial"/>
          <w:sz w:val="19"/>
          <w:szCs w:val="19"/>
          <w:color w:val="auto"/>
        </w:rPr>
        <w:t xml:space="preserve">Section 19.9. </w:t>
      </w:r>
      <w:r>
        <w:rPr>
          <w:rFonts w:ascii="Arial" w:cs="Arial" w:eastAsia="Arial" w:hAnsi="Arial"/>
          <w:sz w:val="19"/>
          <w:szCs w:val="19"/>
          <w:i w:val="1"/>
          <w:iCs w:val="1"/>
          <w:color w:val="auto"/>
        </w:rPr>
        <w:t>Invalidity of Provisions</w:t>
      </w:r>
      <w:r>
        <w:rPr>
          <w:rFonts w:ascii="Arial" w:cs="Arial" w:eastAsia="Arial" w:hAnsi="Arial"/>
          <w:sz w:val="19"/>
          <w:szCs w:val="19"/>
          <w:color w:val="auto"/>
        </w:rPr>
        <w:t>. If any provision or part of a provision of this Agreement is or becomes for any reason, invalid, illegal or unenforceable in any respect, the validity, legality and enforceability of the remaining provisions and part thereof contained herein shall not be affected thereby and this Agreement shall, to the fullest extent permitted by law, be reformed and construed as if such invalid, illegal or unenforceable provision, or part of a provision, had never been contained herein, and such provision or part reformed so that it would be valid, legal and enforceable to the maximum extent possible.</w:t>
      </w:r>
    </w:p>
    <w:p>
      <w:pPr>
        <w:spacing w:after="0" w:line="148" w:lineRule="exact"/>
        <w:rPr>
          <w:sz w:val="20"/>
          <w:szCs w:val="20"/>
          <w:color w:val="auto"/>
        </w:rPr>
      </w:pPr>
    </w:p>
    <w:p>
      <w:pPr>
        <w:ind w:firstLine="1297"/>
        <w:spacing w:after="0" w:line="287" w:lineRule="auto"/>
        <w:rPr>
          <w:sz w:val="20"/>
          <w:szCs w:val="20"/>
          <w:color w:val="auto"/>
        </w:rPr>
      </w:pPr>
      <w:r>
        <w:rPr>
          <w:rFonts w:ascii="Arial" w:cs="Arial" w:eastAsia="Arial" w:hAnsi="Arial"/>
          <w:sz w:val="19"/>
          <w:szCs w:val="19"/>
          <w:color w:val="auto"/>
        </w:rPr>
        <w:t xml:space="preserve">Section 19.10. </w:t>
      </w:r>
      <w:r>
        <w:rPr>
          <w:rFonts w:ascii="Arial" w:cs="Arial" w:eastAsia="Arial" w:hAnsi="Arial"/>
          <w:sz w:val="19"/>
          <w:szCs w:val="19"/>
          <w:i w:val="1"/>
          <w:iCs w:val="1"/>
          <w:color w:val="auto"/>
        </w:rPr>
        <w:t>Consent of Partners</w:t>
      </w:r>
      <w:r>
        <w:rPr>
          <w:rFonts w:ascii="Arial" w:cs="Arial" w:eastAsia="Arial" w:hAnsi="Arial"/>
          <w:sz w:val="19"/>
          <w:szCs w:val="19"/>
          <w:color w:val="auto"/>
        </w:rPr>
        <w:t>. Each Partner hereby expressly consents and agrees that, whenever in this Agreement it is specified that an action may be taken upon the affirmative vote or consent of less than all of the Partners (including any amendment to this Agreement), such action may be so taken upon the concurrence of less than all of the Partners and each Partner shall be bound by the results of such action (including any amendment to this Agreement).</w:t>
      </w:r>
    </w:p>
    <w:p>
      <w:pPr>
        <w:spacing w:after="0" w:line="143" w:lineRule="exact"/>
        <w:rPr>
          <w:sz w:val="20"/>
          <w:szCs w:val="20"/>
          <w:color w:val="auto"/>
        </w:rPr>
      </w:pPr>
    </w:p>
    <w:p>
      <w:pPr>
        <w:ind w:right="300" w:firstLine="1297"/>
        <w:spacing w:after="0"/>
        <w:rPr>
          <w:sz w:val="20"/>
          <w:szCs w:val="20"/>
          <w:color w:val="auto"/>
        </w:rPr>
      </w:pPr>
      <w:r>
        <w:rPr>
          <w:rFonts w:ascii="Arial" w:cs="Arial" w:eastAsia="Arial" w:hAnsi="Arial"/>
          <w:sz w:val="22"/>
          <w:szCs w:val="22"/>
          <w:color w:val="auto"/>
        </w:rPr>
        <w:t xml:space="preserve">Section 19.11. </w:t>
      </w:r>
      <w:r>
        <w:rPr>
          <w:rFonts w:ascii="Arial" w:cs="Arial" w:eastAsia="Arial" w:hAnsi="Arial"/>
          <w:sz w:val="22"/>
          <w:szCs w:val="22"/>
          <w:i w:val="1"/>
          <w:iCs w:val="1"/>
          <w:color w:val="auto"/>
        </w:rPr>
        <w:t>Facsimile Signatures</w:t>
      </w:r>
      <w:r>
        <w:rPr>
          <w:rFonts w:ascii="Arial" w:cs="Arial" w:eastAsia="Arial" w:hAnsi="Arial"/>
          <w:sz w:val="22"/>
          <w:szCs w:val="22"/>
          <w:color w:val="auto"/>
        </w:rPr>
        <w:t>. The use of facsimile signatures affixed in the name and on behalf of the transfer agent and registrar of the Partnership on certificates representing Common Units, Class B Units and Preference Units is expressly permitted by this Agreement.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09" w:name="page110"/>
    <w:bookmarkEnd w:id="109"/>
    <w:p>
      <w:pPr>
        <w:ind w:firstLine="1297"/>
        <w:spacing w:after="0"/>
        <w:rPr>
          <w:sz w:val="20"/>
          <w:szCs w:val="20"/>
          <w:color w:val="auto"/>
        </w:rPr>
      </w:pPr>
      <w:r>
        <w:rPr>
          <w:rFonts w:ascii="Arial" w:cs="Arial" w:eastAsia="Arial" w:hAnsi="Arial"/>
          <w:sz w:val="22"/>
          <w:szCs w:val="22"/>
          <w:color w:val="auto"/>
        </w:rPr>
        <w:t xml:space="preserve">Section 19.12. </w:t>
      </w:r>
      <w:r>
        <w:rPr>
          <w:rFonts w:ascii="Arial" w:cs="Arial" w:eastAsia="Arial" w:hAnsi="Arial"/>
          <w:sz w:val="22"/>
          <w:szCs w:val="22"/>
          <w:i w:val="1"/>
          <w:iCs w:val="1"/>
          <w:color w:val="auto"/>
        </w:rPr>
        <w:t>Third-Party Beneficiaries</w:t>
      </w:r>
      <w:r>
        <w:rPr>
          <w:rFonts w:ascii="Arial" w:cs="Arial" w:eastAsia="Arial" w:hAnsi="Arial"/>
          <w:sz w:val="22"/>
          <w:szCs w:val="22"/>
          <w:color w:val="auto"/>
        </w:rPr>
        <w:t>. Each Partner agrees that any Indemnitee shall be entitled to assert rights and remedies hereunder as a third party beneficiary hereto with respect to those provisions of this Agreement affording a right, benefit or privilege to such Indemnitee.</w:t>
      </w:r>
    </w:p>
    <w:p>
      <w:pPr>
        <w:spacing w:after="0" w:line="18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[REMAINDER OF THIS PAGE INTENTIONALLY LEFT BLANK]</w:t>
      </w:r>
    </w:p>
    <w:p>
      <w:pPr>
        <w:spacing w:after="0" w:line="206"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34" w:right="459" w:bottom="1440" w:gutter="0" w:footer="0" w:header="0"/>
        </w:sectPr>
      </w:pPr>
    </w:p>
    <w:bookmarkStart w:id="110" w:name="page111"/>
    <w:bookmarkEnd w:id="110"/>
    <w:p>
      <w:pPr>
        <w:ind w:right="20" w:firstLine="1297"/>
        <w:spacing w:after="0" w:line="251" w:lineRule="auto"/>
        <w:rPr>
          <w:sz w:val="20"/>
          <w:szCs w:val="20"/>
          <w:color w:val="auto"/>
        </w:rPr>
      </w:pPr>
      <w:r>
        <w:rPr>
          <w:rFonts w:ascii="Arial" w:cs="Arial" w:eastAsia="Arial" w:hAnsi="Arial"/>
          <w:sz w:val="22"/>
          <w:szCs w:val="22"/>
          <w:color w:val="auto"/>
        </w:rPr>
        <w:t>IN WITNESS WHEREOF, the parties hereto have executed this Sixth Amended and Restated Agreement of Limited Partnership as a Deed as of the date first written above.</w:t>
      </w:r>
    </w:p>
    <w:p>
      <w:pPr>
        <w:spacing w:after="0" w:line="167"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GENERAL PARTNER:</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GasLog Partners GP LLC</w:t>
      </w:r>
    </w:p>
    <w:p>
      <w:pPr>
        <w:ind w:left="5660"/>
        <w:spacing w:after="0" w:line="238" w:lineRule="auto"/>
        <w:rPr>
          <w:sz w:val="20"/>
          <w:szCs w:val="20"/>
          <w:color w:val="auto"/>
        </w:rPr>
      </w:pPr>
      <w:r>
        <w:rPr>
          <w:rFonts w:ascii="Arial" w:cs="Arial" w:eastAsia="Arial" w:hAnsi="Arial"/>
          <w:sz w:val="22"/>
          <w:szCs w:val="22"/>
          <w:color w:val="auto"/>
        </w:rPr>
        <w:t>By: GasLog Ltd.,</w:t>
      </w:r>
    </w:p>
    <w:p>
      <w:pPr>
        <w:ind w:left="566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tbl>
      <w:tblPr>
        <w:tblLayout w:type="fixed"/>
        <w:tblInd w:w="5660" w:type="dxa"/>
        <w:tblCellMar>
          <w:top w:w="0" w:type="dxa"/>
          <w:left w:w="0" w:type="dxa"/>
          <w:bottom w:w="0" w:type="dxa"/>
          <w:right w:w="0" w:type="dxa"/>
        </w:tblCellMar>
      </w:tblPr>
      <w:tr>
        <w:trPr>
          <w:trHeight w:val="26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tcBorders>
              <w:bottom w:val="single" w:sz="8" w:color="auto"/>
            </w:tcBorders>
            <w:gridSpan w:val="2"/>
          </w:tcPr>
          <w:p>
            <w:pPr>
              <w:ind w:left="180"/>
              <w:spacing w:after="0"/>
              <w:rPr>
                <w:sz w:val="20"/>
                <w:szCs w:val="20"/>
                <w:color w:val="auto"/>
              </w:rPr>
            </w:pPr>
            <w:r>
              <w:rPr>
                <w:rFonts w:ascii="Arial" w:cs="Arial" w:eastAsia="Arial" w:hAnsi="Arial"/>
                <w:sz w:val="22"/>
                <w:szCs w:val="22"/>
                <w:color w:val="auto"/>
              </w:rPr>
              <w:t>/s/ Paul Wogan</w:t>
            </w:r>
          </w:p>
        </w:tc>
      </w:tr>
      <w:tr>
        <w:trPr>
          <w:trHeight w:val="215"/>
        </w:trPr>
        <w:tc>
          <w:tcPr>
            <w:tcW w:w="620" w:type="dxa"/>
            <w:vAlign w:val="bottom"/>
          </w:tcPr>
          <w:p>
            <w:pPr>
              <w:spacing w:after="0"/>
              <w:rPr>
                <w:sz w:val="18"/>
                <w:szCs w:val="18"/>
                <w:color w:val="auto"/>
              </w:rPr>
            </w:pPr>
          </w:p>
        </w:tc>
        <w:tc>
          <w:tcPr>
            <w:tcW w:w="920" w:type="dxa"/>
            <w:vAlign w:val="bottom"/>
          </w:tcPr>
          <w:p>
            <w:pPr>
              <w:ind w:left="180"/>
              <w:spacing w:after="0" w:line="216" w:lineRule="exact"/>
              <w:rPr>
                <w:sz w:val="20"/>
                <w:szCs w:val="20"/>
                <w:color w:val="auto"/>
              </w:rPr>
            </w:pPr>
            <w:r>
              <w:rPr>
                <w:rFonts w:ascii="Arial" w:cs="Arial" w:eastAsia="Arial" w:hAnsi="Arial"/>
                <w:sz w:val="22"/>
                <w:szCs w:val="22"/>
                <w:color w:val="auto"/>
              </w:rPr>
              <w:t>Name:</w:t>
            </w:r>
          </w:p>
        </w:tc>
        <w:tc>
          <w:tcPr>
            <w:tcW w:w="4220" w:type="dxa"/>
            <w:vAlign w:val="bottom"/>
          </w:tcPr>
          <w:p>
            <w:pPr>
              <w:ind w:left="160"/>
              <w:spacing w:after="0" w:line="216" w:lineRule="exact"/>
              <w:rPr>
                <w:sz w:val="20"/>
                <w:szCs w:val="20"/>
                <w:color w:val="auto"/>
              </w:rPr>
            </w:pPr>
            <w:r>
              <w:rPr>
                <w:rFonts w:ascii="Arial" w:cs="Arial" w:eastAsia="Arial" w:hAnsi="Arial"/>
                <w:sz w:val="22"/>
                <w:szCs w:val="22"/>
                <w:color w:val="auto"/>
              </w:rPr>
              <w:t>Paul Wogan</w:t>
            </w:r>
          </w:p>
        </w:tc>
      </w:tr>
      <w:tr>
        <w:trPr>
          <w:trHeight w:val="275"/>
        </w:trPr>
        <w:tc>
          <w:tcPr>
            <w:tcW w:w="620" w:type="dxa"/>
            <w:vAlign w:val="bottom"/>
          </w:tcPr>
          <w:p>
            <w:pPr>
              <w:spacing w:after="0"/>
              <w:rPr>
                <w:sz w:val="23"/>
                <w:szCs w:val="23"/>
                <w:color w:val="auto"/>
              </w:rPr>
            </w:pPr>
          </w:p>
        </w:tc>
        <w:tc>
          <w:tcPr>
            <w:tcW w:w="920" w:type="dxa"/>
            <w:vAlign w:val="bottom"/>
          </w:tcPr>
          <w:p>
            <w:pPr>
              <w:ind w:left="180"/>
              <w:spacing w:after="0"/>
              <w:rPr>
                <w:sz w:val="20"/>
                <w:szCs w:val="20"/>
                <w:color w:val="auto"/>
              </w:rPr>
            </w:pPr>
            <w:r>
              <w:rPr>
                <w:rFonts w:ascii="Arial" w:cs="Arial" w:eastAsia="Arial" w:hAnsi="Arial"/>
                <w:sz w:val="22"/>
                <w:szCs w:val="22"/>
                <w:color w:val="auto"/>
              </w:rPr>
              <w:t>Title:</w:t>
            </w:r>
          </w:p>
        </w:tc>
        <w:tc>
          <w:tcPr>
            <w:tcW w:w="4220" w:type="dxa"/>
            <w:vAlign w:val="bottom"/>
          </w:tcPr>
          <w:p>
            <w:pPr>
              <w:ind w:left="16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49" w:lineRule="exact"/>
        <w:rPr>
          <w:sz w:val="20"/>
          <w:szCs w:val="20"/>
          <w:color w:val="auto"/>
        </w:rPr>
      </w:pPr>
    </w:p>
    <w:p>
      <w:pPr>
        <w:ind w:left="5660"/>
        <w:spacing w:after="0"/>
        <w:rPr>
          <w:sz w:val="20"/>
          <w:szCs w:val="20"/>
          <w:color w:val="auto"/>
        </w:rPr>
      </w:pPr>
      <w:r>
        <w:rPr>
          <w:rFonts w:ascii="Arial" w:cs="Arial" w:eastAsia="Arial" w:hAnsi="Arial"/>
          <w:sz w:val="22"/>
          <w:szCs w:val="22"/>
          <w:b w:val="1"/>
          <w:bCs w:val="1"/>
          <w:color w:val="auto"/>
        </w:rPr>
        <w:t>LIMITED PARTNERS: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All Limited Partners now and hereafter admitted as Limited</w:t>
      </w:r>
    </w:p>
    <w:p>
      <w:pPr>
        <w:ind w:left="5660"/>
        <w:spacing w:after="0" w:line="238" w:lineRule="auto"/>
        <w:rPr>
          <w:sz w:val="20"/>
          <w:szCs w:val="20"/>
          <w:color w:val="auto"/>
        </w:rPr>
      </w:pPr>
      <w:r>
        <w:rPr>
          <w:rFonts w:ascii="Arial" w:cs="Arial" w:eastAsia="Arial" w:hAnsi="Arial"/>
          <w:sz w:val="22"/>
          <w:szCs w:val="22"/>
          <w:color w:val="auto"/>
        </w:rPr>
        <w:t>Partners of the Partnership, pursuant to authority now and</w:t>
      </w:r>
    </w:p>
    <w:p>
      <w:pPr>
        <w:ind w:left="5660"/>
        <w:spacing w:after="0"/>
        <w:rPr>
          <w:sz w:val="20"/>
          <w:szCs w:val="20"/>
          <w:color w:val="auto"/>
        </w:rPr>
      </w:pPr>
      <w:r>
        <w:rPr>
          <w:rFonts w:ascii="Arial" w:cs="Arial" w:eastAsia="Arial" w:hAnsi="Arial"/>
          <w:sz w:val="19"/>
          <w:szCs w:val="19"/>
          <w:color w:val="auto"/>
        </w:rPr>
        <w:t>hereafter executed in favor of, and granted and delivered to, the</w:t>
      </w:r>
    </w:p>
    <w:p>
      <w:pPr>
        <w:spacing w:after="0" w:line="25" w:lineRule="exact"/>
        <w:rPr>
          <w:sz w:val="20"/>
          <w:szCs w:val="20"/>
          <w:color w:val="auto"/>
        </w:rPr>
      </w:pPr>
    </w:p>
    <w:p>
      <w:pPr>
        <w:ind w:left="5660"/>
        <w:spacing w:after="0"/>
        <w:rPr>
          <w:sz w:val="20"/>
          <w:szCs w:val="20"/>
          <w:color w:val="auto"/>
        </w:rPr>
      </w:pPr>
      <w:r>
        <w:rPr>
          <w:rFonts w:ascii="Arial" w:cs="Arial" w:eastAsia="Arial" w:hAnsi="Arial"/>
          <w:sz w:val="19"/>
          <w:szCs w:val="19"/>
          <w:color w:val="auto"/>
        </w:rPr>
        <w:t>Board of Directors pursuant to Section 13.1 of this Partnership</w:t>
      </w:r>
    </w:p>
    <w:p>
      <w:pPr>
        <w:spacing w:after="0" w:line="2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Agreement.</w:t>
      </w:r>
    </w:p>
    <w:p>
      <w:pPr>
        <w:spacing w:after="0" w:line="188" w:lineRule="exact"/>
        <w:rPr>
          <w:sz w:val="20"/>
          <w:szCs w:val="20"/>
          <w:color w:val="auto"/>
        </w:rPr>
      </w:pPr>
    </w:p>
    <w:tbl>
      <w:tblPr>
        <w:tblLayout w:type="fixed"/>
        <w:tblInd w:w="5660" w:type="dxa"/>
        <w:tblCellMar>
          <w:top w:w="0" w:type="dxa"/>
          <w:left w:w="0" w:type="dxa"/>
          <w:bottom w:w="0" w:type="dxa"/>
          <w:right w:w="0" w:type="dxa"/>
        </w:tblCellMar>
      </w:tblPr>
      <w:tr>
        <w:trPr>
          <w:trHeight w:val="265"/>
        </w:trPr>
        <w:tc>
          <w:tcPr>
            <w:tcW w:w="620" w:type="dxa"/>
            <w:vAlign w:val="bottom"/>
          </w:tcPr>
          <w:p>
            <w:pPr>
              <w:spacing w:after="0"/>
              <w:rPr>
                <w:sz w:val="20"/>
                <w:szCs w:val="20"/>
                <w:color w:val="auto"/>
              </w:rPr>
            </w:pPr>
            <w:r>
              <w:rPr>
                <w:rFonts w:ascii="Arial" w:cs="Arial" w:eastAsia="Arial" w:hAnsi="Arial"/>
                <w:sz w:val="22"/>
                <w:szCs w:val="22"/>
                <w:color w:val="auto"/>
              </w:rPr>
              <w:t>By:</w:t>
            </w:r>
          </w:p>
        </w:tc>
        <w:tc>
          <w:tcPr>
            <w:tcW w:w="51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21"/>
                <w:szCs w:val="21"/>
                <w:color w:val="auto"/>
              </w:rPr>
              <w:t>Andrew J. Orekar</w:t>
            </w:r>
          </w:p>
        </w:tc>
      </w:tr>
      <w:tr>
        <w:trPr>
          <w:trHeight w:val="215"/>
        </w:trPr>
        <w:tc>
          <w:tcPr>
            <w:tcW w:w="620" w:type="dxa"/>
            <w:vAlign w:val="bottom"/>
          </w:tcPr>
          <w:p>
            <w:pPr>
              <w:spacing w:after="0"/>
              <w:rPr>
                <w:sz w:val="18"/>
                <w:szCs w:val="18"/>
                <w:color w:val="auto"/>
              </w:rPr>
            </w:pPr>
          </w:p>
        </w:tc>
        <w:tc>
          <w:tcPr>
            <w:tcW w:w="920" w:type="dxa"/>
            <w:vAlign w:val="bottom"/>
          </w:tcPr>
          <w:p>
            <w:pPr>
              <w:ind w:left="180"/>
              <w:spacing w:after="0" w:line="216" w:lineRule="exact"/>
              <w:rPr>
                <w:sz w:val="20"/>
                <w:szCs w:val="20"/>
                <w:color w:val="auto"/>
              </w:rPr>
            </w:pPr>
            <w:r>
              <w:rPr>
                <w:rFonts w:ascii="Arial" w:cs="Arial" w:eastAsia="Arial" w:hAnsi="Arial"/>
                <w:sz w:val="22"/>
                <w:szCs w:val="22"/>
                <w:color w:val="auto"/>
              </w:rPr>
              <w:t>Name:</w:t>
            </w:r>
          </w:p>
        </w:tc>
        <w:tc>
          <w:tcPr>
            <w:tcW w:w="4220" w:type="dxa"/>
            <w:vAlign w:val="bottom"/>
          </w:tcPr>
          <w:p>
            <w:pPr>
              <w:ind w:left="160"/>
              <w:spacing w:after="0" w:line="216" w:lineRule="exact"/>
              <w:rPr>
                <w:sz w:val="20"/>
                <w:szCs w:val="20"/>
                <w:color w:val="auto"/>
              </w:rPr>
            </w:pPr>
            <w:r>
              <w:rPr>
                <w:rFonts w:ascii="Arial" w:cs="Arial" w:eastAsia="Arial" w:hAnsi="Arial"/>
                <w:sz w:val="22"/>
                <w:szCs w:val="22"/>
                <w:color w:val="auto"/>
              </w:rPr>
              <w:t>Andrew J. Orekar</w:t>
            </w:r>
          </w:p>
        </w:tc>
      </w:tr>
      <w:tr>
        <w:trPr>
          <w:trHeight w:val="275"/>
        </w:trPr>
        <w:tc>
          <w:tcPr>
            <w:tcW w:w="620" w:type="dxa"/>
            <w:vAlign w:val="bottom"/>
          </w:tcPr>
          <w:p>
            <w:pPr>
              <w:spacing w:after="0"/>
              <w:rPr>
                <w:sz w:val="23"/>
                <w:szCs w:val="23"/>
                <w:color w:val="auto"/>
              </w:rPr>
            </w:pPr>
          </w:p>
        </w:tc>
        <w:tc>
          <w:tcPr>
            <w:tcW w:w="920" w:type="dxa"/>
            <w:vAlign w:val="bottom"/>
          </w:tcPr>
          <w:p>
            <w:pPr>
              <w:ind w:left="180"/>
              <w:spacing w:after="0"/>
              <w:rPr>
                <w:sz w:val="20"/>
                <w:szCs w:val="20"/>
                <w:color w:val="auto"/>
              </w:rPr>
            </w:pPr>
            <w:r>
              <w:rPr>
                <w:rFonts w:ascii="Arial" w:cs="Arial" w:eastAsia="Arial" w:hAnsi="Arial"/>
                <w:sz w:val="22"/>
                <w:szCs w:val="22"/>
                <w:color w:val="auto"/>
              </w:rPr>
              <w:t>Title:</w:t>
            </w:r>
          </w:p>
        </w:tc>
        <w:tc>
          <w:tcPr>
            <w:tcW w:w="4220" w:type="dxa"/>
            <w:vAlign w:val="bottom"/>
          </w:tcPr>
          <w:p>
            <w:pPr>
              <w:ind w:left="160"/>
              <w:spacing w:after="0"/>
              <w:rPr>
                <w:sz w:val="20"/>
                <w:szCs w:val="20"/>
                <w:color w:val="auto"/>
              </w:rPr>
            </w:pPr>
            <w:r>
              <w:rPr>
                <w:rFonts w:ascii="Arial" w:cs="Arial" w:eastAsia="Arial" w:hAnsi="Arial"/>
                <w:sz w:val="22"/>
                <w:szCs w:val="22"/>
                <w:color w:val="auto"/>
              </w:rPr>
              <w:t>Chief Executive Officer and Director</w:t>
            </w:r>
          </w:p>
        </w:tc>
      </w:tr>
    </w:tbl>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4"/>
          <w:szCs w:val="14"/>
          <w:b w:val="1"/>
          <w:bCs w:val="1"/>
          <w:color w:val="auto"/>
        </w:rPr>
        <w:t>IGNATURE</w:t>
      </w:r>
      <w:r>
        <w:rPr>
          <w:rFonts w:ascii="Arial" w:cs="Arial" w:eastAsia="Arial" w:hAnsi="Arial"/>
          <w:sz w:val="20"/>
          <w:szCs w:val="20"/>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20"/>
          <w:szCs w:val="20"/>
          <w:b w:val="1"/>
          <w:bCs w:val="1"/>
          <w:color w:val="auto"/>
        </w:rPr>
        <w:t xml:space="preserve"> T</w:t>
      </w:r>
      <w:r>
        <w:rPr>
          <w:rFonts w:ascii="Arial" w:cs="Arial" w:eastAsia="Arial" w:hAnsi="Arial"/>
          <w:sz w:val="14"/>
          <w:szCs w:val="14"/>
          <w:b w:val="1"/>
          <w:bCs w:val="1"/>
          <w:color w:val="auto"/>
        </w:rPr>
        <w: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4"/>
          <w:szCs w:val="14"/>
          <w:b w:val="1"/>
          <w:bCs w:val="1"/>
          <w:color w:val="auto"/>
        </w:rPr>
        <w:t>IXTH</w:t>
      </w:r>
      <w:r>
        <w:rPr>
          <w:rFonts w:ascii="Arial" w:cs="Arial" w:eastAsia="Arial" w:hAnsi="Arial"/>
          <w:sz w:val="20"/>
          <w:szCs w:val="20"/>
          <w:b w:val="1"/>
          <w:bCs w:val="1"/>
          <w:color w:val="auto"/>
        </w:rPr>
        <w:t xml:space="preserve"> A</w:t>
      </w:r>
      <w:r>
        <w:rPr>
          <w:rFonts w:ascii="Arial" w:cs="Arial" w:eastAsia="Arial" w:hAnsi="Arial"/>
          <w:sz w:val="14"/>
          <w:szCs w:val="14"/>
          <w:b w:val="1"/>
          <w:bCs w:val="1"/>
          <w:color w:val="auto"/>
        </w:rPr>
        <w:t>MENDED AND</w:t>
      </w:r>
      <w:r>
        <w:rPr>
          <w:rFonts w:ascii="Arial" w:cs="Arial" w:eastAsia="Arial" w:hAnsi="Arial"/>
          <w:sz w:val="20"/>
          <w:szCs w:val="20"/>
          <w:b w:val="1"/>
          <w:bCs w:val="1"/>
          <w:color w:val="auto"/>
        </w:rPr>
        <w:t xml:space="preserve"> R</w:t>
      </w:r>
      <w:r>
        <w:rPr>
          <w:rFonts w:ascii="Arial" w:cs="Arial" w:eastAsia="Arial" w:hAnsi="Arial"/>
          <w:sz w:val="14"/>
          <w:szCs w:val="14"/>
          <w:b w:val="1"/>
          <w:bCs w:val="1"/>
          <w:color w:val="auto"/>
        </w:rPr>
        <w:t>ESTATED</w:t>
      </w: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4"/>
          <w:szCs w:val="14"/>
          <w:b w:val="1"/>
          <w:bCs w:val="1"/>
          <w:color w:val="auto"/>
        </w:rPr>
        <w:t>GREEMENT OF</w:t>
      </w:r>
      <w:r>
        <w:rPr>
          <w:rFonts w:ascii="Arial" w:cs="Arial" w:eastAsia="Arial" w:hAnsi="Arial"/>
          <w:sz w:val="20"/>
          <w:szCs w:val="20"/>
          <w:b w:val="1"/>
          <w:bCs w:val="1"/>
          <w:color w:val="auto"/>
        </w:rPr>
        <w:t xml:space="preserve"> L</w:t>
      </w:r>
      <w:r>
        <w:rPr>
          <w:rFonts w:ascii="Arial" w:cs="Arial" w:eastAsia="Arial" w:hAnsi="Arial"/>
          <w:sz w:val="14"/>
          <w:szCs w:val="14"/>
          <w:b w:val="1"/>
          <w:bCs w:val="1"/>
          <w:color w:val="auto"/>
        </w:rPr>
        <w:t>IMITED</w:t>
      </w:r>
      <w:r>
        <w:rPr>
          <w:rFonts w:ascii="Arial" w:cs="Arial" w:eastAsia="Arial" w:hAnsi="Arial"/>
          <w:sz w:val="20"/>
          <w:szCs w:val="20"/>
          <w:b w:val="1"/>
          <w:bCs w:val="1"/>
          <w:color w:val="auto"/>
        </w:rPr>
        <w:t xml:space="preserve"> P</w:t>
      </w:r>
      <w:r>
        <w:rPr>
          <w:rFonts w:ascii="Arial" w:cs="Arial" w:eastAsia="Arial" w:hAnsi="Arial"/>
          <w:sz w:val="14"/>
          <w:szCs w:val="14"/>
          <w:b w:val="1"/>
          <w:bCs w:val="1"/>
          <w:color w:val="auto"/>
        </w:rPr>
        <w:t>ARTNERSHIP</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1" w:name="page112"/>
    <w:bookmarkEnd w:id="111"/>
    <w:p>
      <w:pPr>
        <w:jc w:val="center"/>
        <w:ind w:right="40"/>
        <w:spacing w:after="0"/>
        <w:rPr>
          <w:sz w:val="20"/>
          <w:szCs w:val="20"/>
          <w:color w:val="auto"/>
        </w:rPr>
      </w:pPr>
      <w:r>
        <w:rPr>
          <w:rFonts w:ascii="Arial" w:cs="Arial" w:eastAsia="Arial" w:hAnsi="Arial"/>
          <w:sz w:val="22"/>
          <w:szCs w:val="22"/>
          <w:b w:val="1"/>
          <w:bCs w:val="1"/>
          <w:color w:val="auto"/>
        </w:rPr>
        <w:t>EXHIBIT A</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Sixth Amended and Restated</w:t>
      </w:r>
    </w:p>
    <w:p>
      <w:pPr>
        <w:jc w:val="center"/>
        <w:ind w:right="40"/>
        <w:spacing w:after="0" w:line="230" w:lineRule="auto"/>
        <w:rPr>
          <w:sz w:val="20"/>
          <w:szCs w:val="20"/>
          <w:color w:val="auto"/>
        </w:rPr>
      </w:pPr>
      <w:r>
        <w:rPr>
          <w:rFonts w:ascii="Arial" w:cs="Arial" w:eastAsia="Arial" w:hAnsi="Arial"/>
          <w:sz w:val="22"/>
          <w:szCs w:val="22"/>
          <w:b w:val="1"/>
          <w:bCs w:val="1"/>
          <w:color w:val="auto"/>
        </w:rPr>
        <w:t>Agreement of Limited Partnership of</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Certificate Evidencing Common Units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Representing Limited Partner Interests in</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p>
      <w:pPr>
        <w:spacing w:after="0"/>
        <w:tabs>
          <w:tab w:leader="none" w:pos="100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Common Units</w:t>
      </w:r>
    </w:p>
    <w:p>
      <w:pPr>
        <w:spacing w:after="0" w:line="241" w:lineRule="exact"/>
        <w:rPr>
          <w:sz w:val="20"/>
          <w:szCs w:val="20"/>
          <w:color w:val="auto"/>
        </w:rPr>
      </w:pPr>
    </w:p>
    <w:p>
      <w:pPr>
        <w:ind w:right="360" w:firstLine="1297"/>
        <w:spacing w:after="0" w:line="276" w:lineRule="auto"/>
        <w:rPr>
          <w:sz w:val="20"/>
          <w:szCs w:val="20"/>
          <w:color w:val="auto"/>
        </w:rPr>
      </w:pPr>
      <w:r>
        <w:rPr>
          <w:rFonts w:ascii="Arial" w:cs="Arial" w:eastAsia="Arial" w:hAnsi="Arial"/>
          <w:sz w:val="19"/>
          <w:szCs w:val="19"/>
          <w:color w:val="auto"/>
        </w:rPr>
        <w:t>In accordance with Section 4.1 of the Sixth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Common Units representing limited partner interests in the Partnership (the “</w:t>
      </w:r>
      <w:r>
        <w:rPr>
          <w:rFonts w:ascii="Arial" w:cs="Arial" w:eastAsia="Arial" w:hAnsi="Arial"/>
          <w:sz w:val="19"/>
          <w:szCs w:val="19"/>
          <w:b w:val="1"/>
          <w:bCs w:val="1"/>
          <w:i w:val="1"/>
          <w:iCs w:val="1"/>
          <w:color w:val="auto"/>
        </w:rPr>
        <w:t>Common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5"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80" w:type="dxa"/>
            <w:vAlign w:val="bottom"/>
            <w:gridSpan w:val="3"/>
          </w:tcPr>
          <w:p>
            <w:pPr>
              <w:spacing w:after="0"/>
              <w:rPr>
                <w:sz w:val="20"/>
                <w:szCs w:val="20"/>
                <w:color w:val="auto"/>
              </w:rPr>
            </w:pPr>
            <w:r>
              <w:rPr>
                <w:rFonts w:ascii="Arial" w:cs="Arial" w:eastAsia="Arial" w:hAnsi="Arial"/>
                <w:sz w:val="22"/>
                <w:szCs w:val="22"/>
                <w:color w:val="auto"/>
              </w:rPr>
              <w:t>Dated: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59"/>
        </w:trPr>
        <w:tc>
          <w:tcPr>
            <w:tcW w:w="538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6040" w:type="dxa"/>
            <w:vAlign w:val="bottom"/>
            <w:gridSpan w:val="3"/>
          </w:tcPr>
          <w:p>
            <w:pPr>
              <w:ind w:left="44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69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40" w:type="dxa"/>
            <w:vAlign w:val="bottom"/>
            <w:gridSpan w:val="3"/>
          </w:tcPr>
          <w:p>
            <w:pPr>
              <w:ind w:left="44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820" w:type="dxa"/>
            <w:vAlign w:val="bottom"/>
          </w:tcPr>
          <w:p>
            <w:pPr>
              <w:spacing w:after="0"/>
              <w:rPr>
                <w:sz w:val="23"/>
                <w:szCs w:val="23"/>
                <w:color w:val="auto"/>
              </w:rPr>
            </w:pPr>
          </w:p>
        </w:tc>
        <w:tc>
          <w:tcPr>
            <w:tcW w:w="52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28"/>
        </w:trPr>
        <w:tc>
          <w:tcPr>
            <w:tcW w:w="5380" w:type="dxa"/>
            <w:vAlign w:val="bottom"/>
            <w:gridSpan w:val="3"/>
          </w:tcPr>
          <w:p>
            <w:pPr>
              <w:spacing w:after="0"/>
              <w:rPr>
                <w:sz w:val="20"/>
                <w:szCs w:val="20"/>
                <w:color w:val="auto"/>
              </w:rPr>
            </w:pPr>
            <w:r>
              <w:rPr>
                <w:rFonts w:ascii="Arial" w:cs="Arial" w:eastAsia="Arial" w:hAnsi="Arial"/>
                <w:sz w:val="22"/>
                <w:szCs w:val="22"/>
                <w:color w:val="auto"/>
              </w:rPr>
              <w:t>By:</w:t>
            </w:r>
          </w:p>
        </w:tc>
        <w:tc>
          <w:tcPr>
            <w:tcW w:w="6040" w:type="dxa"/>
            <w:vAlign w:val="bottom"/>
            <w:gridSpan w:val="3"/>
          </w:tcPr>
          <w:p>
            <w:pPr>
              <w:ind w:left="44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40" w:type="dxa"/>
            <w:vAlign w:val="bottom"/>
            <w:gridSpan w:val="3"/>
          </w:tcPr>
          <w:p>
            <w:pPr>
              <w:ind w:left="160"/>
              <w:spacing w:after="0"/>
              <w:rPr>
                <w:sz w:val="20"/>
                <w:szCs w:val="20"/>
                <w:color w:val="auto"/>
              </w:rPr>
            </w:pPr>
            <w:r>
              <w:rPr>
                <w:rFonts w:ascii="Arial" w:cs="Arial" w:eastAsia="Arial" w:hAnsi="Arial"/>
                <w:sz w:val="22"/>
                <w:szCs w:val="22"/>
                <w:color w:val="auto"/>
              </w:rPr>
              <w:t>A-1</w:t>
            </w:r>
          </w:p>
        </w:tc>
        <w:tc>
          <w:tcPr>
            <w:tcW w:w="40" w:type="dxa"/>
            <w:vAlign w:val="bottom"/>
          </w:tcPr>
          <w:p>
            <w:pPr>
              <w:spacing w:after="0"/>
              <w:rPr>
                <w:sz w:val="24"/>
                <w:szCs w:val="24"/>
                <w:color w:val="auto"/>
              </w:rPr>
            </w:pPr>
          </w:p>
        </w:tc>
      </w:tr>
      <w:tr>
        <w:trPr>
          <w:trHeight w:val="122"/>
        </w:trPr>
        <w:tc>
          <w:tcPr>
            <w:tcW w:w="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as tenants in common</w:t>
            </w: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596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311"/>
        </w:trPr>
        <w:tc>
          <w:tcPr>
            <w:tcW w:w="122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240" w:type="dxa"/>
            <w:vAlign w:val="bottom"/>
          </w:tcPr>
          <w:p>
            <w:pPr>
              <w:ind w:left="300"/>
              <w:spacing w:after="0"/>
              <w:rPr>
                <w:sz w:val="20"/>
                <w:szCs w:val="20"/>
                <w:color w:val="auto"/>
              </w:rPr>
            </w:pPr>
            <w:r>
              <w:rPr>
                <w:rFonts w:ascii="Arial" w:cs="Arial" w:eastAsia="Arial" w:hAnsi="Arial"/>
                <w:sz w:val="18"/>
                <w:szCs w:val="18"/>
                <w:color w:val="auto"/>
              </w:rPr>
              <w:t>—    as tenants by the entireties</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5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    as joint tenants with right of</w:t>
            </w: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survivorship and not as tenants in</w:t>
            </w:r>
          </w:p>
        </w:tc>
        <w:tc>
          <w:tcPr>
            <w:tcW w:w="5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common</w:t>
            </w:r>
          </w:p>
        </w:tc>
        <w:tc>
          <w:tcPr>
            <w:tcW w:w="5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2"/>
          <w:szCs w:val="22"/>
          <w:b w:val="1"/>
          <w:bCs w:val="1"/>
          <w:color w:val="auto"/>
        </w:rPr>
        <w:t>ASSIGNMENT OF COMMON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638"/>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Common Units representing limited partner interests evidenced by this Certificate, subject to the Partnership</w:t>
      </w:r>
    </w:p>
    <w:p>
      <w:pPr>
        <w:spacing w:after="0" w:line="20" w:lineRule="exact"/>
        <w:rPr>
          <w:sz w:val="20"/>
          <w:szCs w:val="20"/>
          <w:color w:val="auto"/>
        </w:rPr>
      </w:pPr>
    </w:p>
    <w:p>
      <w:pPr>
        <w:ind w:right="1020"/>
        <w:spacing w:after="0" w:line="237" w:lineRule="auto"/>
        <w:rPr>
          <w:sz w:val="20"/>
          <w:szCs w:val="20"/>
          <w:color w:val="auto"/>
        </w:rPr>
      </w:pPr>
      <w:r>
        <w:rPr>
          <w:rFonts w:ascii="Arial" w:cs="Arial" w:eastAsia="Arial" w:hAnsi="Arial"/>
          <w:sz w:val="22"/>
          <w:szCs w:val="22"/>
          <w:color w:val="auto"/>
        </w:rPr>
        <w:t>Agreement, and does hereby irrevocably constitute and appoint as its attorney-in-fact with full power of substitution to transfer the same on the books of GasLog Partners LP.</w:t>
      </w:r>
    </w:p>
    <w:p>
      <w:pPr>
        <w:sectPr>
          <w:pgSz w:w="11900" w:h="16838" w:orient="portrait"/>
          <w:cols w:equalWidth="0" w:num="1">
            <w:col w:w="11420"/>
          </w:cols>
          <w:pgMar w:left="240" w:top="328"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-124460</wp:posOffset>
            </wp:positionV>
            <wp:extent cx="7246620" cy="6172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The signature to any endorsement hereon must correspond with the name as written upon the face of this Certificate in every particular, without alteration, enlargement or change.</w:t>
      </w:r>
    </w:p>
    <w:p>
      <w:pPr>
        <w:spacing w:after="0" w:line="1" w:lineRule="exact"/>
        <w:rPr>
          <w:sz w:val="20"/>
          <w:szCs w:val="20"/>
          <w:color w:val="auto"/>
        </w:rPr>
      </w:pPr>
    </w:p>
    <w:p>
      <w:pPr>
        <w:sectPr>
          <w:pgSz w:w="11900" w:h="16838" w:orient="portrait"/>
          <w:cols w:equalWidth="0" w:num="3">
            <w:col w:w="4800" w:space="720"/>
            <w:col w:w="640" w:space="440"/>
            <w:col w:w="4820"/>
          </w:cols>
          <w:pgMar w:left="240" w:top="328" w:right="2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6460" w:type="dxa"/>
            <w:vAlign w:val="bottom"/>
          </w:tcPr>
          <w:p>
            <w:pPr>
              <w:spacing w:after="0" w:line="219" w:lineRule="exact"/>
              <w:rPr>
                <w:sz w:val="20"/>
                <w:szCs w:val="20"/>
                <w:color w:val="auto"/>
              </w:rPr>
            </w:pPr>
            <w:r>
              <w:rPr>
                <w:rFonts w:ascii="Arial" w:cs="Arial" w:eastAsia="Arial" w:hAnsi="Arial"/>
                <w:sz w:val="22"/>
                <w:szCs w:val="22"/>
                <w:b w:val="1"/>
                <w:bCs w:val="1"/>
                <w:color w:val="auto"/>
              </w:rPr>
              <w:t>THE SIGNATURE(S) MUST BE GUARANTEED BY AN</w:t>
            </w:r>
          </w:p>
        </w:tc>
        <w:tc>
          <w:tcPr>
            <w:tcW w:w="4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60" w:type="dxa"/>
            <w:vAlign w:val="bottom"/>
            <w:vMerge w:val="restart"/>
          </w:tcPr>
          <w:p>
            <w:pPr>
              <w:spacing w:after="0" w:line="244" w:lineRule="exact"/>
              <w:rPr>
                <w:sz w:val="20"/>
                <w:szCs w:val="20"/>
                <w:color w:val="auto"/>
              </w:rPr>
            </w:pPr>
            <w:r>
              <w:rPr>
                <w:rFonts w:ascii="Arial" w:cs="Arial" w:eastAsia="Arial" w:hAnsi="Arial"/>
                <w:sz w:val="22"/>
                <w:szCs w:val="22"/>
                <w:b w:val="1"/>
                <w:bCs w:val="1"/>
                <w:color w:val="auto"/>
              </w:rPr>
              <w:t>ELIGIBLE GUARANTOR INSTITUTION (BANKS,</w:t>
            </w:r>
          </w:p>
        </w:tc>
        <w:tc>
          <w:tcPr>
            <w:tcW w:w="4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6460" w:type="dxa"/>
            <w:vAlign w:val="bottom"/>
            <w:vMerge w:val="continue"/>
          </w:tcPr>
          <w:p>
            <w:pPr>
              <w:spacing w:after="0"/>
              <w:rPr>
                <w:sz w:val="15"/>
                <w:szCs w:val="15"/>
                <w:color w:val="auto"/>
              </w:rPr>
            </w:pPr>
          </w:p>
        </w:tc>
        <w:tc>
          <w:tcPr>
            <w:tcW w:w="4960" w:type="dxa"/>
            <w:vAlign w:val="bottom"/>
          </w:tcPr>
          <w:p>
            <w:pPr>
              <w:ind w:left="200"/>
              <w:spacing w:after="0" w:line="183" w:lineRule="exact"/>
              <w:rPr>
                <w:sz w:val="20"/>
                <w:szCs w:val="20"/>
                <w:color w:val="auto"/>
              </w:rPr>
            </w:pPr>
            <w:r>
              <w:rPr>
                <w:rFonts w:ascii="Arial" w:cs="Arial" w:eastAsia="Arial" w:hAnsi="Arial"/>
                <w:sz w:val="21"/>
                <w:szCs w:val="21"/>
                <w:color w:val="auto"/>
              </w:rPr>
              <w:t>(Signature)</w:t>
            </w:r>
          </w:p>
        </w:tc>
        <w:tc>
          <w:tcPr>
            <w:tcW w:w="0" w:type="dxa"/>
            <w:vAlign w:val="bottom"/>
          </w:tcPr>
          <w:p>
            <w:pPr>
              <w:spacing w:after="0"/>
              <w:rPr>
                <w:sz w:val="1"/>
                <w:szCs w:val="1"/>
                <w:color w:val="auto"/>
              </w:rPr>
            </w:pPr>
          </w:p>
        </w:tc>
      </w:tr>
      <w:tr>
        <w:trPr>
          <w:trHeight w:val="243"/>
        </w:trPr>
        <w:tc>
          <w:tcPr>
            <w:tcW w:w="6460" w:type="dxa"/>
            <w:vAlign w:val="bottom"/>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4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64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4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6460" w:type="dxa"/>
            <w:vAlign w:val="bottom"/>
            <w:vMerge w:val="continue"/>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4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4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646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49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60" w:firstLine="1297"/>
        <w:spacing w:after="0" w:line="274" w:lineRule="auto"/>
        <w:rPr>
          <w:sz w:val="20"/>
          <w:szCs w:val="20"/>
          <w:color w:val="auto"/>
        </w:rPr>
      </w:pPr>
      <w:r>
        <w:rPr>
          <w:rFonts w:ascii="Arial" w:cs="Arial" w:eastAsia="Arial" w:hAnsi="Arial"/>
          <w:sz w:val="21"/>
          <w:szCs w:val="21"/>
          <w:color w:val="auto"/>
        </w:rPr>
        <w:t>No transfer of the Common Units evidenced hereby will be registered on the books of the Partnership, unless the Certificate evidencing the Common Units to be transferred is surrendered for registration or transfer.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14" w:name="page115"/>
    <w:bookmarkEnd w:id="114"/>
    <w:p>
      <w:pPr>
        <w:jc w:val="center"/>
        <w:ind w:right="40"/>
        <w:spacing w:after="0"/>
        <w:rPr>
          <w:sz w:val="20"/>
          <w:szCs w:val="20"/>
          <w:color w:val="auto"/>
        </w:rPr>
      </w:pPr>
      <w:r>
        <w:rPr>
          <w:rFonts w:ascii="Arial" w:cs="Arial" w:eastAsia="Arial" w:hAnsi="Arial"/>
          <w:sz w:val="22"/>
          <w:szCs w:val="22"/>
          <w:b w:val="1"/>
          <w:bCs w:val="1"/>
          <w:color w:val="auto"/>
        </w:rPr>
        <w:t>EXHIBIT B</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Sixth Amended and Restated</w:t>
      </w:r>
    </w:p>
    <w:p>
      <w:pPr>
        <w:jc w:val="center"/>
        <w:ind w:right="40"/>
        <w:spacing w:after="0" w:line="230" w:lineRule="auto"/>
        <w:rPr>
          <w:sz w:val="20"/>
          <w:szCs w:val="20"/>
          <w:color w:val="auto"/>
        </w:rPr>
      </w:pPr>
      <w:r>
        <w:rPr>
          <w:rFonts w:ascii="Arial" w:cs="Arial" w:eastAsia="Arial" w:hAnsi="Arial"/>
          <w:sz w:val="22"/>
          <w:szCs w:val="22"/>
          <w:b w:val="1"/>
          <w:bCs w:val="1"/>
          <w:color w:val="auto"/>
        </w:rPr>
        <w:t>Agreement of Limited Partnership of</w:t>
      </w:r>
    </w:p>
    <w:p>
      <w:pPr>
        <w:spacing w:after="0" w:line="1"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Certificate Evidencing Class B Units</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Representing Limited Partner Interests in</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p>
      <w:pPr>
        <w:spacing w:after="0"/>
        <w:tabs>
          <w:tab w:leader="none" w:pos="1022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Class B Units</w:t>
      </w:r>
    </w:p>
    <w:p>
      <w:pPr>
        <w:spacing w:after="0" w:line="241" w:lineRule="exact"/>
        <w:rPr>
          <w:sz w:val="20"/>
          <w:szCs w:val="20"/>
          <w:color w:val="auto"/>
        </w:rPr>
      </w:pPr>
    </w:p>
    <w:p>
      <w:pPr>
        <w:ind w:right="360" w:firstLine="1297"/>
        <w:spacing w:after="0" w:line="276" w:lineRule="auto"/>
        <w:rPr>
          <w:sz w:val="20"/>
          <w:szCs w:val="20"/>
          <w:color w:val="auto"/>
        </w:rPr>
      </w:pPr>
      <w:r>
        <w:rPr>
          <w:rFonts w:ascii="Arial" w:cs="Arial" w:eastAsia="Arial" w:hAnsi="Arial"/>
          <w:sz w:val="19"/>
          <w:szCs w:val="19"/>
          <w:color w:val="auto"/>
        </w:rPr>
        <w:t>In accordance with Section 4.1 of the Sixth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Class B Units representing limited partner interests in the Partnership (the “</w:t>
      </w:r>
      <w:r>
        <w:rPr>
          <w:rFonts w:ascii="Arial" w:cs="Arial" w:eastAsia="Arial" w:hAnsi="Arial"/>
          <w:sz w:val="19"/>
          <w:szCs w:val="19"/>
          <w:b w:val="1"/>
          <w:bCs w:val="1"/>
          <w:i w:val="1"/>
          <w:iCs w:val="1"/>
          <w:color w:val="auto"/>
        </w:rPr>
        <w:t>Class B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Class B Units are set forth in, and this Certificate and the Class B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5"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42"/>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5380" w:type="dxa"/>
            <w:vAlign w:val="bottom"/>
            <w:gridSpan w:val="3"/>
          </w:tcPr>
          <w:p>
            <w:pPr>
              <w:spacing w:after="0"/>
              <w:rPr>
                <w:sz w:val="20"/>
                <w:szCs w:val="20"/>
                <w:color w:val="auto"/>
              </w:rPr>
            </w:pPr>
            <w:r>
              <w:rPr>
                <w:rFonts w:ascii="Arial" w:cs="Arial" w:eastAsia="Arial" w:hAnsi="Arial"/>
                <w:sz w:val="22"/>
                <w:szCs w:val="22"/>
                <w:color w:val="auto"/>
              </w:rPr>
              <w:t>Dated: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59"/>
        </w:trPr>
        <w:tc>
          <w:tcPr>
            <w:tcW w:w="538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6040" w:type="dxa"/>
            <w:vAlign w:val="bottom"/>
            <w:gridSpan w:val="3"/>
          </w:tcPr>
          <w:p>
            <w:pPr>
              <w:ind w:left="44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692"/>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40" w:type="dxa"/>
            <w:vAlign w:val="bottom"/>
            <w:gridSpan w:val="3"/>
          </w:tcPr>
          <w:p>
            <w:pPr>
              <w:ind w:left="44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53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820" w:type="dxa"/>
            <w:vAlign w:val="bottom"/>
          </w:tcPr>
          <w:p>
            <w:pPr>
              <w:spacing w:after="0"/>
              <w:rPr>
                <w:sz w:val="23"/>
                <w:szCs w:val="23"/>
                <w:color w:val="auto"/>
              </w:rPr>
            </w:pPr>
          </w:p>
        </w:tc>
        <w:tc>
          <w:tcPr>
            <w:tcW w:w="52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28"/>
        </w:trPr>
        <w:tc>
          <w:tcPr>
            <w:tcW w:w="5380" w:type="dxa"/>
            <w:vAlign w:val="bottom"/>
            <w:gridSpan w:val="3"/>
          </w:tcPr>
          <w:p>
            <w:pPr>
              <w:spacing w:after="0"/>
              <w:rPr>
                <w:sz w:val="20"/>
                <w:szCs w:val="20"/>
                <w:color w:val="auto"/>
              </w:rPr>
            </w:pPr>
            <w:r>
              <w:rPr>
                <w:rFonts w:ascii="Arial" w:cs="Arial" w:eastAsia="Arial" w:hAnsi="Arial"/>
                <w:sz w:val="22"/>
                <w:szCs w:val="22"/>
                <w:color w:val="auto"/>
              </w:rPr>
              <w:t>By:</w:t>
            </w:r>
          </w:p>
        </w:tc>
        <w:tc>
          <w:tcPr>
            <w:tcW w:w="6040" w:type="dxa"/>
            <w:vAlign w:val="bottom"/>
            <w:gridSpan w:val="3"/>
          </w:tcPr>
          <w:p>
            <w:pPr>
              <w:ind w:left="44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9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40" w:type="dxa"/>
            <w:vAlign w:val="bottom"/>
            <w:gridSpan w:val="3"/>
          </w:tcPr>
          <w:p>
            <w:pPr>
              <w:ind w:left="180"/>
              <w:spacing w:after="0"/>
              <w:rPr>
                <w:sz w:val="20"/>
                <w:szCs w:val="20"/>
                <w:color w:val="auto"/>
              </w:rPr>
            </w:pPr>
            <w:r>
              <w:rPr>
                <w:rFonts w:ascii="Arial" w:cs="Arial" w:eastAsia="Arial" w:hAnsi="Arial"/>
                <w:sz w:val="22"/>
                <w:szCs w:val="22"/>
                <w:color w:val="auto"/>
              </w:rPr>
              <w:t>B-1</w:t>
            </w:r>
          </w:p>
        </w:tc>
        <w:tc>
          <w:tcPr>
            <w:tcW w:w="40" w:type="dxa"/>
            <w:vAlign w:val="bottom"/>
          </w:tcPr>
          <w:p>
            <w:pPr>
              <w:spacing w:after="0"/>
              <w:rPr>
                <w:sz w:val="24"/>
                <w:szCs w:val="24"/>
                <w:color w:val="auto"/>
              </w:rPr>
            </w:pPr>
          </w:p>
        </w:tc>
      </w:tr>
      <w:tr>
        <w:trPr>
          <w:trHeight w:val="122"/>
        </w:trPr>
        <w:tc>
          <w:tcPr>
            <w:tcW w:w="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52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    as tenants in common</w:t>
            </w: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4240" w:type="dxa"/>
            <w:vAlign w:val="bottom"/>
            <w:tcBorders>
              <w:bottom w:val="single" w:sz="8" w:color="CCEEFF"/>
            </w:tcBorders>
            <w:shd w:val="clear" w:color="auto" w:fill="CCEEFF"/>
          </w:tcPr>
          <w:p>
            <w:pPr>
              <w:spacing w:after="0"/>
              <w:rPr>
                <w:sz w:val="19"/>
                <w:szCs w:val="19"/>
                <w:color w:val="auto"/>
              </w:rPr>
            </w:pPr>
          </w:p>
        </w:tc>
        <w:tc>
          <w:tcPr>
            <w:tcW w:w="5960" w:type="dxa"/>
            <w:vAlign w:val="bottom"/>
            <w:tcBorders>
              <w:bottom w:val="single" w:sz="8" w:color="auto"/>
            </w:tcBorders>
            <w:shd w:val="clear" w:color="auto" w:fill="CCEEFF"/>
          </w:tcPr>
          <w:p>
            <w:pPr>
              <w:ind w:left="1560"/>
              <w:spacing w:after="0"/>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(Cust) (Minor)</w:t>
            </w:r>
          </w:p>
        </w:tc>
        <w:tc>
          <w:tcPr>
            <w:tcW w:w="0" w:type="dxa"/>
            <w:vAlign w:val="bottom"/>
          </w:tcPr>
          <w:p>
            <w:pPr>
              <w:spacing w:after="0"/>
              <w:rPr>
                <w:sz w:val="1"/>
                <w:szCs w:val="1"/>
                <w:color w:val="auto"/>
              </w:rPr>
            </w:pPr>
          </w:p>
        </w:tc>
      </w:tr>
      <w:tr>
        <w:trPr>
          <w:trHeight w:val="311"/>
        </w:trPr>
        <w:tc>
          <w:tcPr>
            <w:tcW w:w="122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4240" w:type="dxa"/>
            <w:vAlign w:val="bottom"/>
          </w:tcPr>
          <w:p>
            <w:pPr>
              <w:ind w:left="300"/>
              <w:spacing w:after="0"/>
              <w:rPr>
                <w:sz w:val="20"/>
                <w:szCs w:val="20"/>
                <w:color w:val="auto"/>
              </w:rPr>
            </w:pPr>
            <w:r>
              <w:rPr>
                <w:rFonts w:ascii="Arial" w:cs="Arial" w:eastAsia="Arial" w:hAnsi="Arial"/>
                <w:sz w:val="18"/>
                <w:szCs w:val="18"/>
                <w:color w:val="auto"/>
              </w:rPr>
              <w:t>—    as tenants by the entireties</w:t>
            </w:r>
          </w:p>
        </w:tc>
        <w:tc>
          <w:tcPr>
            <w:tcW w:w="5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00" w:type="dxa"/>
            <w:vAlign w:val="bottom"/>
          </w:tcPr>
          <w:p>
            <w:pPr>
              <w:spacing w:after="0"/>
              <w:rPr>
                <w:sz w:val="8"/>
                <w:szCs w:val="8"/>
                <w:color w:val="auto"/>
              </w:rPr>
            </w:pPr>
          </w:p>
        </w:tc>
        <w:tc>
          <w:tcPr>
            <w:tcW w:w="4240" w:type="dxa"/>
            <w:vAlign w:val="bottom"/>
          </w:tcPr>
          <w:p>
            <w:pPr>
              <w:spacing w:after="0"/>
              <w:rPr>
                <w:sz w:val="8"/>
                <w:szCs w:val="8"/>
                <w:color w:val="auto"/>
              </w:rPr>
            </w:pPr>
          </w:p>
        </w:tc>
        <w:tc>
          <w:tcPr>
            <w:tcW w:w="5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4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    as joint tenants with right of</w:t>
            </w:r>
          </w:p>
        </w:tc>
        <w:tc>
          <w:tcPr>
            <w:tcW w:w="5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survivorship and not as tenants in</w:t>
            </w:r>
          </w:p>
        </w:tc>
        <w:tc>
          <w:tcPr>
            <w:tcW w:w="5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42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common</w:t>
            </w:r>
          </w:p>
        </w:tc>
        <w:tc>
          <w:tcPr>
            <w:tcW w:w="5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22"/>
          <w:szCs w:val="22"/>
          <w:b w:val="1"/>
          <w:bCs w:val="1"/>
          <w:color w:val="auto"/>
        </w:rPr>
        <w:t>ASSIGNMENT OF CLASS B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Class B Units representing limited partner interests evidenced by this Certificate, subject to the Partnership</w:t>
      </w:r>
    </w:p>
    <w:p>
      <w:pPr>
        <w:spacing w:after="0" w:line="20" w:lineRule="exact"/>
        <w:rPr>
          <w:sz w:val="20"/>
          <w:szCs w:val="20"/>
          <w:color w:val="auto"/>
        </w:rPr>
      </w:pPr>
    </w:p>
    <w:p>
      <w:pPr>
        <w:ind w:right="1020"/>
        <w:spacing w:after="0" w:line="237" w:lineRule="auto"/>
        <w:rPr>
          <w:sz w:val="20"/>
          <w:szCs w:val="20"/>
          <w:color w:val="auto"/>
        </w:rPr>
      </w:pPr>
      <w:r>
        <w:rPr>
          <w:rFonts w:ascii="Arial" w:cs="Arial" w:eastAsia="Arial" w:hAnsi="Arial"/>
          <w:sz w:val="22"/>
          <w:szCs w:val="22"/>
          <w:color w:val="auto"/>
        </w:rPr>
        <w:t>Agreement, and does hereby irrevocably constitute and appoint as its attorney-in-fact with full power of substitution to transfer the same on the books of GasLog Partners LP.</w:t>
      </w:r>
    </w:p>
    <w:p>
      <w:pPr>
        <w:sectPr>
          <w:pgSz w:w="11900" w:h="16838" w:orient="portrait"/>
          <w:cols w:equalWidth="0" w:num="1">
            <w:col w:w="11420"/>
          </w:cols>
          <w:pgMar w:left="240" w:top="328"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Date: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-124460</wp:posOffset>
            </wp:positionV>
            <wp:extent cx="7246620" cy="6172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The signature to any endorsement hereon must correspond with the name as written upon the face of this Certificate in every particular, without alteration, enlargement or change.</w:t>
      </w:r>
    </w:p>
    <w:p>
      <w:pPr>
        <w:spacing w:after="0" w:line="1" w:lineRule="exact"/>
        <w:rPr>
          <w:sz w:val="20"/>
          <w:szCs w:val="20"/>
          <w:color w:val="auto"/>
        </w:rPr>
      </w:pPr>
    </w:p>
    <w:p>
      <w:pPr>
        <w:sectPr>
          <w:pgSz w:w="11900" w:h="16838" w:orient="portrait"/>
          <w:cols w:equalWidth="0" w:num="3">
            <w:col w:w="4800" w:space="720"/>
            <w:col w:w="640" w:space="440"/>
            <w:col w:w="4820"/>
          </w:cols>
          <w:pgMar w:left="240" w:top="328" w:right="23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6460" w:type="dxa"/>
            <w:vAlign w:val="bottom"/>
          </w:tcPr>
          <w:p>
            <w:pPr>
              <w:spacing w:after="0" w:line="219" w:lineRule="exact"/>
              <w:rPr>
                <w:sz w:val="20"/>
                <w:szCs w:val="20"/>
                <w:color w:val="auto"/>
              </w:rPr>
            </w:pPr>
            <w:r>
              <w:rPr>
                <w:rFonts w:ascii="Arial" w:cs="Arial" w:eastAsia="Arial" w:hAnsi="Arial"/>
                <w:sz w:val="22"/>
                <w:szCs w:val="22"/>
                <w:b w:val="1"/>
                <w:bCs w:val="1"/>
                <w:color w:val="auto"/>
              </w:rPr>
              <w:t>THE SIGNATURE(S) MUST BE GUARANTEED BY AN</w:t>
            </w:r>
          </w:p>
        </w:tc>
        <w:tc>
          <w:tcPr>
            <w:tcW w:w="14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64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ELIGIBLE GUARANTOR INSTITUTION (BANKS,</w:t>
            </w:r>
          </w:p>
        </w:tc>
        <w:tc>
          <w:tcPr>
            <w:tcW w:w="140" w:type="dxa"/>
            <w:vAlign w:val="bottom"/>
            <w:tcBorders>
              <w:bottom w:val="single" w:sz="8" w:color="auto"/>
            </w:tcBorders>
          </w:tcPr>
          <w:p>
            <w:pPr>
              <w:spacing w:after="0"/>
              <w:rPr>
                <w:sz w:val="10"/>
                <w:szCs w:val="10"/>
                <w:color w:val="auto"/>
              </w:rPr>
            </w:pPr>
          </w:p>
        </w:tc>
        <w:tc>
          <w:tcPr>
            <w:tcW w:w="4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64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4820" w:type="dxa"/>
            <w:vAlign w:val="bottom"/>
            <w:vMerge w:val="restart"/>
          </w:tcPr>
          <w:p>
            <w:pPr>
              <w:ind w:left="6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r>
        <w:trPr>
          <w:trHeight w:val="167"/>
        </w:trPr>
        <w:tc>
          <w:tcPr>
            <w:tcW w:w="64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140" w:type="dxa"/>
            <w:vAlign w:val="bottom"/>
          </w:tcPr>
          <w:p>
            <w:pPr>
              <w:spacing w:after="0"/>
              <w:rPr>
                <w:sz w:val="14"/>
                <w:szCs w:val="14"/>
                <w:color w:val="auto"/>
              </w:rPr>
            </w:pPr>
          </w:p>
        </w:tc>
        <w:tc>
          <w:tcPr>
            <w:tcW w:w="4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64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4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14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
        </w:trPr>
        <w:tc>
          <w:tcPr>
            <w:tcW w:w="64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140" w:type="dxa"/>
            <w:vAlign w:val="bottom"/>
            <w:tcBorders>
              <w:bottom w:val="single" w:sz="8" w:color="auto"/>
            </w:tcBorders>
          </w:tcPr>
          <w:p>
            <w:pPr>
              <w:spacing w:after="0"/>
              <w:rPr>
                <w:sz w:val="5"/>
                <w:szCs w:val="5"/>
                <w:color w:val="auto"/>
              </w:rPr>
            </w:pPr>
          </w:p>
        </w:tc>
        <w:tc>
          <w:tcPr>
            <w:tcW w:w="48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6460" w:type="dxa"/>
            <w:vAlign w:val="bottom"/>
            <w:vMerge w:val="continue"/>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46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140" w:type="dxa"/>
            <w:vAlign w:val="bottom"/>
            <w:shd w:val="clear" w:color="auto" w:fill="CCEEFF"/>
          </w:tcPr>
          <w:p>
            <w:pPr>
              <w:spacing w:after="0"/>
              <w:rPr>
                <w:sz w:val="21"/>
                <w:szCs w:val="21"/>
                <w:color w:val="auto"/>
              </w:rPr>
            </w:pPr>
          </w:p>
        </w:tc>
        <w:tc>
          <w:tcPr>
            <w:tcW w:w="4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646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140" w:type="dxa"/>
            <w:vAlign w:val="bottom"/>
            <w:shd w:val="clear" w:color="auto" w:fill="CCEEFF"/>
          </w:tcPr>
          <w:p>
            <w:pPr>
              <w:spacing w:after="0"/>
              <w:rPr>
                <w:sz w:val="23"/>
                <w:szCs w:val="23"/>
                <w:color w:val="auto"/>
              </w:rPr>
            </w:pPr>
          </w:p>
        </w:tc>
        <w:tc>
          <w:tcPr>
            <w:tcW w:w="4820" w:type="dxa"/>
            <w:vAlign w:val="bottom"/>
            <w:shd w:val="clear" w:color="auto" w:fill="CCEEFF"/>
          </w:tcPr>
          <w:p>
            <w:pPr>
              <w:ind w:left="6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500" w:firstLine="1297"/>
        <w:spacing w:after="0" w:line="274" w:lineRule="auto"/>
        <w:rPr>
          <w:sz w:val="20"/>
          <w:szCs w:val="20"/>
          <w:color w:val="auto"/>
        </w:rPr>
      </w:pPr>
      <w:r>
        <w:rPr>
          <w:rFonts w:ascii="Arial" w:cs="Arial" w:eastAsia="Arial" w:hAnsi="Arial"/>
          <w:sz w:val="21"/>
          <w:szCs w:val="21"/>
          <w:color w:val="auto"/>
        </w:rPr>
        <w:t>No transfer of the Class B Units evidenced hereby will be registered on the books of the Partnership, unless the Certificate evidencing the Class B Units to be transferred is surrendered for registration or transfer.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17" w:name="page118"/>
    <w:bookmarkEnd w:id="117"/>
    <w:p>
      <w:pPr>
        <w:jc w:val="center"/>
        <w:ind w:right="40"/>
        <w:spacing w:after="0"/>
        <w:rPr>
          <w:sz w:val="20"/>
          <w:szCs w:val="20"/>
          <w:color w:val="auto"/>
        </w:rPr>
      </w:pPr>
      <w:r>
        <w:rPr>
          <w:rFonts w:ascii="Arial" w:cs="Arial" w:eastAsia="Arial" w:hAnsi="Arial"/>
          <w:sz w:val="22"/>
          <w:szCs w:val="22"/>
          <w:b w:val="1"/>
          <w:bCs w:val="1"/>
          <w:color w:val="auto"/>
        </w:rPr>
        <w:t>EXHIBIT 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Sixth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20"/>
        <w:spacing w:after="0" w:line="256" w:lineRule="auto"/>
        <w:rPr>
          <w:sz w:val="20"/>
          <w:szCs w:val="20"/>
          <w:color w:val="auto"/>
        </w:rPr>
      </w:pPr>
      <w:r>
        <w:rPr>
          <w:rFonts w:ascii="Arial" w:cs="Arial" w:eastAsia="Arial" w:hAnsi="Arial"/>
          <w:sz w:val="22"/>
          <w:szCs w:val="22"/>
          <w:b w:val="1"/>
          <w:bCs w:val="1"/>
          <w:color w:val="auto"/>
        </w:rPr>
        <w:t>Certificate Evidencing Series A Cumulative Redeemable Perpetual Fixed to Floating Rate Preference Units Representing Limited Partner Interests in GASLOG PARTNERS LP</w:t>
      </w:r>
    </w:p>
    <w:p>
      <w:pPr>
        <w:spacing w:after="0" w:line="385" w:lineRule="exact"/>
        <w:rPr>
          <w:sz w:val="20"/>
          <w:szCs w:val="20"/>
          <w:color w:val="auto"/>
        </w:rPr>
      </w:pPr>
    </w:p>
    <w:p>
      <w:pPr>
        <w:spacing w:after="0"/>
        <w:tabs>
          <w:tab w:leader="none" w:pos="91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A Preference Units</w:t>
      </w:r>
    </w:p>
    <w:p>
      <w:pPr>
        <w:spacing w:after="0" w:line="241" w:lineRule="exact"/>
        <w:rPr>
          <w:sz w:val="20"/>
          <w:szCs w:val="20"/>
          <w:color w:val="auto"/>
        </w:rPr>
      </w:pPr>
    </w:p>
    <w:p>
      <w:pPr>
        <w:ind w:right="360" w:firstLine="1297"/>
        <w:spacing w:after="0" w:line="276" w:lineRule="auto"/>
        <w:rPr>
          <w:sz w:val="20"/>
          <w:szCs w:val="20"/>
          <w:color w:val="auto"/>
        </w:rPr>
      </w:pPr>
      <w:r>
        <w:rPr>
          <w:rFonts w:ascii="Arial" w:cs="Arial" w:eastAsia="Arial" w:hAnsi="Arial"/>
          <w:sz w:val="19"/>
          <w:szCs w:val="19"/>
          <w:color w:val="auto"/>
        </w:rPr>
        <w:t>In accordance with Section 4.1 of the Sixth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A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A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A Preference Units are set forth in, and this Certificate and the Series A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40" w:type="dxa"/>
            <w:vAlign w:val="bottom"/>
            <w:gridSpan w:val="3"/>
          </w:tcPr>
          <w:p>
            <w:pPr>
              <w:spacing w:after="0"/>
              <w:rPr>
                <w:sz w:val="20"/>
                <w:szCs w:val="20"/>
                <w:color w:val="auto"/>
              </w:rPr>
            </w:pPr>
            <w:r>
              <w:rPr>
                <w:rFonts w:ascii="Arial" w:cs="Arial" w:eastAsia="Arial" w:hAnsi="Arial"/>
                <w:sz w:val="22"/>
                <w:szCs w:val="22"/>
                <w:color w:val="auto"/>
              </w:rPr>
              <w:t>Dated:</w:t>
            </w:r>
          </w:p>
        </w:tc>
        <w:tc>
          <w:tcPr>
            <w:tcW w:w="15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59"/>
        </w:trPr>
        <w:tc>
          <w:tcPr>
            <w:tcW w:w="424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7180" w:type="dxa"/>
            <w:vAlign w:val="bottom"/>
            <w:gridSpan w:val="3"/>
          </w:tcPr>
          <w:p>
            <w:pPr>
              <w:ind w:left="1580"/>
              <w:spacing w:after="0"/>
              <w:rPr>
                <w:sz w:val="20"/>
                <w:szCs w:val="20"/>
                <w:color w:val="auto"/>
              </w:rPr>
            </w:pPr>
            <w:r>
              <w:rPr>
                <w:rFonts w:ascii="Arial" w:cs="Arial" w:eastAsia="Arial" w:hAnsi="Arial"/>
                <w:sz w:val="22"/>
                <w:szCs w:val="22"/>
                <w:color w:val="auto"/>
              </w:rPr>
              <w:t>GASLOG PARTNERS LP</w:t>
            </w:r>
          </w:p>
        </w:tc>
        <w:tc>
          <w:tcPr>
            <w:tcW w:w="40" w:type="dxa"/>
            <w:vAlign w:val="bottom"/>
          </w:tcPr>
          <w:p>
            <w:pPr>
              <w:spacing w:after="0"/>
              <w:rPr>
                <w:sz w:val="24"/>
                <w:szCs w:val="24"/>
                <w:color w:val="auto"/>
              </w:rPr>
            </w:pPr>
          </w:p>
        </w:tc>
      </w:tr>
      <w:tr>
        <w:trPr>
          <w:trHeight w:val="6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180" w:type="dxa"/>
            <w:vAlign w:val="bottom"/>
            <w:gridSpan w:val="3"/>
          </w:tcPr>
          <w:p>
            <w:pPr>
              <w:ind w:left="158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422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as Transfer Agent and Registrar</w:t>
            </w:r>
          </w:p>
        </w:tc>
        <w:tc>
          <w:tcPr>
            <w:tcW w:w="1580" w:type="dxa"/>
            <w:vAlign w:val="bottom"/>
            <w:tcBorders>
              <w:top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Title:</w:t>
            </w:r>
          </w:p>
        </w:tc>
        <w:tc>
          <w:tcPr>
            <w:tcW w:w="40" w:type="dxa"/>
            <w:vAlign w:val="bottom"/>
          </w:tcPr>
          <w:p>
            <w:pPr>
              <w:spacing w:after="0"/>
              <w:rPr>
                <w:sz w:val="23"/>
                <w:szCs w:val="23"/>
                <w:color w:val="auto"/>
              </w:rPr>
            </w:pPr>
          </w:p>
        </w:tc>
      </w:tr>
      <w:tr>
        <w:trPr>
          <w:trHeight w:val="428"/>
        </w:trPr>
        <w:tc>
          <w:tcPr>
            <w:tcW w:w="4240" w:type="dxa"/>
            <w:vAlign w:val="bottom"/>
            <w:gridSpan w:val="3"/>
          </w:tcPr>
          <w:p>
            <w:pPr>
              <w:spacing w:after="0"/>
              <w:rPr>
                <w:sz w:val="20"/>
                <w:szCs w:val="20"/>
                <w:color w:val="auto"/>
              </w:rPr>
            </w:pPr>
            <w:r>
              <w:rPr>
                <w:rFonts w:ascii="Arial" w:cs="Arial" w:eastAsia="Arial" w:hAnsi="Arial"/>
                <w:sz w:val="22"/>
                <w:szCs w:val="22"/>
                <w:color w:val="auto"/>
              </w:rPr>
              <w:t>By:</w:t>
            </w:r>
          </w:p>
        </w:tc>
        <w:tc>
          <w:tcPr>
            <w:tcW w:w="7180" w:type="dxa"/>
            <w:vAlign w:val="bottom"/>
            <w:gridSpan w:val="3"/>
          </w:tcPr>
          <w:p>
            <w:pPr>
              <w:ind w:left="1580"/>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r>
      <w:tr>
        <w:trPr>
          <w:trHeight w:val="268"/>
        </w:trPr>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7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Authorized Signature</w:t>
            </w:r>
          </w:p>
        </w:tc>
        <w:tc>
          <w:tcPr>
            <w:tcW w:w="1580" w:type="dxa"/>
            <w:vAlign w:val="bottom"/>
            <w:tcBorders>
              <w:top w:val="single" w:sz="8" w:color="auto"/>
            </w:tcBorders>
          </w:tcPr>
          <w:p>
            <w:pPr>
              <w:spacing w:after="0"/>
              <w:rPr>
                <w:sz w:val="23"/>
                <w:szCs w:val="23"/>
                <w:color w:val="auto"/>
              </w:rPr>
            </w:pPr>
          </w:p>
        </w:tc>
        <w:tc>
          <w:tcPr>
            <w:tcW w:w="460" w:type="dxa"/>
            <w:vAlign w:val="bottom"/>
          </w:tcPr>
          <w:p>
            <w:pPr>
              <w:spacing w:after="0"/>
              <w:rPr>
                <w:sz w:val="23"/>
                <w:szCs w:val="23"/>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Secretary</w:t>
            </w:r>
          </w:p>
        </w:tc>
        <w:tc>
          <w:tcPr>
            <w:tcW w:w="40" w:type="dxa"/>
            <w:vAlign w:val="bottom"/>
          </w:tcPr>
          <w:p>
            <w:pPr>
              <w:spacing w:after="0"/>
              <w:rPr>
                <w:sz w:val="23"/>
                <w:szCs w:val="23"/>
                <w:color w:val="auto"/>
              </w:rPr>
            </w:pPr>
          </w:p>
        </w:tc>
      </w:tr>
      <w:tr>
        <w:trPr>
          <w:trHeight w:val="438"/>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180" w:type="dxa"/>
            <w:vAlign w:val="bottom"/>
            <w:gridSpan w:val="3"/>
          </w:tcPr>
          <w:p>
            <w:pPr>
              <w:ind w:left="1320"/>
              <w:spacing w:after="0"/>
              <w:rPr>
                <w:sz w:val="20"/>
                <w:szCs w:val="20"/>
                <w:color w:val="auto"/>
              </w:rPr>
            </w:pPr>
            <w:r>
              <w:rPr>
                <w:rFonts w:ascii="Arial" w:cs="Arial" w:eastAsia="Arial" w:hAnsi="Arial"/>
                <w:sz w:val="22"/>
                <w:szCs w:val="22"/>
                <w:color w:val="auto"/>
              </w:rPr>
              <w:t>C-1</w:t>
            </w:r>
          </w:p>
        </w:tc>
        <w:tc>
          <w:tcPr>
            <w:tcW w:w="40" w:type="dxa"/>
            <w:vAlign w:val="bottom"/>
          </w:tcPr>
          <w:p>
            <w:pPr>
              <w:spacing w:after="0"/>
              <w:rPr>
                <w:sz w:val="24"/>
                <w:szCs w:val="24"/>
                <w:color w:val="auto"/>
              </w:rPr>
            </w:pPr>
          </w:p>
        </w:tc>
      </w:tr>
      <w:tr>
        <w:trPr>
          <w:trHeight w:val="122"/>
        </w:trPr>
        <w:tc>
          <w:tcPr>
            <w:tcW w:w="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51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as tenants in common</w:t>
            </w:r>
          </w:p>
        </w:tc>
        <w:tc>
          <w:tcPr>
            <w:tcW w:w="678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80" w:type="dxa"/>
            <w:vAlign w:val="bottom"/>
            <w:gridSpan w:val="4"/>
            <w:shd w:val="clear" w:color="auto" w:fill="CCEEFF"/>
          </w:tcPr>
          <w:p>
            <w:pPr>
              <w:ind w:left="1180"/>
              <w:spacing w:after="0" w:line="190" w:lineRule="exact"/>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346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 (Minor)</w:t>
            </w:r>
          </w:p>
        </w:tc>
        <w:tc>
          <w:tcPr>
            <w:tcW w:w="72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30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3460" w:type="dxa"/>
            <w:vAlign w:val="bottom"/>
          </w:tcPr>
          <w:p>
            <w:pPr>
              <w:ind w:left="380"/>
              <w:spacing w:after="0"/>
              <w:rPr>
                <w:sz w:val="20"/>
                <w:szCs w:val="20"/>
                <w:color w:val="auto"/>
              </w:rPr>
            </w:pPr>
            <w:r>
              <w:rPr>
                <w:rFonts w:ascii="Arial" w:cs="Arial" w:eastAsia="Arial" w:hAnsi="Arial"/>
                <w:sz w:val="18"/>
                <w:szCs w:val="18"/>
                <w:color w:val="auto"/>
              </w:rPr>
              <w:t>—   as tenants by the entireties</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4160" w:type="dxa"/>
            <w:vAlign w:val="bottom"/>
            <w:gridSpan w:val="2"/>
          </w:tcPr>
          <w:p>
            <w:pPr>
              <w:spacing w:after="0"/>
              <w:rPr>
                <w:sz w:val="10"/>
                <w:szCs w:val="10"/>
                <w:color w:val="auto"/>
              </w:rPr>
            </w:pPr>
          </w:p>
        </w:tc>
        <w:tc>
          <w:tcPr>
            <w:tcW w:w="1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10240" w:type="dxa"/>
            <w:vAlign w:val="bottom"/>
            <w:gridSpan w:val="6"/>
            <w:shd w:val="clear" w:color="auto" w:fill="CCEEFF"/>
          </w:tcPr>
          <w:p>
            <w:pPr>
              <w:ind w:left="380"/>
              <w:spacing w:after="0" w:line="201" w:lineRule="exact"/>
              <w:rPr>
                <w:sz w:val="20"/>
                <w:szCs w:val="20"/>
                <w:color w:val="auto"/>
              </w:rPr>
            </w:pPr>
            <w:r>
              <w:rPr>
                <w:rFonts w:ascii="Arial" w:cs="Arial" w:eastAsia="Arial" w:hAnsi="Arial"/>
                <w:sz w:val="18"/>
                <w:szCs w:val="18"/>
                <w:color w:val="auto"/>
              </w:rPr>
              <w:t>—   as joint tenants with right of survivorship and 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not as tenants in common</w:t>
            </w:r>
          </w:p>
        </w:tc>
        <w:tc>
          <w:tcPr>
            <w:tcW w:w="7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3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2"/>
          <w:szCs w:val="22"/>
          <w:b w:val="1"/>
          <w:bCs w:val="1"/>
          <w:color w:val="auto"/>
        </w:rPr>
        <w:t>ASSIGNMENT OF SERIES A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A Preference Units representing limited partner interests evidenced by this Certificate, subject to the</w:t>
      </w:r>
    </w:p>
    <w:p>
      <w:pPr>
        <w:spacing w:after="0" w:line="20"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5960" w:type="dxa"/>
            <w:vAlign w:val="bottom"/>
            <w:gridSpan w:val="2"/>
            <w:shd w:val="clear" w:color="auto" w:fill="CCEEFF"/>
          </w:tcPr>
          <w:p>
            <w:pPr>
              <w:ind w:left="60"/>
              <w:spacing w:after="0"/>
              <w:rPr>
                <w:sz w:val="20"/>
                <w:szCs w:val="20"/>
                <w:color w:val="auto"/>
              </w:rPr>
            </w:pPr>
            <w:r>
              <w:rPr>
                <w:rFonts w:ascii="Arial" w:cs="Arial" w:eastAsia="Arial" w:hAnsi="Arial"/>
                <w:sz w:val="22"/>
                <w:szCs w:val="22"/>
                <w:color w:val="auto"/>
                <w:w w:val="87"/>
              </w:rPr>
              <w:t>NOTE:The signature to any endorsement hereon must</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96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2"/>
              </w:rPr>
              <w:t>correspond with the name as written upon the face of</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96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5"/>
              </w:rPr>
              <w:t>this Certificate in every particular, without alteration,</w:t>
            </w:r>
          </w:p>
        </w:tc>
        <w:tc>
          <w:tcPr>
            <w:tcW w:w="0" w:type="dxa"/>
            <w:vAlign w:val="bottom"/>
          </w:tcPr>
          <w:p>
            <w:pPr>
              <w:spacing w:after="0"/>
              <w:rPr>
                <w:sz w:val="1"/>
                <w:szCs w:val="1"/>
                <w:color w:val="auto"/>
              </w:rPr>
            </w:pPr>
          </w:p>
        </w:tc>
      </w:tr>
      <w:tr>
        <w:trPr>
          <w:trHeight w:val="265"/>
        </w:trPr>
        <w:tc>
          <w:tcPr>
            <w:tcW w:w="5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22"/>
                <w:szCs w:val="22"/>
                <w:color w:val="auto"/>
              </w:rPr>
              <w:t>enlargement or change.</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Arial" w:cs="Arial" w:eastAsia="Arial" w:hAnsi="Arial"/>
                <w:sz w:val="22"/>
                <w:szCs w:val="22"/>
                <w:b w:val="1"/>
                <w:bCs w:val="1"/>
                <w:color w:val="auto"/>
                <w:w w:val="98"/>
              </w:rPr>
              <w:t>THE SIGNATURE(S) MUST BE GUARANTEED BY AN</w:t>
            </w:r>
          </w:p>
        </w:tc>
        <w:tc>
          <w:tcPr>
            <w:tcW w:w="10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460" w:type="dxa"/>
            <w:vAlign w:val="bottom"/>
            <w:vMerge w:val="restart"/>
          </w:tcPr>
          <w:p>
            <w:pPr>
              <w:spacing w:after="0" w:line="244" w:lineRule="exact"/>
              <w:rPr>
                <w:sz w:val="20"/>
                <w:szCs w:val="20"/>
                <w:color w:val="auto"/>
              </w:rPr>
            </w:pPr>
            <w:r>
              <w:rPr>
                <w:rFonts w:ascii="Arial" w:cs="Arial" w:eastAsia="Arial" w:hAnsi="Arial"/>
                <w:sz w:val="22"/>
                <w:szCs w:val="22"/>
                <w:b w:val="1"/>
                <w:bCs w:val="1"/>
                <w:color w:val="auto"/>
              </w:rPr>
              <w:t>ELIGIBLE GUARANTOR INSTITUTION (BANKS,</w:t>
            </w:r>
          </w:p>
        </w:tc>
        <w:tc>
          <w:tcPr>
            <w:tcW w:w="100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960" w:type="dxa"/>
            <w:vAlign w:val="bottom"/>
          </w:tcPr>
          <w:p>
            <w:pPr>
              <w:ind w:left="140"/>
              <w:spacing w:after="0" w:line="183" w:lineRule="exact"/>
              <w:rPr>
                <w:sz w:val="20"/>
                <w:szCs w:val="20"/>
                <w:color w:val="auto"/>
              </w:rPr>
            </w:pPr>
            <w:r>
              <w:rPr>
                <w:rFonts w:ascii="Arial" w:cs="Arial" w:eastAsia="Arial" w:hAnsi="Arial"/>
                <w:sz w:val="21"/>
                <w:szCs w:val="21"/>
                <w:color w:val="auto"/>
              </w:rPr>
              <w:t>(Signature)</w:t>
            </w:r>
          </w:p>
        </w:tc>
        <w:tc>
          <w:tcPr>
            <w:tcW w:w="0" w:type="dxa"/>
            <w:vAlign w:val="bottom"/>
          </w:tcPr>
          <w:p>
            <w:pPr>
              <w:spacing w:after="0"/>
              <w:rPr>
                <w:sz w:val="1"/>
                <w:szCs w:val="1"/>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10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10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4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100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1000" w:type="dxa"/>
            <w:vAlign w:val="bottom"/>
          </w:tcPr>
          <w:p>
            <w:pPr>
              <w:spacing w:after="0"/>
              <w:rPr>
                <w:sz w:val="21"/>
                <w:szCs w:val="21"/>
                <w:color w:val="auto"/>
              </w:rPr>
            </w:pPr>
          </w:p>
        </w:tc>
        <w:tc>
          <w:tcPr>
            <w:tcW w:w="4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46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1000" w:type="dxa"/>
            <w:vAlign w:val="bottom"/>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No transfer of the Series A Preference Units evidenced hereby will be registered on the books of the Partnership, unless the Certificate evidencing the Series A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0" w:name="page121"/>
    <w:bookmarkEnd w:id="120"/>
    <w:p>
      <w:pPr>
        <w:jc w:val="center"/>
        <w:ind w:right="40"/>
        <w:spacing w:after="0"/>
        <w:rPr>
          <w:sz w:val="20"/>
          <w:szCs w:val="20"/>
          <w:color w:val="auto"/>
        </w:rPr>
      </w:pPr>
      <w:r>
        <w:rPr>
          <w:rFonts w:ascii="Arial" w:cs="Arial" w:eastAsia="Arial" w:hAnsi="Arial"/>
          <w:sz w:val="22"/>
          <w:szCs w:val="22"/>
          <w:b w:val="1"/>
          <w:bCs w:val="1"/>
          <w:color w:val="auto"/>
        </w:rPr>
        <w:t>EXHIBIT D</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Sixth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20"/>
        <w:spacing w:after="0" w:line="256" w:lineRule="auto"/>
        <w:rPr>
          <w:sz w:val="20"/>
          <w:szCs w:val="20"/>
          <w:color w:val="auto"/>
        </w:rPr>
      </w:pPr>
      <w:r>
        <w:rPr>
          <w:rFonts w:ascii="Arial" w:cs="Arial" w:eastAsia="Arial" w:hAnsi="Arial"/>
          <w:sz w:val="22"/>
          <w:szCs w:val="22"/>
          <w:b w:val="1"/>
          <w:bCs w:val="1"/>
          <w:color w:val="auto"/>
        </w:rPr>
        <w:t>Certificate Evidencing Series B Cumulative Redeemable Perpetual Fixed to Floating Rate Preference Units Representing Limited Partner Interests in GASLOG PARTNERS LP</w:t>
      </w:r>
    </w:p>
    <w:p>
      <w:pPr>
        <w:spacing w:after="0" w:line="385" w:lineRule="exact"/>
        <w:rPr>
          <w:sz w:val="20"/>
          <w:szCs w:val="20"/>
          <w:color w:val="auto"/>
        </w:rPr>
      </w:pPr>
    </w:p>
    <w:p>
      <w:pPr>
        <w:spacing w:after="0"/>
        <w:tabs>
          <w:tab w:leader="none" w:pos="91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B Preference Units</w:t>
      </w:r>
    </w:p>
    <w:p>
      <w:pPr>
        <w:spacing w:after="0" w:line="241" w:lineRule="exact"/>
        <w:rPr>
          <w:sz w:val="20"/>
          <w:szCs w:val="20"/>
          <w:color w:val="auto"/>
        </w:rPr>
      </w:pPr>
    </w:p>
    <w:p>
      <w:pPr>
        <w:ind w:right="360" w:firstLine="1297"/>
        <w:spacing w:after="0" w:line="276" w:lineRule="auto"/>
        <w:rPr>
          <w:sz w:val="20"/>
          <w:szCs w:val="20"/>
          <w:color w:val="auto"/>
        </w:rPr>
      </w:pPr>
      <w:r>
        <w:rPr>
          <w:rFonts w:ascii="Arial" w:cs="Arial" w:eastAsia="Arial" w:hAnsi="Arial"/>
          <w:sz w:val="19"/>
          <w:szCs w:val="19"/>
          <w:color w:val="auto"/>
        </w:rPr>
        <w:t>In accordance with Section 4.1 of the Sixth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B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B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B Preference Units are set forth in, and this Certificate and the Series B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44"/>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Dated:</w:t>
            </w:r>
          </w:p>
        </w:tc>
        <w:tc>
          <w:tcPr>
            <w:tcW w:w="34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4160" w:type="dxa"/>
            <w:vAlign w:val="bottom"/>
            <w:gridSpan w:val="2"/>
          </w:tcPr>
          <w:p>
            <w:pPr>
              <w:spacing w:after="0"/>
              <w:rPr>
                <w:sz w:val="20"/>
                <w:szCs w:val="20"/>
                <w:color w:val="auto"/>
              </w:rPr>
            </w:pPr>
            <w:r>
              <w:rPr>
                <w:rFonts w:ascii="Arial" w:cs="Arial" w:eastAsia="Arial" w:hAnsi="Arial"/>
                <w:sz w:val="22"/>
                <w:szCs w:val="22"/>
                <w:color w:val="auto"/>
              </w:rPr>
              <w:t>GASLOG PARTNERS LP</w:t>
            </w:r>
          </w:p>
        </w:tc>
        <w:tc>
          <w:tcPr>
            <w:tcW w:w="166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22"/>
                <w:szCs w:val="22"/>
                <w:color w:val="auto"/>
              </w:rPr>
              <w:t>Countersigned and Registered 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22"/>
                <w:szCs w:val="22"/>
                <w:color w:val="auto"/>
              </w:rPr>
              <w:t>AMERICAN STOCK &amp; TRANSFER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line="243" w:lineRule="exact"/>
              <w:rPr>
                <w:sz w:val="20"/>
                <w:szCs w:val="20"/>
                <w:color w:val="auto"/>
              </w:rPr>
            </w:pPr>
            <w:r>
              <w:rPr>
                <w:rFonts w:ascii="Arial" w:cs="Arial" w:eastAsia="Arial" w:hAnsi="Arial"/>
                <w:sz w:val="22"/>
                <w:szCs w:val="22"/>
                <w:color w:val="auto"/>
              </w:rPr>
              <w:t>Name:</w:t>
            </w:r>
          </w:p>
        </w:tc>
        <w:tc>
          <w:tcPr>
            <w:tcW w:w="3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60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&amp; TRUST COMPANY, LLC</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60" w:type="dxa"/>
            <w:vAlign w:val="bottom"/>
            <w:vMerge w:val="continue"/>
          </w:tcPr>
          <w:p>
            <w:pPr>
              <w:spacing w:after="0"/>
              <w:rPr>
                <w:sz w:val="17"/>
                <w:szCs w:val="17"/>
                <w:color w:val="auto"/>
              </w:rPr>
            </w:pPr>
          </w:p>
        </w:tc>
        <w:tc>
          <w:tcPr>
            <w:tcW w:w="34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60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1660" w:type="dxa"/>
            <w:vAlign w:val="bottom"/>
          </w:tcPr>
          <w:p>
            <w:pPr>
              <w:spacing w:after="0"/>
              <w:rPr>
                <w:sz w:val="23"/>
                <w:szCs w:val="23"/>
                <w:color w:val="auto"/>
              </w:rPr>
            </w:pPr>
          </w:p>
        </w:tc>
        <w:tc>
          <w:tcPr>
            <w:tcW w:w="5600" w:type="dxa"/>
            <w:vAlign w:val="bottom"/>
            <w:gridSpan w:val="2"/>
          </w:tcPr>
          <w:p>
            <w:pPr>
              <w:spacing w:after="0"/>
              <w:rPr>
                <w:sz w:val="20"/>
                <w:szCs w:val="20"/>
                <w:color w:val="auto"/>
              </w:rPr>
            </w:pPr>
            <w:r>
              <w:rPr>
                <w:rFonts w:ascii="Arial" w:cs="Arial" w:eastAsia="Arial" w:hAnsi="Arial"/>
                <w:sz w:val="22"/>
                <w:szCs w:val="22"/>
                <w:color w:val="auto"/>
              </w:rPr>
              <w:t>as Transfer Agent and Registrar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5"/>
        </w:trPr>
        <w:tc>
          <w:tcPr>
            <w:tcW w:w="760" w:type="dxa"/>
            <w:vAlign w:val="bottom"/>
          </w:tcPr>
          <w:p>
            <w:pPr>
              <w:spacing w:after="0"/>
              <w:rPr>
                <w:sz w:val="20"/>
                <w:szCs w:val="20"/>
                <w:color w:val="auto"/>
              </w:rPr>
            </w:pPr>
            <w:r>
              <w:rPr>
                <w:rFonts w:ascii="Arial" w:cs="Arial" w:eastAsia="Arial" w:hAnsi="Arial"/>
                <w:sz w:val="22"/>
                <w:szCs w:val="22"/>
                <w:color w:val="auto"/>
              </w:rPr>
              <w:t>By:</w:t>
            </w:r>
          </w:p>
        </w:tc>
        <w:tc>
          <w:tcPr>
            <w:tcW w:w="3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60" w:type="dxa"/>
            <w:vAlign w:val="bottom"/>
            <w:vMerge w:val="restart"/>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60" w:type="dxa"/>
            <w:vAlign w:val="bottom"/>
            <w:vMerge w:val="continue"/>
          </w:tcPr>
          <w:p>
            <w:pPr>
              <w:spacing w:after="0"/>
              <w:rPr>
                <w:sz w:val="18"/>
                <w:szCs w:val="18"/>
                <w:color w:val="auto"/>
              </w:rPr>
            </w:pPr>
          </w:p>
        </w:tc>
        <w:tc>
          <w:tcPr>
            <w:tcW w:w="3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4740" w:type="dxa"/>
            <w:vAlign w:val="bottom"/>
          </w:tcPr>
          <w:p>
            <w:pPr>
              <w:spacing w:after="0" w:line="216" w:lineRule="exact"/>
              <w:rPr>
                <w:sz w:val="20"/>
                <w:szCs w:val="20"/>
                <w:color w:val="auto"/>
              </w:rPr>
            </w:pPr>
            <w:r>
              <w:rPr>
                <w:rFonts w:ascii="Arial" w:cs="Arial" w:eastAsia="Arial" w:hAnsi="Arial"/>
                <w:sz w:val="22"/>
                <w:szCs w:val="22"/>
                <w:color w:val="auto"/>
              </w:rPr>
              <w:t>Authorized Signature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760" w:type="dxa"/>
            <w:vAlign w:val="bottom"/>
          </w:tcPr>
          <w:p>
            <w:pPr>
              <w:spacing w:after="0"/>
              <w:rPr>
                <w:sz w:val="20"/>
                <w:szCs w:val="20"/>
                <w:color w:val="auto"/>
              </w:rPr>
            </w:pPr>
            <w:r>
              <w:rPr>
                <w:rFonts w:ascii="Arial" w:cs="Arial" w:eastAsia="Arial" w:hAnsi="Arial"/>
                <w:sz w:val="22"/>
                <w:szCs w:val="22"/>
                <w:color w:val="auto"/>
              </w:rPr>
              <w:t>Title:</w:t>
            </w:r>
          </w:p>
        </w:tc>
        <w:tc>
          <w:tcPr>
            <w:tcW w:w="3400" w:type="dxa"/>
            <w:vAlign w:val="bottom"/>
          </w:tcPr>
          <w:p>
            <w:pPr>
              <w:spacing w:after="0"/>
              <w:rPr>
                <w:sz w:val="20"/>
                <w:szCs w:val="20"/>
                <w:color w:val="auto"/>
              </w:rPr>
            </w:pPr>
            <w:r>
              <w:rPr>
                <w:rFonts w:ascii="Arial" w:cs="Arial" w:eastAsia="Arial" w:hAnsi="Arial"/>
                <w:sz w:val="22"/>
                <w:szCs w:val="22"/>
                <w:color w:val="auto"/>
              </w:rPr>
              <w:t>Secretary</w:t>
            </w:r>
          </w:p>
        </w:tc>
        <w:tc>
          <w:tcPr>
            <w:tcW w:w="16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7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260" w:type="dxa"/>
            <w:vAlign w:val="bottom"/>
            <w:gridSpan w:val="3"/>
          </w:tcPr>
          <w:p>
            <w:pPr>
              <w:ind w:left="1380"/>
              <w:spacing w:after="0"/>
              <w:rPr>
                <w:sz w:val="20"/>
                <w:szCs w:val="20"/>
                <w:color w:val="auto"/>
              </w:rPr>
            </w:pPr>
            <w:r>
              <w:rPr>
                <w:rFonts w:ascii="Arial" w:cs="Arial" w:eastAsia="Arial" w:hAnsi="Arial"/>
                <w:sz w:val="22"/>
                <w:szCs w:val="22"/>
                <w:color w:val="auto"/>
              </w:rPr>
              <w:t>D-1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76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16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7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21" w:name="page122"/>
    <w:bookmarkEnd w:id="121"/>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34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as tenants in common</w:t>
            </w:r>
          </w:p>
        </w:tc>
        <w:tc>
          <w:tcPr>
            <w:tcW w:w="678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UNIF GIFT/TRANSFERS MIN ACT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80" w:type="dxa"/>
            <w:vAlign w:val="bottom"/>
            <w:gridSpan w:val="4"/>
            <w:shd w:val="clear" w:color="auto" w:fill="CCEEFF"/>
          </w:tcPr>
          <w:p>
            <w:pPr>
              <w:ind w:left="1360"/>
              <w:spacing w:after="0" w:line="190" w:lineRule="exact"/>
              <w:rPr>
                <w:sz w:val="20"/>
                <w:szCs w:val="20"/>
                <w:color w:val="auto"/>
              </w:rPr>
            </w:pPr>
            <w:r>
              <w:rPr>
                <w:rFonts w:ascii="Arial" w:cs="Arial" w:eastAsia="Arial" w:hAnsi="Arial"/>
                <w:sz w:val="18"/>
                <w:szCs w:val="18"/>
                <w:color w:val="auto"/>
              </w:rPr>
              <w:t>Custodian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346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 (Minor)</w:t>
            </w:r>
          </w:p>
        </w:tc>
        <w:tc>
          <w:tcPr>
            <w:tcW w:w="72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26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80" w:type="dxa"/>
            <w:vAlign w:val="bottom"/>
            <w:gridSpan w:val="2"/>
          </w:tcPr>
          <w:p>
            <w:pPr>
              <w:spacing w:after="0"/>
              <w:rPr>
                <w:sz w:val="20"/>
                <w:szCs w:val="20"/>
                <w:color w:val="auto"/>
              </w:rPr>
            </w:pPr>
            <w:r>
              <w:rPr>
                <w:rFonts w:ascii="Arial" w:cs="Arial" w:eastAsia="Arial" w:hAnsi="Arial"/>
                <w:sz w:val="18"/>
                <w:szCs w:val="18"/>
                <w:color w:val="auto"/>
              </w:rPr>
              <w:t>TEN ENT</w:t>
            </w:r>
          </w:p>
        </w:tc>
        <w:tc>
          <w:tcPr>
            <w:tcW w:w="3460" w:type="dxa"/>
            <w:vAlign w:val="bottom"/>
          </w:tcPr>
          <w:p>
            <w:pPr>
              <w:ind w:left="380"/>
              <w:spacing w:after="0"/>
              <w:rPr>
                <w:sz w:val="20"/>
                <w:szCs w:val="20"/>
                <w:color w:val="auto"/>
              </w:rPr>
            </w:pPr>
            <w:r>
              <w:rPr>
                <w:rFonts w:ascii="Arial" w:cs="Arial" w:eastAsia="Arial" w:hAnsi="Arial"/>
                <w:sz w:val="18"/>
                <w:szCs w:val="18"/>
                <w:color w:val="auto"/>
              </w:rPr>
              <w:t>—   as tenants by the entireties</w:t>
            </w: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4160" w:type="dxa"/>
            <w:vAlign w:val="bottom"/>
            <w:gridSpan w:val="2"/>
          </w:tcPr>
          <w:p>
            <w:pPr>
              <w:spacing w:after="0"/>
              <w:rPr>
                <w:sz w:val="10"/>
                <w:szCs w:val="10"/>
                <w:color w:val="auto"/>
              </w:rPr>
            </w:pPr>
          </w:p>
        </w:tc>
        <w:tc>
          <w:tcPr>
            <w:tcW w:w="1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10240" w:type="dxa"/>
            <w:vAlign w:val="bottom"/>
            <w:gridSpan w:val="6"/>
            <w:shd w:val="clear" w:color="auto" w:fill="CCEEFF"/>
          </w:tcPr>
          <w:p>
            <w:pPr>
              <w:ind w:left="380"/>
              <w:spacing w:after="0" w:line="201" w:lineRule="exact"/>
              <w:rPr>
                <w:sz w:val="20"/>
                <w:szCs w:val="20"/>
                <w:color w:val="auto"/>
              </w:rPr>
            </w:pPr>
            <w:r>
              <w:rPr>
                <w:rFonts w:ascii="Arial" w:cs="Arial" w:eastAsia="Arial" w:hAnsi="Arial"/>
                <w:sz w:val="18"/>
                <w:szCs w:val="18"/>
                <w:color w:val="auto"/>
              </w:rPr>
              <w:t>—   as joint tenants with right of survivorship and under Uniform Gifts /Transfers to CD Minors Act (State)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4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not as tenants in common</w:t>
            </w:r>
          </w:p>
        </w:tc>
        <w:tc>
          <w:tcPr>
            <w:tcW w:w="7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2"/>
          <w:szCs w:val="22"/>
          <w:b w:val="1"/>
          <w:bCs w:val="1"/>
          <w:color w:val="auto"/>
        </w:rPr>
        <w:t>ASSIGNMENT OF SERIES B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1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7240" w:type="dxa"/>
            <w:vAlign w:val="bottom"/>
            <w:gridSpan w:val="3"/>
          </w:tcPr>
          <w:p>
            <w:pPr>
              <w:ind w:left="8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0"/>
              </w:rPr>
              <w:t>(Please print or typewrite name and address of Assignee)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B Preference Units representing limited partner interests evidenced by this Certificate, subject to the</w:t>
      </w:r>
    </w:p>
    <w:p>
      <w:pPr>
        <w:spacing w:after="0" w:line="20" w:lineRule="exact"/>
        <w:rPr>
          <w:sz w:val="20"/>
          <w:szCs w:val="20"/>
          <w:color w:val="auto"/>
        </w:rPr>
      </w:pPr>
    </w:p>
    <w:p>
      <w:pPr>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46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5960" w:type="dxa"/>
            <w:vAlign w:val="bottom"/>
            <w:gridSpan w:val="2"/>
            <w:shd w:val="clear" w:color="auto" w:fill="CCEEFF"/>
          </w:tcPr>
          <w:p>
            <w:pPr>
              <w:ind w:left="60"/>
              <w:spacing w:after="0"/>
              <w:rPr>
                <w:sz w:val="20"/>
                <w:szCs w:val="20"/>
                <w:color w:val="auto"/>
              </w:rPr>
            </w:pPr>
            <w:r>
              <w:rPr>
                <w:rFonts w:ascii="Arial" w:cs="Arial" w:eastAsia="Arial" w:hAnsi="Arial"/>
                <w:sz w:val="22"/>
                <w:szCs w:val="22"/>
                <w:color w:val="auto"/>
                <w:w w:val="87"/>
              </w:rPr>
              <w:t>NOTE:The signature to any endorsement hereon must</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96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2"/>
              </w:rPr>
              <w:t>correspond with the name as written upon the face of</w:t>
            </w: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960" w:type="dxa"/>
            <w:vAlign w:val="bottom"/>
            <w:shd w:val="clear" w:color="auto" w:fill="CCEEFF"/>
          </w:tcPr>
          <w:p>
            <w:pPr>
              <w:ind w:left="140"/>
              <w:spacing w:after="0" w:line="243" w:lineRule="exact"/>
              <w:rPr>
                <w:sz w:val="20"/>
                <w:szCs w:val="20"/>
                <w:color w:val="auto"/>
              </w:rPr>
            </w:pPr>
            <w:r>
              <w:rPr>
                <w:rFonts w:ascii="Arial" w:cs="Arial" w:eastAsia="Arial" w:hAnsi="Arial"/>
                <w:sz w:val="22"/>
                <w:szCs w:val="22"/>
                <w:color w:val="auto"/>
                <w:w w:val="95"/>
              </w:rPr>
              <w:t>this Certificate in every particular, without alteration,</w:t>
            </w:r>
          </w:p>
        </w:tc>
        <w:tc>
          <w:tcPr>
            <w:tcW w:w="0" w:type="dxa"/>
            <w:vAlign w:val="bottom"/>
          </w:tcPr>
          <w:p>
            <w:pPr>
              <w:spacing w:after="0"/>
              <w:rPr>
                <w:sz w:val="1"/>
                <w:szCs w:val="1"/>
                <w:color w:val="auto"/>
              </w:rPr>
            </w:pPr>
          </w:p>
        </w:tc>
      </w:tr>
      <w:tr>
        <w:trPr>
          <w:trHeight w:val="265"/>
        </w:trPr>
        <w:tc>
          <w:tcPr>
            <w:tcW w:w="54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960" w:type="dxa"/>
            <w:vAlign w:val="bottom"/>
            <w:shd w:val="clear" w:color="auto" w:fill="CCEEFF"/>
          </w:tcPr>
          <w:p>
            <w:pPr>
              <w:ind w:left="140"/>
              <w:spacing w:after="0"/>
              <w:rPr>
                <w:sz w:val="20"/>
                <w:szCs w:val="20"/>
                <w:color w:val="auto"/>
              </w:rPr>
            </w:pPr>
            <w:r>
              <w:rPr>
                <w:rFonts w:ascii="Arial" w:cs="Arial" w:eastAsia="Arial" w:hAnsi="Arial"/>
                <w:sz w:val="22"/>
                <w:szCs w:val="22"/>
                <w:color w:val="auto"/>
              </w:rPr>
              <w:t>enlargement or change.</w:t>
            </w: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Arial" w:cs="Arial" w:eastAsia="Arial" w:hAnsi="Arial"/>
                <w:sz w:val="22"/>
                <w:szCs w:val="22"/>
                <w:b w:val="1"/>
                <w:bCs w:val="1"/>
                <w:color w:val="auto"/>
                <w:w w:val="98"/>
              </w:rPr>
              <w:t>THE SIGNATURE(S) MUST BE GUARANTEED BY AN</w:t>
            </w:r>
          </w:p>
        </w:tc>
        <w:tc>
          <w:tcPr>
            <w:tcW w:w="100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460" w:type="dxa"/>
            <w:vAlign w:val="bottom"/>
            <w:vMerge w:val="restart"/>
          </w:tcPr>
          <w:p>
            <w:pPr>
              <w:spacing w:after="0" w:line="244" w:lineRule="exact"/>
              <w:rPr>
                <w:sz w:val="20"/>
                <w:szCs w:val="20"/>
                <w:color w:val="auto"/>
              </w:rPr>
            </w:pPr>
            <w:r>
              <w:rPr>
                <w:rFonts w:ascii="Arial" w:cs="Arial" w:eastAsia="Arial" w:hAnsi="Arial"/>
                <w:sz w:val="22"/>
                <w:szCs w:val="22"/>
                <w:b w:val="1"/>
                <w:bCs w:val="1"/>
                <w:color w:val="auto"/>
              </w:rPr>
              <w:t>ELIGIBLE GUARANTOR INSTITUTION (BANKS,</w:t>
            </w:r>
          </w:p>
        </w:tc>
        <w:tc>
          <w:tcPr>
            <w:tcW w:w="1000" w:type="dxa"/>
            <w:vAlign w:val="bottom"/>
          </w:tcPr>
          <w:p>
            <w:pPr>
              <w:spacing w:after="0"/>
              <w:rPr>
                <w:sz w:val="3"/>
                <w:szCs w:val="3"/>
                <w:color w:val="auto"/>
              </w:rPr>
            </w:pPr>
          </w:p>
        </w:tc>
        <w:tc>
          <w:tcPr>
            <w:tcW w:w="4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46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4960" w:type="dxa"/>
            <w:vAlign w:val="bottom"/>
          </w:tcPr>
          <w:p>
            <w:pPr>
              <w:ind w:left="140"/>
              <w:spacing w:after="0" w:line="183" w:lineRule="exact"/>
              <w:rPr>
                <w:sz w:val="20"/>
                <w:szCs w:val="20"/>
                <w:color w:val="auto"/>
              </w:rPr>
            </w:pPr>
            <w:r>
              <w:rPr>
                <w:rFonts w:ascii="Arial" w:cs="Arial" w:eastAsia="Arial" w:hAnsi="Arial"/>
                <w:sz w:val="21"/>
                <w:szCs w:val="21"/>
                <w:color w:val="auto"/>
              </w:rPr>
              <w:t>(Signature)</w:t>
            </w:r>
          </w:p>
        </w:tc>
        <w:tc>
          <w:tcPr>
            <w:tcW w:w="0" w:type="dxa"/>
            <w:vAlign w:val="bottom"/>
          </w:tcPr>
          <w:p>
            <w:pPr>
              <w:spacing w:after="0"/>
              <w:rPr>
                <w:sz w:val="1"/>
                <w:szCs w:val="1"/>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b w:val="1"/>
                <w:bCs w:val="1"/>
                <w:color w:val="auto"/>
              </w:rPr>
              <w:t>STOCKBROKERS, SAVINGS AND LOAN</w:t>
            </w:r>
          </w:p>
        </w:tc>
        <w:tc>
          <w:tcPr>
            <w:tcW w:w="10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b w:val="1"/>
                <w:bCs w:val="1"/>
                <w:color w:val="auto"/>
              </w:rPr>
              <w:t>ASSOCIATIONS AND CREDIT UNIONS WITH</w:t>
            </w:r>
          </w:p>
        </w:tc>
        <w:tc>
          <w:tcPr>
            <w:tcW w:w="100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460" w:type="dxa"/>
            <w:vAlign w:val="bottom"/>
            <w:vMerge w:val="restart"/>
          </w:tcPr>
          <w:p>
            <w:pPr>
              <w:spacing w:after="0" w:line="243" w:lineRule="exact"/>
              <w:rPr>
                <w:sz w:val="20"/>
                <w:szCs w:val="20"/>
                <w:color w:val="auto"/>
              </w:rPr>
            </w:pPr>
            <w:r>
              <w:rPr>
                <w:rFonts w:ascii="Arial" w:cs="Arial" w:eastAsia="Arial" w:hAnsi="Arial"/>
                <w:sz w:val="22"/>
                <w:szCs w:val="22"/>
                <w:b w:val="1"/>
                <w:bCs w:val="1"/>
                <w:color w:val="auto"/>
              </w:rPr>
              <w:t>MEMBERSHIP IN AN APPROVED SIGNATURE</w:t>
            </w:r>
          </w:p>
        </w:tc>
        <w:tc>
          <w:tcPr>
            <w:tcW w:w="1000" w:type="dxa"/>
            <w:vAlign w:val="bottom"/>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546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4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60" w:type="dxa"/>
            <w:vAlign w:val="bottom"/>
          </w:tcPr>
          <w:p>
            <w:pPr>
              <w:spacing w:after="0" w:line="243" w:lineRule="exact"/>
              <w:rPr>
                <w:sz w:val="20"/>
                <w:szCs w:val="20"/>
                <w:color w:val="auto"/>
              </w:rPr>
            </w:pPr>
            <w:r>
              <w:rPr>
                <w:rFonts w:ascii="Arial" w:cs="Arial" w:eastAsia="Arial" w:hAnsi="Arial"/>
                <w:sz w:val="22"/>
                <w:szCs w:val="22"/>
                <w:b w:val="1"/>
                <w:bCs w:val="1"/>
                <w:color w:val="auto"/>
              </w:rPr>
              <w:t>GUARANTEE MEDALLION PROGRAM), PURSUANT</w:t>
            </w:r>
          </w:p>
        </w:tc>
        <w:tc>
          <w:tcPr>
            <w:tcW w:w="1000" w:type="dxa"/>
            <w:vAlign w:val="bottom"/>
          </w:tcPr>
          <w:p>
            <w:pPr>
              <w:spacing w:after="0"/>
              <w:rPr>
                <w:sz w:val="21"/>
                <w:szCs w:val="21"/>
                <w:color w:val="auto"/>
              </w:rPr>
            </w:pPr>
          </w:p>
        </w:tc>
        <w:tc>
          <w:tcPr>
            <w:tcW w:w="4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460" w:type="dxa"/>
            <w:vAlign w:val="bottom"/>
          </w:tcPr>
          <w:p>
            <w:pPr>
              <w:spacing w:after="0"/>
              <w:rPr>
                <w:sz w:val="20"/>
                <w:szCs w:val="20"/>
                <w:color w:val="auto"/>
              </w:rPr>
            </w:pPr>
            <w:r>
              <w:rPr>
                <w:rFonts w:ascii="Arial" w:cs="Arial" w:eastAsia="Arial" w:hAnsi="Arial"/>
                <w:sz w:val="22"/>
                <w:szCs w:val="22"/>
                <w:b w:val="1"/>
                <w:bCs w:val="1"/>
                <w:color w:val="auto"/>
              </w:rPr>
              <w:t>TO S.E.C. RULE 17Ad-15</w:t>
            </w:r>
          </w:p>
        </w:tc>
        <w:tc>
          <w:tcPr>
            <w:tcW w:w="1000" w:type="dxa"/>
            <w:vAlign w:val="bottom"/>
          </w:tcPr>
          <w:p>
            <w:pPr>
              <w:spacing w:after="0"/>
              <w:rPr>
                <w:sz w:val="24"/>
                <w:szCs w:val="24"/>
                <w:color w:val="auto"/>
              </w:rPr>
            </w:pPr>
          </w:p>
        </w:tc>
        <w:tc>
          <w:tcPr>
            <w:tcW w:w="4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60" w:type="dxa"/>
            <w:vAlign w:val="bottom"/>
            <w:shd w:val="clear" w:color="auto" w:fill="CCEEFF"/>
          </w:tcPr>
          <w:p>
            <w:pPr>
              <w:ind w:left="200"/>
              <w:spacing w:after="0"/>
              <w:rPr>
                <w:sz w:val="20"/>
                <w:szCs w:val="20"/>
                <w:color w:val="auto"/>
              </w:rPr>
            </w:pPr>
            <w:r>
              <w:rPr>
                <w:rFonts w:ascii="Arial" w:cs="Arial" w:eastAsia="Arial" w:hAnsi="Arial"/>
                <w:sz w:val="22"/>
                <w:szCs w:val="22"/>
                <w:color w:val="auto"/>
              </w:rPr>
              <w:t>(Signature)</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No transfer of the Series B Preference Units evidenced hereby will be registered on the books of the Partnership, unless the Certificate evidencing the Series B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3" w:name="page124"/>
    <w:bookmarkEnd w:id="123"/>
    <w:p>
      <w:pPr>
        <w:jc w:val="center"/>
        <w:ind w:right="40"/>
        <w:spacing w:after="0"/>
        <w:rPr>
          <w:sz w:val="20"/>
          <w:szCs w:val="20"/>
          <w:color w:val="auto"/>
        </w:rPr>
      </w:pPr>
      <w:r>
        <w:rPr>
          <w:rFonts w:ascii="Arial" w:cs="Arial" w:eastAsia="Arial" w:hAnsi="Arial"/>
          <w:sz w:val="22"/>
          <w:szCs w:val="22"/>
          <w:b w:val="1"/>
          <w:bCs w:val="1"/>
          <w:color w:val="auto"/>
        </w:rPr>
        <w:t>EXHIBIT E</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to the Sixth Amended and Restated Agreement of Limited Partnership of</w:t>
      </w:r>
    </w:p>
    <w:p>
      <w:pPr>
        <w:jc w:val="center"/>
        <w:ind w:right="40"/>
        <w:spacing w:after="0"/>
        <w:rPr>
          <w:sz w:val="20"/>
          <w:szCs w:val="20"/>
          <w:color w:val="auto"/>
        </w:rPr>
      </w:pPr>
      <w:r>
        <w:rPr>
          <w:rFonts w:ascii="Arial" w:cs="Arial" w:eastAsia="Arial" w:hAnsi="Arial"/>
          <w:sz w:val="22"/>
          <w:szCs w:val="22"/>
          <w:b w:val="1"/>
          <w:bCs w:val="1"/>
          <w:color w:val="auto"/>
        </w:rPr>
        <w:t>GASLOG PARTNERS LP</w:t>
      </w:r>
    </w:p>
    <w:p>
      <w:pPr>
        <w:spacing w:after="0" w:line="182" w:lineRule="exact"/>
        <w:rPr>
          <w:sz w:val="20"/>
          <w:szCs w:val="20"/>
          <w:color w:val="auto"/>
        </w:rPr>
      </w:pPr>
    </w:p>
    <w:p>
      <w:pPr>
        <w:jc w:val="center"/>
        <w:ind w:right="40"/>
        <w:spacing w:after="0" w:line="256" w:lineRule="auto"/>
        <w:rPr>
          <w:sz w:val="20"/>
          <w:szCs w:val="20"/>
          <w:color w:val="auto"/>
        </w:rPr>
      </w:pPr>
      <w:r>
        <w:rPr>
          <w:rFonts w:ascii="Arial" w:cs="Arial" w:eastAsia="Arial" w:hAnsi="Arial"/>
          <w:sz w:val="22"/>
          <w:szCs w:val="22"/>
          <w:b w:val="1"/>
          <w:bCs w:val="1"/>
          <w:color w:val="auto"/>
        </w:rPr>
        <w:t>Certificate Evidencing Series C Cumulative Redeemable Perpetual Fixed to Floating Rate Preference Units Representing Limited Partner Interests in GASLOG PARTNERS LP</w:t>
      </w:r>
    </w:p>
    <w:p>
      <w:pPr>
        <w:spacing w:after="0" w:line="169" w:lineRule="exact"/>
        <w:rPr>
          <w:sz w:val="20"/>
          <w:szCs w:val="20"/>
          <w:color w:val="auto"/>
        </w:rPr>
      </w:pPr>
    </w:p>
    <w:p>
      <w:pPr>
        <w:spacing w:after="0"/>
        <w:tabs>
          <w:tab w:leader="none" w:pos="9180" w:val="left"/>
        </w:tabs>
        <w:rPr>
          <w:sz w:val="20"/>
          <w:szCs w:val="20"/>
          <w:color w:val="auto"/>
        </w:rPr>
      </w:pPr>
      <w:r>
        <w:rPr>
          <w:rFonts w:ascii="Arial" w:cs="Arial" w:eastAsia="Arial" w:hAnsi="Arial"/>
          <w:sz w:val="19"/>
          <w:szCs w:val="19"/>
          <w:color w:val="auto"/>
        </w:rPr>
        <w:t>No.</w:t>
      </w:r>
      <w:r>
        <w:rPr>
          <w:sz w:val="20"/>
          <w:szCs w:val="20"/>
          <w:color w:val="auto"/>
        </w:rPr>
        <w:tab/>
      </w:r>
      <w:r>
        <w:rPr>
          <w:rFonts w:ascii="Arial" w:cs="Arial" w:eastAsia="Arial" w:hAnsi="Arial"/>
          <w:sz w:val="19"/>
          <w:szCs w:val="19"/>
          <w:color w:val="auto"/>
        </w:rPr>
        <w:t>Series C Preference Units</w:t>
      </w:r>
    </w:p>
    <w:p>
      <w:pPr>
        <w:spacing w:after="0" w:line="241" w:lineRule="exact"/>
        <w:rPr>
          <w:sz w:val="20"/>
          <w:szCs w:val="20"/>
          <w:color w:val="auto"/>
        </w:rPr>
      </w:pPr>
    </w:p>
    <w:p>
      <w:pPr>
        <w:ind w:right="400" w:firstLine="1297"/>
        <w:spacing w:after="0" w:line="276" w:lineRule="auto"/>
        <w:rPr>
          <w:sz w:val="20"/>
          <w:szCs w:val="20"/>
          <w:color w:val="auto"/>
        </w:rPr>
      </w:pPr>
      <w:r>
        <w:rPr>
          <w:rFonts w:ascii="Arial" w:cs="Arial" w:eastAsia="Arial" w:hAnsi="Arial"/>
          <w:sz w:val="19"/>
          <w:szCs w:val="19"/>
          <w:color w:val="auto"/>
        </w:rPr>
        <w:t>In accordance with Section 4.1 of the Fifth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2" w:lineRule="exact"/>
        <w:rPr>
          <w:sz w:val="20"/>
          <w:szCs w:val="20"/>
          <w:color w:val="auto"/>
        </w:rPr>
      </w:pPr>
    </w:p>
    <w:p>
      <w:pPr>
        <w:ind w:right="16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C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C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C Preference Units are set forth in, and this Certificate and the Series C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Gildo Pastor Center, 7 Rue du Gabian, MC 98000, Monaco. Capitalized terms used herein but not defined shall have the meanings given them in the Partnership Agreement.</w:t>
      </w:r>
    </w:p>
    <w:p>
      <w:pPr>
        <w:spacing w:after="0" w:line="157" w:lineRule="exact"/>
        <w:rPr>
          <w:sz w:val="20"/>
          <w:szCs w:val="20"/>
          <w:color w:val="auto"/>
        </w:rPr>
      </w:pPr>
    </w:p>
    <w:p>
      <w:pPr>
        <w:ind w:right="440" w:firstLine="1297"/>
        <w:spacing w:after="0" w:line="276" w:lineRule="auto"/>
        <w:rPr>
          <w:sz w:val="20"/>
          <w:szCs w:val="20"/>
          <w:color w:val="auto"/>
        </w:rPr>
      </w:pPr>
      <w:r>
        <w:rPr>
          <w:rFonts w:ascii="Arial" w:cs="Arial" w:eastAsia="Arial" w:hAnsi="Arial"/>
          <w:sz w:val="19"/>
          <w:szCs w:val="19"/>
          <w:color w:val="auto"/>
        </w:rPr>
        <w:t>The Holder, by accepting this Certificate, is deemed to have (a) requested admission as, and agreed to become, a Limited Partner and to have agreed to comply with and be bound by and to have executed the Partnership Agreement,</w:t>
      </w:r>
    </w:p>
    <w:p>
      <w:pPr>
        <w:spacing w:after="0" w:line="2" w:lineRule="exact"/>
        <w:rPr>
          <w:sz w:val="20"/>
          <w:szCs w:val="20"/>
          <w:color w:val="auto"/>
        </w:rPr>
      </w:pPr>
    </w:p>
    <w:p>
      <w:pPr>
        <w:ind w:right="60" w:firstLine="8"/>
        <w:spacing w:after="0" w:line="234" w:lineRule="auto"/>
        <w:tabs>
          <w:tab w:leader="none" w:pos="30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187" w:lineRule="exact"/>
        <w:rPr>
          <w:sz w:val="20"/>
          <w:szCs w:val="20"/>
          <w:color w:val="auto"/>
        </w:rPr>
      </w:pPr>
    </w:p>
    <w:p>
      <w:pPr>
        <w:ind w:right="380" w:firstLine="1297"/>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Dated:</w:t>
            </w:r>
          </w:p>
        </w:tc>
        <w:tc>
          <w:tcPr>
            <w:tcW w:w="33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4220" w:type="dxa"/>
            <w:vAlign w:val="bottom"/>
            <w:gridSpan w:val="2"/>
          </w:tcPr>
          <w:p>
            <w:pPr>
              <w:spacing w:after="0"/>
              <w:rPr>
                <w:sz w:val="20"/>
                <w:szCs w:val="20"/>
                <w:color w:val="auto"/>
              </w:rPr>
            </w:pPr>
            <w:r>
              <w:rPr>
                <w:rFonts w:ascii="Arial" w:cs="Arial" w:eastAsia="Arial" w:hAnsi="Arial"/>
                <w:sz w:val="22"/>
                <w:szCs w:val="22"/>
                <w:color w:val="auto"/>
              </w:rPr>
              <w:t>GASLOG PARTNERS LP</w:t>
            </w:r>
          </w:p>
        </w:tc>
        <w:tc>
          <w:tcPr>
            <w:tcW w:w="180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22"/>
                <w:szCs w:val="22"/>
                <w:color w:val="auto"/>
              </w:rPr>
              <w:t>Countersigned and Registered 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3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22"/>
                <w:szCs w:val="22"/>
                <w:color w:val="auto"/>
              </w:rPr>
              <w:t>AMERICAN STOCK &amp; TRANSFER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line="243" w:lineRule="exact"/>
              <w:rPr>
                <w:sz w:val="20"/>
                <w:szCs w:val="20"/>
                <w:color w:val="auto"/>
              </w:rPr>
            </w:pPr>
            <w:r>
              <w:rPr>
                <w:rFonts w:ascii="Arial" w:cs="Arial" w:eastAsia="Arial" w:hAnsi="Arial"/>
                <w:sz w:val="22"/>
                <w:szCs w:val="22"/>
                <w:color w:val="auto"/>
              </w:rPr>
              <w:t>Name:</w:t>
            </w:r>
          </w:p>
        </w:tc>
        <w:tc>
          <w:tcPr>
            <w:tcW w:w="3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400" w:type="dxa"/>
            <w:vAlign w:val="bottom"/>
            <w:gridSpan w:val="3"/>
            <w:vMerge w:val="restart"/>
          </w:tcPr>
          <w:p>
            <w:pPr>
              <w:spacing w:after="0" w:line="243" w:lineRule="exact"/>
              <w:rPr>
                <w:sz w:val="20"/>
                <w:szCs w:val="20"/>
                <w:color w:val="auto"/>
              </w:rPr>
            </w:pPr>
            <w:r>
              <w:rPr>
                <w:rFonts w:ascii="Arial" w:cs="Arial" w:eastAsia="Arial" w:hAnsi="Arial"/>
                <w:sz w:val="22"/>
                <w:szCs w:val="22"/>
                <w:color w:val="auto"/>
              </w:rPr>
              <w:t>&amp; TRUST COMPANY, LLC</w:t>
            </w: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880" w:type="dxa"/>
            <w:vAlign w:val="bottom"/>
            <w:vMerge w:val="continue"/>
          </w:tcPr>
          <w:p>
            <w:pPr>
              <w:spacing w:after="0"/>
              <w:rPr>
                <w:sz w:val="17"/>
                <w:szCs w:val="17"/>
                <w:color w:val="auto"/>
              </w:rPr>
            </w:pPr>
          </w:p>
        </w:tc>
        <w:tc>
          <w:tcPr>
            <w:tcW w:w="3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54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3340" w:type="dxa"/>
            <w:vAlign w:val="bottom"/>
          </w:tcPr>
          <w:p>
            <w:pPr>
              <w:spacing w:after="0"/>
              <w:rPr>
                <w:sz w:val="20"/>
                <w:szCs w:val="20"/>
                <w:color w:val="auto"/>
              </w:rPr>
            </w:pPr>
            <w:r>
              <w:rPr>
                <w:rFonts w:ascii="Arial" w:cs="Arial" w:eastAsia="Arial" w:hAnsi="Arial"/>
                <w:sz w:val="22"/>
                <w:szCs w:val="22"/>
                <w:color w:val="auto"/>
              </w:rPr>
              <w:t>Chief Financial Officer</w:t>
            </w:r>
          </w:p>
        </w:tc>
        <w:tc>
          <w:tcPr>
            <w:tcW w:w="1800" w:type="dxa"/>
            <w:vAlign w:val="bottom"/>
          </w:tcPr>
          <w:p>
            <w:pPr>
              <w:spacing w:after="0"/>
              <w:rPr>
                <w:sz w:val="23"/>
                <w:szCs w:val="23"/>
                <w:color w:val="auto"/>
              </w:rPr>
            </w:pPr>
          </w:p>
        </w:tc>
        <w:tc>
          <w:tcPr>
            <w:tcW w:w="5400" w:type="dxa"/>
            <w:vAlign w:val="bottom"/>
            <w:gridSpan w:val="3"/>
          </w:tcPr>
          <w:p>
            <w:pPr>
              <w:spacing w:after="0"/>
              <w:rPr>
                <w:sz w:val="20"/>
                <w:szCs w:val="20"/>
                <w:color w:val="auto"/>
              </w:rPr>
            </w:pPr>
            <w:r>
              <w:rPr>
                <w:rFonts w:ascii="Arial" w:cs="Arial" w:eastAsia="Arial" w:hAnsi="Arial"/>
                <w:sz w:val="22"/>
                <w:szCs w:val="22"/>
                <w:color w:val="auto"/>
              </w:rPr>
              <w:t>as Transfer Agent and Registrar</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8"/>
        </w:trPr>
        <w:tc>
          <w:tcPr>
            <w:tcW w:w="880" w:type="dxa"/>
            <w:vAlign w:val="bottom"/>
          </w:tcPr>
          <w:p>
            <w:pPr>
              <w:spacing w:after="0"/>
              <w:rPr>
                <w:sz w:val="20"/>
                <w:szCs w:val="20"/>
                <w:color w:val="auto"/>
              </w:rPr>
            </w:pPr>
            <w:r>
              <w:rPr>
                <w:rFonts w:ascii="Arial" w:cs="Arial" w:eastAsia="Arial" w:hAnsi="Arial"/>
                <w:sz w:val="22"/>
                <w:szCs w:val="22"/>
                <w:color w:val="auto"/>
              </w:rPr>
              <w:t>By:</w:t>
            </w:r>
          </w:p>
        </w:tc>
        <w:tc>
          <w:tcPr>
            <w:tcW w:w="33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0" w:type="dxa"/>
            <w:vAlign w:val="bottom"/>
            <w:gridSpan w:val="3"/>
          </w:tcPr>
          <w:p>
            <w:pPr>
              <w:spacing w:after="0"/>
              <w:rPr>
                <w:sz w:val="20"/>
                <w:szCs w:val="20"/>
                <w:color w:val="auto"/>
              </w:rPr>
            </w:pPr>
            <w:r>
              <w:rPr>
                <w:rFonts w:ascii="Arial" w:cs="Arial" w:eastAsia="Arial" w:hAnsi="Arial"/>
                <w:sz w:val="22"/>
                <w:szCs w:val="22"/>
                <w:color w:val="auto"/>
              </w:rPr>
              <w:t>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8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80" w:type="dxa"/>
            <w:vAlign w:val="bottom"/>
            <w:vMerge w:val="continue"/>
          </w:tcPr>
          <w:p>
            <w:pPr>
              <w:spacing w:after="0"/>
              <w:rPr>
                <w:sz w:val="18"/>
                <w:szCs w:val="18"/>
                <w:color w:val="auto"/>
              </w:rPr>
            </w:pPr>
          </w:p>
        </w:tc>
        <w:tc>
          <w:tcPr>
            <w:tcW w:w="3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40" w:type="dxa"/>
            <w:vAlign w:val="bottom"/>
          </w:tcPr>
          <w:p>
            <w:pPr>
              <w:ind w:left="40"/>
              <w:spacing w:after="0" w:line="216" w:lineRule="exact"/>
              <w:rPr>
                <w:sz w:val="20"/>
                <w:szCs w:val="20"/>
                <w:color w:val="auto"/>
              </w:rPr>
            </w:pPr>
            <w:r>
              <w:rPr>
                <w:rFonts w:ascii="Arial" w:cs="Arial" w:eastAsia="Arial" w:hAnsi="Arial"/>
                <w:sz w:val="22"/>
                <w:szCs w:val="22"/>
                <w:color w:val="auto"/>
              </w:rPr>
              <w:t>Authorized Signature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80" w:type="dxa"/>
            <w:vAlign w:val="bottom"/>
          </w:tcPr>
          <w:p>
            <w:pPr>
              <w:spacing w:after="0"/>
              <w:rPr>
                <w:sz w:val="20"/>
                <w:szCs w:val="20"/>
                <w:color w:val="auto"/>
              </w:rPr>
            </w:pPr>
            <w:r>
              <w:rPr>
                <w:rFonts w:ascii="Arial" w:cs="Arial" w:eastAsia="Arial" w:hAnsi="Arial"/>
                <w:sz w:val="22"/>
                <w:szCs w:val="22"/>
                <w:color w:val="auto"/>
              </w:rPr>
              <w:t>Title:</w:t>
            </w:r>
          </w:p>
        </w:tc>
        <w:tc>
          <w:tcPr>
            <w:tcW w:w="3340" w:type="dxa"/>
            <w:vAlign w:val="bottom"/>
          </w:tcPr>
          <w:p>
            <w:pPr>
              <w:spacing w:after="0"/>
              <w:rPr>
                <w:sz w:val="20"/>
                <w:szCs w:val="20"/>
                <w:color w:val="auto"/>
              </w:rPr>
            </w:pPr>
            <w:r>
              <w:rPr>
                <w:rFonts w:ascii="Arial" w:cs="Arial" w:eastAsia="Arial" w:hAnsi="Arial"/>
                <w:sz w:val="22"/>
                <w:szCs w:val="22"/>
                <w:color w:val="auto"/>
              </w:rPr>
              <w:t>Secretary</w:t>
            </w:r>
          </w:p>
        </w:tc>
        <w:tc>
          <w:tcPr>
            <w:tcW w:w="1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200" w:type="dxa"/>
            <w:vAlign w:val="bottom"/>
            <w:gridSpan w:val="4"/>
          </w:tcPr>
          <w:p>
            <w:pPr>
              <w:ind w:left="1340"/>
              <w:spacing w:after="0"/>
              <w:rPr>
                <w:sz w:val="20"/>
                <w:szCs w:val="20"/>
                <w:color w:val="auto"/>
              </w:rPr>
            </w:pPr>
            <w:r>
              <w:rPr>
                <w:rFonts w:ascii="Arial" w:cs="Arial" w:eastAsia="Arial" w:hAnsi="Arial"/>
                <w:sz w:val="22"/>
                <w:szCs w:val="22"/>
                <w:color w:val="auto"/>
              </w:rPr>
              <w:t>E-1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80" w:type="dxa"/>
            <w:vAlign w:val="bottom"/>
            <w:tcBorders>
              <w:bottom w:val="single" w:sz="8" w:color="808080"/>
            </w:tcBorders>
          </w:tcPr>
          <w:p>
            <w:pPr>
              <w:spacing w:after="0"/>
              <w:rPr>
                <w:sz w:val="10"/>
                <w:szCs w:val="10"/>
                <w:color w:val="auto"/>
              </w:rPr>
            </w:pPr>
          </w:p>
        </w:tc>
        <w:tc>
          <w:tcPr>
            <w:tcW w:w="33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46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8" w:right="199" w:bottom="1440" w:gutter="0" w:footer="0" w:header="0"/>
        </w:sectPr>
      </w:pPr>
    </w:p>
    <w:bookmarkStart w:id="124" w:name="page125"/>
    <w:bookmarkEnd w:id="124"/>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188" w:lineRule="exact"/>
        <w:rPr>
          <w:sz w:val="20"/>
          <w:szCs w:val="20"/>
          <w:color w:val="auto"/>
        </w:rPr>
      </w:pPr>
    </w:p>
    <w:p>
      <w:pPr>
        <w:ind w:right="660" w:firstLine="1297"/>
        <w:spacing w:after="0" w:line="251"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TEN COM</w:t>
            </w:r>
          </w:p>
        </w:tc>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—as tenants in common</w:t>
            </w:r>
          </w:p>
        </w:tc>
        <w:tc>
          <w:tcPr>
            <w:tcW w:w="59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UNIF GIFT/TRANSFERS MIN ACT</w:t>
            </w:r>
          </w:p>
        </w:tc>
      </w:tr>
      <w:tr>
        <w:trPr>
          <w:trHeight w:val="190"/>
        </w:trPr>
        <w:tc>
          <w:tcPr>
            <w:tcW w:w="1160" w:type="dxa"/>
            <w:vAlign w:val="bottom"/>
            <w:shd w:val="clear" w:color="auto" w:fill="CCEEFF"/>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820" w:type="dxa"/>
            <w:vAlign w:val="bottom"/>
            <w:gridSpan w:val="3"/>
            <w:shd w:val="clear" w:color="auto" w:fill="CCEEFF"/>
          </w:tcPr>
          <w:p>
            <w:pPr>
              <w:ind w:left="60"/>
              <w:spacing w:after="0" w:line="190" w:lineRule="exact"/>
              <w:rPr>
                <w:sz w:val="20"/>
                <w:szCs w:val="20"/>
                <w:color w:val="auto"/>
              </w:rPr>
            </w:pPr>
            <w:r>
              <w:rPr>
                <w:rFonts w:ascii="Arial" w:cs="Arial" w:eastAsia="Arial" w:hAnsi="Arial"/>
                <w:sz w:val="18"/>
                <w:szCs w:val="18"/>
                <w:color w:val="auto"/>
              </w:rPr>
              <w:t>Custodian</w:t>
            </w:r>
          </w:p>
        </w:tc>
      </w:tr>
      <w:tr>
        <w:trPr>
          <w:trHeight w:val="237"/>
        </w:trPr>
        <w:tc>
          <w:tcPr>
            <w:tcW w:w="1160" w:type="dxa"/>
            <w:vAlign w:val="bottom"/>
            <w:tcBorders>
              <w:top w:val="single" w:sz="8" w:color="CCEEFF"/>
            </w:tcBorders>
            <w:shd w:val="clear" w:color="auto" w:fill="CCEEFF"/>
          </w:tcPr>
          <w:p>
            <w:pPr>
              <w:spacing w:after="0"/>
              <w:rPr>
                <w:sz w:val="20"/>
                <w:szCs w:val="20"/>
                <w:color w:val="auto"/>
              </w:rPr>
            </w:pPr>
          </w:p>
        </w:tc>
        <w:tc>
          <w:tcPr>
            <w:tcW w:w="428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(Cust) (Minor)</w:t>
            </w:r>
          </w:p>
        </w:tc>
        <w:tc>
          <w:tcPr>
            <w:tcW w:w="78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auto"/>
            </w:tcBorders>
            <w:shd w:val="clear" w:color="auto" w:fill="CCEEFF"/>
          </w:tcPr>
          <w:p>
            <w:pPr>
              <w:spacing w:after="0"/>
              <w:rPr>
                <w:sz w:val="20"/>
                <w:szCs w:val="20"/>
                <w:color w:val="auto"/>
              </w:rPr>
            </w:pPr>
          </w:p>
        </w:tc>
        <w:tc>
          <w:tcPr>
            <w:tcW w:w="2860" w:type="dxa"/>
            <w:vAlign w:val="bottom"/>
            <w:tcBorders>
              <w:top w:val="single" w:sz="8" w:color="CCEEFF"/>
            </w:tcBorders>
            <w:shd w:val="clear" w:color="auto" w:fill="CCEEFF"/>
          </w:tcPr>
          <w:p>
            <w:pPr>
              <w:spacing w:after="0"/>
              <w:rPr>
                <w:sz w:val="20"/>
                <w:szCs w:val="20"/>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TEN ENT</w:t>
            </w:r>
          </w:p>
        </w:tc>
        <w:tc>
          <w:tcPr>
            <w:tcW w:w="4280" w:type="dxa"/>
            <w:vAlign w:val="bottom"/>
          </w:tcPr>
          <w:p>
            <w:pPr>
              <w:ind w:left="340"/>
              <w:spacing w:after="0"/>
              <w:rPr>
                <w:sz w:val="20"/>
                <w:szCs w:val="20"/>
                <w:color w:val="auto"/>
              </w:rPr>
            </w:pPr>
            <w:r>
              <w:rPr>
                <w:rFonts w:ascii="Arial" w:cs="Arial" w:eastAsia="Arial" w:hAnsi="Arial"/>
                <w:sz w:val="18"/>
                <w:szCs w:val="18"/>
                <w:color w:val="auto"/>
                <w:w w:val="88"/>
              </w:rPr>
              <w:t>—as tenants by the entireties</w:t>
            </w: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202"/>
        </w:trPr>
        <w:tc>
          <w:tcPr>
            <w:tcW w:w="1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JT TEN</w:t>
            </w:r>
          </w:p>
        </w:tc>
        <w:tc>
          <w:tcPr>
            <w:tcW w:w="4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—as joint tenants with right of survivorship and</w:t>
            </w:r>
          </w:p>
        </w:tc>
        <w:tc>
          <w:tcPr>
            <w:tcW w:w="59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under Uniform Gifts /Transfers to CD Minors Act (State)</w:t>
            </w:r>
          </w:p>
        </w:tc>
      </w:tr>
      <w:tr>
        <w:trPr>
          <w:trHeight w:val="230"/>
        </w:trPr>
        <w:tc>
          <w:tcPr>
            <w:tcW w:w="1160" w:type="dxa"/>
            <w:vAlign w:val="bottom"/>
            <w:shd w:val="clear" w:color="auto" w:fill="CCEEFF"/>
          </w:tcPr>
          <w:p>
            <w:pPr>
              <w:spacing w:after="0"/>
              <w:rPr>
                <w:sz w:val="20"/>
                <w:szCs w:val="20"/>
                <w:color w:val="auto"/>
              </w:rPr>
            </w:pPr>
          </w:p>
        </w:tc>
        <w:tc>
          <w:tcPr>
            <w:tcW w:w="4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 as tenants in common</w:t>
            </w:r>
          </w:p>
        </w:tc>
        <w:tc>
          <w:tcPr>
            <w:tcW w:w="1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6"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22"/>
          <w:szCs w:val="22"/>
          <w:b w:val="1"/>
          <w:bCs w:val="1"/>
          <w:color w:val="auto"/>
        </w:rPr>
        <w:t>ASSIGNMENT OF SERIES C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4460" w:type="dxa"/>
            <w:vAlign w:val="bottom"/>
          </w:tcPr>
          <w:p>
            <w:pPr>
              <w:ind w:left="640"/>
              <w:spacing w:after="0"/>
              <w:rPr>
                <w:sz w:val="20"/>
                <w:szCs w:val="20"/>
                <w:color w:val="auto"/>
              </w:rPr>
            </w:pPr>
            <w:r>
              <w:rPr>
                <w:rFonts w:ascii="Arial" w:cs="Arial" w:eastAsia="Arial" w:hAnsi="Arial"/>
                <w:sz w:val="22"/>
                <w:szCs w:val="22"/>
                <w:color w:val="auto"/>
              </w:rPr>
              <w:t>FOR VALUE RECEIVED,</w:t>
            </w:r>
          </w:p>
        </w:tc>
        <w:tc>
          <w:tcPr>
            <w:tcW w:w="6940" w:type="dxa"/>
            <w:vAlign w:val="bottom"/>
            <w:gridSpan w:val="3"/>
          </w:tcPr>
          <w:p>
            <w:pPr>
              <w:ind w:left="360"/>
              <w:spacing w:after="0"/>
              <w:rPr>
                <w:sz w:val="20"/>
                <w:szCs w:val="20"/>
                <w:color w:val="auto"/>
              </w:rPr>
            </w:pPr>
            <w:r>
              <w:rPr>
                <w:rFonts w:ascii="Arial" w:cs="Arial" w:eastAsia="Arial" w:hAnsi="Arial"/>
                <w:sz w:val="22"/>
                <w:szCs w:val="22"/>
                <w:color w:val="auto"/>
              </w:rPr>
              <w:t>hereby assigns, conveys, sells and transfers unto</w:t>
            </w:r>
          </w:p>
        </w:tc>
      </w:tr>
      <w:tr>
        <w:trPr>
          <w:trHeight w:val="422"/>
        </w:trPr>
        <w:tc>
          <w:tcPr>
            <w:tcW w:w="20" w:type="dxa"/>
            <w:vAlign w:val="bottom"/>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6"/>
              </w:rPr>
              <w:t>(Please print or typewrite name and address of Assignee)</w:t>
            </w:r>
          </w:p>
        </w:tc>
        <w:tc>
          <w:tcPr>
            <w:tcW w:w="10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4"/>
              </w:rPr>
              <w:t>(Please insert Social Security or other identifying number of Assignee)</w:t>
            </w:r>
          </w:p>
        </w:tc>
      </w:tr>
    </w:tbl>
    <w:p>
      <w:pPr>
        <w:spacing w:after="0" w:line="19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C Preference Units representing limited partner interests evidenced by this Certificate, subject to the</w:t>
      </w:r>
    </w:p>
    <w:p>
      <w:pPr>
        <w:spacing w:after="0" w:line="20" w:lineRule="exact"/>
        <w:rPr>
          <w:sz w:val="20"/>
          <w:szCs w:val="20"/>
          <w:color w:val="auto"/>
        </w:rPr>
      </w:pPr>
    </w:p>
    <w:p>
      <w:pPr>
        <w:jc w:val="both"/>
        <w:ind w:right="220"/>
        <w:spacing w:after="0" w:line="237"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100" w:type="dxa"/>
            <w:vAlign w:val="bottom"/>
            <w:shd w:val="clear" w:color="auto" w:fill="CCEEFF"/>
          </w:tcPr>
          <w:p>
            <w:pPr>
              <w:spacing w:after="0"/>
              <w:rPr>
                <w:sz w:val="20"/>
                <w:szCs w:val="20"/>
                <w:color w:val="auto"/>
              </w:rPr>
            </w:pPr>
            <w:r>
              <w:rPr>
                <w:rFonts w:ascii="Arial" w:cs="Arial" w:eastAsia="Arial" w:hAnsi="Arial"/>
                <w:sz w:val="22"/>
                <w:szCs w:val="22"/>
                <w:color w:val="auto"/>
              </w:rPr>
              <w:t>Date:</w:t>
            </w:r>
          </w:p>
        </w:tc>
        <w:tc>
          <w:tcPr>
            <w:tcW w:w="3500" w:type="dxa"/>
            <w:vAlign w:val="bottom"/>
            <w:shd w:val="clear" w:color="auto" w:fill="CCEEFF"/>
          </w:tcPr>
          <w:p>
            <w:pPr>
              <w:ind w:left="2620"/>
              <w:spacing w:after="0"/>
              <w:rPr>
                <w:sz w:val="20"/>
                <w:szCs w:val="20"/>
                <w:color w:val="auto"/>
              </w:rPr>
            </w:pPr>
            <w:r>
              <w:rPr>
                <w:rFonts w:ascii="Arial" w:cs="Arial" w:eastAsia="Arial" w:hAnsi="Arial"/>
                <w:sz w:val="22"/>
                <w:szCs w:val="22"/>
                <w:color w:val="auto"/>
              </w:rPr>
              <w:t>NOTE:</w:t>
            </w:r>
          </w:p>
        </w:tc>
        <w:tc>
          <w:tcPr>
            <w:tcW w:w="4820" w:type="dxa"/>
            <w:vAlign w:val="bottom"/>
            <w:shd w:val="clear" w:color="auto" w:fill="CCEEFF"/>
          </w:tcPr>
          <w:p>
            <w:pPr>
              <w:ind w:left="260"/>
              <w:spacing w:after="0"/>
              <w:rPr>
                <w:sz w:val="20"/>
                <w:szCs w:val="20"/>
                <w:color w:val="auto"/>
              </w:rPr>
            </w:pPr>
            <w:r>
              <w:rPr>
                <w:rFonts w:ascii="Arial" w:cs="Arial" w:eastAsia="Arial" w:hAnsi="Arial"/>
                <w:sz w:val="22"/>
                <w:szCs w:val="22"/>
                <w:color w:val="auto"/>
                <w:w w:val="97"/>
              </w:rPr>
              <w:t>The signature to any endorsement hereon must</w:t>
            </w:r>
          </w:p>
        </w:tc>
      </w:tr>
      <w:tr>
        <w:trPr>
          <w:trHeight w:val="243"/>
        </w:trPr>
        <w:tc>
          <w:tcPr>
            <w:tcW w:w="310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4820" w:type="dxa"/>
            <w:vAlign w:val="bottom"/>
            <w:shd w:val="clear" w:color="auto" w:fill="CCEEFF"/>
          </w:tcPr>
          <w:p>
            <w:pPr>
              <w:ind w:left="260"/>
              <w:spacing w:after="0" w:line="243" w:lineRule="exact"/>
              <w:rPr>
                <w:sz w:val="20"/>
                <w:szCs w:val="20"/>
                <w:color w:val="auto"/>
              </w:rPr>
            </w:pPr>
            <w:r>
              <w:rPr>
                <w:rFonts w:ascii="Arial" w:cs="Arial" w:eastAsia="Arial" w:hAnsi="Arial"/>
                <w:sz w:val="22"/>
                <w:szCs w:val="22"/>
                <w:color w:val="auto"/>
                <w:w w:val="92"/>
              </w:rPr>
              <w:t>correspond with the name as written upon the face</w:t>
            </w:r>
          </w:p>
        </w:tc>
      </w:tr>
      <w:tr>
        <w:trPr>
          <w:trHeight w:val="243"/>
        </w:trPr>
        <w:tc>
          <w:tcPr>
            <w:tcW w:w="3100" w:type="dxa"/>
            <w:vAlign w:val="bottom"/>
            <w:shd w:val="clear" w:color="auto" w:fill="CCEEFF"/>
          </w:tcPr>
          <w:p>
            <w:pPr>
              <w:spacing w:after="0"/>
              <w:rPr>
                <w:sz w:val="21"/>
                <w:szCs w:val="21"/>
                <w:color w:val="auto"/>
              </w:rPr>
            </w:pPr>
          </w:p>
        </w:tc>
        <w:tc>
          <w:tcPr>
            <w:tcW w:w="3500" w:type="dxa"/>
            <w:vAlign w:val="bottom"/>
            <w:shd w:val="clear" w:color="auto" w:fill="CCEEFF"/>
          </w:tcPr>
          <w:p>
            <w:pPr>
              <w:spacing w:after="0"/>
              <w:rPr>
                <w:sz w:val="21"/>
                <w:szCs w:val="21"/>
                <w:color w:val="auto"/>
              </w:rPr>
            </w:pPr>
          </w:p>
        </w:tc>
        <w:tc>
          <w:tcPr>
            <w:tcW w:w="4820" w:type="dxa"/>
            <w:vAlign w:val="bottom"/>
            <w:shd w:val="clear" w:color="auto" w:fill="CCEEFF"/>
          </w:tcPr>
          <w:p>
            <w:pPr>
              <w:ind w:left="260"/>
              <w:spacing w:after="0" w:line="243" w:lineRule="exact"/>
              <w:rPr>
                <w:sz w:val="20"/>
                <w:szCs w:val="20"/>
                <w:color w:val="auto"/>
              </w:rPr>
            </w:pPr>
            <w:r>
              <w:rPr>
                <w:rFonts w:ascii="Arial" w:cs="Arial" w:eastAsia="Arial" w:hAnsi="Arial"/>
                <w:sz w:val="22"/>
                <w:szCs w:val="22"/>
                <w:color w:val="auto"/>
              </w:rPr>
              <w:t>of this Certificate in every particular, without</w:t>
            </w:r>
          </w:p>
        </w:tc>
      </w:tr>
      <w:tr>
        <w:trPr>
          <w:trHeight w:val="265"/>
        </w:trPr>
        <w:tc>
          <w:tcPr>
            <w:tcW w:w="3100" w:type="dxa"/>
            <w:vAlign w:val="bottom"/>
            <w:shd w:val="clear" w:color="auto" w:fill="CCEEFF"/>
          </w:tcPr>
          <w:p>
            <w:pPr>
              <w:spacing w:after="0"/>
              <w:rPr>
                <w:sz w:val="23"/>
                <w:szCs w:val="23"/>
                <w:color w:val="auto"/>
              </w:rPr>
            </w:pPr>
          </w:p>
        </w:tc>
        <w:tc>
          <w:tcPr>
            <w:tcW w:w="3500" w:type="dxa"/>
            <w:vAlign w:val="bottom"/>
            <w:shd w:val="clear" w:color="auto" w:fill="CCEEFF"/>
          </w:tcPr>
          <w:p>
            <w:pPr>
              <w:spacing w:after="0"/>
              <w:rPr>
                <w:sz w:val="23"/>
                <w:szCs w:val="23"/>
                <w:color w:val="auto"/>
              </w:rPr>
            </w:pPr>
          </w:p>
        </w:tc>
        <w:tc>
          <w:tcPr>
            <w:tcW w:w="4820" w:type="dxa"/>
            <w:vAlign w:val="bottom"/>
            <w:shd w:val="clear" w:color="auto" w:fill="CCEEFF"/>
          </w:tcPr>
          <w:p>
            <w:pPr>
              <w:ind w:left="260"/>
              <w:spacing w:after="0"/>
              <w:rPr>
                <w:sz w:val="20"/>
                <w:szCs w:val="20"/>
                <w:color w:val="auto"/>
              </w:rPr>
            </w:pPr>
            <w:r>
              <w:rPr>
                <w:rFonts w:ascii="Arial" w:cs="Arial" w:eastAsia="Arial" w:hAnsi="Arial"/>
                <w:sz w:val="22"/>
                <w:szCs w:val="22"/>
                <w:color w:val="auto"/>
              </w:rPr>
              <w:t>alteration, enlargement or change.</w:t>
            </w:r>
          </w:p>
        </w:tc>
      </w:tr>
    </w:tbl>
    <w:p>
      <w:pPr>
        <w:spacing w:after="0" w:line="200" w:lineRule="exact"/>
        <w:rPr>
          <w:sz w:val="20"/>
          <w:szCs w:val="20"/>
          <w:color w:val="auto"/>
        </w:rPr>
      </w:pPr>
    </w:p>
    <w:p>
      <w:pPr>
        <w:sectPr>
          <w:pgSz w:w="11900" w:h="16838" w:orient="portrait"/>
          <w:cols w:equalWidth="0" w:num="1">
            <w:col w:w="11420"/>
          </w:cols>
          <w:pgMar w:left="240" w:top="328" w:right="239" w:bottom="1440" w:gutter="0" w:footer="0" w:header="0"/>
        </w:sectPr>
      </w:pPr>
    </w:p>
    <w:p>
      <w:pPr>
        <w:spacing w:after="0" w:line="83" w:lineRule="exact"/>
        <w:rPr>
          <w:sz w:val="20"/>
          <w:szCs w:val="20"/>
          <w:color w:val="auto"/>
        </w:rPr>
      </w:pPr>
    </w:p>
    <w:p>
      <w:pPr>
        <w:ind w:right="420"/>
        <w:spacing w:after="0" w:line="235" w:lineRule="auto"/>
        <w:rPr>
          <w:sz w:val="20"/>
          <w:szCs w:val="20"/>
          <w:color w:val="auto"/>
        </w:rPr>
      </w:pPr>
      <w:r>
        <w:rPr>
          <w:rFonts w:ascii="Arial" w:cs="Arial" w:eastAsia="Arial" w:hAnsi="Arial"/>
          <w:sz w:val="22"/>
          <w:szCs w:val="22"/>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569595</wp:posOffset>
            </wp:positionV>
            <wp:extent cx="3078480" cy="3600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78480" cy="360045"/>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-133350</wp:posOffset>
            </wp:positionV>
            <wp:extent cx="30784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color w:val="auto"/>
        </w:rPr>
        <w:t>(Signature)</w:t>
      </w:r>
    </w:p>
    <w:p>
      <w:pPr>
        <w:spacing w:after="0" w:line="240" w:lineRule="exact"/>
        <w:rPr>
          <w:sz w:val="20"/>
          <w:szCs w:val="20"/>
          <w:color w:val="auto"/>
        </w:rPr>
      </w:pPr>
    </w:p>
    <w:p>
      <w:pPr>
        <w:sectPr>
          <w:pgSz w:w="11900" w:h="16838" w:orient="portrait"/>
          <w:cols w:equalWidth="0" w:num="2">
            <w:col w:w="6140" w:space="720"/>
            <w:col w:w="4560"/>
          </w:cols>
          <w:pgMar w:left="240" w:top="328" w:right="239" w:bottom="1440" w:gutter="0" w:footer="0" w:header="0"/>
          <w:type w:val="continuous"/>
        </w:sectPr>
      </w:pPr>
    </w:p>
    <w:p>
      <w:pPr>
        <w:ind w:right="380" w:firstLine="1297"/>
        <w:spacing w:after="0" w:line="328" w:lineRule="auto"/>
        <w:rPr>
          <w:sz w:val="20"/>
          <w:szCs w:val="20"/>
          <w:color w:val="auto"/>
        </w:rPr>
      </w:pPr>
      <w:r>
        <w:rPr>
          <w:rFonts w:ascii="Arial" w:cs="Arial" w:eastAsia="Arial" w:hAnsi="Arial"/>
          <w:sz w:val="19"/>
          <w:szCs w:val="19"/>
          <w:color w:val="auto"/>
        </w:rPr>
        <w:t>No transfer of the Series C Preference Units evidenced hereby will be registered on the books of the Partnership, unless the Certificate evidencing the Series C Preference Units to be transferred is surrendered for registration or transfer.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type w:val="continuous"/>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285750</wp:posOffset>
            </wp:positionV>
            <wp:extent cx="7246620" cy="34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354330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EXCHANGE AGREEMENT</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2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GASLOG PARTNERS LP,</w:t>
      </w:r>
    </w:p>
    <w:p>
      <w:pPr>
        <w:spacing w:after="0" w:line="200" w:lineRule="exact"/>
        <w:rPr>
          <w:sz w:val="20"/>
          <w:szCs w:val="20"/>
          <w:color w:val="auto"/>
        </w:rPr>
      </w:pPr>
    </w:p>
    <w:p>
      <w:pPr>
        <w:spacing w:after="0" w:line="222"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GASLOG PARTNERS GP LLC</w:t>
      </w:r>
    </w:p>
    <w:p>
      <w:pPr>
        <w:spacing w:after="0" w:line="200" w:lineRule="exact"/>
        <w:rPr>
          <w:sz w:val="20"/>
          <w:szCs w:val="20"/>
          <w:color w:val="auto"/>
        </w:rPr>
      </w:pPr>
    </w:p>
    <w:p>
      <w:pPr>
        <w:spacing w:after="0" w:line="22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22" w:lineRule="exact"/>
        <w:rPr>
          <w:sz w:val="20"/>
          <w:szCs w:val="20"/>
          <w:color w:val="auto"/>
        </w:rPr>
      </w:pPr>
    </w:p>
    <w:p>
      <w:pPr>
        <w:ind w:left="3820"/>
        <w:spacing w:after="0"/>
        <w:rPr>
          <w:sz w:val="20"/>
          <w:szCs w:val="20"/>
          <w:color w:val="auto"/>
        </w:rPr>
      </w:pPr>
      <w:r>
        <w:rPr>
          <w:rFonts w:ascii="Arial" w:cs="Arial" w:eastAsia="Arial" w:hAnsi="Arial"/>
          <w:sz w:val="22"/>
          <w:szCs w:val="22"/>
          <w:color w:val="auto"/>
        </w:rPr>
        <w:t>GASLOG LTD.</w:t>
      </w:r>
    </w:p>
    <w:p>
      <w:pPr>
        <w:spacing w:after="0" w:line="200" w:lineRule="exact"/>
        <w:rPr>
          <w:sz w:val="20"/>
          <w:szCs w:val="20"/>
          <w:color w:val="auto"/>
        </w:rPr>
      </w:pPr>
    </w:p>
    <w:p>
      <w:pPr>
        <w:spacing w:after="0" w:line="222" w:lineRule="exact"/>
        <w:rPr>
          <w:sz w:val="20"/>
          <w:szCs w:val="20"/>
          <w:color w:val="auto"/>
        </w:rPr>
      </w:pPr>
    </w:p>
    <w:p>
      <w:pPr>
        <w:ind w:left="3400"/>
        <w:spacing w:after="0"/>
        <w:rPr>
          <w:sz w:val="20"/>
          <w:szCs w:val="20"/>
          <w:color w:val="auto"/>
        </w:rPr>
      </w:pPr>
      <w:r>
        <w:rPr>
          <w:rFonts w:ascii="Arial" w:cs="Arial" w:eastAsia="Arial" w:hAnsi="Arial"/>
          <w:sz w:val="22"/>
          <w:szCs w:val="22"/>
          <w:color w:val="auto"/>
        </w:rPr>
        <w:t>Dated as of June 24,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1379220</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1422400</wp:posOffset>
            </wp:positionV>
            <wp:extent cx="72466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1660525</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22"/>
          <w:szCs w:val="22"/>
          <w:b w:val="1"/>
          <w:bCs w:val="1"/>
          <w:color w:val="auto"/>
        </w:rPr>
        <w:t>EXCHANGE AGREEMENT</w:t>
      </w:r>
    </w:p>
    <w:p>
      <w:pPr>
        <w:spacing w:after="0" w:line="212" w:lineRule="exact"/>
        <w:rPr>
          <w:sz w:val="20"/>
          <w:szCs w:val="20"/>
          <w:color w:val="auto"/>
        </w:rPr>
      </w:pPr>
    </w:p>
    <w:p>
      <w:pPr>
        <w:ind w:right="380" w:firstLine="1297"/>
        <w:spacing w:after="0" w:line="252" w:lineRule="auto"/>
        <w:rPr>
          <w:sz w:val="20"/>
          <w:szCs w:val="20"/>
          <w:color w:val="auto"/>
        </w:rPr>
      </w:pPr>
      <w:r>
        <w:rPr>
          <w:rFonts w:ascii="Arial" w:cs="Arial" w:eastAsia="Arial" w:hAnsi="Arial"/>
          <w:sz w:val="21"/>
          <w:szCs w:val="21"/>
          <w:color w:val="auto"/>
        </w:rPr>
        <w:t>THIS EXCHANGE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June 24, 2019, is entered into by and among GasLog Partners LP, a limited partnership organized under the laws of the Republic of the Marshall Islands (the “</w:t>
      </w:r>
      <w:r>
        <w:rPr>
          <w:rFonts w:ascii="Arial" w:cs="Arial" w:eastAsia="Arial" w:hAnsi="Arial"/>
          <w:sz w:val="21"/>
          <w:szCs w:val="21"/>
          <w:u w:val="single" w:color="auto"/>
          <w:color w:val="auto"/>
        </w:rPr>
        <w:t>Partnership</w:t>
      </w:r>
      <w:r>
        <w:rPr>
          <w:rFonts w:ascii="Arial" w:cs="Arial" w:eastAsia="Arial" w:hAnsi="Arial"/>
          <w:sz w:val="21"/>
          <w:szCs w:val="21"/>
          <w:color w:val="auto"/>
        </w:rPr>
        <w:t>”), GasLog Partners GP LLC, a limited liability company organized under the laws of the Republic of the Marshall Islands (the “</w:t>
      </w:r>
      <w:r>
        <w:rPr>
          <w:rFonts w:ascii="Arial" w:cs="Arial" w:eastAsia="Arial" w:hAnsi="Arial"/>
          <w:sz w:val="21"/>
          <w:szCs w:val="21"/>
          <w:u w:val="single" w:color="auto"/>
          <w:color w:val="auto"/>
        </w:rPr>
        <w:t>General Partner</w:t>
      </w:r>
      <w:r>
        <w:rPr>
          <w:rFonts w:ascii="Arial" w:cs="Arial" w:eastAsia="Arial" w:hAnsi="Arial"/>
          <w:sz w:val="21"/>
          <w:szCs w:val="21"/>
          <w:color w:val="auto"/>
        </w:rPr>
        <w:t>”), and GasLog Ltd., a Bermuda exempted company (“</w:t>
      </w:r>
      <w:r>
        <w:rPr>
          <w:rFonts w:ascii="Arial" w:cs="Arial" w:eastAsia="Arial" w:hAnsi="Arial"/>
          <w:sz w:val="21"/>
          <w:szCs w:val="21"/>
          <w:u w:val="single" w:color="auto"/>
          <w:color w:val="auto"/>
        </w:rPr>
        <w:t>GasLog</w:t>
      </w:r>
      <w:r>
        <w:rPr>
          <w:rFonts w:ascii="Arial" w:cs="Arial" w:eastAsia="Arial" w:hAnsi="Arial"/>
          <w:sz w:val="21"/>
          <w:szCs w:val="21"/>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640" w:firstLine="1305"/>
        <w:spacing w:after="0" w:line="251" w:lineRule="auto"/>
        <w:tabs>
          <w:tab w:leader="none" w:pos="1939"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General Partner is the general partner of the Partnership and owns the General Partner Interest (as defined in the Current Partnership Agreement (as defined below)) in the Partnership.</w:t>
      </w:r>
    </w:p>
    <w:p>
      <w:pPr>
        <w:spacing w:after="0" w:line="173" w:lineRule="exact"/>
        <w:rPr>
          <w:rFonts w:ascii="Arial" w:cs="Arial" w:eastAsia="Arial" w:hAnsi="Arial"/>
          <w:sz w:val="22"/>
          <w:szCs w:val="22"/>
          <w:color w:val="auto"/>
        </w:rPr>
      </w:pPr>
    </w:p>
    <w:p>
      <w:pPr>
        <w:ind w:right="480" w:firstLine="1305"/>
        <w:spacing w:after="0" w:line="251" w:lineRule="auto"/>
        <w:tabs>
          <w:tab w:leader="none" w:pos="1940" w:val="left"/>
        </w:tabs>
        <w:numPr>
          <w:ilvl w:val="0"/>
          <w:numId w:val="146"/>
        </w:numPr>
        <w:rPr>
          <w:rFonts w:ascii="Arial" w:cs="Arial" w:eastAsia="Arial" w:hAnsi="Arial"/>
          <w:sz w:val="22"/>
          <w:szCs w:val="22"/>
          <w:color w:val="auto"/>
        </w:rPr>
      </w:pPr>
      <w:r>
        <w:rPr>
          <w:rFonts w:ascii="Arial" w:cs="Arial" w:eastAsia="Arial" w:hAnsi="Arial"/>
          <w:sz w:val="22"/>
          <w:szCs w:val="22"/>
          <w:color w:val="auto"/>
        </w:rPr>
        <w:t>GasLog owns 100% of the limited partner interests in the Partnership defined in the Current Partnership Agreement as “Incentive Distribution Rights” (“</w:t>
      </w:r>
      <w:r>
        <w:rPr>
          <w:rFonts w:ascii="Arial" w:cs="Arial" w:eastAsia="Arial" w:hAnsi="Arial"/>
          <w:sz w:val="22"/>
          <w:szCs w:val="22"/>
          <w:u w:val="single" w:color="auto"/>
          <w:color w:val="auto"/>
        </w:rPr>
        <w:t>IDRs</w:t>
      </w:r>
      <w:r>
        <w:rPr>
          <w:rFonts w:ascii="Arial" w:cs="Arial" w:eastAsia="Arial" w:hAnsi="Arial"/>
          <w:sz w:val="22"/>
          <w:szCs w:val="22"/>
          <w:color w:val="auto"/>
        </w:rPr>
        <w:t>”).</w:t>
      </w:r>
    </w:p>
    <w:p>
      <w:pPr>
        <w:spacing w:after="0" w:line="173" w:lineRule="exact"/>
        <w:rPr>
          <w:rFonts w:ascii="Arial" w:cs="Arial" w:eastAsia="Arial" w:hAnsi="Arial"/>
          <w:sz w:val="22"/>
          <w:szCs w:val="22"/>
          <w:color w:val="auto"/>
        </w:rPr>
      </w:pPr>
    </w:p>
    <w:p>
      <w:pPr>
        <w:ind w:firstLine="1305"/>
        <w:spacing w:after="0" w:line="279" w:lineRule="auto"/>
        <w:tabs>
          <w:tab w:leader="none" w:pos="194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GasLog has agreed to contribute to the Partnership all of the IDRs held by it in exchange for the issuance by the Partnership to GasLog of (i) 2,532,911 common units (the “</w:t>
      </w:r>
      <w:r>
        <w:rPr>
          <w:rFonts w:ascii="Arial" w:cs="Arial" w:eastAsia="Arial" w:hAnsi="Arial"/>
          <w:sz w:val="19"/>
          <w:szCs w:val="19"/>
          <w:u w:val="single" w:color="auto"/>
          <w:color w:val="auto"/>
        </w:rPr>
        <w:t>New Common Units</w:t>
      </w:r>
      <w:r>
        <w:rPr>
          <w:rFonts w:ascii="Arial" w:cs="Arial" w:eastAsia="Arial" w:hAnsi="Arial"/>
          <w:sz w:val="19"/>
          <w:szCs w:val="19"/>
          <w:color w:val="auto"/>
        </w:rPr>
        <w:t>”) and (ii) 415,000 Class B-1 units, 415,000 Class B-2 units, 415,000 Class B-3 units, 415,000 Class B-4 units, 415,000 Class B-5 units and 415,000 Class B-6 units (collectively, the “</w:t>
      </w:r>
      <w:r>
        <w:rPr>
          <w:rFonts w:ascii="Arial" w:cs="Arial" w:eastAsia="Arial" w:hAnsi="Arial"/>
          <w:sz w:val="19"/>
          <w:szCs w:val="19"/>
          <w:u w:val="single" w:color="auto"/>
          <w:color w:val="auto"/>
        </w:rPr>
        <w:t>Class B Units</w:t>
      </w:r>
      <w:r>
        <w:rPr>
          <w:rFonts w:ascii="Arial" w:cs="Arial" w:eastAsia="Arial" w:hAnsi="Arial"/>
          <w:sz w:val="19"/>
          <w:szCs w:val="19"/>
          <w:color w:val="auto"/>
        </w:rPr>
        <w:t>”), to be issued by the Partnership under the Revised Partnership Agreement, having the rights, preferences, privileges and restrictions set forth therein and the Partnership has agreed to issue the New Common Units and Class B Units to GasLog as consideration for the contribution of the IDRs to the Partnership.</w:t>
      </w:r>
    </w:p>
    <w:p>
      <w:pPr>
        <w:spacing w:after="0" w:line="150" w:lineRule="exact"/>
        <w:rPr>
          <w:rFonts w:ascii="Arial" w:cs="Arial" w:eastAsia="Arial" w:hAnsi="Arial"/>
          <w:sz w:val="19"/>
          <w:szCs w:val="19"/>
          <w:color w:val="auto"/>
        </w:rPr>
      </w:pPr>
    </w:p>
    <w:p>
      <w:pPr>
        <w:ind w:right="20" w:firstLine="1305"/>
        <w:spacing w:after="0" w:line="282" w:lineRule="auto"/>
        <w:tabs>
          <w:tab w:leader="none" w:pos="1939" w:val="left"/>
        </w:tabs>
        <w:numPr>
          <w:ilvl w:val="0"/>
          <w:numId w:val="146"/>
        </w:numPr>
        <w:rPr>
          <w:rFonts w:ascii="Arial" w:cs="Arial" w:eastAsia="Arial" w:hAnsi="Arial"/>
          <w:sz w:val="19"/>
          <w:szCs w:val="19"/>
          <w:color w:val="auto"/>
        </w:rPr>
      </w:pPr>
      <w:r>
        <w:rPr>
          <w:rFonts w:ascii="Arial" w:cs="Arial" w:eastAsia="Arial" w:hAnsi="Arial"/>
          <w:sz w:val="19"/>
          <w:szCs w:val="19"/>
          <w:color w:val="auto"/>
        </w:rPr>
        <w:t>The parties hereto have agreed that the Fifth Amended and Restated Agreement of Limited Partnership of the Partnership, dated as of November 27, 2018 (the “</w:t>
      </w:r>
      <w:r>
        <w:rPr>
          <w:rFonts w:ascii="Arial" w:cs="Arial" w:eastAsia="Arial" w:hAnsi="Arial"/>
          <w:sz w:val="19"/>
          <w:szCs w:val="19"/>
          <w:u w:val="single" w:color="auto"/>
          <w:color w:val="auto"/>
        </w:rPr>
        <w:t>Current Partnership Agreement</w:t>
      </w:r>
      <w:r>
        <w:rPr>
          <w:rFonts w:ascii="Arial" w:cs="Arial" w:eastAsia="Arial" w:hAnsi="Arial"/>
          <w:sz w:val="19"/>
          <w:szCs w:val="19"/>
          <w:color w:val="auto"/>
        </w:rPr>
        <w:t>”), shall be amended and restated so as to reflect the cancellation of the IDRs and the authorization of the issuance of the New Common Units and Class B Units and to make certain other related changes to the Current Partnership Agreement, as permitted under Sections 13.1(d)(i) and 13.1(h)(iii) of the Current Partnership Agreement (such amended and restated agreement being referred to as the “</w:t>
      </w:r>
      <w:r>
        <w:rPr>
          <w:rFonts w:ascii="Arial" w:cs="Arial" w:eastAsia="Arial" w:hAnsi="Arial"/>
          <w:sz w:val="19"/>
          <w:szCs w:val="19"/>
          <w:u w:val="single" w:color="auto"/>
          <w:color w:val="auto"/>
        </w:rPr>
        <w:t>Revised Partnership Agreement</w:t>
      </w:r>
      <w:r>
        <w:rPr>
          <w:rFonts w:ascii="Arial" w:cs="Arial" w:eastAsia="Arial" w:hAnsi="Arial"/>
          <w:sz w:val="19"/>
          <w:szCs w:val="19"/>
          <w:color w:val="auto"/>
        </w:rPr>
        <w:t>”).</w:t>
      </w:r>
    </w:p>
    <w:p>
      <w:pPr>
        <w:spacing w:after="0" w:line="147" w:lineRule="exact"/>
        <w:rPr>
          <w:rFonts w:ascii="Arial" w:cs="Arial" w:eastAsia="Arial" w:hAnsi="Arial"/>
          <w:sz w:val="19"/>
          <w:szCs w:val="19"/>
          <w:color w:val="auto"/>
        </w:rPr>
      </w:pPr>
    </w:p>
    <w:p>
      <w:pPr>
        <w:ind w:right="40" w:firstLine="1305"/>
        <w:spacing w:after="0"/>
        <w:tabs>
          <w:tab w:leader="none" w:pos="194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effectiveness of the Revised Partnership Agreement, the contribution by GasLog to the Partnership of the IDRs and the issuance by the Partnership of the New Common Units and Class B Units, are conditioned on each other and shall occur simultaneously at the Effective Time.</w:t>
      </w:r>
    </w:p>
    <w:p>
      <w:pPr>
        <w:spacing w:after="0" w:line="186" w:lineRule="exact"/>
        <w:rPr>
          <w:sz w:val="20"/>
          <w:szCs w:val="20"/>
          <w:color w:val="auto"/>
        </w:rPr>
      </w:pPr>
    </w:p>
    <w:p>
      <w:pPr>
        <w:ind w:right="360" w:firstLine="1297"/>
        <w:spacing w:after="0" w:line="251" w:lineRule="auto"/>
        <w:rPr>
          <w:sz w:val="20"/>
          <w:szCs w:val="20"/>
          <w:color w:val="auto"/>
        </w:rPr>
      </w:pPr>
      <w:r>
        <w:rPr>
          <w:rFonts w:ascii="Arial" w:cs="Arial" w:eastAsia="Arial" w:hAnsi="Arial"/>
          <w:sz w:val="22"/>
          <w:szCs w:val="22"/>
          <w:color w:val="auto"/>
        </w:rPr>
        <w:t>NOW, THEREFORE, in consideration of their mutual undertakings and agreements hereunder, the parties hereto undertake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28" w:name="page129"/>
    <w:bookmarkEnd w:id="128"/>
    <w:p>
      <w:pPr>
        <w:ind w:left="5160"/>
        <w:spacing w:after="0"/>
        <w:rPr>
          <w:sz w:val="20"/>
          <w:szCs w:val="20"/>
          <w:color w:val="auto"/>
        </w:rPr>
      </w:pPr>
      <w:r>
        <w:rPr>
          <w:rFonts w:ascii="Arial" w:cs="Arial" w:eastAsia="Arial" w:hAnsi="Arial"/>
          <w:sz w:val="22"/>
          <w:szCs w:val="22"/>
          <w:b w:val="1"/>
          <w:bCs w:val="1"/>
          <w:color w:val="auto"/>
        </w:rPr>
        <w:t>ARTICLE I</w:t>
      </w:r>
    </w:p>
    <w:p>
      <w:pPr>
        <w:spacing w:after="0" w:line="206" w:lineRule="exact"/>
        <w:rPr>
          <w:sz w:val="20"/>
          <w:szCs w:val="20"/>
          <w:color w:val="auto"/>
        </w:rPr>
      </w:pPr>
    </w:p>
    <w:p>
      <w:pPr>
        <w:ind w:left="5000"/>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Agreement</w:t>
      </w:r>
      <w:r>
        <w:rPr>
          <w:rFonts w:ascii="Arial" w:cs="Arial" w:eastAsia="Arial" w:hAnsi="Arial"/>
          <w:sz w:val="22"/>
          <w:szCs w:val="22"/>
          <w:color w:val="auto"/>
        </w:rPr>
        <w:t>” has the meaning given such term in the Preamble.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Class B Units</w:t>
      </w:r>
      <w:r>
        <w:rPr>
          <w:rFonts w:ascii="Arial" w:cs="Arial" w:eastAsia="Arial" w:hAnsi="Arial"/>
          <w:sz w:val="22"/>
          <w:szCs w:val="22"/>
          <w:color w:val="auto"/>
        </w:rPr>
        <w:t>” has the meaning given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Current Partnership Agreement</w:t>
      </w:r>
      <w:r>
        <w:rPr>
          <w:rFonts w:ascii="Arial" w:cs="Arial" w:eastAsia="Arial" w:hAnsi="Arial"/>
          <w:sz w:val="22"/>
          <w:szCs w:val="22"/>
          <w:color w:val="auto"/>
        </w:rPr>
        <w:t>” has the meaning given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Effective Time</w:t>
      </w:r>
      <w:r>
        <w:rPr>
          <w:rFonts w:ascii="Arial" w:cs="Arial" w:eastAsia="Arial" w:hAnsi="Arial"/>
          <w:sz w:val="22"/>
          <w:szCs w:val="22"/>
          <w:color w:val="auto"/>
        </w:rPr>
        <w:t>” means 11:59 P.M. Eastern time on June 30, 2019.</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GasLog</w:t>
      </w:r>
      <w:r>
        <w:rPr>
          <w:rFonts w:ascii="Arial" w:cs="Arial" w:eastAsia="Arial" w:hAnsi="Arial"/>
          <w:sz w:val="22"/>
          <w:szCs w:val="22"/>
          <w:color w:val="auto"/>
        </w:rPr>
        <w:t>” has the meaning given such term in the Preamble.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General Partner</w:t>
      </w:r>
      <w:r>
        <w:rPr>
          <w:rFonts w:ascii="Arial" w:cs="Arial" w:eastAsia="Arial" w:hAnsi="Arial"/>
          <w:sz w:val="22"/>
          <w:szCs w:val="22"/>
          <w:color w:val="auto"/>
        </w:rPr>
        <w:t>” has the meaning given such term in the Preamble.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IDRs</w:t>
      </w:r>
      <w:r>
        <w:rPr>
          <w:rFonts w:ascii="Arial" w:cs="Arial" w:eastAsia="Arial" w:hAnsi="Arial"/>
          <w:sz w:val="22"/>
          <w:szCs w:val="22"/>
          <w:color w:val="auto"/>
        </w:rPr>
        <w:t>” has the meaning given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New Common Units</w:t>
      </w:r>
      <w:r>
        <w:rPr>
          <w:rFonts w:ascii="Arial" w:cs="Arial" w:eastAsia="Arial" w:hAnsi="Arial"/>
          <w:sz w:val="22"/>
          <w:szCs w:val="22"/>
          <w:color w:val="auto"/>
        </w:rPr>
        <w:t>” has the meaning given such term in the Recitals.</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Partnership</w:t>
      </w:r>
      <w:r>
        <w:rPr>
          <w:rFonts w:ascii="Arial" w:cs="Arial" w:eastAsia="Arial" w:hAnsi="Arial"/>
          <w:sz w:val="22"/>
          <w:szCs w:val="22"/>
          <w:color w:val="auto"/>
        </w:rPr>
        <w:t>” has the meaning given such term in the Preamble.</w:t>
      </w:r>
    </w:p>
    <w:p>
      <w:pPr>
        <w:spacing w:after="0" w:line="206" w:lineRule="exact"/>
        <w:rPr>
          <w:sz w:val="20"/>
          <w:szCs w:val="20"/>
          <w:color w:val="auto"/>
        </w:rPr>
      </w:pPr>
    </w:p>
    <w:p>
      <w:pPr>
        <w:ind w:right="700" w:firstLine="1297"/>
        <w:spacing w:after="0" w:line="251"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Revised Partnership Agreement</w:t>
      </w:r>
      <w:r>
        <w:rPr>
          <w:rFonts w:ascii="Arial" w:cs="Arial" w:eastAsia="Arial" w:hAnsi="Arial"/>
          <w:sz w:val="22"/>
          <w:szCs w:val="22"/>
          <w:color w:val="auto"/>
        </w:rPr>
        <w:t xml:space="preserve">” has the meaning given such term in the Recitals. The Revised Partnership Agreement shall be in the form attached hereto as </w:t>
      </w:r>
      <w:r>
        <w:rPr>
          <w:rFonts w:ascii="Arial" w:cs="Arial" w:eastAsia="Arial" w:hAnsi="Arial"/>
          <w:sz w:val="22"/>
          <w:szCs w:val="22"/>
          <w:u w:val="single" w:color="auto"/>
          <w:color w:val="auto"/>
        </w:rPr>
        <w:t>Exhibit 1</w:t>
      </w:r>
      <w:r>
        <w:rPr>
          <w:rFonts w:ascii="Arial" w:cs="Arial" w:eastAsia="Arial" w:hAnsi="Arial"/>
          <w:sz w:val="22"/>
          <w:szCs w:val="22"/>
          <w:color w:val="auto"/>
        </w:rPr>
        <w: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THE TRANSACTIONS</w:t>
      </w:r>
    </w:p>
    <w:p>
      <w:pPr>
        <w:spacing w:after="0" w:line="212" w:lineRule="exact"/>
        <w:rPr>
          <w:sz w:val="20"/>
          <w:szCs w:val="20"/>
          <w:color w:val="auto"/>
        </w:rPr>
      </w:pPr>
    </w:p>
    <w:p>
      <w:pPr>
        <w:ind w:firstLine="1297"/>
        <w:spacing w:after="0" w:line="282"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Contribution of IDRs</w:t>
      </w:r>
      <w:r>
        <w:rPr>
          <w:rFonts w:ascii="Arial" w:cs="Arial" w:eastAsia="Arial" w:hAnsi="Arial"/>
          <w:sz w:val="19"/>
          <w:szCs w:val="19"/>
          <w:color w:val="auto"/>
        </w:rPr>
        <w:t>. At the Effective Time, GasLog shall contribute to the Partnership all of its right, title and interest in the IDRs held by it immediately prior to the Effective Time, which IDRs represent all of the issued and outstanding IDRs under the Current Partnership Agreement, and the IDRs shall immediately thereupon be cancelled and shall cease to exist. The Partnership hereby confirms that it is bound by the Current Partnership Agreement and, upon the effectiveness of the Revised Partnership Agreement, it will be bound by the Revised Partnership Agreement.</w:t>
      </w:r>
    </w:p>
    <w:p>
      <w:pPr>
        <w:spacing w:after="0" w:line="148" w:lineRule="exact"/>
        <w:rPr>
          <w:sz w:val="20"/>
          <w:szCs w:val="20"/>
          <w:color w:val="auto"/>
        </w:rPr>
      </w:pPr>
    </w:p>
    <w:p>
      <w:pPr>
        <w:ind w:right="20" w:firstLine="1297"/>
        <w:spacing w:after="0" w:line="238"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u w:val="single" w:color="auto"/>
          <w:color w:val="auto"/>
        </w:rPr>
        <w:t>Consideration</w:t>
      </w:r>
      <w:r>
        <w:rPr>
          <w:rFonts w:ascii="Arial" w:cs="Arial" w:eastAsia="Arial" w:hAnsi="Arial"/>
          <w:sz w:val="22"/>
          <w:szCs w:val="22"/>
          <w:color w:val="auto"/>
        </w:rPr>
        <w:t>. At the Effective Time, simultaneously with and as consideration for the contribution of the IDRs to the Partnership, the Partnership shall (i) issue the New Common Units and Class B Units to GasLog. The issuance of the New Common Units and Class B Units shall occur simultaneously with the contribution and cancellation of the IDRs.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28" w:right="259" w:bottom="1440" w:gutter="0" w:footer="0" w:header="0"/>
        </w:sectPr>
      </w:pPr>
    </w:p>
    <w:bookmarkStart w:id="129" w:name="page130"/>
    <w:bookmarkEnd w:id="129"/>
    <w:p>
      <w:pPr>
        <w:ind w:firstLine="1297"/>
        <w:spacing w:after="0" w:line="251"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u w:val="single" w:color="auto"/>
          <w:color w:val="auto"/>
        </w:rPr>
        <w:t>Certificates</w:t>
      </w:r>
      <w:r>
        <w:rPr>
          <w:rFonts w:ascii="Arial" w:cs="Arial" w:eastAsia="Arial" w:hAnsi="Arial"/>
          <w:sz w:val="22"/>
          <w:szCs w:val="22"/>
          <w:color w:val="auto"/>
        </w:rPr>
        <w:t>. The New Common Units and Class B Units issued in connection with the transactions contemplated by this Agreement may be evidenced by certificates.</w:t>
      </w:r>
    </w:p>
    <w:p>
      <w:pPr>
        <w:spacing w:after="0" w:line="173" w:lineRule="exact"/>
        <w:rPr>
          <w:sz w:val="20"/>
          <w:szCs w:val="20"/>
          <w:color w:val="auto"/>
        </w:rPr>
      </w:pPr>
    </w:p>
    <w:p>
      <w:pPr>
        <w:jc w:val="both"/>
        <w:ind w:right="220" w:firstLine="1297"/>
        <w:spacing w:after="0" w:line="287"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u w:val="single" w:color="auto"/>
          <w:color w:val="auto"/>
        </w:rPr>
        <w:t>Partnership Agreement</w:t>
      </w:r>
      <w:r>
        <w:rPr>
          <w:rFonts w:ascii="Arial" w:cs="Arial" w:eastAsia="Arial" w:hAnsi="Arial"/>
          <w:sz w:val="19"/>
          <w:szCs w:val="19"/>
          <w:color w:val="auto"/>
        </w:rPr>
        <w:t>. The parties hereto acknowledge and agree that at the Effective Time, in order to evidence (i) the contribution and cancellation of the IDRs, (ii) the issuance of the New Common Units and Class B Units and (iii) certain other related changes to the Current Partnership Agreement, as permitted under Sections 13.1(d)(i) and 13.1(h) (iii) of the Current Partnership Agreement, the Revised Partnership Agreement shall become effective.</w:t>
      </w:r>
    </w:p>
    <w:p>
      <w:pPr>
        <w:spacing w:after="0" w:line="143" w:lineRule="exact"/>
        <w:rPr>
          <w:sz w:val="20"/>
          <w:szCs w:val="20"/>
          <w:color w:val="auto"/>
        </w:rPr>
      </w:pPr>
    </w:p>
    <w:p>
      <w:pPr>
        <w:jc w:val="both"/>
        <w:ind w:right="240" w:firstLine="1297"/>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u w:val="single" w:color="auto"/>
          <w:color w:val="auto"/>
        </w:rPr>
        <w:t>Further Assurances</w:t>
      </w:r>
      <w:r>
        <w:rPr>
          <w:rFonts w:ascii="Arial" w:cs="Arial" w:eastAsia="Arial" w:hAnsi="Arial"/>
          <w:sz w:val="22"/>
          <w:szCs w:val="22"/>
          <w:color w:val="auto"/>
        </w:rPr>
        <w:t>. The parties hereto agree to execute and deliver, or cause to be executed and delivered, such further instruments or documents or take such other action as may be reasonably necessary or convenient to carry out the transactions contemplated hereby.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REPRESENTATIONS AND WARRANTIES</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Partnership</w:t>
      </w:r>
      <w:r>
        <w:rPr>
          <w:rFonts w:ascii="Arial" w:cs="Arial" w:eastAsia="Arial" w:hAnsi="Arial"/>
          <w:sz w:val="19"/>
          <w:szCs w:val="19"/>
          <w:color w:val="auto"/>
        </w:rPr>
        <w:t>. The Partnership represents and warrants to GasLog as of the date hereof and as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Effective Time as follows:</w:t>
      </w:r>
    </w:p>
    <w:p>
      <w:pPr>
        <w:spacing w:after="0" w:line="188" w:lineRule="exact"/>
        <w:rPr>
          <w:sz w:val="20"/>
          <w:szCs w:val="20"/>
          <w:color w:val="auto"/>
        </w:rPr>
      </w:pPr>
    </w:p>
    <w:p>
      <w:pPr>
        <w:jc w:val="both"/>
        <w:ind w:right="160" w:firstLine="1305"/>
        <w:spacing w:after="0"/>
        <w:tabs>
          <w:tab w:leader="none" w:pos="164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Partnership is a limited partnership duly formed and validly existing in good standing under the laws of the Republic of the Marshall Islands, and has the necessary partnership power and authority to execute and deliver, and, subject to the terms and conditions hereof, to perform its obligations under, this Agreement.</w:t>
      </w:r>
    </w:p>
    <w:p>
      <w:pPr>
        <w:spacing w:after="0" w:line="186" w:lineRule="exact"/>
        <w:rPr>
          <w:rFonts w:ascii="Arial" w:cs="Arial" w:eastAsia="Arial" w:hAnsi="Arial"/>
          <w:sz w:val="22"/>
          <w:szCs w:val="22"/>
          <w:color w:val="auto"/>
        </w:rPr>
      </w:pPr>
    </w:p>
    <w:p>
      <w:pPr>
        <w:ind w:right="60" w:firstLine="1305"/>
        <w:spacing w:after="0" w:line="275" w:lineRule="auto"/>
        <w:tabs>
          <w:tab w:leader="none" w:pos="1657"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Partnership has taken all action as may be necessary to authorize the Revised Partnership Agreement and for the authorization, execution and delivery of this Agreement and the Revised Partnership Agreement, the consummation of the transactions contemplated by this Agreement and the performance of its obligations under this Agreement and the Revised Partnership Agreement. This Agreement and the Revised Partnership Agreement constitute a legal, valid and binding obligation of the Partnership, and is enforceable against the Partnership in accordance with their terms, subject to bankruptcy, insolvency, moratorium, receivership, reorganization, liquidation and other similar laws relating to or affecting the rights and remedies of creditors generally from time to time in effect and to principles of equity (including concepts of materiality, reasonableness, good faith and fair dealing), regardless of whether considered in a proceeding in equity or at law.</w:t>
      </w:r>
    </w:p>
    <w:p>
      <w:pPr>
        <w:spacing w:after="0" w:line="158" w:lineRule="exact"/>
        <w:rPr>
          <w:rFonts w:ascii="Arial" w:cs="Arial" w:eastAsia="Arial" w:hAnsi="Arial"/>
          <w:sz w:val="19"/>
          <w:szCs w:val="19"/>
          <w:color w:val="auto"/>
        </w:rPr>
      </w:pPr>
    </w:p>
    <w:p>
      <w:pPr>
        <w:ind w:right="320" w:firstLine="1305"/>
        <w:spacing w:after="0" w:line="328" w:lineRule="auto"/>
        <w:tabs>
          <w:tab w:leader="none" w:pos="164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Neither the execution and delivery hereof nor the performance of the Partnership’s obligations hereunder will violate or contravene any applicable law, the Current Partnership Agreement or any of the Partnership’s material agreements.</w:t>
      </w:r>
    </w:p>
    <w:p>
      <w:pPr>
        <w:spacing w:after="0" w:line="105" w:lineRule="exact"/>
        <w:rPr>
          <w:rFonts w:ascii="Arial" w:cs="Arial" w:eastAsia="Arial" w:hAnsi="Arial"/>
          <w:sz w:val="19"/>
          <w:szCs w:val="19"/>
          <w:color w:val="auto"/>
        </w:rPr>
      </w:pPr>
    </w:p>
    <w:p>
      <w:pPr>
        <w:jc w:val="both"/>
        <w:ind w:right="60" w:firstLine="1305"/>
        <w:spacing w:after="0" w:line="328" w:lineRule="auto"/>
        <w:tabs>
          <w:tab w:leader="none" w:pos="1657"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New Common Units and Class B Units and the limited partner interests represented thereby have been duly and validly authorized and, when issued and delivered in accordance with the terms and provisions of this Agreement, will be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0" w:name="page131"/>
    <w:bookmarkEnd w:id="130"/>
    <w:p>
      <w:pPr>
        <w:ind w:right="200"/>
        <w:spacing w:after="0" w:line="274" w:lineRule="auto"/>
        <w:rPr>
          <w:sz w:val="20"/>
          <w:szCs w:val="20"/>
          <w:color w:val="auto"/>
        </w:rPr>
      </w:pPr>
      <w:r>
        <w:rPr>
          <w:rFonts w:ascii="Arial" w:cs="Arial" w:eastAsia="Arial" w:hAnsi="Arial"/>
          <w:sz w:val="21"/>
          <w:szCs w:val="21"/>
          <w:color w:val="auto"/>
        </w:rPr>
        <w:t>and validly issued and fully paid (to the extent required under the Revised Partnership Agreement) and non-assessable (except as such nonassessability may be affected by Section 41 of The Marshall Islands Limited Partnership Act).</w:t>
      </w:r>
    </w:p>
    <w:p>
      <w:pPr>
        <w:spacing w:after="0" w:line="151" w:lineRule="exact"/>
        <w:rPr>
          <w:sz w:val="20"/>
          <w:szCs w:val="20"/>
          <w:color w:val="auto"/>
        </w:rPr>
      </w:pPr>
    </w:p>
    <w:p>
      <w:pPr>
        <w:ind w:right="400" w:firstLine="1297"/>
        <w:spacing w:after="0" w:line="251" w:lineRule="auto"/>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u w:val="single" w:color="auto"/>
          <w:color w:val="auto"/>
        </w:rPr>
        <w:t>General Partner</w:t>
      </w:r>
      <w:r>
        <w:rPr>
          <w:rFonts w:ascii="Arial" w:cs="Arial" w:eastAsia="Arial" w:hAnsi="Arial"/>
          <w:sz w:val="22"/>
          <w:szCs w:val="22"/>
          <w:color w:val="auto"/>
        </w:rPr>
        <w:t>. The General Partner represents and warrants to the Partnership as of the date hereof and as of the Effective Time as follows:</w:t>
      </w:r>
    </w:p>
    <w:p>
      <w:pPr>
        <w:spacing w:after="0" w:line="173" w:lineRule="exact"/>
        <w:rPr>
          <w:sz w:val="20"/>
          <w:szCs w:val="20"/>
          <w:color w:val="auto"/>
        </w:rPr>
      </w:pPr>
    </w:p>
    <w:p>
      <w:pPr>
        <w:ind w:right="140" w:firstLine="1305"/>
        <w:spacing w:after="0"/>
        <w:tabs>
          <w:tab w:leader="none" w:pos="1644"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General Partner is a limited liability company duly formed and validly existing in good standing under the laws of the Republic of the Marshall Islands and has the necessary limited liability company power and authority to execute and deliver this Agreement and to perform its obligations hereunder.</w:t>
      </w:r>
    </w:p>
    <w:p>
      <w:pPr>
        <w:spacing w:after="0" w:line="186" w:lineRule="exact"/>
        <w:rPr>
          <w:rFonts w:ascii="Arial" w:cs="Arial" w:eastAsia="Arial" w:hAnsi="Arial"/>
          <w:sz w:val="22"/>
          <w:szCs w:val="22"/>
          <w:color w:val="auto"/>
        </w:rPr>
      </w:pPr>
    </w:p>
    <w:p>
      <w:pPr>
        <w:ind w:right="20" w:firstLine="1305"/>
        <w:spacing w:after="0" w:line="275" w:lineRule="auto"/>
        <w:tabs>
          <w:tab w:leader="none" w:pos="165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The General Partner has taken all action as may be necessary to authorize the Revised Partnership Agreement and for the authorization, execution and delivery of this Agreement and the consummation of the transactions contemplated by this Agreement and the performance of its obligations under this Agreement and the Revised Partnership Agreement. This Agreement and the Revised Partnership Agreement constitute legal, valid and binding obligations of the General Partner, enforceable against the General Partner in accordance with their terms, subject to bankruptcy, insolvency, moratorium, receivership, reorganization, liquidation and other similar laws relating to or affecting the rights and remedies of creditors generally from time to time in effect and to principles of equity (including concepts of materiality, reasonableness, good faith and fair dealing), regardless of whether considered in a proceeding in equity or at law.</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GasLog</w:t>
      </w:r>
      <w:r>
        <w:rPr>
          <w:rFonts w:ascii="Arial" w:cs="Arial" w:eastAsia="Arial" w:hAnsi="Arial"/>
          <w:sz w:val="19"/>
          <w:szCs w:val="19"/>
          <w:color w:val="auto"/>
        </w:rPr>
        <w:t>. GasLog represents and warrants to the Partnership as of the date hereof and as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Effective Time as follows:</w:t>
      </w:r>
    </w:p>
    <w:p>
      <w:pPr>
        <w:spacing w:after="0" w:line="188" w:lineRule="exact"/>
        <w:rPr>
          <w:sz w:val="20"/>
          <w:szCs w:val="20"/>
          <w:color w:val="auto"/>
        </w:rPr>
      </w:pPr>
    </w:p>
    <w:p>
      <w:pPr>
        <w:ind w:right="60" w:firstLine="1305"/>
        <w:spacing w:after="0"/>
        <w:tabs>
          <w:tab w:leader="none" w:pos="16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GasLog is duly incorporated for an indefinite period and is validly existing and in good standing under the laws of Bermuda and has the necessary corporate power and authority to execute and deliver this Agreement and to perform its obligations hereunder.</w:t>
      </w:r>
    </w:p>
    <w:p>
      <w:pPr>
        <w:spacing w:after="0" w:line="186" w:lineRule="exact"/>
        <w:rPr>
          <w:rFonts w:ascii="Arial" w:cs="Arial" w:eastAsia="Arial" w:hAnsi="Arial"/>
          <w:sz w:val="22"/>
          <w:szCs w:val="22"/>
          <w:color w:val="auto"/>
        </w:rPr>
      </w:pPr>
    </w:p>
    <w:p>
      <w:pPr>
        <w:ind w:firstLine="1305"/>
        <w:spacing w:after="0" w:line="246" w:lineRule="auto"/>
        <w:tabs>
          <w:tab w:leader="none" w:pos="1657" w:val="left"/>
        </w:tabs>
        <w:numPr>
          <w:ilvl w:val="0"/>
          <w:numId w:val="149"/>
        </w:numPr>
        <w:rPr>
          <w:rFonts w:ascii="Arial" w:cs="Arial" w:eastAsia="Arial" w:hAnsi="Arial"/>
          <w:sz w:val="21"/>
          <w:szCs w:val="21"/>
          <w:color w:val="auto"/>
        </w:rPr>
      </w:pPr>
      <w:r>
        <w:rPr>
          <w:rFonts w:ascii="Arial" w:cs="Arial" w:eastAsia="Arial" w:hAnsi="Arial"/>
          <w:sz w:val="21"/>
          <w:szCs w:val="21"/>
          <w:color w:val="auto"/>
        </w:rPr>
        <w:t>GasLog has taken all action as may be necessary to authorize the Revised Partnership Agreement and for the authorization, execution and delivery of this Agreement and the consummation of the transactions contemplated by this Agreement and the performance of its obligations under this Agreement and the Revised Partnership Agreement. This Agreement and the Revised Partnership Agreement constitute legal, valid and binding obligations of GasLog, enforceable against GasLog in accordance with their terms, subject to bankruptcy, insolvency, moratorium, receivership, reorganization, liquidation and other similar laws relating to or affecting the rights and remedies of creditors generally from time to time in effect and to principles of equity (including concepts of materiality, reasonableness, good faith and fair dealing), regardless of whether considered in a proceeding in equity or at law.</w:t>
      </w:r>
    </w:p>
    <w:p>
      <w:pPr>
        <w:spacing w:after="0" w:line="180" w:lineRule="exact"/>
        <w:rPr>
          <w:rFonts w:ascii="Arial" w:cs="Arial" w:eastAsia="Arial" w:hAnsi="Arial"/>
          <w:sz w:val="21"/>
          <w:szCs w:val="21"/>
          <w:color w:val="auto"/>
        </w:rPr>
      </w:pPr>
    </w:p>
    <w:p>
      <w:pPr>
        <w:ind w:right="80" w:firstLine="1305"/>
        <w:spacing w:after="0" w:line="251" w:lineRule="auto"/>
        <w:tabs>
          <w:tab w:leader="none" w:pos="1644" w:val="left"/>
        </w:tabs>
        <w:numPr>
          <w:ilvl w:val="0"/>
          <w:numId w:val="149"/>
        </w:numPr>
        <w:rPr>
          <w:rFonts w:ascii="Arial" w:cs="Arial" w:eastAsia="Arial" w:hAnsi="Arial"/>
          <w:sz w:val="22"/>
          <w:szCs w:val="22"/>
          <w:color w:val="auto"/>
        </w:rPr>
      </w:pPr>
      <w:r>
        <w:rPr>
          <w:rFonts w:ascii="Arial" w:cs="Arial" w:eastAsia="Arial" w:hAnsi="Arial"/>
          <w:sz w:val="22"/>
          <w:szCs w:val="22"/>
          <w:color w:val="auto"/>
        </w:rPr>
        <w:t>GasLog is the beneficial and record holder of 100% of the IDRs, and such IDRs are owned by GasLog free and clear of all liens; there is no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189865</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4" w:right="299" w:bottom="1440" w:gutter="0" w:footer="0" w:header="0"/>
        </w:sectPr>
      </w:pPr>
    </w:p>
    <w:bookmarkStart w:id="131" w:name="page132"/>
    <w:bookmarkEnd w:id="131"/>
    <w:p>
      <w:pPr>
        <w:ind w:right="60"/>
        <w:spacing w:after="0" w:line="251" w:lineRule="auto"/>
        <w:rPr>
          <w:sz w:val="20"/>
          <w:szCs w:val="20"/>
          <w:color w:val="auto"/>
        </w:rPr>
      </w:pPr>
      <w:r>
        <w:rPr>
          <w:rFonts w:ascii="Arial" w:cs="Arial" w:eastAsia="Arial" w:hAnsi="Arial"/>
          <w:sz w:val="22"/>
          <w:szCs w:val="22"/>
          <w:color w:val="auto"/>
        </w:rPr>
        <w:t>option, warrant, call, right, agreement or commitment relating to the issuance, sale, delivery, repurchase, contribution or transfer by GasLog of such IDRs, except as set forth in the Current Partnership Agreement.</w:t>
      </w:r>
    </w:p>
    <w:p>
      <w:pPr>
        <w:spacing w:after="0" w:line="173" w:lineRule="exact"/>
        <w:rPr>
          <w:sz w:val="20"/>
          <w:szCs w:val="20"/>
          <w:color w:val="auto"/>
        </w:rPr>
      </w:pPr>
    </w:p>
    <w:p>
      <w:pPr>
        <w:ind w:firstLine="1305"/>
        <w:spacing w:after="0" w:line="279" w:lineRule="auto"/>
        <w:tabs>
          <w:tab w:leader="none" w:pos="1657" w:val="left"/>
        </w:tabs>
        <w:numPr>
          <w:ilvl w:val="0"/>
          <w:numId w:val="150"/>
        </w:numPr>
        <w:rPr>
          <w:rFonts w:ascii="Arial" w:cs="Arial" w:eastAsia="Arial" w:hAnsi="Arial"/>
          <w:sz w:val="19"/>
          <w:szCs w:val="19"/>
          <w:color w:val="auto"/>
        </w:rPr>
      </w:pPr>
      <w:r>
        <w:rPr>
          <w:rFonts w:ascii="Arial" w:cs="Arial" w:eastAsia="Arial" w:hAnsi="Arial"/>
          <w:sz w:val="19"/>
          <w:szCs w:val="19"/>
          <w:color w:val="auto"/>
        </w:rPr>
        <w:t>GasLog is an “Accredited Investor” as defined in Rule 501(a) promulgated under the United States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and is acquiring the New Common Units and Class B Units for its own account, and not with a view to any distribution, resale, subdivision or fractionalization thereof in violation of the Securities Act or any other applicable domestic or foreign securities law, and GasLog has no present plans to enter into any contract, undertaking, agreement or arrangement for any such distribution, resale, subdivision or fractionalization of the New Common Units or Class B Units in violation of the Securities Act or any other applicable domestic or foreign securities law.</w:t>
      </w:r>
    </w:p>
    <w:p>
      <w:pPr>
        <w:spacing w:after="0" w:line="150" w:lineRule="exact"/>
        <w:rPr>
          <w:rFonts w:ascii="Arial" w:cs="Arial" w:eastAsia="Arial" w:hAnsi="Arial"/>
          <w:sz w:val="19"/>
          <w:szCs w:val="19"/>
          <w:color w:val="auto"/>
        </w:rPr>
      </w:pPr>
    </w:p>
    <w:p>
      <w:pPr>
        <w:ind w:right="260" w:firstLine="1305"/>
        <w:spacing w:after="0" w:line="258" w:lineRule="auto"/>
        <w:tabs>
          <w:tab w:leader="none" w:pos="1644" w:val="left"/>
        </w:tabs>
        <w:numPr>
          <w:ilvl w:val="0"/>
          <w:numId w:val="150"/>
        </w:numPr>
        <w:rPr>
          <w:rFonts w:ascii="Arial" w:cs="Arial" w:eastAsia="Arial" w:hAnsi="Arial"/>
          <w:sz w:val="21"/>
          <w:szCs w:val="21"/>
          <w:color w:val="auto"/>
        </w:rPr>
      </w:pPr>
      <w:r>
        <w:rPr>
          <w:rFonts w:ascii="Arial" w:cs="Arial" w:eastAsia="Arial" w:hAnsi="Arial"/>
          <w:sz w:val="21"/>
          <w:szCs w:val="21"/>
          <w:color w:val="auto"/>
        </w:rPr>
        <w:t>GasLog acknowledges that the New Common Units and Class B Units have not been registered under the Securities Act, or the securities laws of any state and may not be sold except pursuant to an effective registration statement under the Securities Act or pursuant to an exemption from registration under the Securities Act.</w:t>
      </w:r>
    </w:p>
    <w:p>
      <w:pPr>
        <w:spacing w:after="0" w:line="166" w:lineRule="exact"/>
        <w:rPr>
          <w:rFonts w:ascii="Arial" w:cs="Arial" w:eastAsia="Arial" w:hAnsi="Arial"/>
          <w:sz w:val="21"/>
          <w:szCs w:val="21"/>
          <w:color w:val="auto"/>
        </w:rPr>
      </w:pPr>
    </w:p>
    <w:p>
      <w:pPr>
        <w:ind w:firstLine="1305"/>
        <w:spacing w:after="0" w:line="238" w:lineRule="auto"/>
        <w:tabs>
          <w:tab w:leader="none" w:pos="162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GasLog acknowledges that the New Common Units and Class B Units are characterized as “restricted securities” under the federal securities law inasmuch as they are being acquired from the Partnership in a transaction not involving a public offering and that under such law and applicable regulations such securities may be resold under the Securities Act only in certain limited circumstances.</w:t>
      </w:r>
    </w:p>
    <w:p>
      <w:pPr>
        <w:spacing w:after="0" w:line="185" w:lineRule="exact"/>
        <w:rPr>
          <w:rFonts w:ascii="Arial" w:cs="Arial" w:eastAsia="Arial" w:hAnsi="Arial"/>
          <w:sz w:val="22"/>
          <w:szCs w:val="22"/>
          <w:color w:val="auto"/>
        </w:rPr>
      </w:pPr>
    </w:p>
    <w:p>
      <w:pPr>
        <w:ind w:right="520" w:firstLine="1305"/>
        <w:spacing w:after="0" w:line="251" w:lineRule="auto"/>
        <w:tabs>
          <w:tab w:leader="none" w:pos="1657" w:val="left"/>
        </w:tabs>
        <w:numPr>
          <w:ilvl w:val="0"/>
          <w:numId w:val="150"/>
        </w:numPr>
        <w:rPr>
          <w:rFonts w:ascii="Arial" w:cs="Arial" w:eastAsia="Arial" w:hAnsi="Arial"/>
          <w:sz w:val="22"/>
          <w:szCs w:val="22"/>
          <w:color w:val="auto"/>
        </w:rPr>
      </w:pPr>
      <w:r>
        <w:rPr>
          <w:rFonts w:ascii="Arial" w:cs="Arial" w:eastAsia="Arial" w:hAnsi="Arial"/>
          <w:sz w:val="22"/>
          <w:szCs w:val="22"/>
          <w:color w:val="auto"/>
        </w:rPr>
        <w:t>GasLog acknowledges that the New Common Units and Class B Units are subject to certain restrictions on transfer set forth in the Revised Partnership Agreement.</w:t>
      </w:r>
    </w:p>
    <w:p>
      <w:pPr>
        <w:spacing w:after="0" w:line="167"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ARTICLE IV</w:t>
      </w:r>
    </w:p>
    <w:p>
      <w:pPr>
        <w:spacing w:after="0" w:line="206" w:lineRule="exact"/>
        <w:rPr>
          <w:sz w:val="20"/>
          <w:szCs w:val="20"/>
          <w:color w:val="auto"/>
        </w:rPr>
      </w:pPr>
    </w:p>
    <w:p>
      <w:pPr>
        <w:ind w:left="5020"/>
        <w:spacing w:after="0"/>
        <w:rPr>
          <w:sz w:val="20"/>
          <w:szCs w:val="20"/>
          <w:color w:val="auto"/>
        </w:rPr>
      </w:pPr>
      <w:r>
        <w:rPr>
          <w:rFonts w:ascii="Arial" w:cs="Arial" w:eastAsia="Arial" w:hAnsi="Arial"/>
          <w:sz w:val="22"/>
          <w:szCs w:val="22"/>
          <w:b w:val="1"/>
          <w:bCs w:val="1"/>
          <w:u w:val="single" w:color="auto"/>
          <w:color w:val="auto"/>
        </w:rPr>
        <w:t>CONDITIONS</w:t>
      </w:r>
    </w:p>
    <w:p>
      <w:pPr>
        <w:spacing w:after="0" w:line="212" w:lineRule="exact"/>
        <w:rPr>
          <w:sz w:val="20"/>
          <w:szCs w:val="20"/>
          <w:color w:val="auto"/>
        </w:rPr>
      </w:pPr>
    </w:p>
    <w:p>
      <w:pPr>
        <w:ind w:right="200" w:firstLine="1297"/>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Conditions to Obligations of Each Party</w:t>
      </w:r>
      <w:r>
        <w:rPr>
          <w:rFonts w:ascii="Arial" w:cs="Arial" w:eastAsia="Arial" w:hAnsi="Arial"/>
          <w:sz w:val="22"/>
          <w:szCs w:val="22"/>
          <w:color w:val="auto"/>
        </w:rPr>
        <w:t>. Notwithstanding any other provision of this Agreement, the respective obligations of each party to consummate the transactions contemplated by this Agreement shall be subject to the fulfillment of the following conditions:</w:t>
      </w:r>
    </w:p>
    <w:p>
      <w:pPr>
        <w:spacing w:after="0" w:line="186" w:lineRule="exact"/>
        <w:rPr>
          <w:sz w:val="20"/>
          <w:szCs w:val="20"/>
          <w:color w:val="auto"/>
        </w:rPr>
      </w:pPr>
    </w:p>
    <w:p>
      <w:pPr>
        <w:ind w:right="220" w:firstLine="1305"/>
        <w:spacing w:after="0" w:line="251" w:lineRule="auto"/>
        <w:tabs>
          <w:tab w:leader="none" w:pos="1644" w:val="left"/>
        </w:tabs>
        <w:numPr>
          <w:ilvl w:val="0"/>
          <w:numId w:val="151"/>
        </w:numPr>
        <w:rPr>
          <w:rFonts w:ascii="Arial" w:cs="Arial" w:eastAsia="Arial" w:hAnsi="Arial"/>
          <w:sz w:val="22"/>
          <w:szCs w:val="22"/>
          <w:color w:val="auto"/>
        </w:rPr>
      </w:pPr>
      <w:r>
        <w:rPr>
          <w:rFonts w:ascii="Arial" w:cs="Arial" w:eastAsia="Arial" w:hAnsi="Arial"/>
          <w:sz w:val="22"/>
          <w:szCs w:val="22"/>
          <w:color w:val="auto"/>
        </w:rPr>
        <w:t>that the agreements and covenants of the other parties hereto to be complied with or performed pursuant to the terms hereof shall have been duly complied with or performed;</w:t>
      </w:r>
    </w:p>
    <w:p>
      <w:pPr>
        <w:spacing w:after="0" w:line="173" w:lineRule="exact"/>
        <w:rPr>
          <w:rFonts w:ascii="Arial" w:cs="Arial" w:eastAsia="Arial" w:hAnsi="Arial"/>
          <w:sz w:val="22"/>
          <w:szCs w:val="22"/>
          <w:color w:val="auto"/>
        </w:rPr>
      </w:pPr>
    </w:p>
    <w:p>
      <w:pPr>
        <w:ind w:right="60" w:firstLine="1305"/>
        <w:spacing w:after="0" w:line="297" w:lineRule="auto"/>
        <w:tabs>
          <w:tab w:leader="none" w:pos="1657" w:val="left"/>
        </w:tabs>
        <w:numPr>
          <w:ilvl w:val="0"/>
          <w:numId w:val="151"/>
        </w:numPr>
        <w:rPr>
          <w:rFonts w:ascii="Arial" w:cs="Arial" w:eastAsia="Arial" w:hAnsi="Arial"/>
          <w:sz w:val="19"/>
          <w:szCs w:val="19"/>
          <w:color w:val="auto"/>
        </w:rPr>
      </w:pPr>
      <w:r>
        <w:rPr>
          <w:rFonts w:ascii="Arial" w:cs="Arial" w:eastAsia="Arial" w:hAnsi="Arial"/>
          <w:sz w:val="19"/>
          <w:szCs w:val="19"/>
          <w:color w:val="auto"/>
        </w:rPr>
        <w:t>no order shall have been entered and remained in effect in any action or proceeding before any federal, foreign, state or provincial court or governmental agency or other federal, foreign, state or provincial regulatory or administrative agency or commission that would prevent or make illegal the consummation of the transactions contemplated 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32" w:name="page133"/>
    <w:bookmarkEnd w:id="132"/>
    <w:p>
      <w:pPr>
        <w:ind w:left="1660" w:hanging="355"/>
        <w:spacing w:after="0"/>
        <w:tabs>
          <w:tab w:leader="none" w:pos="166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representations and warranties of the other party shall remain true and correct at the Effective Time.</w:t>
      </w:r>
    </w:p>
    <w:p>
      <w:pPr>
        <w:spacing w:after="0" w:line="211" w:lineRule="exact"/>
        <w:rPr>
          <w:rFonts w:ascii="Arial" w:cs="Arial" w:eastAsia="Arial" w:hAnsi="Arial"/>
          <w:sz w:val="21"/>
          <w:szCs w:val="21"/>
          <w:color w:val="auto"/>
        </w:rPr>
      </w:pPr>
    </w:p>
    <w:p>
      <w:pPr>
        <w:ind w:left="5120"/>
        <w:spacing w:after="0"/>
        <w:rPr>
          <w:rFonts w:ascii="Arial" w:cs="Arial" w:eastAsia="Arial" w:hAnsi="Arial"/>
          <w:sz w:val="21"/>
          <w:szCs w:val="21"/>
          <w:color w:val="auto"/>
        </w:rPr>
      </w:pPr>
      <w:r>
        <w:rPr>
          <w:rFonts w:ascii="Arial" w:cs="Arial" w:eastAsia="Arial" w:hAnsi="Arial"/>
          <w:sz w:val="22"/>
          <w:szCs w:val="22"/>
          <w:b w:val="1"/>
          <w:bCs w:val="1"/>
          <w:color w:val="auto"/>
        </w:rPr>
        <w:t>ARTICLE V</w:t>
      </w:r>
    </w:p>
    <w:p>
      <w:pPr>
        <w:spacing w:after="0" w:line="20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12" w:lineRule="exact"/>
        <w:rPr>
          <w:sz w:val="20"/>
          <w:szCs w:val="20"/>
          <w:color w:val="auto"/>
        </w:rPr>
      </w:pPr>
    </w:p>
    <w:p>
      <w:pPr>
        <w:jc w:val="both"/>
        <w:ind w:right="100" w:firstLine="1297"/>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Governing Law</w:t>
      </w:r>
      <w:r>
        <w:rPr>
          <w:rFonts w:ascii="Arial" w:cs="Arial" w:eastAsia="Arial" w:hAnsi="Arial"/>
          <w:sz w:val="22"/>
          <w:szCs w:val="22"/>
          <w:color w:val="auto"/>
        </w:rPr>
        <w:t>. The laws of the State of New York shall govern the construction, interpretation and effect of this Agreement without giving effect to any conflicts of law principles thereof other than Section 5-1401 of the New York General Obligations Law.</w:t>
      </w:r>
    </w:p>
    <w:p>
      <w:pPr>
        <w:spacing w:after="0" w:line="186" w:lineRule="exact"/>
        <w:rPr>
          <w:sz w:val="20"/>
          <w:szCs w:val="20"/>
          <w:color w:val="auto"/>
        </w:rPr>
      </w:pPr>
    </w:p>
    <w:p>
      <w:pPr>
        <w:jc w:val="both"/>
        <w:ind w:right="80" w:firstLine="1297"/>
        <w:spacing w:after="0" w:line="251"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constitute an original, and all of which simultaneously shall constitute one and the same instrument.</w:t>
      </w:r>
    </w:p>
    <w:p>
      <w:pPr>
        <w:spacing w:after="0" w:line="173" w:lineRule="exact"/>
        <w:rPr>
          <w:sz w:val="20"/>
          <w:szCs w:val="20"/>
          <w:color w:val="auto"/>
        </w:rPr>
      </w:pPr>
    </w:p>
    <w:p>
      <w:pPr>
        <w:ind w:right="420" w:firstLine="1297"/>
        <w:spacing w:after="0" w:line="251" w:lineRule="auto"/>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u w:val="single" w:color="auto"/>
          <w:color w:val="auto"/>
        </w:rPr>
        <w:t>Amendments</w:t>
      </w:r>
      <w:r>
        <w:rPr>
          <w:rFonts w:ascii="Arial" w:cs="Arial" w:eastAsia="Arial" w:hAnsi="Arial"/>
          <w:sz w:val="22"/>
          <w:szCs w:val="22"/>
          <w:color w:val="auto"/>
        </w:rPr>
        <w:t>. All waivers, modifications, amendments or alterations of this Agreement shall require the written approval of each of the parties to this Agreement.</w:t>
      </w:r>
    </w:p>
    <w:p>
      <w:pPr>
        <w:spacing w:after="0" w:line="173" w:lineRule="exact"/>
        <w:rPr>
          <w:sz w:val="20"/>
          <w:szCs w:val="20"/>
          <w:color w:val="auto"/>
        </w:rPr>
      </w:pPr>
    </w:p>
    <w:p>
      <w:pPr>
        <w:jc w:val="both"/>
        <w:ind w:right="20" w:firstLine="1297"/>
        <w:spacing w:after="0" w:line="328"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shall be binding upon and inure to the benefit of the parties and the respective successors and assigns. This Agreement shall not be assignable except with the prior written consent of the other party.</w:t>
      </w:r>
    </w:p>
    <w:p>
      <w:pPr>
        <w:spacing w:after="0" w:line="105"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u w:val="single" w:color="auto"/>
          <w:color w:val="auto"/>
        </w:rPr>
        <w:t>Benefits of Agreement Restricted to Parties</w:t>
      </w:r>
      <w:r>
        <w:rPr>
          <w:rFonts w:ascii="Arial" w:cs="Arial" w:eastAsia="Arial" w:hAnsi="Arial"/>
          <w:sz w:val="22"/>
          <w:szCs w:val="22"/>
          <w:color w:val="auto"/>
        </w:rPr>
        <w:t>. This Agreement is made solely for the benefit of the parties to this Agreement, and no other person or entity (including employees and partners of the Partnership) shall have any right, claim or cause of action under or by virtue of this Agreement.</w:t>
      </w:r>
    </w:p>
    <w:p>
      <w:pPr>
        <w:spacing w:after="0" w:line="186" w:lineRule="exact"/>
        <w:rPr>
          <w:sz w:val="20"/>
          <w:szCs w:val="20"/>
          <w:color w:val="auto"/>
        </w:rPr>
      </w:pPr>
    </w:p>
    <w:p>
      <w:pPr>
        <w:jc w:val="both"/>
        <w:ind w:firstLine="1297"/>
        <w:spacing w:after="0"/>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Notices</w:t>
      </w:r>
      <w:r>
        <w:rPr>
          <w:rFonts w:ascii="Arial" w:cs="Arial" w:eastAsia="Arial" w:hAnsi="Arial"/>
          <w:sz w:val="22"/>
          <w:szCs w:val="22"/>
          <w:color w:val="auto"/>
        </w:rPr>
        <w:t>.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Partnership, at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GasLog Partners LP</w:t>
      </w:r>
    </w:p>
    <w:p>
      <w:pPr>
        <w:ind w:left="1300"/>
        <w:spacing w:after="0" w:line="238" w:lineRule="auto"/>
        <w:rPr>
          <w:sz w:val="20"/>
          <w:szCs w:val="20"/>
          <w:color w:val="auto"/>
        </w:rPr>
      </w:pPr>
      <w:r>
        <w:rPr>
          <w:rFonts w:ascii="Arial" w:cs="Arial" w:eastAsia="Arial" w:hAnsi="Arial"/>
          <w:sz w:val="22"/>
          <w:szCs w:val="22"/>
          <w:color w:val="auto"/>
        </w:rPr>
        <w:t>c/o GasLog Monaco S.A.M.</w:t>
      </w:r>
    </w:p>
    <w:p>
      <w:pPr>
        <w:ind w:left="1300"/>
        <w:spacing w:after="0" w:line="230" w:lineRule="auto"/>
        <w:rPr>
          <w:sz w:val="20"/>
          <w:szCs w:val="20"/>
          <w:color w:val="auto"/>
        </w:rPr>
      </w:pPr>
      <w:r>
        <w:rPr>
          <w:rFonts w:ascii="Arial" w:cs="Arial" w:eastAsia="Arial" w:hAnsi="Arial"/>
          <w:sz w:val="22"/>
          <w:szCs w:val="22"/>
          <w:color w:val="auto"/>
        </w:rPr>
        <w:t>Gildo Pastor Center</w:t>
      </w:r>
    </w:p>
    <w:p>
      <w:pPr>
        <w:ind w:left="1300"/>
        <w:spacing w:after="0" w:line="231" w:lineRule="auto"/>
        <w:rPr>
          <w:sz w:val="20"/>
          <w:szCs w:val="20"/>
          <w:color w:val="auto"/>
        </w:rPr>
      </w:pPr>
      <w:r>
        <w:rPr>
          <w:rFonts w:ascii="Arial" w:cs="Arial" w:eastAsia="Arial" w:hAnsi="Arial"/>
          <w:sz w:val="22"/>
          <w:szCs w:val="22"/>
          <w:color w:val="auto"/>
        </w:rPr>
        <w:t>7 Rue du Gabian</w:t>
      </w:r>
    </w:p>
    <w:p>
      <w:pPr>
        <w:ind w:left="1300"/>
        <w:spacing w:after="0" w:line="231" w:lineRule="auto"/>
        <w:rPr>
          <w:sz w:val="20"/>
          <w:szCs w:val="20"/>
          <w:color w:val="auto"/>
        </w:rPr>
      </w:pPr>
      <w:r>
        <w:rPr>
          <w:rFonts w:ascii="Arial" w:cs="Arial" w:eastAsia="Arial" w:hAnsi="Arial"/>
          <w:sz w:val="22"/>
          <w:szCs w:val="22"/>
          <w:color w:val="auto"/>
        </w:rPr>
        <w:t>MC 98000, Monaco</w:t>
      </w:r>
    </w:p>
    <w:p>
      <w:pPr>
        <w:ind w:left="1300"/>
        <w:spacing w:after="0" w:line="230" w:lineRule="auto"/>
        <w:rPr>
          <w:sz w:val="20"/>
          <w:szCs w:val="20"/>
          <w:color w:val="auto"/>
        </w:rPr>
      </w:pPr>
      <w:r>
        <w:rPr>
          <w:rFonts w:ascii="Arial" w:cs="Arial" w:eastAsia="Arial" w:hAnsi="Arial"/>
          <w:sz w:val="22"/>
          <w:szCs w:val="22"/>
          <w:color w:val="auto"/>
        </w:rPr>
        <w:t>Attention: Andrew J. Orekar (Chief Executive Officer)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+377 9797-5124</w:t>
      </w:r>
    </w:p>
    <w:p>
      <w:pPr>
        <w:spacing w:after="0" w:line="200" w:lineRule="exact"/>
        <w:rPr>
          <w:sz w:val="20"/>
          <w:szCs w:val="20"/>
          <w:color w:val="auto"/>
        </w:rPr>
      </w:pPr>
    </w:p>
    <w:p>
      <w:pPr>
        <w:spacing w:after="0" w:line="20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General Partner,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4" w:right="359" w:bottom="1440" w:gutter="0" w:footer="0" w:header="0"/>
        </w:sectPr>
      </w:pPr>
    </w:p>
    <w:bookmarkStart w:id="133" w:name="page134"/>
    <w:bookmarkEnd w:id="133"/>
    <w:p>
      <w:pPr>
        <w:ind w:left="1300"/>
        <w:spacing w:after="0"/>
        <w:rPr>
          <w:sz w:val="20"/>
          <w:szCs w:val="20"/>
          <w:color w:val="auto"/>
        </w:rPr>
      </w:pPr>
      <w:r>
        <w:rPr>
          <w:rFonts w:ascii="Arial" w:cs="Arial" w:eastAsia="Arial" w:hAnsi="Arial"/>
          <w:sz w:val="22"/>
          <w:szCs w:val="22"/>
          <w:color w:val="auto"/>
        </w:rPr>
        <w:t>GasLog Partners GP LLC</w:t>
      </w:r>
    </w:p>
    <w:p>
      <w:pPr>
        <w:ind w:left="1300"/>
        <w:spacing w:after="0" w:line="238" w:lineRule="auto"/>
        <w:rPr>
          <w:sz w:val="20"/>
          <w:szCs w:val="20"/>
          <w:color w:val="auto"/>
        </w:rPr>
      </w:pPr>
      <w:r>
        <w:rPr>
          <w:rFonts w:ascii="Arial" w:cs="Arial" w:eastAsia="Arial" w:hAnsi="Arial"/>
          <w:sz w:val="22"/>
          <w:szCs w:val="22"/>
          <w:color w:val="auto"/>
        </w:rPr>
        <w:t>c/o GasLog Monaco S.A.M.</w:t>
      </w:r>
    </w:p>
    <w:p>
      <w:pPr>
        <w:ind w:left="1300"/>
        <w:spacing w:after="0" w:line="230" w:lineRule="auto"/>
        <w:rPr>
          <w:sz w:val="20"/>
          <w:szCs w:val="20"/>
          <w:color w:val="auto"/>
        </w:rPr>
      </w:pPr>
      <w:r>
        <w:rPr>
          <w:rFonts w:ascii="Arial" w:cs="Arial" w:eastAsia="Arial" w:hAnsi="Arial"/>
          <w:sz w:val="22"/>
          <w:szCs w:val="22"/>
          <w:color w:val="auto"/>
        </w:rPr>
        <w:t>Gildo Pastor Center</w:t>
      </w:r>
    </w:p>
    <w:p>
      <w:pPr>
        <w:ind w:left="1300"/>
        <w:spacing w:after="0" w:line="231" w:lineRule="auto"/>
        <w:rPr>
          <w:sz w:val="20"/>
          <w:szCs w:val="20"/>
          <w:color w:val="auto"/>
        </w:rPr>
      </w:pPr>
      <w:r>
        <w:rPr>
          <w:rFonts w:ascii="Arial" w:cs="Arial" w:eastAsia="Arial" w:hAnsi="Arial"/>
          <w:sz w:val="22"/>
          <w:szCs w:val="22"/>
          <w:color w:val="auto"/>
        </w:rPr>
        <w:t>7 Rue du Gabian</w:t>
      </w:r>
    </w:p>
    <w:p>
      <w:pPr>
        <w:ind w:left="1300"/>
        <w:spacing w:after="0" w:line="231" w:lineRule="auto"/>
        <w:rPr>
          <w:sz w:val="20"/>
          <w:szCs w:val="20"/>
          <w:color w:val="auto"/>
        </w:rPr>
      </w:pPr>
      <w:r>
        <w:rPr>
          <w:rFonts w:ascii="Arial" w:cs="Arial" w:eastAsia="Arial" w:hAnsi="Arial"/>
          <w:sz w:val="22"/>
          <w:szCs w:val="22"/>
          <w:color w:val="auto"/>
        </w:rPr>
        <w:t>MC 98000, Monaco</w:t>
      </w:r>
    </w:p>
    <w:p>
      <w:pPr>
        <w:ind w:left="1300"/>
        <w:spacing w:after="0" w:line="230" w:lineRule="auto"/>
        <w:rPr>
          <w:sz w:val="20"/>
          <w:szCs w:val="20"/>
          <w:color w:val="auto"/>
        </w:rPr>
      </w:pPr>
      <w:r>
        <w:rPr>
          <w:rFonts w:ascii="Arial" w:cs="Arial" w:eastAsia="Arial" w:hAnsi="Arial"/>
          <w:sz w:val="22"/>
          <w:szCs w:val="22"/>
          <w:color w:val="auto"/>
        </w:rPr>
        <w:t>Attention: Paul Wogan (Chief Executive Officer)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+377 9797-5124</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GasLog, at</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GasLog Ltd.</w:t>
      </w:r>
    </w:p>
    <w:p>
      <w:pPr>
        <w:ind w:left="1300"/>
        <w:spacing w:after="0" w:line="238" w:lineRule="auto"/>
        <w:rPr>
          <w:sz w:val="20"/>
          <w:szCs w:val="20"/>
          <w:color w:val="auto"/>
        </w:rPr>
      </w:pPr>
      <w:r>
        <w:rPr>
          <w:rFonts w:ascii="Arial" w:cs="Arial" w:eastAsia="Arial" w:hAnsi="Arial"/>
          <w:sz w:val="22"/>
          <w:szCs w:val="22"/>
          <w:color w:val="auto"/>
        </w:rPr>
        <w:t>c/o GasLog Monaco S.A.M.</w:t>
      </w:r>
    </w:p>
    <w:p>
      <w:pPr>
        <w:ind w:left="1300"/>
        <w:spacing w:after="0" w:line="230" w:lineRule="auto"/>
        <w:rPr>
          <w:sz w:val="20"/>
          <w:szCs w:val="20"/>
          <w:color w:val="auto"/>
        </w:rPr>
      </w:pPr>
      <w:r>
        <w:rPr>
          <w:rFonts w:ascii="Arial" w:cs="Arial" w:eastAsia="Arial" w:hAnsi="Arial"/>
          <w:sz w:val="22"/>
          <w:szCs w:val="22"/>
          <w:color w:val="auto"/>
        </w:rPr>
        <w:t>Gildo Pastor Center</w:t>
      </w:r>
    </w:p>
    <w:p>
      <w:pPr>
        <w:ind w:left="1300"/>
        <w:spacing w:after="0" w:line="231" w:lineRule="auto"/>
        <w:rPr>
          <w:sz w:val="20"/>
          <w:szCs w:val="20"/>
          <w:color w:val="auto"/>
        </w:rPr>
      </w:pPr>
      <w:r>
        <w:rPr>
          <w:rFonts w:ascii="Arial" w:cs="Arial" w:eastAsia="Arial" w:hAnsi="Arial"/>
          <w:sz w:val="22"/>
          <w:szCs w:val="22"/>
          <w:color w:val="auto"/>
        </w:rPr>
        <w:t>7 Rue du Gabian</w:t>
      </w:r>
    </w:p>
    <w:p>
      <w:pPr>
        <w:ind w:left="1300"/>
        <w:spacing w:after="0" w:line="231" w:lineRule="auto"/>
        <w:rPr>
          <w:sz w:val="20"/>
          <w:szCs w:val="20"/>
          <w:color w:val="auto"/>
        </w:rPr>
      </w:pPr>
      <w:r>
        <w:rPr>
          <w:rFonts w:ascii="Arial" w:cs="Arial" w:eastAsia="Arial" w:hAnsi="Arial"/>
          <w:sz w:val="22"/>
          <w:szCs w:val="22"/>
          <w:color w:val="auto"/>
        </w:rPr>
        <w:t>MC 98000, Monaco</w:t>
      </w:r>
    </w:p>
    <w:p>
      <w:pPr>
        <w:ind w:left="1300"/>
        <w:spacing w:after="0" w:line="230" w:lineRule="auto"/>
        <w:rPr>
          <w:sz w:val="20"/>
          <w:szCs w:val="20"/>
          <w:color w:val="auto"/>
        </w:rPr>
      </w:pPr>
      <w:r>
        <w:rPr>
          <w:rFonts w:ascii="Arial" w:cs="Arial" w:eastAsia="Arial" w:hAnsi="Arial"/>
          <w:sz w:val="22"/>
          <w:szCs w:val="22"/>
          <w:color w:val="auto"/>
        </w:rPr>
        <w:t>Attention: Legal</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Facsimile: +377 9797-5124</w:t>
      </w:r>
    </w:p>
    <w:p>
      <w:pPr>
        <w:spacing w:after="0" w:line="188"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and any such notice shall be deemed to have been received (i) on the next working day in the place to which it is sent, if sent by facsimile or (ii) forty eight (48) hours from the time of dispatch, if sent by courier.</w:t>
      </w:r>
    </w:p>
    <w:p>
      <w:pPr>
        <w:spacing w:after="0" w:line="173" w:lineRule="exact"/>
        <w:rPr>
          <w:sz w:val="20"/>
          <w:szCs w:val="20"/>
          <w:color w:val="auto"/>
        </w:rPr>
      </w:pPr>
    </w:p>
    <w:p>
      <w:pPr>
        <w:ind w:firstLine="1297"/>
        <w:spacing w:after="0" w:line="252" w:lineRule="auto"/>
        <w:rPr>
          <w:sz w:val="20"/>
          <w:szCs w:val="20"/>
          <w:color w:val="auto"/>
        </w:rPr>
      </w:pPr>
      <w:r>
        <w:rPr>
          <w:rFonts w:ascii="Arial" w:cs="Arial" w:eastAsia="Arial" w:hAnsi="Arial"/>
          <w:sz w:val="21"/>
          <w:szCs w:val="21"/>
          <w:color w:val="auto"/>
        </w:rPr>
        <w:t xml:space="preserve">SECTION 5.07. </w:t>
      </w:r>
      <w:r>
        <w:rPr>
          <w:rFonts w:ascii="Arial" w:cs="Arial" w:eastAsia="Arial" w:hAnsi="Arial"/>
          <w:sz w:val="21"/>
          <w:szCs w:val="21"/>
          <w:u w:val="single" w:color="auto"/>
          <w:color w:val="auto"/>
        </w:rPr>
        <w:t>Severability</w:t>
      </w:r>
      <w:r>
        <w:rPr>
          <w:rFonts w:ascii="Arial" w:cs="Arial" w:eastAsia="Arial" w:hAnsi="Arial"/>
          <w:sz w:val="21"/>
          <w:szCs w:val="21"/>
          <w:color w:val="auto"/>
        </w:rPr>
        <w:t>. In the event that any provision of this Agreement shall finally be determined to be unlawful, such provision shall, so long as the economic and legal substance of the transactions contemplated hereby is not affected in any materially adverse manner as to any of the parties to this Agreement, be deemed severed from this Agreement and every other provision of this Agreement shall remain in full force and effect.</w:t>
      </w:r>
    </w:p>
    <w:p>
      <w:pPr>
        <w:spacing w:after="0" w:line="174" w:lineRule="exact"/>
        <w:rPr>
          <w:sz w:val="20"/>
          <w:szCs w:val="20"/>
          <w:color w:val="auto"/>
        </w:rPr>
      </w:pPr>
    </w:p>
    <w:p>
      <w:pPr>
        <w:ind w:right="340" w:firstLine="1297"/>
        <w:spacing w:after="0" w:line="328"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Titles</w:t>
      </w:r>
      <w:r>
        <w:rPr>
          <w:rFonts w:ascii="Arial" w:cs="Arial" w:eastAsia="Arial" w:hAnsi="Arial"/>
          <w:sz w:val="19"/>
          <w:szCs w:val="19"/>
          <w:color w:val="auto"/>
        </w:rPr>
        <w:t>. The article, section and paragraph titles in this Agreement are only for purposes of convenience and do not form a part of this Agreement and will not be taken to qualify, explain, or affect any provision thereof.</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follows.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334" w:right="359" w:bottom="1440" w:gutter="0" w:footer="0" w:header="0"/>
        </w:sectPr>
      </w:pPr>
    </w:p>
    <w:bookmarkStart w:id="134" w:name="page135"/>
    <w:bookmarkEnd w:id="134"/>
    <w:p>
      <w:pPr>
        <w:ind w:right="520" w:firstLine="1297"/>
        <w:spacing w:after="0" w:line="251" w:lineRule="auto"/>
        <w:rPr>
          <w:sz w:val="20"/>
          <w:szCs w:val="20"/>
          <w:color w:val="auto"/>
        </w:rPr>
      </w:pPr>
      <w:r>
        <w:rPr>
          <w:rFonts w:ascii="Arial" w:cs="Arial" w:eastAsia="Arial" w:hAnsi="Arial"/>
          <w:sz w:val="22"/>
          <w:szCs w:val="22"/>
          <w:color w:val="auto"/>
        </w:rPr>
        <w:t>IN WITNESS WHEREOF, this Exchange Agreement has been executed on behalf of each of the parties hereto effective as of the day and year first above written.</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PARTNERS LP,</w:t>
      </w:r>
    </w:p>
    <w:p>
      <w:pPr>
        <w:spacing w:after="0" w:line="200" w:lineRule="exact"/>
        <w:rPr>
          <w:sz w:val="20"/>
          <w:szCs w:val="20"/>
          <w:color w:val="auto"/>
        </w:rPr>
      </w:pPr>
    </w:p>
    <w:p>
      <w:pPr>
        <w:spacing w:after="0" w:line="249"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/s/ Andrew J. Orekar</w:t>
            </w:r>
          </w:p>
        </w:tc>
      </w:tr>
      <w:tr>
        <w:trPr>
          <w:trHeight w:val="215"/>
        </w:trPr>
        <w:tc>
          <w:tcPr>
            <w:tcW w:w="780" w:type="dxa"/>
            <w:vAlign w:val="bottom"/>
          </w:tcPr>
          <w:p>
            <w:pPr>
              <w:spacing w:after="0"/>
              <w:rPr>
                <w:sz w:val="18"/>
                <w:szCs w:val="18"/>
                <w:color w:val="auto"/>
              </w:rPr>
            </w:pPr>
          </w:p>
        </w:tc>
        <w:tc>
          <w:tcPr>
            <w:tcW w:w="800" w:type="dxa"/>
            <w:vAlign w:val="bottom"/>
          </w:tcPr>
          <w:p>
            <w:pPr>
              <w:ind w:left="100"/>
              <w:spacing w:after="0" w:line="216" w:lineRule="exact"/>
              <w:rPr>
                <w:sz w:val="20"/>
                <w:szCs w:val="20"/>
                <w:color w:val="auto"/>
              </w:rPr>
            </w:pPr>
            <w:r>
              <w:rPr>
                <w:rFonts w:ascii="Arial" w:cs="Arial" w:eastAsia="Arial" w:hAnsi="Arial"/>
                <w:sz w:val="22"/>
                <w:szCs w:val="22"/>
                <w:color w:val="auto"/>
              </w:rPr>
              <w:t>Name:</w:t>
            </w:r>
          </w:p>
        </w:tc>
        <w:tc>
          <w:tcPr>
            <w:tcW w:w="4120" w:type="dxa"/>
            <w:vAlign w:val="bottom"/>
          </w:tcPr>
          <w:p>
            <w:pPr>
              <w:ind w:left="140"/>
              <w:spacing w:after="0" w:line="216" w:lineRule="exact"/>
              <w:rPr>
                <w:sz w:val="20"/>
                <w:szCs w:val="20"/>
                <w:color w:val="auto"/>
              </w:rPr>
            </w:pPr>
            <w:r>
              <w:rPr>
                <w:rFonts w:ascii="Arial" w:cs="Arial" w:eastAsia="Arial" w:hAnsi="Arial"/>
                <w:sz w:val="22"/>
                <w:szCs w:val="22"/>
                <w:color w:val="auto"/>
              </w:rPr>
              <w:t>Andrew J. Orekar</w:t>
            </w:r>
          </w:p>
        </w:tc>
      </w:tr>
      <w:tr>
        <w:trPr>
          <w:trHeight w:val="275"/>
        </w:trPr>
        <w:tc>
          <w:tcPr>
            <w:tcW w:w="78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22"/>
                <w:szCs w:val="22"/>
                <w:color w:val="auto"/>
              </w:rPr>
              <w:t>Title:</w:t>
            </w:r>
          </w:p>
        </w:tc>
        <w:tc>
          <w:tcPr>
            <w:tcW w:w="4120" w:type="dxa"/>
            <w:vAlign w:val="bottom"/>
          </w:tcPr>
          <w:p>
            <w:pPr>
              <w:ind w:left="140"/>
              <w:spacing w:after="0"/>
              <w:rPr>
                <w:sz w:val="20"/>
                <w:szCs w:val="20"/>
                <w:color w:val="auto"/>
              </w:rPr>
            </w:pPr>
            <w:r>
              <w:rPr>
                <w:rFonts w:ascii="Arial" w:cs="Arial" w:eastAsia="Arial" w:hAnsi="Arial"/>
                <w:sz w:val="22"/>
                <w:szCs w:val="22"/>
                <w:color w:val="auto"/>
              </w:rPr>
              <w:t>Chief Executive Officer and Director</w:t>
            </w:r>
          </w:p>
        </w:tc>
      </w:tr>
    </w:tbl>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PARTNERS GP LLC,</w:t>
      </w:r>
    </w:p>
    <w:p>
      <w:pPr>
        <w:ind w:left="5720"/>
        <w:spacing w:after="0" w:line="238" w:lineRule="auto"/>
        <w:rPr>
          <w:sz w:val="20"/>
          <w:szCs w:val="20"/>
          <w:color w:val="auto"/>
        </w:rPr>
      </w:pPr>
      <w:r>
        <w:rPr>
          <w:rFonts w:ascii="Arial" w:cs="Arial" w:eastAsia="Arial" w:hAnsi="Arial"/>
          <w:sz w:val="22"/>
          <w:szCs w:val="22"/>
          <w:color w:val="auto"/>
        </w:rPr>
        <w:t>BY: GASLOG LTD.,</w:t>
      </w:r>
    </w:p>
    <w:p>
      <w:pPr>
        <w:ind w:left="5720"/>
        <w:spacing w:after="0"/>
        <w:rPr>
          <w:sz w:val="20"/>
          <w:szCs w:val="20"/>
          <w:color w:val="auto"/>
        </w:rPr>
      </w:pPr>
      <w:r>
        <w:rPr>
          <w:rFonts w:ascii="Arial" w:cs="Arial" w:eastAsia="Arial" w:hAnsi="Arial"/>
          <w:sz w:val="22"/>
          <w:szCs w:val="22"/>
          <w:color w:val="auto"/>
        </w:rPr>
        <w:t>ITS SOLE MEMBER</w:t>
      </w:r>
    </w:p>
    <w:p>
      <w:pPr>
        <w:spacing w:after="0" w:line="188"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/s/ Paul Wogan</w:t>
            </w:r>
          </w:p>
        </w:tc>
      </w:tr>
      <w:tr>
        <w:trPr>
          <w:trHeight w:val="215"/>
        </w:trPr>
        <w:tc>
          <w:tcPr>
            <w:tcW w:w="780" w:type="dxa"/>
            <w:vAlign w:val="bottom"/>
          </w:tcPr>
          <w:p>
            <w:pPr>
              <w:spacing w:after="0"/>
              <w:rPr>
                <w:sz w:val="18"/>
                <w:szCs w:val="18"/>
                <w:color w:val="auto"/>
              </w:rPr>
            </w:pPr>
          </w:p>
        </w:tc>
        <w:tc>
          <w:tcPr>
            <w:tcW w:w="800" w:type="dxa"/>
            <w:vAlign w:val="bottom"/>
          </w:tcPr>
          <w:p>
            <w:pPr>
              <w:ind w:left="100"/>
              <w:spacing w:after="0" w:line="216" w:lineRule="exact"/>
              <w:rPr>
                <w:sz w:val="20"/>
                <w:szCs w:val="20"/>
                <w:color w:val="auto"/>
              </w:rPr>
            </w:pPr>
            <w:r>
              <w:rPr>
                <w:rFonts w:ascii="Arial" w:cs="Arial" w:eastAsia="Arial" w:hAnsi="Arial"/>
                <w:sz w:val="22"/>
                <w:szCs w:val="22"/>
                <w:color w:val="auto"/>
              </w:rPr>
              <w:t>Name:</w:t>
            </w:r>
          </w:p>
        </w:tc>
        <w:tc>
          <w:tcPr>
            <w:tcW w:w="4120" w:type="dxa"/>
            <w:vAlign w:val="bottom"/>
          </w:tcPr>
          <w:p>
            <w:pPr>
              <w:ind w:left="140"/>
              <w:spacing w:after="0" w:line="216" w:lineRule="exact"/>
              <w:rPr>
                <w:sz w:val="20"/>
                <w:szCs w:val="20"/>
                <w:color w:val="auto"/>
              </w:rPr>
            </w:pPr>
            <w:r>
              <w:rPr>
                <w:rFonts w:ascii="Arial" w:cs="Arial" w:eastAsia="Arial" w:hAnsi="Arial"/>
                <w:sz w:val="22"/>
                <w:szCs w:val="22"/>
                <w:color w:val="auto"/>
              </w:rPr>
              <w:t>Paul Wogan</w:t>
            </w:r>
          </w:p>
        </w:tc>
      </w:tr>
      <w:tr>
        <w:trPr>
          <w:trHeight w:val="275"/>
        </w:trPr>
        <w:tc>
          <w:tcPr>
            <w:tcW w:w="78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22"/>
                <w:szCs w:val="22"/>
                <w:color w:val="auto"/>
              </w:rPr>
              <w:t>Title:</w:t>
            </w:r>
          </w:p>
        </w:tc>
        <w:tc>
          <w:tcPr>
            <w:tcW w:w="4120" w:type="dxa"/>
            <w:vAlign w:val="bottom"/>
          </w:tcPr>
          <w:p>
            <w:pPr>
              <w:ind w:left="14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5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GASLOG LTD.,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5720" w:type="dxa"/>
        <w:tblCellMar>
          <w:top w:w="0" w:type="dxa"/>
          <w:left w:w="0" w:type="dxa"/>
          <w:bottom w:w="0" w:type="dxa"/>
          <w:right w:w="0" w:type="dxa"/>
        </w:tblCellMar>
      </w:tblPr>
      <w:tr>
        <w:trPr>
          <w:trHeight w:val="265"/>
        </w:trPr>
        <w:tc>
          <w:tcPr>
            <w:tcW w:w="780" w:type="dxa"/>
            <w:vAlign w:val="bottom"/>
          </w:tcPr>
          <w:p>
            <w:pPr>
              <w:spacing w:after="0"/>
              <w:rPr>
                <w:sz w:val="20"/>
                <w:szCs w:val="20"/>
                <w:color w:val="auto"/>
              </w:rPr>
            </w:pPr>
            <w:r>
              <w:rPr>
                <w:rFonts w:ascii="Arial" w:cs="Arial" w:eastAsia="Arial" w:hAnsi="Arial"/>
                <w:sz w:val="22"/>
                <w:szCs w:val="22"/>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22"/>
                <w:szCs w:val="22"/>
                <w:color w:val="auto"/>
              </w:rPr>
              <w:t>/s/ Paul Wogan</w:t>
            </w:r>
          </w:p>
        </w:tc>
      </w:tr>
      <w:tr>
        <w:trPr>
          <w:trHeight w:val="215"/>
        </w:trPr>
        <w:tc>
          <w:tcPr>
            <w:tcW w:w="780" w:type="dxa"/>
            <w:vAlign w:val="bottom"/>
          </w:tcPr>
          <w:p>
            <w:pPr>
              <w:spacing w:after="0"/>
              <w:rPr>
                <w:sz w:val="18"/>
                <w:szCs w:val="18"/>
                <w:color w:val="auto"/>
              </w:rPr>
            </w:pPr>
          </w:p>
        </w:tc>
        <w:tc>
          <w:tcPr>
            <w:tcW w:w="800" w:type="dxa"/>
            <w:vAlign w:val="bottom"/>
          </w:tcPr>
          <w:p>
            <w:pPr>
              <w:ind w:left="100"/>
              <w:spacing w:after="0" w:line="216" w:lineRule="exact"/>
              <w:rPr>
                <w:sz w:val="20"/>
                <w:szCs w:val="20"/>
                <w:color w:val="auto"/>
              </w:rPr>
            </w:pPr>
            <w:r>
              <w:rPr>
                <w:rFonts w:ascii="Arial" w:cs="Arial" w:eastAsia="Arial" w:hAnsi="Arial"/>
                <w:sz w:val="22"/>
                <w:szCs w:val="22"/>
                <w:color w:val="auto"/>
              </w:rPr>
              <w:t>Name:</w:t>
            </w:r>
          </w:p>
        </w:tc>
        <w:tc>
          <w:tcPr>
            <w:tcW w:w="4120" w:type="dxa"/>
            <w:vAlign w:val="bottom"/>
          </w:tcPr>
          <w:p>
            <w:pPr>
              <w:ind w:left="140"/>
              <w:spacing w:after="0" w:line="216" w:lineRule="exact"/>
              <w:rPr>
                <w:sz w:val="20"/>
                <w:szCs w:val="20"/>
                <w:color w:val="auto"/>
              </w:rPr>
            </w:pPr>
            <w:r>
              <w:rPr>
                <w:rFonts w:ascii="Arial" w:cs="Arial" w:eastAsia="Arial" w:hAnsi="Arial"/>
                <w:sz w:val="22"/>
                <w:szCs w:val="22"/>
                <w:color w:val="auto"/>
              </w:rPr>
              <w:t>Paul Wogan</w:t>
            </w:r>
          </w:p>
        </w:tc>
      </w:tr>
      <w:tr>
        <w:trPr>
          <w:trHeight w:val="275"/>
        </w:trPr>
        <w:tc>
          <w:tcPr>
            <w:tcW w:w="78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22"/>
                <w:szCs w:val="22"/>
                <w:color w:val="auto"/>
              </w:rPr>
              <w:t>Title:</w:t>
            </w:r>
          </w:p>
        </w:tc>
        <w:tc>
          <w:tcPr>
            <w:tcW w:w="4120" w:type="dxa"/>
            <w:vAlign w:val="bottom"/>
          </w:tcPr>
          <w:p>
            <w:pPr>
              <w:ind w:left="140"/>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Exchange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F72B14"/>
    <w:multiLevelType w:val="hybridMultilevel"/>
    <w:lvl w:ilvl="0">
      <w:lvlJc w:val="left"/>
      <w:lvlText w:val="%1"/>
      <w:numFmt w:val="lowerLetter"/>
      <w:start w:val="1"/>
    </w:lvl>
    <w:lvl w:ilvl="1">
      <w:lvlJc w:val="left"/>
      <w:lvlText w:val="(%2)"/>
      <w:numFmt w:val="lowerLetter"/>
      <w:start w:val="1"/>
    </w:lvl>
  </w:abstractNum>
  <w:abstractNum w:abstractNumId="1">
    <w:nsid w:val="11447B73"/>
    <w:multiLevelType w:val="hybridMultilevel"/>
    <w:lvl w:ilvl="0">
      <w:lvlJc w:val="left"/>
      <w:lvlText w:val="(%1)"/>
      <w:numFmt w:val="lowerLetter"/>
      <w:start w:val="61"/>
    </w:lvl>
    <w:lvl w:ilvl="1">
      <w:lvlJc w:val="left"/>
      <w:lvlText w:val="(%2)"/>
      <w:numFmt w:val="lowerLetter"/>
      <w:start w:val="2"/>
    </w:lvl>
  </w:abstractNum>
  <w:abstractNum w:abstractNumId="2">
    <w:nsid w:val="42963E5A"/>
    <w:multiLevelType w:val="hybridMultilevel"/>
    <w:lvl w:ilvl="0">
      <w:lvlJc w:val="left"/>
      <w:lvlText w:val="(%1)"/>
      <w:numFmt w:val="lowerRoman"/>
      <w:start w:val="1"/>
    </w:lvl>
  </w:abstractNum>
  <w:abstractNum w:abstractNumId="3">
    <w:nsid w:val="A0382C5"/>
    <w:multiLevelType w:val="hybridMultilevel"/>
    <w:lvl w:ilvl="0">
      <w:lvlJc w:val="left"/>
      <w:lvlText w:val="(%1)"/>
      <w:numFmt w:val="lowerLetter"/>
      <w:start w:val="2"/>
    </w:lvl>
  </w:abstractNum>
  <w:abstractNum w:abstractNumId="4">
    <w:nsid w:val="8F2B15E"/>
    <w:multiLevelType w:val="hybridMultilevel"/>
    <w:lvl w:ilvl="0">
      <w:lvlJc w:val="left"/>
      <w:lvlText w:val="(%1)"/>
      <w:numFmt w:val="lowerRoman"/>
      <w:start w:val="2"/>
    </w:lvl>
  </w:abstractNum>
  <w:abstractNum w:abstractNumId="5">
    <w:nsid w:val="1A32234B"/>
    <w:multiLevelType w:val="hybridMultilevel"/>
    <w:lvl w:ilvl="0">
      <w:lvlJc w:val="left"/>
      <w:lvlText w:val="(%1)"/>
      <w:numFmt w:val="lowerRoman"/>
      <w:start w:val="1"/>
    </w:lvl>
  </w:abstractNum>
  <w:abstractNum w:abstractNumId="6">
    <w:nsid w:val="3B0FD379"/>
    <w:multiLevelType w:val="hybridMultilevel"/>
    <w:lvl w:ilvl="0">
      <w:lvlJc w:val="left"/>
      <w:lvlText w:val="(%1)"/>
      <w:numFmt w:val="lowerRoman"/>
      <w:start w:val="3"/>
    </w:lvl>
  </w:abstractNum>
  <w:abstractNum w:abstractNumId="7">
    <w:nsid w:val="68EB2F63"/>
    <w:multiLevelType w:val="hybridMultilevel"/>
    <w:lvl w:ilvl="0">
      <w:lvlJc w:val="left"/>
      <w:lvlText w:val="(%1)"/>
      <w:numFmt w:val="lowerLetter"/>
      <w:start w:val="2"/>
    </w:lvl>
  </w:abstractNum>
  <w:abstractNum w:abstractNumId="8">
    <w:nsid w:val="4962813B"/>
    <w:multiLevelType w:val="hybridMultilevel"/>
    <w:lvl w:ilvl="0">
      <w:lvlJc w:val="left"/>
      <w:lvlText w:val="(%1)"/>
      <w:numFmt w:val="lowerLetter"/>
      <w:start w:val="2"/>
    </w:lvl>
  </w:abstractNum>
  <w:abstractNum w:abstractNumId="9">
    <w:nsid w:val="60B6DF70"/>
    <w:multiLevelType w:val="hybridMultilevel"/>
    <w:lvl w:ilvl="0">
      <w:lvlJc w:val="left"/>
      <w:lvlText w:val="(%1)"/>
      <w:numFmt w:val="lowerRoman"/>
      <w:start w:val="1"/>
    </w:lvl>
  </w:abstractNum>
  <w:abstractNum w:abstractNumId="10">
    <w:nsid w:val="6A5EE64"/>
    <w:multiLevelType w:val="hybridMultilevel"/>
    <w:lvl w:ilvl="0">
      <w:lvlJc w:val="left"/>
      <w:lvlText w:val="(%1)"/>
      <w:numFmt w:val="lowerLetter"/>
      <w:start w:val="3"/>
    </w:lvl>
  </w:abstractNum>
  <w:abstractNum w:abstractNumId="11">
    <w:nsid w:val="14330624"/>
    <w:multiLevelType w:val="hybridMultilevel"/>
    <w:lvl w:ilvl="0">
      <w:lvlJc w:val="left"/>
      <w:lvlText w:val="(%1)"/>
      <w:numFmt w:val="lowerLetter"/>
      <w:start w:val="2"/>
    </w:lvl>
  </w:abstractNum>
  <w:abstractNum w:abstractNumId="12">
    <w:nsid w:val="7FFFCA11"/>
    <w:multiLevelType w:val="hybridMultilevel"/>
    <w:lvl w:ilvl="0">
      <w:lvlJc w:val="left"/>
      <w:lvlText w:val="(%1)"/>
      <w:numFmt w:val="lowerLetter"/>
      <w:start w:val="2"/>
    </w:lvl>
  </w:abstractNum>
  <w:abstractNum w:abstractNumId="13">
    <w:nsid w:val="1A27709E"/>
    <w:multiLevelType w:val="hybridMultilevel"/>
    <w:lvl w:ilvl="0">
      <w:lvlJc w:val="left"/>
      <w:lvlText w:val="(%1)"/>
      <w:numFmt w:val="lowerLetter"/>
      <w:start w:val="4"/>
    </w:lvl>
    <w:lvl w:ilvl="1">
      <w:lvlJc w:val="left"/>
      <w:lvlText w:val="(%2)"/>
      <w:numFmt w:val="lowerLetter"/>
      <w:start w:val="35"/>
    </w:lvl>
  </w:abstractNum>
  <w:abstractNum w:abstractNumId="14">
    <w:nsid w:val="71EA1109"/>
    <w:multiLevelType w:val="hybridMultilevel"/>
    <w:lvl w:ilvl="0">
      <w:lvlJc w:val="left"/>
      <w:lvlText w:val="(%1)"/>
      <w:numFmt w:val="lowerLetter"/>
      <w:start w:val="2"/>
    </w:lvl>
  </w:abstractNum>
  <w:abstractNum w:abstractNumId="15">
    <w:nsid w:val="100F59DC"/>
    <w:multiLevelType w:val="hybridMultilevel"/>
    <w:lvl w:ilvl="0">
      <w:lvlJc w:val="left"/>
      <w:lvlText w:val="(%1)"/>
      <w:numFmt w:val="lowerLetter"/>
      <w:start w:val="35"/>
    </w:lvl>
    <w:lvl w:ilvl="1">
      <w:lvlJc w:val="left"/>
      <w:lvlText w:val="(%2)"/>
      <w:numFmt w:val="lowerLetter"/>
      <w:start w:val="2"/>
    </w:lvl>
  </w:abstractNum>
  <w:abstractNum w:abstractNumId="16">
    <w:nsid w:val="7FB7E0AA"/>
    <w:multiLevelType w:val="hybridMultilevel"/>
    <w:lvl w:ilvl="0">
      <w:lvlJc w:val="left"/>
      <w:lvlText w:val="(%1)"/>
      <w:numFmt w:val="lowerLetter"/>
      <w:start w:val="2"/>
    </w:lvl>
  </w:abstractNum>
  <w:abstractNum w:abstractNumId="17">
    <w:nsid w:val="6EB5BD4"/>
    <w:multiLevelType w:val="hybridMultilevel"/>
    <w:lvl w:ilvl="0">
      <w:lvlJc w:val="left"/>
      <w:lvlText w:val="(%1)"/>
      <w:numFmt w:val="lowerLetter"/>
      <w:start w:val="2"/>
    </w:lvl>
  </w:abstractNum>
  <w:abstractNum w:abstractNumId="18">
    <w:nsid w:val="6F6DD9AC"/>
    <w:multiLevelType w:val="hybridMultilevel"/>
    <w:lvl w:ilvl="0">
      <w:lvlJc w:val="left"/>
      <w:lvlText w:val="%1"/>
      <w:numFmt w:val="lowerLetter"/>
      <w:start w:val="1"/>
    </w:lvl>
    <w:lvl w:ilvl="1">
      <w:lvlJc w:val="left"/>
      <w:lvlText w:val="(%2)"/>
      <w:numFmt w:val="lowerLetter"/>
      <w:start w:val="3"/>
    </w:lvl>
  </w:abstractNum>
  <w:abstractNum w:abstractNumId="19">
    <w:nsid w:val="94211F2"/>
    <w:multiLevelType w:val="hybridMultilevel"/>
    <w:lvl w:ilvl="0">
      <w:lvlJc w:val="left"/>
      <w:lvlText w:val="(%1)"/>
      <w:numFmt w:val="lowerLetter"/>
      <w:start w:val="9"/>
    </w:lvl>
    <w:lvl w:ilvl="1">
      <w:lvlJc w:val="left"/>
      <w:lvlText w:val="%2"/>
      <w:numFmt w:val="lowerLetter"/>
      <w:start w:val="1"/>
    </w:lvl>
  </w:abstractNum>
  <w:abstractNum w:abstractNumId="20">
    <w:nsid w:val="885E1B"/>
    <w:multiLevelType w:val="hybridMultilevel"/>
    <w:lvl w:ilvl="0">
      <w:lvlJc w:val="left"/>
      <w:lvlText w:val="(%1)"/>
      <w:numFmt w:val="lowerLetter"/>
      <w:start w:val="2"/>
    </w:lvl>
  </w:abstractNum>
  <w:abstractNum w:abstractNumId="21">
    <w:nsid w:val="76272110"/>
    <w:multiLevelType w:val="hybridMultilevel"/>
    <w:lvl w:ilvl="0">
      <w:lvlJc w:val="left"/>
      <w:lvlText w:val="(%1)"/>
      <w:numFmt w:val="lowerLetter"/>
      <w:start w:val="2"/>
    </w:lvl>
  </w:abstractNum>
  <w:abstractNum w:abstractNumId="22">
    <w:nsid w:val="4C04A8AF"/>
    <w:multiLevelType w:val="hybridMultilevel"/>
    <w:lvl w:ilvl="0">
      <w:lvlJc w:val="left"/>
      <w:lvlText w:val="(%1)"/>
      <w:numFmt w:val="lowerLetter"/>
      <w:start w:val="4"/>
    </w:lvl>
  </w:abstractNum>
  <w:abstractNum w:abstractNumId="23">
    <w:nsid w:val="1716703B"/>
    <w:multiLevelType w:val="hybridMultilevel"/>
    <w:lvl w:ilvl="0">
      <w:lvlJc w:val="left"/>
      <w:lvlText w:val="(%1)"/>
      <w:numFmt w:val="lowerLetter"/>
      <w:start w:val="1"/>
    </w:lvl>
  </w:abstractNum>
  <w:abstractNum w:abstractNumId="24">
    <w:nsid w:val="14E17E33"/>
    <w:multiLevelType w:val="hybridMultilevel"/>
    <w:lvl w:ilvl="0">
      <w:lvlJc w:val="left"/>
      <w:lvlText w:val="%1"/>
      <w:numFmt w:val="upperLetter"/>
      <w:start w:val="1"/>
    </w:lvl>
    <w:lvl w:ilvl="1">
      <w:lvlJc w:val="left"/>
      <w:lvlText w:val="(%2)"/>
      <w:numFmt w:val="lowerRoman"/>
      <w:start w:val="1"/>
    </w:lvl>
  </w:abstractNum>
  <w:abstractNum w:abstractNumId="25">
    <w:nsid w:val="3222E7CD"/>
    <w:multiLevelType w:val="hybridMultilevel"/>
    <w:lvl w:ilvl="0">
      <w:lvlJc w:val="left"/>
      <w:lvlText w:val="(%1)"/>
      <w:numFmt w:val="upperLetter"/>
      <w:start w:val="1"/>
    </w:lvl>
    <w:lvl w:ilvl="1">
      <w:lvlJc w:val="left"/>
      <w:lvlText w:val="%2"/>
      <w:numFmt w:val="lowerRoman"/>
      <w:start w:val="1"/>
    </w:lvl>
  </w:abstractNum>
  <w:abstractNum w:abstractNumId="26">
    <w:nsid w:val="74DE0EE3"/>
    <w:multiLevelType w:val="hybridMultilevel"/>
    <w:lvl w:ilvl="0">
      <w:lvlJc w:val="left"/>
      <w:lvlText w:val="(%1)"/>
      <w:numFmt w:val="upperLetter"/>
      <w:start w:val="3"/>
    </w:lvl>
    <w:lvl w:ilvl="1">
      <w:lvlJc w:val="left"/>
      <w:lvlText w:val="%2"/>
      <w:numFmt w:val="lowerRoman"/>
      <w:start w:val="1"/>
    </w:lvl>
  </w:abstractNum>
  <w:abstractNum w:abstractNumId="27">
    <w:nsid w:val="68EBC550"/>
    <w:multiLevelType w:val="hybridMultilevel"/>
    <w:lvl w:ilvl="0">
      <w:lvlJc w:val="left"/>
      <w:lvlText w:val="(%1)"/>
      <w:numFmt w:val="lowerRoman"/>
      <w:start w:val="2"/>
    </w:lvl>
    <w:lvl w:ilvl="1">
      <w:lvlJc w:val="left"/>
      <w:lvlText w:val="(%2)"/>
      <w:numFmt w:val="upperLetter"/>
      <w:start w:val="2"/>
    </w:lvl>
  </w:abstractNum>
  <w:abstractNum w:abstractNumId="28">
    <w:nsid w:val="2DF6D648"/>
    <w:multiLevelType w:val="hybridMultilevel"/>
    <w:lvl w:ilvl="0">
      <w:lvlJc w:val="left"/>
      <w:lvlText w:val="(%1)"/>
      <w:numFmt w:val="lowerLetter"/>
      <w:start w:val="4"/>
    </w:lvl>
  </w:abstractNum>
  <w:abstractNum w:abstractNumId="29">
    <w:nsid w:val="46B7D447"/>
    <w:multiLevelType w:val="hybridMultilevel"/>
    <w:lvl w:ilvl="0">
      <w:lvlJc w:val="left"/>
      <w:lvlText w:val="%1"/>
      <w:numFmt w:val="lowerLetter"/>
      <w:start w:val="1"/>
    </w:lvl>
    <w:lvl w:ilvl="1">
      <w:lvlJc w:val="left"/>
      <w:lvlText w:val="(%2)"/>
      <w:numFmt w:val="lowerLetter"/>
      <w:start w:val="6"/>
    </w:lvl>
  </w:abstractNum>
  <w:abstractNum w:abstractNumId="30">
    <w:nsid w:val="4A2AC315"/>
    <w:multiLevelType w:val="hybridMultilevel"/>
    <w:lvl w:ilvl="0">
      <w:lvlJc w:val="left"/>
      <w:lvlText w:val="(%1)"/>
      <w:numFmt w:val="lowerLetter"/>
      <w:start w:val="9"/>
    </w:lvl>
    <w:lvl w:ilvl="1">
      <w:lvlJc w:val="left"/>
      <w:lvlText w:val="%2"/>
      <w:numFmt w:val="lowerLetter"/>
      <w:start w:val="1"/>
    </w:lvl>
  </w:abstractNum>
  <w:abstractNum w:abstractNumId="31">
    <w:nsid w:val="39EE015C"/>
    <w:multiLevelType w:val="hybridMultilevel"/>
    <w:lvl w:ilvl="0">
      <w:lvlJc w:val="left"/>
      <w:lvlText w:val="(%1)"/>
      <w:numFmt w:val="lowerLetter"/>
      <w:start w:val="2"/>
    </w:lvl>
  </w:abstractNum>
  <w:abstractNum w:abstractNumId="32">
    <w:nsid w:val="57FC4FBB"/>
    <w:multiLevelType w:val="hybridMultilevel"/>
    <w:lvl w:ilvl="0">
      <w:lvlJc w:val="left"/>
      <w:lvlText w:val="(%1)"/>
      <w:numFmt w:val="lowerLetter"/>
      <w:start w:val="3"/>
    </w:lvl>
  </w:abstractNum>
  <w:abstractNum w:abstractNumId="33">
    <w:nsid w:val="CC1016F"/>
    <w:multiLevelType w:val="hybridMultilevel"/>
    <w:lvl w:ilvl="0">
      <w:lvlJc w:val="left"/>
      <w:lvlText w:val="%1"/>
      <w:numFmt w:val="lowerRoman"/>
      <w:start w:val="1"/>
    </w:lvl>
    <w:lvl w:ilvl="1">
      <w:lvlJc w:val="left"/>
      <w:lvlText w:val="(%2)"/>
      <w:numFmt w:val="lowerLetter"/>
      <w:start w:val="2"/>
    </w:lvl>
  </w:abstractNum>
  <w:abstractNum w:abstractNumId="34">
    <w:nsid w:val="43F18422"/>
    <w:multiLevelType w:val="hybridMultilevel"/>
    <w:lvl w:ilvl="0">
      <w:lvlJc w:val="left"/>
      <w:lvlText w:val="(%1)"/>
      <w:numFmt w:val="lowerRoman"/>
      <w:start w:val="2"/>
    </w:lvl>
    <w:lvl w:ilvl="1">
      <w:lvlJc w:val="left"/>
      <w:lvlText w:val="%2"/>
      <w:numFmt w:val="lowerLetter"/>
      <w:start w:val="1"/>
    </w:lvl>
  </w:abstractNum>
  <w:abstractNum w:abstractNumId="35">
    <w:nsid w:val="60EF0119"/>
    <w:multiLevelType w:val="hybridMultilevel"/>
    <w:lvl w:ilvl="0">
      <w:lvlJc w:val="left"/>
      <w:lvlText w:val="(%1)"/>
      <w:numFmt w:val="lowerRoman"/>
      <w:start w:val="4"/>
    </w:lvl>
    <w:lvl w:ilvl="1">
      <w:lvlJc w:val="left"/>
      <w:lvlText w:val="%2"/>
      <w:numFmt w:val="lowerLetter"/>
      <w:start w:val="1"/>
    </w:lvl>
  </w:abstractNum>
  <w:abstractNum w:abstractNumId="36">
    <w:nsid w:val="26F324BA"/>
    <w:multiLevelType w:val="hybridMultilevel"/>
    <w:lvl w:ilvl="0">
      <w:lvlJc w:val="left"/>
      <w:lvlText w:val="(%1)"/>
      <w:numFmt w:val="lowerRoman"/>
      <w:start w:val="1"/>
    </w:lvl>
  </w:abstractNum>
  <w:abstractNum w:abstractNumId="37">
    <w:nsid w:val="7F01579B"/>
    <w:multiLevelType w:val="hybridMultilevel"/>
    <w:lvl w:ilvl="0">
      <w:lvlJc w:val="left"/>
      <w:lvlText w:val="%1"/>
      <w:numFmt w:val="upperLetter"/>
      <w:start w:val="35"/>
    </w:lvl>
    <w:lvl w:ilvl="1">
      <w:lvlJc w:val="left"/>
      <w:lvlText w:val="(%2)"/>
      <w:numFmt w:val="lowerLetter"/>
      <w:start w:val="2"/>
    </w:lvl>
  </w:abstractNum>
  <w:abstractNum w:abstractNumId="38">
    <w:nsid w:val="49DA307D"/>
    <w:multiLevelType w:val="hybridMultilevel"/>
    <w:lvl w:ilvl="0">
      <w:lvlJc w:val="left"/>
      <w:lvlText w:val="(%1)"/>
      <w:numFmt w:val="lowerLetter"/>
      <w:start w:val="7"/>
    </w:lvl>
  </w:abstractNum>
  <w:abstractNum w:abstractNumId="39">
    <w:nsid w:val="7055A5F5"/>
    <w:multiLevelType w:val="hybridMultilevel"/>
    <w:lvl w:ilvl="0">
      <w:lvlJc w:val="left"/>
      <w:lvlText w:val="%1"/>
      <w:numFmt w:val="lowerLetter"/>
      <w:start w:val="1"/>
    </w:lvl>
    <w:lvl w:ilvl="1">
      <w:lvlJc w:val="left"/>
      <w:lvlText w:val="(%2)"/>
      <w:numFmt w:val="lowerLetter"/>
      <w:start w:val="1"/>
    </w:lvl>
  </w:abstractNum>
  <w:abstractNum w:abstractNumId="40">
    <w:nsid w:val="5FB8370B"/>
    <w:multiLevelType w:val="hybridMultilevel"/>
    <w:lvl w:ilvl="0">
      <w:lvlJc w:val="left"/>
      <w:lvlText w:val="(%1)"/>
      <w:numFmt w:val="lowerLetter"/>
      <w:start w:val="35"/>
    </w:lvl>
    <w:lvl w:ilvl="1">
      <w:lvlJc w:val="left"/>
      <w:lvlText w:val="(%2)"/>
      <w:numFmt w:val="lowerLetter"/>
      <w:start w:val="2"/>
    </w:lvl>
  </w:abstractNum>
  <w:abstractNum w:abstractNumId="41">
    <w:nsid w:val="50801EE1"/>
    <w:multiLevelType w:val="hybridMultilevel"/>
    <w:lvl w:ilvl="0">
      <w:lvlJc w:val="left"/>
      <w:lvlText w:val="(%1)"/>
      <w:numFmt w:val="lowerLetter"/>
      <w:start w:val="1"/>
    </w:lvl>
  </w:abstractNum>
  <w:abstractNum w:abstractNumId="42">
    <w:nsid w:val="488AC1A"/>
    <w:multiLevelType w:val="hybridMultilevel"/>
    <w:lvl w:ilvl="0">
      <w:lvlJc w:val="left"/>
      <w:lvlText w:val="(%1)"/>
      <w:numFmt w:val="lowerLetter"/>
      <w:start w:val="2"/>
    </w:lvl>
  </w:abstractNum>
  <w:abstractNum w:abstractNumId="43">
    <w:nsid w:val="5FB8011C"/>
    <w:multiLevelType w:val="hybridMultilevel"/>
    <w:lvl w:ilvl="0">
      <w:lvlJc w:val="left"/>
      <w:lvlText w:val="(%1)"/>
      <w:numFmt w:val="lowerLetter"/>
      <w:start w:val="3"/>
    </w:lvl>
  </w:abstractNum>
  <w:abstractNum w:abstractNumId="44">
    <w:nsid w:val="6AA78F7F"/>
    <w:multiLevelType w:val="hybridMultilevel"/>
    <w:lvl w:ilvl="0">
      <w:lvlJc w:val="left"/>
      <w:lvlText w:val="(%1)"/>
      <w:numFmt w:val="lowerLetter"/>
      <w:start w:val="2"/>
    </w:lvl>
  </w:abstractNum>
  <w:abstractNum w:abstractNumId="45">
    <w:nsid w:val="7672BD23"/>
    <w:multiLevelType w:val="hybridMultilevel"/>
    <w:lvl w:ilvl="0">
      <w:lvlJc w:val="left"/>
      <w:lvlText w:val="(%1)"/>
      <w:numFmt w:val="lowerLetter"/>
      <w:start w:val="3"/>
    </w:lvl>
  </w:abstractNum>
  <w:abstractNum w:abstractNumId="46">
    <w:nsid w:val="6FC75AF8"/>
    <w:multiLevelType w:val="hybridMultilevel"/>
    <w:lvl w:ilvl="0">
      <w:lvlJc w:val="left"/>
      <w:lvlText w:val="(%1)"/>
      <w:numFmt w:val="lowerLetter"/>
      <w:start w:val="2"/>
    </w:lvl>
  </w:abstractNum>
  <w:abstractNum w:abstractNumId="47">
    <w:nsid w:val="6A5F7029"/>
    <w:multiLevelType w:val="hybridMultilevel"/>
    <w:lvl w:ilvl="0">
      <w:lvlJc w:val="left"/>
      <w:lvlText w:val="(%1)"/>
      <w:numFmt w:val="lowerLetter"/>
      <w:start w:val="2"/>
    </w:lvl>
  </w:abstractNum>
  <w:abstractNum w:abstractNumId="48">
    <w:nsid w:val="7D5E18F8"/>
    <w:multiLevelType w:val="hybridMultilevel"/>
    <w:lvl w:ilvl="0">
      <w:lvlJc w:val="left"/>
      <w:lvlText w:val="(%1)"/>
      <w:numFmt w:val="lowerLetter"/>
      <w:start w:val="2"/>
    </w:lvl>
  </w:abstractNum>
  <w:abstractNum w:abstractNumId="49">
    <w:nsid w:val="5F3534A4"/>
    <w:multiLevelType w:val="hybridMultilevel"/>
    <w:lvl w:ilvl="0">
      <w:lvlJc w:val="left"/>
      <w:lvlText w:val="(%1)"/>
      <w:numFmt w:val="lowerLetter"/>
      <w:start w:val="5"/>
    </w:lvl>
  </w:abstractNum>
  <w:abstractNum w:abstractNumId="50">
    <w:nsid w:val="73A1821B"/>
    <w:multiLevelType w:val="hybridMultilevel"/>
    <w:lvl w:ilvl="0">
      <w:lvlJc w:val="left"/>
      <w:lvlText w:val="(%1)"/>
      <w:numFmt w:val="lowerLetter"/>
      <w:start w:val="1"/>
    </w:lvl>
    <w:lvl w:ilvl="1">
      <w:lvlJc w:val="left"/>
      <w:lvlText w:val="(%2)"/>
      <w:numFmt w:val="lowerLetter"/>
      <w:start w:val="2"/>
    </w:lvl>
  </w:abstractNum>
  <w:abstractNum w:abstractNumId="51">
    <w:nsid w:val="7DE67713"/>
    <w:multiLevelType w:val="hybridMultilevel"/>
    <w:lvl w:ilvl="0">
      <w:lvlJc w:val="left"/>
      <w:lvlText w:val="(%1)"/>
      <w:numFmt w:val="lowerLetter"/>
      <w:start w:val="2"/>
    </w:lvl>
  </w:abstractNum>
  <w:abstractNum w:abstractNumId="52">
    <w:nsid w:val="555C55B5"/>
    <w:multiLevelType w:val="hybridMultilevel"/>
    <w:lvl w:ilvl="0">
      <w:lvlJc w:val="left"/>
      <w:lvlText w:val="(%1)"/>
      <w:numFmt w:val="lowerLetter"/>
      <w:start w:val="6"/>
    </w:lvl>
  </w:abstractNum>
  <w:abstractNum w:abstractNumId="53">
    <w:nsid w:val="3FA62ACA"/>
    <w:multiLevelType w:val="hybridMultilevel"/>
    <w:lvl w:ilvl="0">
      <w:lvlJc w:val="left"/>
      <w:lvlText w:val="(%1)"/>
      <w:numFmt w:val="lowerLetter"/>
      <w:start w:val="2"/>
    </w:lvl>
  </w:abstractNum>
  <w:abstractNum w:abstractNumId="54">
    <w:nsid w:val="14FCE74E"/>
    <w:multiLevelType w:val="hybridMultilevel"/>
    <w:lvl w:ilvl="0">
      <w:lvlJc w:val="left"/>
      <w:lvlText w:val="(%1)"/>
      <w:numFmt w:val="lowerLetter"/>
      <w:start w:val="4"/>
    </w:lvl>
  </w:abstractNum>
  <w:abstractNum w:abstractNumId="55">
    <w:nsid w:val="6A3DD3E8"/>
    <w:multiLevelType w:val="hybridMultilevel"/>
    <w:lvl w:ilvl="0">
      <w:lvlJc w:val="left"/>
      <w:lvlText w:val="(%1)"/>
      <w:numFmt w:val="lowerLetter"/>
      <w:start w:val="2"/>
    </w:lvl>
  </w:abstractNum>
  <w:abstractNum w:abstractNumId="56">
    <w:nsid w:val="71C91298"/>
    <w:multiLevelType w:val="hybridMultilevel"/>
    <w:lvl w:ilvl="0">
      <w:lvlJc w:val="left"/>
      <w:lvlText w:val="(%1)"/>
      <w:numFmt w:val="lowerLetter"/>
      <w:start w:val="3"/>
    </w:lvl>
  </w:abstractNum>
  <w:abstractNum w:abstractNumId="57">
    <w:nsid w:val="9DAF632"/>
    <w:multiLevelType w:val="hybridMultilevel"/>
    <w:lvl w:ilvl="0">
      <w:lvlJc w:val="left"/>
      <w:lvlText w:val="(%1)"/>
      <w:numFmt w:val="lowerLetter"/>
      <w:start w:val="6"/>
    </w:lvl>
  </w:abstractNum>
  <w:abstractNum w:abstractNumId="58">
    <w:nsid w:val="53299938"/>
    <w:multiLevelType w:val="hybridMultilevel"/>
    <w:lvl w:ilvl="0">
      <w:lvlJc w:val="left"/>
      <w:lvlText w:val="(%1)"/>
      <w:numFmt w:val="lowerLetter"/>
      <w:start w:val="2"/>
    </w:lvl>
  </w:abstractNum>
  <w:abstractNum w:abstractNumId="59">
    <w:nsid w:val="1FBFE8E0"/>
    <w:multiLevelType w:val="hybridMultilevel"/>
    <w:lvl w:ilvl="0">
      <w:lvlJc w:val="left"/>
      <w:lvlText w:val="(%1)"/>
      <w:numFmt w:val="lowerLetter"/>
      <w:start w:val="2"/>
    </w:lvl>
  </w:abstractNum>
  <w:abstractNum w:abstractNumId="60">
    <w:nsid w:val="5092CA79"/>
    <w:multiLevelType w:val="hybridMultilevel"/>
    <w:lvl w:ilvl="0">
      <w:lvlJc w:val="left"/>
      <w:lvlText w:val="%1"/>
      <w:numFmt w:val="lowerRoman"/>
      <w:start w:val="1"/>
    </w:lvl>
    <w:lvl w:ilvl="1">
      <w:lvlJc w:val="left"/>
      <w:lvlText w:val="(%2)"/>
      <w:numFmt w:val="lowerLetter"/>
      <w:start w:val="4"/>
    </w:lvl>
  </w:abstractNum>
  <w:abstractNum w:abstractNumId="61">
    <w:nsid w:val="1D545C4D"/>
    <w:multiLevelType w:val="hybridMultilevel"/>
    <w:lvl w:ilvl="0">
      <w:lvlJc w:val="left"/>
      <w:lvlText w:val="(%1)"/>
      <w:numFmt w:val="lowerRoman"/>
      <w:start w:val="4"/>
    </w:lvl>
    <w:lvl w:ilvl="1">
      <w:lvlJc w:val="left"/>
      <w:lvlText w:val="%2"/>
      <w:numFmt w:val="lowerLetter"/>
      <w:start w:val="1"/>
    </w:lvl>
  </w:abstractNum>
  <w:abstractNum w:abstractNumId="62">
    <w:nsid w:val="59ADEA3D"/>
    <w:multiLevelType w:val="hybridMultilevel"/>
    <w:lvl w:ilvl="0">
      <w:lvlJc w:val="left"/>
      <w:lvlText w:val="(%1)"/>
      <w:numFmt w:val="lowerLetter"/>
      <w:start w:val="2"/>
    </w:lvl>
  </w:abstractNum>
  <w:abstractNum w:abstractNumId="63">
    <w:nsid w:val="288F1A34"/>
    <w:multiLevelType w:val="hybridMultilevel"/>
    <w:lvl w:ilvl="0">
      <w:lvlJc w:val="left"/>
      <w:lvlText w:val="(%1)"/>
      <w:numFmt w:val="lowerLetter"/>
      <w:start w:val="2"/>
    </w:lvl>
  </w:abstractNum>
  <w:abstractNum w:abstractNumId="64">
    <w:nsid w:val="2A155DBC"/>
    <w:multiLevelType w:val="hybridMultilevel"/>
    <w:lvl w:ilvl="0">
      <w:lvlJc w:val="left"/>
      <w:lvlText w:val="(%1)"/>
      <w:numFmt w:val="lowerLetter"/>
      <w:start w:val="2"/>
    </w:lvl>
  </w:abstractNum>
  <w:abstractNum w:abstractNumId="65">
    <w:nsid w:val="1D9F6E5F"/>
    <w:multiLevelType w:val="hybridMultilevel"/>
    <w:lvl w:ilvl="0">
      <w:lvlJc w:val="left"/>
      <w:lvlText w:val="(%1)"/>
      <w:numFmt w:val="lowerRoman"/>
      <w:start w:val="1"/>
    </w:lvl>
  </w:abstractNum>
  <w:abstractNum w:abstractNumId="66">
    <w:nsid w:val="97E1B4E"/>
    <w:multiLevelType w:val="hybridMultilevel"/>
    <w:lvl w:ilvl="0">
      <w:lvlJc w:val="left"/>
      <w:lvlText w:val="(%1)"/>
      <w:numFmt w:val="upperLetter"/>
      <w:start w:val="5"/>
    </w:lvl>
    <w:lvl w:ilvl="1">
      <w:lvlJc w:val="left"/>
      <w:lvlText w:val="(%2)"/>
      <w:numFmt w:val="lowerLetter"/>
      <w:start w:val="2"/>
    </w:lvl>
  </w:abstractNum>
  <w:abstractNum w:abstractNumId="67">
    <w:nsid w:val="51088277"/>
    <w:multiLevelType w:val="hybridMultilevel"/>
    <w:lvl w:ilvl="0">
      <w:lvlJc w:val="left"/>
      <w:lvlText w:val="(%1)"/>
      <w:numFmt w:val="lowerRoman"/>
      <w:start w:val="1"/>
    </w:lvl>
  </w:abstractNum>
  <w:abstractNum w:abstractNumId="68">
    <w:nsid w:val="1CA0C5FA"/>
    <w:multiLevelType w:val="hybridMultilevel"/>
    <w:lvl w:ilvl="0">
      <w:lvlJc w:val="left"/>
      <w:lvlText w:val="(%1)"/>
      <w:numFmt w:val="lowerRoman"/>
      <w:start w:val="1"/>
    </w:lvl>
  </w:abstractNum>
  <w:abstractNum w:abstractNumId="69">
    <w:nsid w:val="53584BCB"/>
    <w:multiLevelType w:val="hybridMultilevel"/>
    <w:lvl w:ilvl="0">
      <w:lvlJc w:val="left"/>
      <w:lvlText w:val="(%1)"/>
      <w:numFmt w:val="lowerLetter"/>
      <w:start w:val="2"/>
    </w:lvl>
  </w:abstractNum>
  <w:abstractNum w:abstractNumId="70">
    <w:nsid w:val="415E286C"/>
    <w:multiLevelType w:val="hybridMultilevel"/>
    <w:lvl w:ilvl="0">
      <w:lvlJc w:val="left"/>
      <w:lvlText w:val="(%1)"/>
      <w:numFmt w:val="lowerLetter"/>
      <w:start w:val="1"/>
    </w:lvl>
  </w:abstractNum>
  <w:abstractNum w:abstractNumId="71">
    <w:nsid w:val="7C58FD05"/>
    <w:multiLevelType w:val="hybridMultilevel"/>
    <w:lvl w:ilvl="0">
      <w:lvlJc w:val="left"/>
      <w:lvlText w:val="(%1)"/>
      <w:numFmt w:val="lowerLetter"/>
      <w:start w:val="1"/>
    </w:lvl>
  </w:abstractNum>
  <w:abstractNum w:abstractNumId="72">
    <w:nsid w:val="23D86AAC"/>
    <w:multiLevelType w:val="hybridMultilevel"/>
    <w:lvl w:ilvl="0">
      <w:lvlJc w:val="left"/>
      <w:lvlText w:val="(%1)"/>
      <w:numFmt w:val="lowerLetter"/>
      <w:start w:val="2"/>
    </w:lvl>
  </w:abstractNum>
  <w:abstractNum w:abstractNumId="73">
    <w:nsid w:val="45E6D486"/>
    <w:multiLevelType w:val="hybridMultilevel"/>
    <w:lvl w:ilvl="0">
      <w:lvlJc w:val="left"/>
      <w:lvlText w:val="(%1)"/>
      <w:numFmt w:val="lowerLetter"/>
      <w:start w:val="1"/>
    </w:lvl>
  </w:abstractNum>
  <w:abstractNum w:abstractNumId="74">
    <w:nsid w:val="5C10FE21"/>
    <w:multiLevelType w:val="hybridMultilevel"/>
    <w:lvl w:ilvl="0">
      <w:lvlJc w:val="left"/>
      <w:lvlText w:val="(%1)"/>
      <w:numFmt w:val="lowerLetter"/>
      <w:start w:val="1"/>
    </w:lvl>
  </w:abstractNum>
  <w:abstractNum w:abstractNumId="75">
    <w:nsid w:val="E7FFA2B"/>
    <w:multiLevelType w:val="hybridMultilevel"/>
    <w:lvl w:ilvl="0">
      <w:lvlJc w:val="left"/>
      <w:lvlText w:val="(%1)"/>
      <w:numFmt w:val="lowerLetter"/>
      <w:start w:val="6"/>
    </w:lvl>
  </w:abstractNum>
  <w:abstractNum w:abstractNumId="76">
    <w:nsid w:val="3C5991AA"/>
    <w:multiLevelType w:val="hybridMultilevel"/>
    <w:lvl w:ilvl="0">
      <w:lvlJc w:val="left"/>
      <w:lvlText w:val="%1"/>
      <w:numFmt w:val="lowerLetter"/>
      <w:start w:val="1"/>
    </w:lvl>
    <w:lvl w:ilvl="1">
      <w:lvlJc w:val="left"/>
      <w:lvlText w:val="(%2)"/>
      <w:numFmt w:val="lowerLetter"/>
      <w:start w:val="2"/>
    </w:lvl>
  </w:abstractNum>
  <w:abstractNum w:abstractNumId="77">
    <w:nsid w:val="4BD8591A"/>
    <w:multiLevelType w:val="hybridMultilevel"/>
    <w:lvl w:ilvl="0">
      <w:lvlJc w:val="left"/>
      <w:lvlText w:val="(%1)"/>
      <w:numFmt w:val="lowerLetter"/>
      <w:start w:val="9"/>
    </w:lvl>
    <w:lvl w:ilvl="1">
      <w:lvlJc w:val="left"/>
      <w:lvlText w:val="(%2)"/>
      <w:numFmt w:val="lowerLetter"/>
      <w:start w:val="3"/>
    </w:lvl>
  </w:abstractNum>
  <w:abstractNum w:abstractNumId="78">
    <w:nsid w:val="78DF6A55"/>
    <w:multiLevelType w:val="hybridMultilevel"/>
    <w:lvl w:ilvl="0">
      <w:lvlJc w:val="left"/>
      <w:lvlText w:val="(%1)"/>
      <w:numFmt w:val="lowerLetter"/>
      <w:start w:val="5"/>
    </w:lvl>
  </w:abstractNum>
  <w:abstractNum w:abstractNumId="79">
    <w:nsid w:val="39B7AAA2"/>
    <w:multiLevelType w:val="hybridMultilevel"/>
    <w:lvl w:ilvl="0">
      <w:lvlJc w:val="left"/>
      <w:lvlText w:val="(%1)"/>
      <w:numFmt w:val="lowerLetter"/>
      <w:start w:val="2"/>
    </w:lvl>
  </w:abstractNum>
  <w:abstractNum w:abstractNumId="80">
    <w:nsid w:val="2B0D8DBE"/>
    <w:multiLevelType w:val="hybridMultilevel"/>
    <w:lvl w:ilvl="0">
      <w:lvlJc w:val="left"/>
      <w:lvlText w:val="(%1)"/>
      <w:numFmt w:val="lowerLetter"/>
      <w:start w:val="2"/>
    </w:lvl>
  </w:abstractNum>
  <w:abstractNum w:abstractNumId="81">
    <w:nsid w:val="6C80EC70"/>
    <w:multiLevelType w:val="hybridMultilevel"/>
    <w:lvl w:ilvl="0">
      <w:lvlJc w:val="left"/>
      <w:lvlText w:val="(%1)"/>
      <w:numFmt w:val="lowerRoman"/>
      <w:start w:val="1"/>
    </w:lvl>
  </w:abstractNum>
  <w:abstractNum w:abstractNumId="82">
    <w:nsid w:val="379E21B5"/>
    <w:multiLevelType w:val="hybridMultilevel"/>
    <w:lvl w:ilvl="0">
      <w:lvlJc w:val="left"/>
      <w:lvlText w:val="(%1)"/>
      <w:numFmt w:val="lowerRoman"/>
      <w:start w:val="4"/>
    </w:lvl>
  </w:abstractNum>
  <w:abstractNum w:abstractNumId="83">
    <w:nsid w:val="69E373"/>
    <w:multiLevelType w:val="hybridMultilevel"/>
    <w:lvl w:ilvl="0">
      <w:lvlJc w:val="left"/>
      <w:lvlText w:val="(%1)"/>
      <w:numFmt w:val="lowerLetter"/>
      <w:start w:val="3"/>
    </w:lvl>
  </w:abstractNum>
  <w:abstractNum w:abstractNumId="84">
    <w:nsid w:val="2C27173B"/>
    <w:multiLevelType w:val="hybridMultilevel"/>
    <w:lvl w:ilvl="0">
      <w:lvlJc w:val="left"/>
      <w:lvlText w:val="(%1)"/>
      <w:numFmt w:val="lowerRoman"/>
      <w:start w:val="1"/>
    </w:lvl>
  </w:abstractNum>
  <w:abstractNum w:abstractNumId="85">
    <w:nsid w:val="4C9B0904"/>
    <w:multiLevelType w:val="hybridMultilevel"/>
    <w:lvl w:ilvl="0">
      <w:lvlJc w:val="left"/>
      <w:lvlText w:val="(%1)"/>
      <w:numFmt w:val="lowerRoman"/>
      <w:start w:val="5"/>
    </w:lvl>
  </w:abstractNum>
  <w:abstractNum w:abstractNumId="86">
    <w:nsid w:val="6AA7B75C"/>
    <w:multiLevelType w:val="hybridMultilevel"/>
    <w:lvl w:ilvl="0">
      <w:lvlJc w:val="left"/>
      <w:lvlText w:val="(%1)"/>
      <w:numFmt w:val="lowerLetter"/>
      <w:start w:val="2"/>
    </w:lvl>
  </w:abstractNum>
  <w:abstractNum w:abstractNumId="87">
    <w:nsid w:val="1DF029D3"/>
    <w:multiLevelType w:val="hybridMultilevel"/>
    <w:lvl w:ilvl="0">
      <w:lvlJc w:val="left"/>
      <w:lvlText w:val="(%1)"/>
      <w:numFmt w:val="lowerLetter"/>
      <w:start w:val="5"/>
    </w:lvl>
  </w:abstractNum>
  <w:abstractNum w:abstractNumId="88">
    <w:nsid w:val="5675FF36"/>
    <w:multiLevelType w:val="hybridMultilevel"/>
    <w:lvl w:ilvl="0">
      <w:lvlJc w:val="left"/>
      <w:lvlText w:val="(%1)"/>
      <w:numFmt w:val="lowerRoman"/>
      <w:start w:val="1"/>
    </w:lvl>
  </w:abstractNum>
  <w:abstractNum w:abstractNumId="89">
    <w:nsid w:val="3DD15094"/>
    <w:multiLevelType w:val="hybridMultilevel"/>
    <w:lvl w:ilvl="0">
      <w:lvlJc w:val="left"/>
      <w:lvlText w:val="(%1)"/>
      <w:numFmt w:val="lowerRoman"/>
      <w:start w:val="4"/>
    </w:lvl>
  </w:abstractNum>
  <w:abstractNum w:abstractNumId="90">
    <w:nsid w:val="3DB012B3"/>
    <w:multiLevelType w:val="hybridMultilevel"/>
    <w:lvl w:ilvl="0">
      <w:lvlJc w:val="left"/>
      <w:lvlText w:val="(%1)"/>
      <w:numFmt w:val="lowerLetter"/>
      <w:start w:val="2"/>
    </w:lvl>
  </w:abstractNum>
  <w:abstractNum w:abstractNumId="91">
    <w:nsid w:val="2708C9AF"/>
    <w:multiLevelType w:val="hybridMultilevel"/>
    <w:lvl w:ilvl="0">
      <w:lvlJc w:val="left"/>
      <w:lvlText w:val="(%1)"/>
      <w:numFmt w:val="lowerRoman"/>
      <w:start w:val="1"/>
    </w:lvl>
  </w:abstractNum>
  <w:abstractNum w:abstractNumId="92">
    <w:nsid w:val="5B25ACE2"/>
    <w:multiLevelType w:val="hybridMultilevel"/>
    <w:lvl w:ilvl="0">
      <w:lvlJc w:val="left"/>
      <w:lvlText w:val="(%1)"/>
      <w:numFmt w:val="lowerLetter"/>
      <w:start w:val="2"/>
    </w:lvl>
  </w:abstractNum>
  <w:abstractNum w:abstractNumId="93">
    <w:nsid w:val="175DFCF0"/>
    <w:multiLevelType w:val="hybridMultilevel"/>
    <w:lvl w:ilvl="0">
      <w:lvlJc w:val="left"/>
      <w:lvlText w:val="(%1)"/>
      <w:numFmt w:val="lowerLetter"/>
      <w:start w:val="1"/>
    </w:lvl>
  </w:abstractNum>
  <w:abstractNum w:abstractNumId="94">
    <w:nsid w:val="4F97E3E4"/>
    <w:multiLevelType w:val="hybridMultilevel"/>
    <w:lvl w:ilvl="0">
      <w:lvlJc w:val="left"/>
      <w:lvlText w:val="(%1)"/>
      <w:numFmt w:val="lowerLetter"/>
      <w:start w:val="1"/>
    </w:lvl>
  </w:abstractNum>
  <w:abstractNum w:abstractNumId="95">
    <w:nsid w:val="53B0A9E"/>
    <w:multiLevelType w:val="hybridMultilevel"/>
    <w:lvl w:ilvl="0">
      <w:lvlJc w:val="left"/>
      <w:lvlText w:val="(%1)"/>
      <w:numFmt w:val="lowerLetter"/>
      <w:start w:val="2"/>
    </w:lvl>
  </w:abstractNum>
  <w:abstractNum w:abstractNumId="96">
    <w:nsid w:val="34FD6B4F"/>
    <w:multiLevelType w:val="hybridMultilevel"/>
    <w:lvl w:ilvl="0">
      <w:lvlJc w:val="left"/>
      <w:lvlText w:val="(%1)"/>
      <w:numFmt w:val="lowerRoman"/>
      <w:start w:val="1"/>
    </w:lvl>
  </w:abstractNum>
  <w:abstractNum w:abstractNumId="97">
    <w:nsid w:val="5915FF32"/>
    <w:multiLevelType w:val="hybridMultilevel"/>
    <w:lvl w:ilvl="0">
      <w:lvlJc w:val="left"/>
      <w:lvlText w:val="(%1)"/>
      <w:numFmt w:val="lowerLetter"/>
      <w:start w:val="3"/>
    </w:lvl>
  </w:abstractNum>
  <w:abstractNum w:abstractNumId="98">
    <w:nsid w:val="56438D15"/>
    <w:multiLevelType w:val="hybridMultilevel"/>
    <w:lvl w:ilvl="0">
      <w:lvlJc w:val="left"/>
      <w:lvlText w:val="(%1)"/>
      <w:numFmt w:val="lowerLetter"/>
      <w:start w:val="1"/>
    </w:lvl>
  </w:abstractNum>
  <w:abstractNum w:abstractNumId="99">
    <w:nsid w:val="519E3149"/>
    <w:multiLevelType w:val="hybridMultilevel"/>
    <w:lvl w:ilvl="0">
      <w:lvlJc w:val="left"/>
      <w:lvlText w:val="(%1)"/>
      <w:numFmt w:val="lowerLetter"/>
      <w:start w:val="1"/>
    </w:lvl>
  </w:abstractNum>
  <w:abstractNum w:abstractNumId="100">
    <w:nsid w:val="2C6E4AFD"/>
    <w:multiLevelType w:val="hybridMultilevel"/>
    <w:lvl w:ilvl="0">
      <w:lvlJc w:val="left"/>
      <w:lvlText w:val="(%1)"/>
      <w:numFmt w:val="lowerRoman"/>
      <w:start w:val="2"/>
    </w:lvl>
  </w:abstractNum>
  <w:abstractNum w:abstractNumId="101">
    <w:nsid w:val="17A1B582"/>
    <w:multiLevelType w:val="hybridMultilevel"/>
    <w:lvl w:ilvl="0">
      <w:lvlJc w:val="left"/>
      <w:lvlText w:val="(%1)"/>
      <w:numFmt w:val="lowerLetter"/>
      <w:start w:val="4"/>
    </w:lvl>
  </w:abstractNum>
  <w:abstractNum w:abstractNumId="102">
    <w:nsid w:val="4DF72E4E"/>
    <w:multiLevelType w:val="hybridMultilevel"/>
    <w:lvl w:ilvl="0">
      <w:lvlJc w:val="left"/>
      <w:lvlText w:val="(%1)"/>
      <w:numFmt w:val="lowerLetter"/>
      <w:start w:val="1"/>
    </w:lvl>
  </w:abstractNum>
  <w:abstractNum w:abstractNumId="103">
    <w:nsid w:val="5046B5A9"/>
    <w:multiLevelType w:val="hybridMultilevel"/>
    <w:lvl w:ilvl="0">
      <w:lvlJc w:val="left"/>
      <w:lvlText w:val="(%1)"/>
      <w:numFmt w:val="lowerLetter"/>
      <w:start w:val="5"/>
    </w:lvl>
  </w:abstractNum>
  <w:abstractNum w:abstractNumId="104">
    <w:nsid w:val="5D888A08"/>
    <w:multiLevelType w:val="hybridMultilevel"/>
    <w:lvl w:ilvl="0">
      <w:lvlJc w:val="left"/>
      <w:lvlText w:val="(%1)"/>
      <w:numFmt w:val="lowerLetter"/>
      <w:start w:val="1"/>
    </w:lvl>
  </w:abstractNum>
  <w:abstractNum w:abstractNumId="105">
    <w:nsid w:val="2A082C70"/>
    <w:multiLevelType w:val="hybridMultilevel"/>
    <w:lvl w:ilvl="0">
      <w:lvlJc w:val="left"/>
      <w:lvlText w:val="(%1)"/>
      <w:numFmt w:val="lowerLetter"/>
      <w:start w:val="1"/>
    </w:lvl>
  </w:abstractNum>
  <w:abstractNum w:abstractNumId="106">
    <w:nsid w:val="5EC6AFD4"/>
    <w:multiLevelType w:val="hybridMultilevel"/>
    <w:lvl w:ilvl="0">
      <w:lvlJc w:val="left"/>
      <w:lvlText w:val="(%1)"/>
      <w:numFmt w:val="lowerLetter"/>
      <w:start w:val="1"/>
    </w:lvl>
  </w:abstractNum>
  <w:abstractNum w:abstractNumId="107">
    <w:nsid w:val="19E21BB2"/>
    <w:multiLevelType w:val="hybridMultilevel"/>
    <w:lvl w:ilvl="0">
      <w:lvlJc w:val="left"/>
      <w:lvlText w:val="(%1)"/>
      <w:numFmt w:val="lowerLetter"/>
      <w:start w:val="2"/>
    </w:lvl>
  </w:abstractNum>
  <w:abstractNum w:abstractNumId="108">
    <w:nsid w:val="75E0858A"/>
    <w:multiLevelType w:val="hybridMultilevel"/>
    <w:lvl w:ilvl="0">
      <w:lvlJc w:val="left"/>
      <w:lvlText w:val="(%1)"/>
      <w:numFmt w:val="lowerRoman"/>
      <w:start w:val="1"/>
    </w:lvl>
  </w:abstractNum>
  <w:abstractNum w:abstractNumId="109">
    <w:nsid w:val="57A61A29"/>
    <w:multiLevelType w:val="hybridMultilevel"/>
    <w:lvl w:ilvl="0">
      <w:lvlJc w:val="left"/>
      <w:lvlText w:val="(%1)"/>
      <w:numFmt w:val="lowerRoman"/>
      <w:start w:val="3"/>
    </w:lvl>
  </w:abstractNum>
  <w:abstractNum w:abstractNumId="110">
    <w:nsid w:val="5399C654"/>
    <w:multiLevelType w:val="hybridMultilevel"/>
    <w:lvl w:ilvl="0">
      <w:lvlJc w:val="left"/>
      <w:lvlText w:val="(%1)"/>
      <w:numFmt w:val="lowerLetter"/>
      <w:start w:val="3"/>
    </w:lvl>
  </w:abstractNum>
  <w:abstractNum w:abstractNumId="111">
    <w:nsid w:val="20EE1348"/>
    <w:multiLevelType w:val="hybridMultilevel"/>
    <w:lvl w:ilvl="0">
      <w:lvlJc w:val="left"/>
      <w:lvlText w:val="(%1)"/>
      <w:numFmt w:val="lowerLetter"/>
      <w:start w:val="1"/>
    </w:lvl>
  </w:abstractNum>
  <w:abstractNum w:abstractNumId="112">
    <w:nsid w:val="4427069A"/>
    <w:multiLevelType w:val="hybridMultilevel"/>
    <w:lvl w:ilvl="0">
      <w:lvlJc w:val="left"/>
      <w:lvlText w:val="(%1)"/>
      <w:numFmt w:val="lowerLetter"/>
      <w:start w:val="3"/>
    </w:lvl>
  </w:abstractNum>
  <w:abstractNum w:abstractNumId="113">
    <w:nsid w:val="B37E80A"/>
    <w:multiLevelType w:val="hybridMultilevel"/>
    <w:lvl w:ilvl="0">
      <w:lvlJc w:val="left"/>
      <w:lvlText w:val="(%1)"/>
      <w:numFmt w:val="lowerLetter"/>
      <w:start w:val="1"/>
    </w:lvl>
  </w:abstractNum>
  <w:abstractNum w:abstractNumId="114">
    <w:nsid w:val="2157F6BC"/>
    <w:multiLevelType w:val="hybridMultilevel"/>
    <w:lvl w:ilvl="0">
      <w:lvlJc w:val="left"/>
      <w:lvlText w:val="(%1)"/>
      <w:numFmt w:val="lowerRoman"/>
      <w:start w:val="2"/>
    </w:lvl>
  </w:abstractNum>
  <w:abstractNum w:abstractNumId="115">
    <w:nsid w:val="704E1DD5"/>
    <w:multiLevelType w:val="hybridMultilevel"/>
    <w:lvl w:ilvl="0">
      <w:lvlJc w:val="left"/>
      <w:lvlText w:val="(%1)"/>
      <w:numFmt w:val="lowerLetter"/>
      <w:start w:val="4"/>
    </w:lvl>
  </w:abstractNum>
  <w:abstractNum w:abstractNumId="116">
    <w:nsid w:val="57D2F10E"/>
    <w:multiLevelType w:val="hybridMultilevel"/>
    <w:lvl w:ilvl="0">
      <w:lvlJc w:val="left"/>
      <w:lvlText w:val="(%1)"/>
      <w:numFmt w:val="lowerLetter"/>
      <w:start w:val="1"/>
    </w:lvl>
  </w:abstractNum>
  <w:abstractNum w:abstractNumId="117">
    <w:nsid w:val="BFFAE18"/>
    <w:multiLevelType w:val="hybridMultilevel"/>
    <w:lvl w:ilvl="0">
      <w:lvlJc w:val="left"/>
      <w:lvlText w:val="(%1)"/>
      <w:numFmt w:val="lowerLetter"/>
      <w:start w:val="4"/>
    </w:lvl>
  </w:abstractNum>
  <w:abstractNum w:abstractNumId="118">
    <w:nsid w:val="E3E47A8"/>
    <w:multiLevelType w:val="hybridMultilevel"/>
    <w:lvl w:ilvl="0">
      <w:lvlJc w:val="left"/>
      <w:lvlText w:val="(%1)"/>
      <w:numFmt w:val="lowerLetter"/>
      <w:start w:val="1"/>
    </w:lvl>
  </w:abstractNum>
  <w:abstractNum w:abstractNumId="119">
    <w:nsid w:val="2E48F044"/>
    <w:multiLevelType w:val="hybridMultilevel"/>
    <w:lvl w:ilvl="0">
      <w:lvlJc w:val="left"/>
      <w:lvlText w:val="(%1)"/>
      <w:numFmt w:val="lowerLetter"/>
      <w:start w:val="1"/>
    </w:lvl>
  </w:abstractNum>
  <w:abstractNum w:abstractNumId="120">
    <w:nsid w:val="49D0FEAC"/>
    <w:multiLevelType w:val="hybridMultilevel"/>
    <w:lvl w:ilvl="0">
      <w:lvlJc w:val="left"/>
      <w:lvlText w:val="(%1)"/>
      <w:numFmt w:val="lowerLetter"/>
      <w:start w:val="1"/>
    </w:lvl>
  </w:abstractNum>
  <w:abstractNum w:abstractNumId="121">
    <w:nsid w:val="4BEE5A5B"/>
    <w:multiLevelType w:val="hybridMultilevel"/>
    <w:lvl w:ilvl="0">
      <w:lvlJc w:val="left"/>
      <w:lvlText w:val="(%1)"/>
      <w:numFmt w:val="lowerLetter"/>
      <w:start w:val="2"/>
    </w:lvl>
  </w:abstractNum>
  <w:abstractNum w:abstractNumId="122">
    <w:nsid w:val="5551B9F3"/>
    <w:multiLevelType w:val="hybridMultilevel"/>
    <w:lvl w:ilvl="0">
      <w:lvlJc w:val="left"/>
      <w:lvlText w:val="(%1)"/>
      <w:numFmt w:val="lowerRoman"/>
      <w:start w:val="1"/>
    </w:lvl>
  </w:abstractNum>
  <w:abstractNum w:abstractNumId="123">
    <w:nsid w:val="24F6AB8E"/>
    <w:multiLevelType w:val="hybridMultilevel"/>
    <w:lvl w:ilvl="0">
      <w:lvlJc w:val="left"/>
      <w:lvlText w:val="(%1)"/>
      <w:numFmt w:val="lowerRoman"/>
      <w:start w:val="3"/>
    </w:lvl>
  </w:abstractNum>
  <w:abstractNum w:abstractNumId="124">
    <w:nsid w:val="634C574C"/>
    <w:multiLevelType w:val="hybridMultilevel"/>
    <w:lvl w:ilvl="0">
      <w:lvlJc w:val="left"/>
      <w:lvlText w:val="(%1)"/>
      <w:numFmt w:val="lowerLetter"/>
      <w:start w:val="3"/>
    </w:lvl>
  </w:abstractNum>
  <w:abstractNum w:abstractNumId="125">
    <w:nsid w:val="24E99DD7"/>
    <w:multiLevelType w:val="hybridMultilevel"/>
    <w:lvl w:ilvl="0">
      <w:lvlJc w:val="left"/>
      <w:lvlText w:val="(%1)"/>
      <w:numFmt w:val="lowerLetter"/>
      <w:start w:val="1"/>
    </w:lvl>
  </w:abstractNum>
  <w:abstractNum w:abstractNumId="126">
    <w:nsid w:val="2A31B62D"/>
    <w:multiLevelType w:val="hybridMultilevel"/>
    <w:lvl w:ilvl="0">
      <w:lvlJc w:val="left"/>
      <w:lvlText w:val="(%1)"/>
      <w:numFmt w:val="lowerLetter"/>
      <w:start w:val="2"/>
    </w:lvl>
  </w:abstractNum>
  <w:abstractNum w:abstractNumId="127">
    <w:nsid w:val="1849C29B"/>
    <w:multiLevelType w:val="hybridMultilevel"/>
    <w:lvl w:ilvl="0">
      <w:lvlJc w:val="left"/>
      <w:lvlText w:val="(%1)"/>
      <w:numFmt w:val="lowerLetter"/>
      <w:start w:val="1"/>
    </w:lvl>
  </w:abstractNum>
  <w:abstractNum w:abstractNumId="128">
    <w:nsid w:val="7DFF9D09"/>
    <w:multiLevelType w:val="hybridMultilevel"/>
    <w:lvl w:ilvl="0">
      <w:lvlJc w:val="left"/>
      <w:lvlText w:val="(%1)"/>
      <w:numFmt w:val="lowerLetter"/>
      <w:start w:val="3"/>
    </w:lvl>
  </w:abstractNum>
  <w:abstractNum w:abstractNumId="129">
    <w:nsid w:val="754342"/>
    <w:multiLevelType w:val="hybridMultilevel"/>
    <w:lvl w:ilvl="0">
      <w:lvlJc w:val="left"/>
      <w:lvlText w:val="(%1)"/>
      <w:numFmt w:val="lowerRoman"/>
      <w:start w:val="2"/>
    </w:lvl>
  </w:abstractNum>
  <w:abstractNum w:abstractNumId="130">
    <w:nsid w:val="69E7F3E5"/>
    <w:multiLevelType w:val="hybridMultilevel"/>
    <w:lvl w:ilvl="0">
      <w:lvlJc w:val="left"/>
      <w:lvlText w:val="(%1)"/>
      <w:numFmt w:val="lowerLetter"/>
      <w:start w:val="4"/>
    </w:lvl>
  </w:abstractNum>
  <w:abstractNum w:abstractNumId="131">
    <w:nsid w:val="2A6DE806"/>
    <w:multiLevelType w:val="hybridMultilevel"/>
    <w:lvl w:ilvl="0">
      <w:lvlJc w:val="left"/>
      <w:lvlText w:val="(%1)"/>
      <w:numFmt w:val="lowerLetter"/>
      <w:start w:val="1"/>
    </w:lvl>
  </w:abstractNum>
  <w:abstractNum w:abstractNumId="132">
    <w:nsid w:val="1816F8C4"/>
    <w:multiLevelType w:val="hybridMultilevel"/>
    <w:lvl w:ilvl="0">
      <w:lvlJc w:val="left"/>
      <w:lvlText w:val="(%1)"/>
      <w:numFmt w:val="lowerLetter"/>
      <w:start w:val="3"/>
    </w:lvl>
  </w:abstractNum>
  <w:abstractNum w:abstractNumId="133">
    <w:nsid w:val="37DF2233"/>
    <w:multiLevelType w:val="hybridMultilevel"/>
    <w:lvl w:ilvl="0">
      <w:lvlJc w:val="left"/>
      <w:lvlText w:val="(%1)"/>
      <w:numFmt w:val="lowerLetter"/>
      <w:start w:val="6"/>
    </w:lvl>
  </w:abstractNum>
  <w:abstractNum w:abstractNumId="134">
    <w:nsid w:val="7AB49DAF"/>
    <w:multiLevelType w:val="hybridMultilevel"/>
    <w:lvl w:ilvl="0">
      <w:lvlJc w:val="left"/>
      <w:lvlText w:val="(%1)"/>
      <w:numFmt w:val="lowerLetter"/>
      <w:start w:val="1"/>
    </w:lvl>
  </w:abstractNum>
  <w:abstractNum w:abstractNumId="135">
    <w:nsid w:val="759F82CD"/>
    <w:multiLevelType w:val="hybridMultilevel"/>
    <w:lvl w:ilvl="0">
      <w:lvlJc w:val="left"/>
      <w:lvlText w:val="(%1)"/>
      <w:numFmt w:val="lowerLetter"/>
      <w:start w:val="2"/>
    </w:lvl>
  </w:abstractNum>
  <w:abstractNum w:abstractNumId="136">
    <w:nsid w:val="61E74EA3"/>
    <w:multiLevelType w:val="hybridMultilevel"/>
    <w:lvl w:ilvl="0">
      <w:lvlJc w:val="left"/>
      <w:lvlText w:val="(%1)"/>
      <w:numFmt w:val="lowerLetter"/>
      <w:start w:val="2"/>
    </w:lvl>
  </w:abstractNum>
  <w:abstractNum w:abstractNumId="137">
    <w:nsid w:val="597B4D84"/>
    <w:multiLevelType w:val="hybridMultilevel"/>
    <w:lvl w:ilvl="0">
      <w:lvlJc w:val="left"/>
      <w:lvlText w:val="(%1)"/>
      <w:numFmt w:val="lowerRoman"/>
      <w:start w:val="1"/>
    </w:lvl>
  </w:abstractNum>
  <w:abstractNum w:abstractNumId="138">
    <w:nsid w:val="F819E7F"/>
    <w:multiLevelType w:val="hybridMultilevel"/>
    <w:lvl w:ilvl="0">
      <w:lvlJc w:val="left"/>
      <w:lvlText w:val="%1"/>
      <w:numFmt w:val="lowerRoman"/>
      <w:start w:val="1"/>
    </w:lvl>
    <w:lvl w:ilvl="1">
      <w:lvlJc w:val="left"/>
      <w:lvlText w:val="(%2)"/>
      <w:numFmt w:val="lowerRoman"/>
      <w:start w:val="2"/>
    </w:lvl>
  </w:abstractNum>
  <w:abstractNum w:abstractNumId="139">
    <w:nsid w:val="57C7D42D"/>
    <w:multiLevelType w:val="hybridMultilevel"/>
    <w:lvl w:ilvl="0">
      <w:lvlJc w:val="left"/>
      <w:lvlText w:val="(%1)"/>
      <w:numFmt w:val="lowerRoman"/>
      <w:start w:val="5"/>
    </w:lvl>
    <w:lvl w:ilvl="1">
      <w:lvlJc w:val="left"/>
      <w:lvlText w:val="%2"/>
      <w:numFmt w:val="lowerRoman"/>
      <w:start w:val="1"/>
    </w:lvl>
  </w:abstractNum>
  <w:abstractNum w:abstractNumId="140">
    <w:nsid w:val="312167AD"/>
    <w:multiLevelType w:val="hybridMultilevel"/>
    <w:lvl w:ilvl="0">
      <w:lvlJc w:val="left"/>
      <w:lvlText w:val="(%1)"/>
      <w:numFmt w:val="lowerLetter"/>
      <w:start w:val="2"/>
    </w:lvl>
  </w:abstractNum>
  <w:abstractNum w:abstractNumId="141">
    <w:nsid w:val="631B64D4"/>
    <w:multiLevelType w:val="hybridMultilevel"/>
    <w:lvl w:ilvl="0">
      <w:lvlJc w:val="left"/>
      <w:lvlText w:val="(%1)"/>
      <w:numFmt w:val="lowerLetter"/>
      <w:start w:val="2"/>
    </w:lvl>
  </w:abstractNum>
  <w:abstractNum w:abstractNumId="142">
    <w:nsid w:val="78B5E776"/>
    <w:multiLevelType w:val="hybridMultilevel"/>
    <w:lvl w:ilvl="0">
      <w:lvlJc w:val="left"/>
      <w:lvlText w:val="(%1)"/>
      <w:numFmt w:val="lowerLetter"/>
      <w:start w:val="2"/>
    </w:lvl>
  </w:abstractNum>
  <w:abstractNum w:abstractNumId="143">
    <w:nsid w:val="75486E47"/>
    <w:multiLevelType w:val="hybridMultilevel"/>
    <w:lvl w:ilvl="0">
      <w:lvlJc w:val="left"/>
      <w:lvlText w:val="(%1)"/>
      <w:numFmt w:val="lowerLetter"/>
      <w:start w:val="2"/>
    </w:lvl>
  </w:abstractNum>
  <w:abstractNum w:abstractNumId="144">
    <w:nsid w:val="6E534CDE"/>
    <w:multiLevelType w:val="hybridMultilevel"/>
    <w:lvl w:ilvl="0">
      <w:lvlJc w:val="left"/>
      <w:lvlText w:val="(%1)"/>
      <w:numFmt w:val="lowerLetter"/>
      <w:start w:val="2"/>
    </w:lvl>
  </w:abstractNum>
  <w:abstractNum w:abstractNumId="145">
    <w:nsid w:val="1A0DDE32"/>
    <w:multiLevelType w:val="hybridMultilevel"/>
    <w:lvl w:ilvl="0">
      <w:lvlJc w:val="left"/>
      <w:lvlText w:val="%1."/>
      <w:numFmt w:val="upperLetter"/>
      <w:start w:val="1"/>
    </w:lvl>
  </w:abstractNum>
  <w:abstractNum w:abstractNumId="146">
    <w:nsid w:val="65968C1C"/>
    <w:multiLevelType w:val="hybridMultilevel"/>
    <w:lvl w:ilvl="0">
      <w:lvlJc w:val="left"/>
      <w:lvlText w:val="(%1)"/>
      <w:numFmt w:val="lowerLetter"/>
      <w:start w:val="1"/>
    </w:lvl>
  </w:abstractNum>
  <w:abstractNum w:abstractNumId="147">
    <w:nsid w:val="46263DEC"/>
    <w:multiLevelType w:val="hybridMultilevel"/>
    <w:lvl w:ilvl="0">
      <w:lvlJc w:val="left"/>
      <w:lvlText w:val="(%1)"/>
      <w:numFmt w:val="lowerLetter"/>
      <w:start w:val="1"/>
    </w:lvl>
  </w:abstractNum>
  <w:abstractNum w:abstractNumId="148">
    <w:nsid w:val="260D8C4A"/>
    <w:multiLevelType w:val="hybridMultilevel"/>
    <w:lvl w:ilvl="0">
      <w:lvlJc w:val="left"/>
      <w:lvlText w:val="(%1)"/>
      <w:numFmt w:val="lowerLetter"/>
      <w:start w:val="1"/>
    </w:lvl>
  </w:abstractNum>
  <w:abstractNum w:abstractNumId="149">
    <w:nsid w:val="73D4D3C4"/>
    <w:multiLevelType w:val="hybridMultilevel"/>
    <w:lvl w:ilvl="0">
      <w:lvlJc w:val="left"/>
      <w:lvlText w:val="(%1)"/>
      <w:numFmt w:val="lowerLetter"/>
      <w:start w:val="4"/>
    </w:lvl>
  </w:abstractNum>
  <w:abstractNum w:abstractNumId="150">
    <w:nsid w:val="746F2E30"/>
    <w:multiLevelType w:val="hybridMultilevel"/>
    <w:lvl w:ilvl="0">
      <w:lvlJc w:val="left"/>
      <w:lvlText w:val="(%1)"/>
      <w:numFmt w:val="lowerLetter"/>
      <w:start w:val="1"/>
    </w:lvl>
  </w:abstractNum>
  <w:abstractNum w:abstractNumId="151">
    <w:nsid w:val="6FDE8AF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2019-12-01T12:47:20Z</dcterms:created>
  <dcterms:modified xsi:type="dcterms:W3CDTF">2019-12-01T12:47:20Z</dcterms:modified>
</cp:coreProperties>
</file>