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SCHEDULE 13G</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NO.2)</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90805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77470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68580</wp:posOffset>
            </wp:positionV>
            <wp:extent cx="36277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5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Y2687W108</w:t>
            </w:r>
          </w:p>
        </w:tc>
        <w:tc>
          <w:tcPr>
            <w:tcW w:w="680" w:type="dxa"/>
            <w:vAlign w:val="bottom"/>
          </w:tcPr>
          <w:p>
            <w:pPr>
              <w:spacing w:after="0"/>
              <w:rPr>
                <w:sz w:val="20"/>
                <w:szCs w:val="20"/>
                <w:color w:val="auto"/>
              </w:rPr>
            </w:pPr>
          </w:p>
        </w:tc>
        <w:tc>
          <w:tcPr>
            <w:tcW w:w="3520" w:type="dxa"/>
            <w:vAlign w:val="bottom"/>
          </w:tcPr>
          <w:p>
            <w:pPr>
              <w:jc w:val="center"/>
              <w:ind w:left="2331"/>
              <w:spacing w:after="0"/>
              <w:rPr>
                <w:sz w:val="20"/>
                <w:szCs w:val="20"/>
                <w:color w:val="auto"/>
              </w:rPr>
            </w:pPr>
            <w:r>
              <w:rPr>
                <w:rFonts w:ascii="Times New Roman" w:cs="Times New Roman" w:eastAsia="Times New Roman" w:hAnsi="Times New Roman"/>
                <w:sz w:val="18"/>
                <w:szCs w:val="18"/>
                <w:color w:val="auto"/>
                <w:w w:val="96"/>
              </w:rPr>
              <w:t>13G</w:t>
            </w:r>
          </w:p>
        </w:tc>
        <w:tc>
          <w:tcPr>
            <w:tcW w:w="5160" w:type="dxa"/>
            <w:vAlign w:val="bottom"/>
            <w:gridSpan w:val="2"/>
          </w:tcPr>
          <w:p>
            <w:pPr>
              <w:ind w:left="3560"/>
              <w:spacing w:after="0"/>
              <w:rPr>
                <w:sz w:val="20"/>
                <w:szCs w:val="20"/>
                <w:color w:val="auto"/>
              </w:rPr>
            </w:pPr>
            <w:r>
              <w:rPr>
                <w:rFonts w:ascii="Times New Roman" w:cs="Times New Roman" w:eastAsia="Times New Roman" w:hAnsi="Times New Roman"/>
                <w:sz w:val="18"/>
                <w:szCs w:val="18"/>
                <w:color w:val="auto"/>
                <w:w w:val="95"/>
              </w:rPr>
              <w:t>PAGE 2 OF 8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860" w:type="dxa"/>
            <w:vAlign w:val="bottom"/>
            <w:tcBorders>
              <w:bottom w:val="single" w:sz="8" w:color="auto"/>
            </w:tcBorders>
            <w:gridSpan w:val="3"/>
          </w:tcPr>
          <w:p>
            <w:pPr>
              <w:spacing w:after="0"/>
              <w:rPr>
                <w:sz w:val="21"/>
                <w:szCs w:val="21"/>
                <w:color w:val="auto"/>
              </w:rPr>
            </w:pPr>
          </w:p>
        </w:tc>
        <w:tc>
          <w:tcPr>
            <w:tcW w:w="4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S.S. or I.R.S. IDENTIFICATION NOS. OF ABOVE PERSON</w:t>
            </w:r>
          </w:p>
        </w:tc>
        <w:tc>
          <w:tcPr>
            <w:tcW w:w="49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left w:val="single" w:sz="8" w:color="auto"/>
              <w:right w:val="single" w:sz="8" w:color="auto"/>
            </w:tcBorders>
            <w:vMerge w:val="continue"/>
          </w:tcPr>
          <w:p>
            <w:pPr>
              <w:spacing w:after="0"/>
              <w:rPr>
                <w:sz w:val="19"/>
                <w:szCs w:val="19"/>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4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KAYNE ANDERSON CAPITAL ADVISORS, L.P.</w:t>
            </w:r>
          </w:p>
        </w:tc>
        <w:tc>
          <w:tcPr>
            <w:tcW w:w="4940" w:type="dxa"/>
            <w:vAlign w:val="bottom"/>
            <w:vMerge w:val="restart"/>
          </w:tcPr>
          <w:p>
            <w:pPr>
              <w:jc w:val="right"/>
              <w:ind w:right="3810"/>
              <w:spacing w:after="0"/>
              <w:rPr>
                <w:sz w:val="20"/>
                <w:szCs w:val="20"/>
                <w:color w:val="auto"/>
              </w:rPr>
            </w:pPr>
            <w:r>
              <w:rPr>
                <w:rFonts w:ascii="Times New Roman" w:cs="Times New Roman" w:eastAsia="Times New Roman" w:hAnsi="Times New Roman"/>
                <w:sz w:val="18"/>
                <w:szCs w:val="18"/>
                <w:color w:val="auto"/>
              </w:rPr>
              <w:t>- 95-4486379</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1400" w:type="dxa"/>
            <w:vAlign w:val="bottom"/>
            <w:tcBorders>
              <w:left w:val="single" w:sz="8" w:color="auto"/>
              <w:right w:val="single" w:sz="8" w:color="auto"/>
            </w:tcBorders>
          </w:tcPr>
          <w:p>
            <w:pPr>
              <w:spacing w:after="0"/>
              <w:rPr>
                <w:sz w:val="5"/>
                <w:szCs w:val="5"/>
                <w:color w:val="auto"/>
              </w:rPr>
            </w:pPr>
          </w:p>
        </w:tc>
        <w:tc>
          <w:tcPr>
            <w:tcW w:w="660" w:type="dxa"/>
            <w:vAlign w:val="bottom"/>
            <w:vMerge w:val="continue"/>
          </w:tcPr>
          <w:p>
            <w:pPr>
              <w:spacing w:after="0"/>
              <w:rPr>
                <w:sz w:val="5"/>
                <w:szCs w:val="5"/>
                <w:color w:val="auto"/>
              </w:rPr>
            </w:pPr>
          </w:p>
        </w:tc>
        <w:tc>
          <w:tcPr>
            <w:tcW w:w="4200" w:type="dxa"/>
            <w:vAlign w:val="bottom"/>
            <w:gridSpan w:val="2"/>
            <w:vMerge w:val="continue"/>
          </w:tcPr>
          <w:p>
            <w:pPr>
              <w:spacing w:after="0"/>
              <w:rPr>
                <w:sz w:val="5"/>
                <w:szCs w:val="5"/>
                <w:color w:val="auto"/>
              </w:rPr>
            </w:pPr>
          </w:p>
        </w:tc>
        <w:tc>
          <w:tcPr>
            <w:tcW w:w="4940" w:type="dxa"/>
            <w:vAlign w:val="bottom"/>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RICHARD A. KAYNE</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02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100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3520" w:type="dxa"/>
            <w:vAlign w:val="bottom"/>
            <w:shd w:val="clear" w:color="auto" w:fill="BFBFBF"/>
          </w:tcPr>
          <w:p>
            <w:pPr>
              <w:spacing w:after="0"/>
              <w:rPr>
                <w:sz w:val="20"/>
                <w:szCs w:val="20"/>
                <w:color w:val="auto"/>
              </w:rPr>
            </w:pPr>
          </w:p>
        </w:tc>
        <w:tc>
          <w:tcPr>
            <w:tcW w:w="494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3520" w:type="dxa"/>
            <w:vAlign w:val="bottom"/>
            <w:shd w:val="clear" w:color="auto" w:fill="BFBFBF"/>
          </w:tcPr>
          <w:p>
            <w:pPr>
              <w:spacing w:after="0"/>
              <w:rPr>
                <w:sz w:val="24"/>
                <w:szCs w:val="24"/>
                <w:color w:val="auto"/>
              </w:rPr>
            </w:pPr>
          </w:p>
        </w:tc>
        <w:tc>
          <w:tcPr>
            <w:tcW w:w="494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3520" w:type="dxa"/>
            <w:vAlign w:val="bottom"/>
            <w:tcBorders>
              <w:bottom w:val="single" w:sz="8" w:color="auto"/>
            </w:tcBorders>
            <w:shd w:val="clear" w:color="auto" w:fill="BFBFBF"/>
          </w:tcPr>
          <w:p>
            <w:pPr>
              <w:spacing w:after="0"/>
              <w:rPr>
                <w:sz w:val="23"/>
                <w:szCs w:val="23"/>
                <w:color w:val="auto"/>
              </w:rPr>
            </w:pPr>
          </w:p>
        </w:tc>
        <w:tc>
          <w:tcPr>
            <w:tcW w:w="494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IS A CALIFORNIA LIMITED PARTNERSHIP</w:t>
            </w:r>
          </w:p>
        </w:tc>
        <w:tc>
          <w:tcPr>
            <w:tcW w:w="49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22"/>
              <w:spacing w:after="0"/>
              <w:rPr>
                <w:sz w:val="20"/>
                <w:szCs w:val="20"/>
                <w:color w:val="auto"/>
              </w:rPr>
            </w:pPr>
            <w:r>
              <w:rPr>
                <w:rFonts w:ascii="Times New Roman" w:cs="Times New Roman" w:eastAsia="Times New Roman" w:hAnsi="Times New Roman"/>
                <w:sz w:val="32"/>
                <w:szCs w:val="32"/>
                <w:b w:val="1"/>
                <w:bCs w:val="1"/>
                <w:color w:val="auto"/>
              </w:rPr>
              <w:t>5</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0</w:t>
            </w:r>
          </w:p>
        </w:tc>
        <w:tc>
          <w:tcPr>
            <w:tcW w:w="49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0</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22"/>
              <w:spacing w:after="0"/>
              <w:rPr>
                <w:sz w:val="20"/>
                <w:szCs w:val="20"/>
                <w:color w:val="auto"/>
              </w:rPr>
            </w:pPr>
            <w:r>
              <w:rPr>
                <w:rFonts w:ascii="Times New Roman" w:cs="Times New Roman" w:eastAsia="Times New Roman" w:hAnsi="Times New Roman"/>
                <w:sz w:val="32"/>
                <w:szCs w:val="32"/>
                <w:b w:val="1"/>
                <w:bCs w:val="1"/>
                <w:color w:val="auto"/>
              </w:rPr>
              <w:t>6</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2,272,517</w:t>
            </w:r>
          </w:p>
        </w:tc>
        <w:tc>
          <w:tcPr>
            <w:tcW w:w="494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2,272,517</w:t>
            </w:r>
          </w:p>
        </w:tc>
        <w:tc>
          <w:tcPr>
            <w:tcW w:w="49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49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680" w:type="dxa"/>
            <w:vAlign w:val="bottom"/>
            <w:tcBorders>
              <w:right w:val="single" w:sz="8" w:color="auto"/>
            </w:tcBorders>
            <w:vMerge w:val="restart"/>
          </w:tcPr>
          <w:p>
            <w:pPr>
              <w:jc w:val="right"/>
              <w:ind w:right="122"/>
              <w:spacing w:after="0"/>
              <w:rPr>
                <w:sz w:val="20"/>
                <w:szCs w:val="20"/>
                <w:color w:val="auto"/>
              </w:rPr>
            </w:pPr>
            <w:r>
              <w:rPr>
                <w:rFonts w:ascii="Times New Roman" w:cs="Times New Roman" w:eastAsia="Times New Roman" w:hAnsi="Times New Roman"/>
                <w:sz w:val="32"/>
                <w:szCs w:val="32"/>
                <w:b w:val="1"/>
                <w:bCs w:val="1"/>
                <w:color w:val="auto"/>
              </w:rPr>
              <w:t>7</w:t>
            </w:r>
          </w:p>
        </w:tc>
        <w:tc>
          <w:tcPr>
            <w:tcW w:w="352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0</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0</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22"/>
              <w:spacing w:after="0"/>
              <w:rPr>
                <w:sz w:val="20"/>
                <w:szCs w:val="20"/>
                <w:color w:val="auto"/>
              </w:rPr>
            </w:pPr>
            <w:r>
              <w:rPr>
                <w:rFonts w:ascii="Times New Roman" w:cs="Times New Roman" w:eastAsia="Times New Roman" w:hAnsi="Times New Roman"/>
                <w:sz w:val="32"/>
                <w:szCs w:val="32"/>
                <w:b w:val="1"/>
                <w:bCs w:val="1"/>
                <w:color w:val="auto"/>
              </w:rPr>
              <w:t>8</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2,272,517</w:t>
            </w:r>
          </w:p>
        </w:tc>
        <w:tc>
          <w:tcPr>
            <w:tcW w:w="49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2,272,517</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00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2,272,517</w:t>
            </w:r>
          </w:p>
        </w:tc>
        <w:tc>
          <w:tcPr>
            <w:tcW w:w="3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 2,272,517</w:t>
            </w:r>
          </w:p>
        </w:tc>
        <w:tc>
          <w:tcPr>
            <w:tcW w:w="35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6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100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68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100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5.60%</w:t>
            </w:r>
          </w:p>
        </w:tc>
        <w:tc>
          <w:tcPr>
            <w:tcW w:w="3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 5.60%</w:t>
            </w:r>
          </w:p>
        </w:tc>
        <w:tc>
          <w:tcPr>
            <w:tcW w:w="35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IA</w:t>
            </w:r>
          </w:p>
        </w:tc>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IN</w:t>
            </w:r>
          </w:p>
        </w:tc>
        <w:tc>
          <w:tcPr>
            <w:tcW w:w="6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6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80" w:type="dxa"/>
            <w:vAlign w:val="bottom"/>
            <w:gridSpan w:val="3"/>
          </w:tcPr>
          <w:p>
            <w:pPr>
              <w:jc w:val="center"/>
              <w:ind w:right="2740"/>
              <w:spacing w:after="0"/>
              <w:rPr>
                <w:sz w:val="20"/>
                <w:szCs w:val="20"/>
                <w:color w:val="auto"/>
              </w:rPr>
            </w:pPr>
            <w:r>
              <w:rPr>
                <w:rFonts w:ascii="Times New Roman" w:cs="Times New Roman" w:eastAsia="Times New Roman" w:hAnsi="Times New Roman"/>
                <w:sz w:val="18"/>
                <w:szCs w:val="18"/>
                <w:color w:val="auto"/>
                <w:w w:val="99"/>
              </w:rPr>
              <w:t>*SEE INSTRUCTIONS BEFORE FILLING OUT!</w:t>
            </w:r>
          </w:p>
        </w:tc>
        <w:tc>
          <w:tcPr>
            <w:tcW w:w="0" w:type="dxa"/>
            <w:vAlign w:val="bottom"/>
          </w:tcPr>
          <w:p>
            <w:pPr>
              <w:spacing w:after="0"/>
              <w:rPr>
                <w:sz w:val="1"/>
                <w:szCs w:val="1"/>
                <w:color w:val="auto"/>
              </w:rPr>
            </w:pPr>
          </w:p>
        </w:tc>
      </w:tr>
      <w:tr>
        <w:trPr>
          <w:trHeight w:val="584"/>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20" w:type="dxa"/>
            <w:vAlign w:val="bottom"/>
          </w:tcPr>
          <w:p>
            <w:pPr>
              <w:jc w:val="center"/>
              <w:ind w:left="2351"/>
              <w:spacing w:after="0"/>
              <w:rPr>
                <w:sz w:val="20"/>
                <w:szCs w:val="20"/>
                <w:color w:val="auto"/>
              </w:rPr>
            </w:pPr>
            <w:r>
              <w:rPr>
                <w:rFonts w:ascii="Times New Roman" w:cs="Times New Roman" w:eastAsia="Times New Roman" w:hAnsi="Times New Roman"/>
                <w:sz w:val="14"/>
                <w:szCs w:val="14"/>
                <w:color w:val="auto"/>
              </w:rPr>
              <w:t>PAGE 2 OF 8</w:t>
            </w: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7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Pr>
          <w:p>
            <w:pPr>
              <w:spacing w:after="0"/>
              <w:rPr>
                <w:sz w:val="20"/>
                <w:szCs w:val="20"/>
                <w:color w:val="auto"/>
              </w:rPr>
            </w:pPr>
          </w:p>
        </w:tc>
      </w:tr>
      <w:tr>
        <w:trPr>
          <w:trHeight w:val="44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Issuer:</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GasLog Partners LP</w:t>
            </w:r>
          </w:p>
        </w:tc>
        <w:tc>
          <w:tcPr>
            <w:tcW w:w="380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225 Liberty Street</w:t>
            </w:r>
          </w:p>
        </w:tc>
        <w:tc>
          <w:tcPr>
            <w:tcW w:w="380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 NY 10281</w:t>
            </w:r>
          </w:p>
        </w:tc>
        <w:tc>
          <w:tcPr>
            <w:tcW w:w="38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Filing Persons:</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Kayne Anderson Capital Advisors, L.P.</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Richard A. Kayne</w:t>
            </w:r>
          </w:p>
        </w:tc>
      </w:tr>
      <w:tr>
        <w:trPr>
          <w:trHeight w:val="414"/>
        </w:trPr>
        <w:tc>
          <w:tcPr>
            <w:tcW w:w="7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Addresses:</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1800 Avenue of the Stars,</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1800 Avenue of the Stars,</w:t>
            </w:r>
          </w:p>
        </w:tc>
      </w:tr>
      <w:tr>
        <w:trPr>
          <w:trHeight w:val="216"/>
        </w:trPr>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Floor</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Floor</w:t>
            </w:r>
          </w:p>
        </w:tc>
      </w:t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 Angeles, CA 90067</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 Angeles, CA 90067</w:t>
            </w:r>
          </w:p>
        </w:tc>
      </w:tr>
      <w:tr>
        <w:trPr>
          <w:trHeight w:val="414"/>
        </w:trPr>
        <w:tc>
          <w:tcPr>
            <w:tcW w:w="7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Kayne Anderson Capital Advisors, L.P. is a California limited</w:t>
            </w:r>
          </w:p>
        </w:tc>
        <w:tc>
          <w:tcPr>
            <w:tcW w:w="380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partnership</w:t>
            </w:r>
          </w:p>
        </w:tc>
        <w:tc>
          <w:tcPr>
            <w:tcW w:w="380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Richard A. Kayne is a U.S. Citizen</w:t>
            </w:r>
          </w:p>
        </w:tc>
        <w:tc>
          <w:tcPr>
            <w:tcW w:w="3800" w:type="dxa"/>
            <w:vAlign w:val="bottom"/>
          </w:tcPr>
          <w:p>
            <w:pPr>
              <w:spacing w:after="0"/>
              <w:rPr>
                <w:sz w:val="20"/>
                <w:szCs w:val="20"/>
                <w:color w:val="auto"/>
              </w:rPr>
            </w:pPr>
          </w:p>
        </w:tc>
      </w:tr>
      <w:tr>
        <w:trPr>
          <w:trHeight w:val="414"/>
        </w:trPr>
        <w:tc>
          <w:tcPr>
            <w:tcW w:w="7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of Class of</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380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476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Cusip Number:</w:t>
            </w: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Y2687W108</w:t>
            </w:r>
          </w:p>
        </w:tc>
        <w:tc>
          <w:tcPr>
            <w:tcW w:w="3800" w:type="dxa"/>
            <w:vAlign w:val="bottom"/>
          </w:tcPr>
          <w:p>
            <w:pPr>
              <w:spacing w:after="0"/>
              <w:rPr>
                <w:sz w:val="24"/>
                <w:szCs w:val="24"/>
                <w:color w:val="auto"/>
              </w:rPr>
            </w:pP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7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check whether the person filing is a:</w:t>
            </w:r>
          </w:p>
        </w:tc>
      </w:tr>
      <w:tr>
        <w:trPr>
          <w:trHeight w:val="459"/>
        </w:trPr>
        <w:tc>
          <w:tcPr>
            <w:tcW w:w="7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10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Kayne Anderson Capital Advisors, L.P., is an investment adviser registered under section 203 of the Investment Advisers Act of 1940.</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Ownership</w:t>
            </w:r>
          </w:p>
        </w:tc>
        <w:tc>
          <w:tcPr>
            <w:tcW w:w="47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59"/>
        </w:trPr>
        <w:tc>
          <w:tcPr>
            <w:tcW w:w="720" w:type="dxa"/>
            <w:vAlign w:val="bottom"/>
          </w:tcPr>
          <w:p>
            <w:pPr>
              <w:spacing w:after="0"/>
              <w:rPr>
                <w:sz w:val="24"/>
                <w:szCs w:val="24"/>
                <w:color w:val="auto"/>
              </w:rPr>
            </w:pPr>
          </w:p>
        </w:tc>
        <w:tc>
          <w:tcPr>
            <w:tcW w:w="6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Amount Beneficially Owned:</w:t>
            </w:r>
          </w:p>
        </w:tc>
        <w:tc>
          <w:tcPr>
            <w:tcW w:w="3800" w:type="dxa"/>
            <w:vAlign w:val="bottom"/>
          </w:tcPr>
          <w:p>
            <w:pPr>
              <w:spacing w:after="0"/>
              <w:rPr>
                <w:sz w:val="24"/>
                <w:szCs w:val="24"/>
                <w:color w:val="auto"/>
              </w:rPr>
            </w:pPr>
          </w:p>
        </w:tc>
      </w:tr>
      <w:tr>
        <w:trPr>
          <w:trHeight w:val="414"/>
        </w:trPr>
        <w:tc>
          <w:tcPr>
            <w:tcW w:w="720" w:type="dxa"/>
            <w:vAlign w:val="bottom"/>
          </w:tcPr>
          <w:p>
            <w:pPr>
              <w:spacing w:after="0"/>
              <w:rPr>
                <w:sz w:val="24"/>
                <w:szCs w:val="24"/>
                <w:color w:val="auto"/>
              </w:rPr>
            </w:pPr>
          </w:p>
        </w:tc>
        <w:tc>
          <w:tcPr>
            <w:tcW w:w="6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Kayne Anderson Capital Advisors, L.P. Managed Accounts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2,272,517</w:t>
            </w:r>
          </w:p>
        </w:tc>
      </w:tr>
      <w:tr>
        <w:trPr>
          <w:trHeight w:val="234"/>
        </w:trPr>
        <w:tc>
          <w:tcPr>
            <w:tcW w:w="720" w:type="dxa"/>
            <w:vAlign w:val="bottom"/>
          </w:tcPr>
          <w:p>
            <w:pPr>
              <w:spacing w:after="0"/>
              <w:rPr>
                <w:sz w:val="20"/>
                <w:szCs w:val="20"/>
                <w:color w:val="auto"/>
              </w:rPr>
            </w:pP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Richard A. Kayne</w:t>
            </w:r>
          </w:p>
        </w:tc>
        <w:tc>
          <w:tcPr>
            <w:tcW w:w="47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2,272,517</w:t>
            </w:r>
          </w:p>
        </w:tc>
      </w:tr>
      <w:tr>
        <w:trPr>
          <w:trHeight w:val="414"/>
        </w:trPr>
        <w:tc>
          <w:tcPr>
            <w:tcW w:w="7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Percent of Class:</w:t>
            </w:r>
          </w:p>
        </w:tc>
        <w:tc>
          <w:tcPr>
            <w:tcW w:w="4760" w:type="dxa"/>
            <w:vAlign w:val="bottom"/>
          </w:tcPr>
          <w:p>
            <w:pPr>
              <w:spacing w:after="0"/>
              <w:rPr>
                <w:sz w:val="24"/>
                <w:szCs w:val="24"/>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5.60%</w:t>
            </w:r>
          </w:p>
        </w:tc>
      </w:t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 5.60%</w:t>
            </w:r>
          </w:p>
        </w:tc>
      </w:tr>
      <w:tr>
        <w:trPr>
          <w:trHeight w:val="432"/>
        </w:trPr>
        <w:tc>
          <w:tcPr>
            <w:tcW w:w="7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 of shares as to which such person has:</w:t>
            </w:r>
          </w:p>
        </w:tc>
        <w:tc>
          <w:tcPr>
            <w:tcW w:w="3800" w:type="dxa"/>
            <w:vAlign w:val="bottom"/>
          </w:tcPr>
          <w:p>
            <w:pPr>
              <w:spacing w:after="0"/>
              <w:rPr>
                <w:sz w:val="24"/>
                <w:szCs w:val="24"/>
                <w:color w:val="auto"/>
              </w:rPr>
            </w:pPr>
          </w:p>
        </w:tc>
      </w:tr>
      <w:tr>
        <w:trPr>
          <w:trHeight w:val="414"/>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 sole power to vote or direct to vote</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0</w:t>
            </w:r>
          </w:p>
        </w:tc>
      </w:t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 0</w:t>
            </w:r>
          </w:p>
        </w:tc>
      </w:tr>
      <w:tr>
        <w:trPr>
          <w:trHeight w:val="414"/>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(ii) Shared power to vote or direct the vote</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2,272,517</w:t>
            </w:r>
          </w:p>
        </w:tc>
      </w:t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 2,272,517</w:t>
            </w:r>
          </w:p>
        </w:tc>
      </w:tr>
      <w:tr>
        <w:trPr>
          <w:trHeight w:val="414"/>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(iii) sole power to dispose or direct the disposition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0</w:t>
            </w:r>
          </w:p>
        </w:tc>
      </w:t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 0</w:t>
            </w:r>
          </w:p>
        </w:tc>
      </w:tr>
      <w:tr>
        <w:trPr>
          <w:trHeight w:val="414"/>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2,272,517</w:t>
            </w:r>
          </w:p>
        </w:tc>
      </w:t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 2,272,517</w:t>
            </w: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GASLOG PARTNERS LP (Issuer)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27" w:lineRule="exact"/>
        <w:rPr>
          <w:sz w:val="20"/>
          <w:szCs w:val="20"/>
          <w:color w:val="auto"/>
        </w:rPr>
      </w:pPr>
    </w:p>
    <w:p>
      <w:pPr>
        <w:jc w:val="both"/>
        <w:ind w:left="820"/>
        <w:spacing w:after="0" w:line="217"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4" w:lineRule="exact"/>
        <w:rPr>
          <w:sz w:val="20"/>
          <w:szCs w:val="20"/>
          <w:color w:val="auto"/>
        </w:rPr>
      </w:pPr>
    </w:p>
    <w:p>
      <w:pPr>
        <w:ind w:left="820" w:right="1060" w:hanging="809"/>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Not applicable.</w:t>
      </w:r>
    </w:p>
    <w:p>
      <w:pPr>
        <w:spacing w:after="0" w:line="1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w:t>
      </w:r>
    </w:p>
    <w:p>
      <w:pPr>
        <w:spacing w:after="0" w:line="27" w:lineRule="exact"/>
        <w:rPr>
          <w:sz w:val="20"/>
          <w:szCs w:val="20"/>
          <w:color w:val="auto"/>
        </w:rPr>
      </w:pPr>
    </w:p>
    <w:p>
      <w:pPr>
        <w:jc w:val="both"/>
        <w:ind w:left="820" w:right="20"/>
        <w:spacing w:after="0" w:line="255" w:lineRule="auto"/>
        <w:rPr>
          <w:sz w:val="20"/>
          <w:szCs w:val="20"/>
          <w:color w:val="auto"/>
        </w:rPr>
      </w:pPr>
      <w:r>
        <w:rPr>
          <w:rFonts w:ascii="Times New Roman" w:cs="Times New Roman" w:eastAsia="Times New Roman" w:hAnsi="Times New Roman"/>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35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GASLOG PARTNERS LP (Issuer)</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52" w:lineRule="exact"/>
        <w:rPr>
          <w:sz w:val="20"/>
          <w:szCs w:val="20"/>
          <w:color w:val="auto"/>
        </w:rPr>
      </w:pPr>
    </w:p>
    <w:p>
      <w:pPr>
        <w:jc w:val="center"/>
        <w:ind w:right="5340"/>
        <w:spacing w:after="0"/>
        <w:rPr>
          <w:sz w:val="20"/>
          <w:szCs w:val="20"/>
          <w:color w:val="auto"/>
        </w:rPr>
      </w:pPr>
      <w:r>
        <w:rPr>
          <w:rFonts w:ascii="Times New Roman" w:cs="Times New Roman" w:eastAsia="Times New Roman" w:hAnsi="Times New Roman"/>
          <w:sz w:val="18"/>
          <w:szCs w:val="18"/>
          <w:color w:val="auto"/>
        </w:rPr>
        <w:t>January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340"/>
        <w:spacing w:after="0"/>
        <w:rPr>
          <w:sz w:val="20"/>
          <w:szCs w:val="20"/>
          <w:color w:val="auto"/>
        </w:rPr>
      </w:pPr>
      <w:r>
        <w:rPr>
          <w:rFonts w:ascii="Times New Roman" w:cs="Times New Roman" w:eastAsia="Times New Roman" w:hAnsi="Times New Roman"/>
          <w:sz w:val="18"/>
          <w:szCs w:val="18"/>
          <w:color w:val="auto"/>
        </w:rPr>
        <w:t>Date</w:t>
      </w:r>
    </w:p>
    <w:p>
      <w:pPr>
        <w:spacing w:after="0" w:line="252" w:lineRule="exact"/>
        <w:rPr>
          <w:sz w:val="20"/>
          <w:szCs w:val="20"/>
          <w:color w:val="auto"/>
        </w:rPr>
      </w:pPr>
    </w:p>
    <w:p>
      <w:pPr>
        <w:jc w:val="center"/>
        <w:ind w:right="5340"/>
        <w:spacing w:after="0"/>
        <w:rPr>
          <w:sz w:val="20"/>
          <w:szCs w:val="20"/>
          <w:color w:val="auto"/>
        </w:rPr>
      </w:pPr>
      <w:r>
        <w:rPr>
          <w:rFonts w:ascii="Times New Roman" w:cs="Times New Roman" w:eastAsia="Times New Roman" w:hAnsi="Times New Roman"/>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340"/>
        <w:spacing w:after="0"/>
        <w:rPr>
          <w:sz w:val="20"/>
          <w:szCs w:val="20"/>
          <w:color w:val="auto"/>
        </w:rPr>
      </w:pPr>
      <w:r>
        <w:rPr>
          <w:rFonts w:ascii="Times New Roman" w:cs="Times New Roman" w:eastAsia="Times New Roman" w:hAnsi="Times New Roman"/>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KAYNE ANDERSON CAPITAL ADVISORS, L.P.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Kayne Anderson Investment Management, Inc.</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 DAVID J. SHLADOVSKY</w:t>
            </w:r>
          </w:p>
        </w:tc>
      </w:tr>
      <w:tr>
        <w:trPr>
          <w:trHeight w:val="234"/>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David J. Shladovsky, Secretary</w:t>
            </w:r>
          </w:p>
        </w:tc>
      </w:tr>
    </w:tbl>
    <w:p>
      <w:pPr>
        <w:spacing w:after="0" w:line="3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1" w:right="5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JOINT FILING AGREEMENT PURSUANT TO RULE 13d-1(f)(1)</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207"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January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Date</w:t>
      </w:r>
    </w:p>
    <w:p>
      <w:pPr>
        <w:spacing w:after="0" w:line="252"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KAYNE ANDERSON CAPITAL ADVISORS, L.P.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Kayne Anderson Investment Management, Inc.</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DAVID J. SHLADOVSKY</w:t>
            </w:r>
          </w:p>
        </w:tc>
      </w:tr>
      <w:tr>
        <w:trPr>
          <w:trHeight w:val="234"/>
        </w:trPr>
        <w:tc>
          <w:tcPr>
            <w:tcW w:w="58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David J. Shladovsky, Secretary</w:t>
            </w:r>
          </w:p>
        </w:tc>
      </w:tr>
    </w:tbl>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3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(cover page)</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GASLOG PARTNERS LP (Issuer)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820" w:hanging="809"/>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Box 9.</w:t>
      </w:r>
      <w:r>
        <w:rPr>
          <w:sz w:val="20"/>
          <w:szCs w:val="20"/>
          <w:color w:val="auto"/>
        </w:rPr>
        <w:tab/>
      </w:r>
      <w:r>
        <w:rPr>
          <w:rFonts w:ascii="Times New Roman" w:cs="Times New Roman" w:eastAsia="Times New Roman" w:hAnsi="Times New Roman"/>
          <w:sz w:val="18"/>
          <w:szCs w:val="18"/>
          <w:color w:val="auto"/>
        </w:rPr>
        <w:t>The reported units are owned by investment accounts (investment limited partnerships, a registered investment company and institutional accounts) managed, with discretion to purchase or sell securities, by Kayne Anderson Capital Advisors, L.P., as a registered investment adviser.</w:t>
      </w:r>
    </w:p>
    <w:p>
      <w:pPr>
        <w:spacing w:after="0" w:line="189"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Kayne Anderson Capital Advisors, L.P. is the general partner (or general partner of the general partner) of the limited partnerships and investment adviser to the other accounts. Richard A. Kayne is the controlling shareholder of the corporate owner of Kayne Anderson Investment Management, Inc., the general partner of Kayne Anderson Capital Advisors, L.P. Mr. Kayne is also a limited partner of each of the limited partnerships and a shareholder of the registered investment company. Kayne Anderson Capital Advisors, L.P. disclaims beneficial ownership of the units reported, except those units attributable to it by virtue of its general partner interests in the limited partnerships. Mr. Kayne disclaims beneficial ownership of the units reported, except those units held by him or attributable to him by virtue of his limited partnership interests in the limited partnerships, his indirect interest in the interest of Kayne Anderson Capital Advisors, L.P. in the limited partnerships, and his ownership of common stock of the registered investment company.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UNDERTAKING</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jointly to file the attached Statement of Beneficial Ownership on Schedule 13G with the U.S. Securities Exchange Commission and GasLog Partners, 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January 8, 2018</w:t>
      </w:r>
    </w:p>
    <w:p>
      <w:pPr>
        <w:spacing w:after="0" w:line="252"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KAYNE ANDERSON CAPITAL ADVISORS, L.P.</w:t>
      </w:r>
    </w:p>
    <w:p>
      <w:pPr>
        <w:spacing w:after="0" w:line="225" w:lineRule="exact"/>
        <w:rPr>
          <w:sz w:val="20"/>
          <w:szCs w:val="20"/>
          <w:color w:val="auto"/>
        </w:rPr>
      </w:pPr>
    </w:p>
    <w:p>
      <w:pPr>
        <w:jc w:val="center"/>
        <w:ind w:right="7420"/>
        <w:spacing w:after="0"/>
        <w:tabs>
          <w:tab w:leader="none" w:pos="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Kayne Anderson Investment Management, Inc.</w:t>
      </w:r>
    </w:p>
    <w:p>
      <w:pPr>
        <w:spacing w:after="0" w:line="225" w:lineRule="exact"/>
        <w:rPr>
          <w:sz w:val="20"/>
          <w:szCs w:val="20"/>
          <w:color w:val="auto"/>
        </w:rPr>
      </w:pPr>
    </w:p>
    <w:p>
      <w:pPr>
        <w:jc w:val="both"/>
        <w:ind w:left="580"/>
        <w:spacing w:after="0"/>
        <w:tabs>
          <w:tab w:leader="none" w:pos="1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28987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right"/>
        <w:ind w:right="8020"/>
        <w:spacing w:after="0"/>
        <w:rPr>
          <w:sz w:val="20"/>
          <w:szCs w:val="20"/>
          <w:color w:val="auto"/>
        </w:rPr>
      </w:pPr>
      <w:r>
        <w:rPr>
          <w:rFonts w:ascii="Times New Roman" w:cs="Times New Roman" w:eastAsia="Times New Roman" w:hAnsi="Times New Roman"/>
          <w:sz w:val="18"/>
          <w:szCs w:val="18"/>
          <w:color w:val="auto"/>
        </w:rPr>
        <w:t>David J. Shladovsky, Secretary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2019-12-08T10:52:00Z</dcterms:created>
  <dcterms:modified xsi:type="dcterms:W3CDTF">2019-12-08T10:52:00Z</dcterms:modified>
</cp:coreProperties>
</file>