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215238d2_6k.htm"/>
      <w:bookmarkStart w:id="1" w:name="kstm2215238d2_6k"/>
      <w:bookmarkEnd w:id="0"/>
      <w:bookmarkEnd w:id="1"/>
      <w:r>
        <w:rPr/>
        <w:t> </w:t>
      </w:r>
    </w:p>
    <w:p>
      <w:pPr>
        <w:pStyle w:val="TextBody"/>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UNITED STATES</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15d-16 UNDER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May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001-36433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GasLog Partners LP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GasLog LNG Services Ltd.</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Akti Miaouli 18537</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Piraeus Greece</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issued by GasLog Partners LP. on May 13, 2022 confirming the Series A, B and C Preference Units payable on June 15, 2022 is attached hereto as Exhibit 99.1.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INCORPORATION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LIST</w:t>
      </w:r>
    </w:p>
    <w:p>
      <w:pPr>
        <w:pStyle w:val="TextBody"/>
        <w:spacing w:before="0" w:after="0"/>
        <w:ind w:left="0" w:right="0" w:hanging="0"/>
        <w:rPr>
          <w:caps w:val="false"/>
          <w:smallCaps w:val="false"/>
        </w:rPr>
      </w:pPr>
      <w:r>
        <w:rPr>
          <w:caps w:val="false"/>
          <w:smallCaps w:val="false"/>
        </w:rPr>
        <w:t> </w:t>
      </w:r>
    </w:p>
    <w:tbl>
      <w:tblPr>
        <w:tblW w:w="3445" w:type="dxa"/>
        <w:jc w:val="left"/>
        <w:tblInd w:w="0" w:type="dxa"/>
        <w:tblCellMar>
          <w:top w:w="0" w:type="dxa"/>
          <w:left w:w="0" w:type="dxa"/>
          <w:bottom w:w="0" w:type="dxa"/>
          <w:right w:w="0" w:type="dxa"/>
        </w:tblCellMar>
      </w:tblPr>
      <w:tblGrid>
        <w:gridCol w:w="650"/>
        <w:gridCol w:w="2795"/>
      </w:tblGrid>
      <w:tr>
        <w:trPr/>
        <w:tc>
          <w:tcPr>
            <w:tcW w:w="6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tc>
        <w:tc>
          <w:tcPr>
            <w:tcW w:w="27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650" w:type="dxa"/>
            <w:tcBorders/>
            <w:shd w:fill="auto" w:val="clear"/>
            <w:vAlign w:val="center"/>
          </w:tcPr>
          <w:p>
            <w:pPr>
              <w:pStyle w:val="TableContents"/>
              <w:spacing w:before="0" w:after="283"/>
              <w:rPr>
                <w:caps w:val="false"/>
                <w:smallCaps w:val="false"/>
              </w:rPr>
            </w:pPr>
            <w:r>
              <w:rPr>
                <w:caps w:val="false"/>
                <w:smallCaps w:val="false"/>
              </w:rPr>
              <w:t> </w:t>
            </w:r>
          </w:p>
        </w:tc>
        <w:tc>
          <w:tcPr>
            <w:tcW w:w="27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50" w:type="dxa"/>
            <w:tcBorders/>
            <w:shd w:fill="auto" w:val="clear"/>
            <w:vAlign w:val="center"/>
          </w:tcPr>
          <w:p>
            <w:pPr>
              <w:pStyle w:val="TableContents"/>
              <w:spacing w:before="0" w:after="283"/>
              <w:rPr/>
            </w:pPr>
            <w:hyperlink w:anchor="tm2215238d2_ex99-1.htm">
              <w:r>
                <w:rPr>
                  <w:rStyle w:val="InternetLink"/>
                  <w:rFonts w:ascii="Times New Roman;Times;Serif" w:hAnsi="Times New Roman;Times;Serif"/>
                  <w:b w:val="false"/>
                  <w:i w:val="false"/>
                  <w:caps w:val="false"/>
                  <w:smallCaps w:val="false"/>
                  <w:sz w:val="20"/>
                </w:rPr>
                <w:t>99.1</w:t>
              </w:r>
            </w:hyperlink>
          </w:p>
        </w:tc>
        <w:tc>
          <w:tcPr>
            <w:tcW w:w="2795" w:type="dxa"/>
            <w:tcBorders/>
            <w:shd w:fill="auto" w:val="clear"/>
            <w:vAlign w:val="center"/>
          </w:tcPr>
          <w:p>
            <w:pPr>
              <w:pStyle w:val="TableContents"/>
              <w:spacing w:before="0" w:after="283"/>
              <w:rPr/>
            </w:pPr>
            <w:hyperlink w:anchor="tm2215238d2_ex99-1.htm">
              <w:r>
                <w:rPr>
                  <w:rStyle w:val="InternetLink"/>
                  <w:rFonts w:ascii="Times New Roman;Times;Serif" w:hAnsi="Times New Roman;Times;Serif"/>
                  <w:b w:val="false"/>
                  <w:i w:val="false"/>
                  <w:caps w:val="false"/>
                  <w:smallCaps w:val="false"/>
                  <w:sz w:val="20"/>
                </w:rPr>
                <w:t>Press Release dated May 13, 2022</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tbl>
      <w:tblPr>
        <w:tblW w:w="4550" w:type="dxa"/>
        <w:jc w:val="left"/>
        <w:tblInd w:w="0" w:type="dxa"/>
        <w:tblCellMar>
          <w:top w:w="0" w:type="dxa"/>
          <w:left w:w="0" w:type="dxa"/>
          <w:bottom w:w="0" w:type="dxa"/>
          <w:right w:w="0" w:type="dxa"/>
        </w:tblCellMar>
      </w:tblPr>
      <w:tblGrid>
        <w:gridCol w:w="1655"/>
        <w:gridCol w:w="60"/>
        <w:gridCol w:w="290"/>
        <w:gridCol w:w="590"/>
        <w:gridCol w:w="1955"/>
      </w:tblGrid>
      <w:tr>
        <w:trPr/>
        <w:tc>
          <w:tcPr>
            <w:tcW w:w="16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May 13, 2022</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2895" w:type="dxa"/>
            <w:gridSpan w:val="4"/>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GASLOG PARTNERS LP,</w:t>
            </w:r>
          </w:p>
        </w:tc>
      </w:tr>
      <w:tr>
        <w:trPr/>
        <w:tc>
          <w:tcPr>
            <w:tcW w:w="1655" w:type="dxa"/>
            <w:tcBorders/>
            <w:shd w:fill="auto" w:val="clear"/>
            <w:vAlign w:val="center"/>
          </w:tcPr>
          <w:p>
            <w:pPr>
              <w:pStyle w:val="TableContents"/>
              <w:spacing w:before="0" w:after="283"/>
              <w:rPr/>
            </w:pPr>
            <w:r>
              <w:rPr/>
              <w:t> </w:t>
            </w:r>
          </w:p>
        </w:tc>
        <w:tc>
          <w:tcPr>
            <w:tcW w:w="2895" w:type="dxa"/>
            <w:gridSpan w:val="4"/>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r>
              <w:rPr>
                <w:rFonts w:ascii="Times New Roman;Times;Serif" w:hAnsi="Times New Roman;Times;Serif"/>
                <w:sz w:val="20"/>
              </w:rPr>
              <w:t>by</w:t>
            </w:r>
          </w:p>
        </w:tc>
        <w:tc>
          <w:tcPr>
            <w:tcW w:w="2545"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Paolo Enoizi</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2545"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w:t>
            </w:r>
          </w:p>
        </w:tc>
        <w:tc>
          <w:tcPr>
            <w:tcW w:w="19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Paolo Enoizi</w:t>
            </w:r>
          </w:p>
        </w:tc>
      </w:tr>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w:t>
            </w:r>
          </w:p>
        </w:tc>
        <w:tc>
          <w:tcPr>
            <w:tcW w:w="19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jc w:val="right"/>
        <w:rPr>
          <w:caps w:val="false"/>
          <w:smallCaps w:val="false"/>
        </w:rPr>
      </w:pPr>
      <w:r>
        <w:rPr>
          <w:caps w:val="false"/>
          <w:smallCaps w:val="false"/>
        </w:rPr>
        <w:t> </w:t>
      </w:r>
      <w:r>
        <w:br w:type="page"/>
      </w:r>
    </w:p>
    <w:p>
      <w:pPr>
        <w:pStyle w:val="TextBody"/>
        <w:spacing w:before="0" w:after="0"/>
        <w:ind w:left="0" w:right="0" w:hanging="0"/>
        <w:rPr/>
      </w:pPr>
      <w:bookmarkStart w:id="2" w:name="tm2215238d2_ex99-1.htm"/>
      <w:bookmarkStart w:id="3" w:name="kstm2215238d2_ex991"/>
      <w:bookmarkEnd w:id="2"/>
      <w:bookmarkEnd w:id="3"/>
      <w:r>
        <w:rPr/>
        <w:t> </w:t>
      </w:r>
    </w:p>
    <w:p>
      <w:pPr>
        <w:pStyle w:val="TextBody"/>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99.1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GasLog Partners LP Declares Distributions on Series A, B and C Preference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Majuro, Marshall Islands, May 13, 2022</w:t>
      </w:r>
      <w:r>
        <w:rPr>
          <w:rFonts w:ascii="Arial;Helvetica;Sans-Serif" w:hAnsi="Arial;Helvetica;Sans-Serif"/>
          <w:b w:val="false"/>
          <w:i w:val="false"/>
          <w:caps w:val="false"/>
          <w:smallCaps w:val="false"/>
          <w:sz w:val="20"/>
        </w:rPr>
        <w:t xml:space="preserve"> — GasLog Partners LP (“GasLog Partners” or the “Partnership”) (NYSE: GLOP) today announced the quarterly distributions on its preference units as follows: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40" w:type="dxa"/>
          <w:left w:w="108" w:type="dxa"/>
          <w:bottom w:w="28" w:type="dxa"/>
          <w:right w:w="108" w:type="dxa"/>
        </w:tblCellMar>
      </w:tblPr>
      <w:tblGrid>
        <w:gridCol w:w="5847"/>
        <w:gridCol w:w="2198"/>
        <w:gridCol w:w="996"/>
        <w:gridCol w:w="1164"/>
      </w:tblGrid>
      <w:tr>
        <w:trPr/>
        <w:tc>
          <w:tcPr>
            <w:tcW w:w="584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pPr>
            <w:r>
              <w:rPr/>
              <w:t> </w:t>
            </w:r>
          </w:p>
        </w:tc>
        <w:tc>
          <w:tcPr>
            <w:tcW w:w="219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Arial;Helvetica;Sans-Serif" w:hAnsi="Arial;Helvetica;Sans-Serif"/>
                <w:b/>
                <w:sz w:val="20"/>
              </w:rPr>
            </w:pPr>
            <w:r>
              <w:rPr>
                <w:rFonts w:ascii="Arial;Helvetica;Sans-Serif" w:hAnsi="Arial;Helvetica;Sans-Serif"/>
                <w:b/>
                <w:sz w:val="20"/>
              </w:rPr>
              <w:t>Distribution</w:t>
            </w:r>
          </w:p>
        </w:tc>
        <w:tc>
          <w:tcPr>
            <w:tcW w:w="996"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Arial;Helvetica;Sans-Serif" w:hAnsi="Arial;Helvetica;Sans-Serif"/>
                <w:b/>
                <w:sz w:val="20"/>
              </w:rPr>
            </w:pPr>
            <w:r>
              <w:rPr>
                <w:rFonts w:ascii="Arial;Helvetica;Sans-Serif" w:hAnsi="Arial;Helvetica;Sans-Serif"/>
                <w:b/>
                <w:sz w:val="20"/>
              </w:rPr>
              <w:t>Record Date</w:t>
            </w:r>
          </w:p>
        </w:tc>
        <w:tc>
          <w:tcPr>
            <w:tcW w:w="1164"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Arial;Helvetica;Sans-Serif" w:hAnsi="Arial;Helvetica;Sans-Serif"/>
                <w:b/>
                <w:sz w:val="20"/>
              </w:rPr>
            </w:pPr>
            <w:r>
              <w:rPr>
                <w:rFonts w:ascii="Arial;Helvetica;Sans-Serif" w:hAnsi="Arial;Helvetica;Sans-Serif"/>
                <w:b/>
                <w:sz w:val="20"/>
              </w:rPr>
              <w:t>Payment Date</w:t>
            </w:r>
          </w:p>
        </w:tc>
      </w:tr>
      <w:tr>
        <w:trPr/>
        <w:tc>
          <w:tcPr>
            <w:tcW w:w="5847" w:type="dxa"/>
            <w:tcBorders>
              <w:left w:val="single" w:sz="8" w:space="0" w:color="000000"/>
              <w:bottom w:val="single" w:sz="8" w:space="0" w:color="000000"/>
              <w:right w:val="single" w:sz="8" w:space="0" w:color="000000"/>
            </w:tcBorders>
            <w:shd w:fill="auto" w:val="clear"/>
            <w:tcMar>
              <w:top w:w="0" w:type="dxa"/>
              <w:bottom w:w="100" w:type="dxa"/>
            </w:tcMar>
            <w:vAlign w:val="center"/>
          </w:tcPr>
          <w:p>
            <w:pPr>
              <w:pStyle w:val="TableContents"/>
              <w:spacing w:before="0" w:after="283"/>
              <w:rPr>
                <w:rFonts w:ascii="Arial;Helvetica;Sans-Serif" w:hAnsi="Arial;Helvetica;Sans-Serif"/>
                <w:sz w:val="20"/>
              </w:rPr>
            </w:pPr>
            <w:r>
              <w:rPr>
                <w:rFonts w:ascii="Arial;Helvetica;Sans-Serif" w:hAnsi="Arial;Helvetica;Sans-Serif"/>
                <w:sz w:val="20"/>
              </w:rPr>
              <w:t>8.625% Series A Cumulative Redeemable Perpetual Fixed to Floating Rate Preference Units</w:t>
            </w:r>
          </w:p>
        </w:tc>
        <w:tc>
          <w:tcPr>
            <w:tcW w:w="2198" w:type="dxa"/>
            <w:tcBorders>
              <w:bottom w:val="single" w:sz="8" w:space="0" w:color="000000"/>
              <w:right w:val="single" w:sz="8" w:space="0" w:color="000000"/>
            </w:tcBorders>
            <w:shd w:fill="auto" w:val="clear"/>
            <w:tcMar>
              <w:top w:w="0" w:type="dxa"/>
              <w:left w:w="0" w:type="dxa"/>
              <w:bottom w:w="100" w:type="dxa"/>
            </w:tcMar>
            <w:vAlign w:val="center"/>
          </w:tcPr>
          <w:p>
            <w:pPr>
              <w:pStyle w:val="TableContents"/>
              <w:spacing w:before="0" w:after="283"/>
              <w:rPr>
                <w:rFonts w:ascii="Arial;Helvetica;Sans-Serif" w:hAnsi="Arial;Helvetica;Sans-Serif"/>
                <w:sz w:val="20"/>
              </w:rPr>
            </w:pPr>
            <w:r>
              <w:rPr>
                <w:rFonts w:ascii="Arial;Helvetica;Sans-Serif" w:hAnsi="Arial;Helvetica;Sans-Serif"/>
                <w:sz w:val="20"/>
              </w:rPr>
              <w:t>$0.5390625 per preference unit</w:t>
            </w:r>
          </w:p>
        </w:tc>
        <w:tc>
          <w:tcPr>
            <w:tcW w:w="996" w:type="dxa"/>
            <w:tcBorders>
              <w:bottom w:val="single" w:sz="8" w:space="0" w:color="000000"/>
              <w:right w:val="single" w:sz="8" w:space="0" w:color="000000"/>
            </w:tcBorders>
            <w:shd w:fill="auto" w:val="clear"/>
            <w:tcMar>
              <w:top w:w="0" w:type="dxa"/>
              <w:left w:w="0" w:type="dxa"/>
              <w:bottom w:w="100" w:type="dxa"/>
            </w:tcMar>
            <w:vAlign w:val="center"/>
          </w:tcPr>
          <w:p>
            <w:pPr>
              <w:pStyle w:val="TableContents"/>
              <w:spacing w:before="0" w:after="283"/>
              <w:rPr>
                <w:rFonts w:ascii="Arial;Helvetica;Sans-Serif" w:hAnsi="Arial;Helvetica;Sans-Serif"/>
                <w:sz w:val="20"/>
              </w:rPr>
            </w:pPr>
            <w:r>
              <w:rPr>
                <w:rFonts w:ascii="Arial;Helvetica;Sans-Serif" w:hAnsi="Arial;Helvetica;Sans-Serif"/>
                <w:sz w:val="20"/>
              </w:rPr>
              <w:t>June 8, 2022</w:t>
            </w:r>
          </w:p>
        </w:tc>
        <w:tc>
          <w:tcPr>
            <w:tcW w:w="1164" w:type="dxa"/>
            <w:tcBorders>
              <w:bottom w:val="single" w:sz="8" w:space="0" w:color="000000"/>
              <w:right w:val="single" w:sz="8" w:space="0" w:color="000000"/>
            </w:tcBorders>
            <w:shd w:fill="auto" w:val="clear"/>
            <w:tcMar>
              <w:top w:w="0" w:type="dxa"/>
              <w:left w:w="0" w:type="dxa"/>
              <w:bottom w:w="100" w:type="dxa"/>
            </w:tcMar>
            <w:vAlign w:val="center"/>
          </w:tcPr>
          <w:p>
            <w:pPr>
              <w:pStyle w:val="TableContents"/>
              <w:spacing w:before="0" w:after="283"/>
              <w:rPr>
                <w:rFonts w:ascii="Arial;Helvetica;Sans-Serif" w:hAnsi="Arial;Helvetica;Sans-Serif"/>
                <w:sz w:val="20"/>
              </w:rPr>
            </w:pPr>
            <w:r>
              <w:rPr>
                <w:rFonts w:ascii="Arial;Helvetica;Sans-Serif" w:hAnsi="Arial;Helvetica;Sans-Serif"/>
                <w:sz w:val="20"/>
              </w:rPr>
              <w:t>June 15, 2022</w:t>
            </w:r>
          </w:p>
        </w:tc>
      </w:tr>
      <w:tr>
        <w:trPr/>
        <w:tc>
          <w:tcPr>
            <w:tcW w:w="5847" w:type="dxa"/>
            <w:tcBorders>
              <w:left w:val="single" w:sz="8" w:space="0" w:color="000000"/>
              <w:bottom w:val="single" w:sz="8" w:space="0" w:color="000000"/>
              <w:right w:val="single" w:sz="8" w:space="0" w:color="000000"/>
            </w:tcBorders>
            <w:shd w:fill="auto" w:val="clear"/>
            <w:tcMar>
              <w:top w:w="0" w:type="dxa"/>
              <w:bottom w:w="100" w:type="dxa"/>
            </w:tcMar>
            <w:vAlign w:val="center"/>
          </w:tcPr>
          <w:p>
            <w:pPr>
              <w:pStyle w:val="TableContents"/>
              <w:spacing w:before="0" w:after="283"/>
              <w:rPr>
                <w:rFonts w:ascii="Arial;Helvetica;Sans-Serif" w:hAnsi="Arial;Helvetica;Sans-Serif"/>
                <w:sz w:val="20"/>
              </w:rPr>
            </w:pPr>
            <w:r>
              <w:rPr>
                <w:rFonts w:ascii="Arial;Helvetica;Sans-Serif" w:hAnsi="Arial;Helvetica;Sans-Serif"/>
                <w:sz w:val="20"/>
              </w:rPr>
              <w:t>8.200% Series B Cumulative Redeemable Perpetual Fixed to Floating Rate Preference Units</w:t>
            </w:r>
          </w:p>
        </w:tc>
        <w:tc>
          <w:tcPr>
            <w:tcW w:w="2198" w:type="dxa"/>
            <w:tcBorders>
              <w:bottom w:val="single" w:sz="8" w:space="0" w:color="000000"/>
              <w:right w:val="single" w:sz="8" w:space="0" w:color="000000"/>
            </w:tcBorders>
            <w:shd w:fill="auto" w:val="clear"/>
            <w:tcMar>
              <w:top w:w="0" w:type="dxa"/>
              <w:left w:w="0" w:type="dxa"/>
              <w:bottom w:w="100" w:type="dxa"/>
            </w:tcMar>
            <w:vAlign w:val="center"/>
          </w:tcPr>
          <w:p>
            <w:pPr>
              <w:pStyle w:val="TableContents"/>
              <w:spacing w:before="0" w:after="283"/>
              <w:rPr>
                <w:rFonts w:ascii="Arial;Helvetica;Sans-Serif" w:hAnsi="Arial;Helvetica;Sans-Serif"/>
                <w:sz w:val="20"/>
              </w:rPr>
            </w:pPr>
            <w:r>
              <w:rPr>
                <w:rFonts w:ascii="Arial;Helvetica;Sans-Serif" w:hAnsi="Arial;Helvetica;Sans-Serif"/>
                <w:sz w:val="20"/>
              </w:rPr>
              <w:t>$0.5125 per preference unit</w:t>
            </w:r>
          </w:p>
        </w:tc>
        <w:tc>
          <w:tcPr>
            <w:tcW w:w="996" w:type="dxa"/>
            <w:tcBorders>
              <w:bottom w:val="single" w:sz="8" w:space="0" w:color="000000"/>
              <w:right w:val="single" w:sz="8" w:space="0" w:color="000000"/>
            </w:tcBorders>
            <w:shd w:fill="auto" w:val="clear"/>
            <w:tcMar>
              <w:top w:w="0" w:type="dxa"/>
              <w:left w:w="0" w:type="dxa"/>
              <w:bottom w:w="100" w:type="dxa"/>
            </w:tcMar>
            <w:vAlign w:val="center"/>
          </w:tcPr>
          <w:p>
            <w:pPr>
              <w:pStyle w:val="TableContents"/>
              <w:spacing w:before="0" w:after="283"/>
              <w:rPr>
                <w:rFonts w:ascii="Arial;Helvetica;Sans-Serif" w:hAnsi="Arial;Helvetica;Sans-Serif"/>
                <w:sz w:val="20"/>
              </w:rPr>
            </w:pPr>
            <w:r>
              <w:rPr>
                <w:rFonts w:ascii="Arial;Helvetica;Sans-Serif" w:hAnsi="Arial;Helvetica;Sans-Serif"/>
                <w:sz w:val="20"/>
              </w:rPr>
              <w:t>June 8, 2022</w:t>
            </w:r>
          </w:p>
        </w:tc>
        <w:tc>
          <w:tcPr>
            <w:tcW w:w="1164" w:type="dxa"/>
            <w:tcBorders>
              <w:bottom w:val="single" w:sz="8" w:space="0" w:color="000000"/>
              <w:right w:val="single" w:sz="8" w:space="0" w:color="000000"/>
            </w:tcBorders>
            <w:shd w:fill="auto" w:val="clear"/>
            <w:tcMar>
              <w:top w:w="0" w:type="dxa"/>
              <w:left w:w="0" w:type="dxa"/>
              <w:bottom w:w="100" w:type="dxa"/>
            </w:tcMar>
            <w:vAlign w:val="center"/>
          </w:tcPr>
          <w:p>
            <w:pPr>
              <w:pStyle w:val="TableContents"/>
              <w:spacing w:before="0" w:after="283"/>
              <w:rPr>
                <w:rFonts w:ascii="Arial;Helvetica;Sans-Serif" w:hAnsi="Arial;Helvetica;Sans-Serif"/>
                <w:sz w:val="20"/>
              </w:rPr>
            </w:pPr>
            <w:r>
              <w:rPr>
                <w:rFonts w:ascii="Arial;Helvetica;Sans-Serif" w:hAnsi="Arial;Helvetica;Sans-Serif"/>
                <w:sz w:val="20"/>
              </w:rPr>
              <w:t>June 15, 2022</w:t>
            </w:r>
          </w:p>
        </w:tc>
      </w:tr>
      <w:tr>
        <w:trPr/>
        <w:tc>
          <w:tcPr>
            <w:tcW w:w="5847" w:type="dxa"/>
            <w:tcBorders>
              <w:left w:val="single" w:sz="8" w:space="0" w:color="000000"/>
              <w:bottom w:val="single" w:sz="8" w:space="0" w:color="000000"/>
              <w:right w:val="single" w:sz="8" w:space="0" w:color="000000"/>
            </w:tcBorders>
            <w:shd w:fill="auto" w:val="clear"/>
            <w:tcMar>
              <w:top w:w="0" w:type="dxa"/>
              <w:bottom w:w="100" w:type="dxa"/>
            </w:tcMar>
            <w:vAlign w:val="center"/>
          </w:tcPr>
          <w:p>
            <w:pPr>
              <w:pStyle w:val="TableContents"/>
              <w:spacing w:before="0" w:after="283"/>
              <w:rPr>
                <w:rFonts w:ascii="Arial;Helvetica;Sans-Serif" w:hAnsi="Arial;Helvetica;Sans-Serif"/>
                <w:sz w:val="20"/>
              </w:rPr>
            </w:pPr>
            <w:r>
              <w:rPr>
                <w:rFonts w:ascii="Arial;Helvetica;Sans-Serif" w:hAnsi="Arial;Helvetica;Sans-Serif"/>
                <w:sz w:val="20"/>
              </w:rPr>
              <w:t>8.500% Series C Cumulative Redeemable Perpetual Fixed to Floating Rate Preference Units</w:t>
            </w:r>
          </w:p>
        </w:tc>
        <w:tc>
          <w:tcPr>
            <w:tcW w:w="2198" w:type="dxa"/>
            <w:tcBorders>
              <w:bottom w:val="single" w:sz="8" w:space="0" w:color="000000"/>
              <w:right w:val="single" w:sz="8" w:space="0" w:color="000000"/>
            </w:tcBorders>
            <w:shd w:fill="auto" w:val="clear"/>
            <w:tcMar>
              <w:top w:w="0" w:type="dxa"/>
              <w:left w:w="0" w:type="dxa"/>
              <w:bottom w:w="100" w:type="dxa"/>
            </w:tcMar>
            <w:vAlign w:val="center"/>
          </w:tcPr>
          <w:p>
            <w:pPr>
              <w:pStyle w:val="TableContents"/>
              <w:spacing w:before="0" w:after="283"/>
              <w:rPr>
                <w:rFonts w:ascii="Arial;Helvetica;Sans-Serif" w:hAnsi="Arial;Helvetica;Sans-Serif"/>
                <w:sz w:val="20"/>
              </w:rPr>
            </w:pPr>
            <w:r>
              <w:rPr>
                <w:rFonts w:ascii="Arial;Helvetica;Sans-Serif" w:hAnsi="Arial;Helvetica;Sans-Serif"/>
                <w:sz w:val="20"/>
              </w:rPr>
              <w:t>$0.53125 per preference unit</w:t>
            </w:r>
          </w:p>
        </w:tc>
        <w:tc>
          <w:tcPr>
            <w:tcW w:w="996" w:type="dxa"/>
            <w:tcBorders>
              <w:bottom w:val="single" w:sz="8" w:space="0" w:color="000000"/>
              <w:right w:val="single" w:sz="8" w:space="0" w:color="000000"/>
            </w:tcBorders>
            <w:shd w:fill="auto" w:val="clear"/>
            <w:tcMar>
              <w:top w:w="0" w:type="dxa"/>
              <w:left w:w="0" w:type="dxa"/>
              <w:bottom w:w="100" w:type="dxa"/>
            </w:tcMar>
            <w:vAlign w:val="center"/>
          </w:tcPr>
          <w:p>
            <w:pPr>
              <w:pStyle w:val="TableContents"/>
              <w:spacing w:before="0" w:after="283"/>
              <w:rPr>
                <w:rFonts w:ascii="Arial;Helvetica;Sans-Serif" w:hAnsi="Arial;Helvetica;Sans-Serif"/>
                <w:sz w:val="20"/>
              </w:rPr>
            </w:pPr>
            <w:r>
              <w:rPr>
                <w:rFonts w:ascii="Arial;Helvetica;Sans-Serif" w:hAnsi="Arial;Helvetica;Sans-Serif"/>
                <w:sz w:val="20"/>
              </w:rPr>
              <w:t>June 8, 2022</w:t>
            </w:r>
          </w:p>
        </w:tc>
        <w:tc>
          <w:tcPr>
            <w:tcW w:w="1164" w:type="dxa"/>
            <w:tcBorders>
              <w:bottom w:val="single" w:sz="8" w:space="0" w:color="000000"/>
              <w:right w:val="single" w:sz="8" w:space="0" w:color="000000"/>
            </w:tcBorders>
            <w:shd w:fill="auto" w:val="clear"/>
            <w:tcMar>
              <w:top w:w="0" w:type="dxa"/>
              <w:left w:w="0" w:type="dxa"/>
              <w:bottom w:w="100" w:type="dxa"/>
            </w:tcMar>
            <w:vAlign w:val="center"/>
          </w:tcPr>
          <w:p>
            <w:pPr>
              <w:pStyle w:val="TableContents"/>
              <w:spacing w:before="0" w:after="283"/>
              <w:rPr>
                <w:rFonts w:ascii="Arial;Helvetica;Sans-Serif" w:hAnsi="Arial;Helvetica;Sans-Serif"/>
                <w:sz w:val="20"/>
              </w:rPr>
            </w:pPr>
            <w:r>
              <w:rPr>
                <w:rFonts w:ascii="Arial;Helvetica;Sans-Serif" w:hAnsi="Arial;Helvetica;Sans-Serif"/>
                <w:sz w:val="20"/>
              </w:rPr>
              <w:t>June 15, 2022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Contacts</w:t>
      </w:r>
      <w:r>
        <w:rPr>
          <w:rFonts w:ascii="Arial;Helvetica;Sans-Serif" w:hAnsi="Arial;Helvetica;San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Robert Brinberg</w:t>
      </w:r>
    </w:p>
    <w:p>
      <w:pPr>
        <w:pStyle w:val="TextBody"/>
        <w:spacing w:before="0" w:after="0"/>
        <w:ind w:left="36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Rose &amp; Company</w:t>
      </w:r>
    </w:p>
    <w:p>
      <w:pPr>
        <w:pStyle w:val="TextBody"/>
        <w:spacing w:before="0" w:after="0"/>
        <w:ind w:left="36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Phone: +1 212-517-0810</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Email: gaslog@roseandco.com</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About GasLog Partners</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GasLog Partners is a growth-oriented owner, operator and acquirer of LNG carriers. The Partnership’s fleet consists of 14 LNG wholly-owned carriers as well as one vessel on a bareboat charter,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http://www.gaslogmlp.com.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549</Words>
  <CharactersWithSpaces>3500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