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40" w:type="dxa"/>
            <w:vAlign w:val="bottom"/>
          </w:tcPr>
          <w:p>
            <w:pPr>
              <w:jc w:val="center"/>
              <w:ind w:left="610"/>
              <w:spacing w:after="0"/>
              <w:rPr>
                <w:sz w:val="20"/>
                <w:szCs w:val="20"/>
                <w:color w:val="auto"/>
              </w:rPr>
            </w:pPr>
            <w:r>
              <w:rPr>
                <w:rFonts w:ascii="Arial" w:cs="Arial" w:eastAsia="Arial" w:hAnsi="Arial"/>
                <w:sz w:val="18"/>
                <w:szCs w:val="18"/>
                <w:b w:val="1"/>
                <w:bCs w:val="1"/>
                <w:color w:val="auto"/>
                <w:w w:val="96"/>
              </w:rPr>
              <w:t>Form 6-K</w:t>
            </w:r>
          </w:p>
        </w:tc>
        <w:tc>
          <w:tcPr>
            <w:tcW w:w="740" w:type="dxa"/>
            <w:vAlign w:val="bottom"/>
          </w:tcPr>
          <w:p>
            <w:pPr>
              <w:spacing w:after="0"/>
              <w:rPr>
                <w:sz w:val="20"/>
                <w:szCs w:val="20"/>
                <w:color w:val="auto"/>
              </w:rPr>
            </w:pPr>
          </w:p>
        </w:tc>
      </w:tr>
      <w:tr>
        <w:trPr>
          <w:trHeight w:val="414"/>
        </w:trPr>
        <w:tc>
          <w:tcPr>
            <w:tcW w:w="1054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40" w:type="dxa"/>
            <w:vAlign w:val="bottom"/>
          </w:tcPr>
          <w:p>
            <w:pPr>
              <w:spacing w:after="0"/>
              <w:rPr>
                <w:sz w:val="24"/>
                <w:szCs w:val="24"/>
                <w:color w:val="auto"/>
              </w:rPr>
            </w:pPr>
          </w:p>
        </w:tc>
      </w:tr>
      <w:tr>
        <w:trPr>
          <w:trHeight w:val="234"/>
        </w:trPr>
        <w:tc>
          <w:tcPr>
            <w:tcW w:w="10540" w:type="dxa"/>
            <w:vAlign w:val="bottom"/>
          </w:tcPr>
          <w:p>
            <w:pPr>
              <w:jc w:val="center"/>
              <w:ind w:left="610"/>
              <w:spacing w:after="0"/>
              <w:rPr>
                <w:sz w:val="20"/>
                <w:szCs w:val="20"/>
                <w:color w:val="auto"/>
              </w:rPr>
            </w:pPr>
            <w:r>
              <w:rPr>
                <w:rFonts w:ascii="Arial" w:cs="Arial" w:eastAsia="Arial" w:hAnsi="Arial"/>
                <w:sz w:val="18"/>
                <w:szCs w:val="18"/>
                <w:b w:val="1"/>
                <w:bCs w:val="1"/>
                <w:color w:val="auto"/>
                <w:w w:val="98"/>
              </w:rPr>
              <w:t>EXCHANGE ACT OF 1934</w:t>
            </w:r>
          </w:p>
        </w:tc>
        <w:tc>
          <w:tcPr>
            <w:tcW w:w="740" w:type="dxa"/>
            <w:vAlign w:val="bottom"/>
          </w:tcPr>
          <w:p>
            <w:pPr>
              <w:spacing w:after="0"/>
              <w:rPr>
                <w:sz w:val="20"/>
                <w:szCs w:val="20"/>
                <w:color w:val="auto"/>
              </w:rPr>
            </w:pPr>
          </w:p>
        </w:tc>
      </w:tr>
      <w:tr>
        <w:trPr>
          <w:trHeight w:val="432"/>
        </w:trPr>
        <w:tc>
          <w:tcPr>
            <w:tcW w:w="10540" w:type="dxa"/>
            <w:vAlign w:val="bottom"/>
          </w:tcPr>
          <w:p>
            <w:pPr>
              <w:spacing w:after="0"/>
              <w:rPr>
                <w:sz w:val="20"/>
                <w:szCs w:val="20"/>
                <w:color w:val="auto"/>
              </w:rPr>
            </w:pPr>
            <w:r>
              <w:rPr>
                <w:rFonts w:ascii="Arial" w:cs="Arial" w:eastAsia="Arial" w:hAnsi="Arial"/>
                <w:sz w:val="18"/>
                <w:szCs w:val="18"/>
                <w:color w:val="auto"/>
              </w:rPr>
              <w:t>For the month of May 2020</w:t>
            </w:r>
          </w:p>
        </w:tc>
        <w:tc>
          <w:tcPr>
            <w:tcW w:w="740" w:type="dxa"/>
            <w:vAlign w:val="bottom"/>
          </w:tcPr>
          <w:p>
            <w:pPr>
              <w:spacing w:after="0"/>
              <w:rPr>
                <w:sz w:val="24"/>
                <w:szCs w:val="24"/>
                <w:color w:val="auto"/>
              </w:rPr>
            </w:pPr>
          </w:p>
        </w:tc>
      </w:tr>
      <w:tr>
        <w:trPr>
          <w:trHeight w:val="432"/>
        </w:trPr>
        <w:tc>
          <w:tcPr>
            <w:tcW w:w="1054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740" w:type="dxa"/>
            <w:vAlign w:val="bottom"/>
          </w:tcPr>
          <w:p>
            <w:pPr>
              <w:spacing w:after="0"/>
              <w:rPr>
                <w:sz w:val="24"/>
                <w:szCs w:val="24"/>
                <w:color w:val="auto"/>
              </w:rPr>
            </w:pPr>
          </w:p>
        </w:tc>
      </w:tr>
      <w:tr>
        <w:trPr>
          <w:trHeight w:val="418"/>
        </w:trPr>
        <w:tc>
          <w:tcPr>
            <w:tcW w:w="10540" w:type="dxa"/>
            <w:vAlign w:val="bottom"/>
          </w:tcPr>
          <w:p>
            <w:pPr>
              <w:jc w:val="center"/>
              <w:ind w:left="610"/>
              <w:spacing w:after="0"/>
              <w:rPr>
                <w:sz w:val="20"/>
                <w:szCs w:val="20"/>
                <w:color w:val="auto"/>
              </w:rPr>
            </w:pPr>
            <w:r>
              <w:rPr>
                <w:rFonts w:ascii="Arial" w:cs="Arial" w:eastAsia="Arial" w:hAnsi="Arial"/>
                <w:sz w:val="18"/>
                <w:szCs w:val="18"/>
                <w:b w:val="1"/>
                <w:bCs w:val="1"/>
                <w:color w:val="auto"/>
                <w:w w:val="92"/>
              </w:rPr>
              <w:t>GasLog Partners LP</w:t>
            </w:r>
          </w:p>
        </w:tc>
        <w:tc>
          <w:tcPr>
            <w:tcW w:w="740" w:type="dxa"/>
            <w:vAlign w:val="bottom"/>
          </w:tcPr>
          <w:p>
            <w:pPr>
              <w:spacing w:after="0"/>
              <w:rPr>
                <w:sz w:val="24"/>
                <w:szCs w:val="24"/>
                <w:color w:val="auto"/>
              </w:rPr>
            </w:pPr>
          </w:p>
        </w:tc>
      </w:tr>
      <w:tr>
        <w:trPr>
          <w:trHeight w:val="230"/>
        </w:trPr>
        <w:tc>
          <w:tcPr>
            <w:tcW w:w="10540" w:type="dxa"/>
            <w:vAlign w:val="bottom"/>
          </w:tcPr>
          <w:p>
            <w:pPr>
              <w:jc w:val="center"/>
              <w:ind w:left="610"/>
              <w:spacing w:after="0"/>
              <w:rPr>
                <w:sz w:val="20"/>
                <w:szCs w:val="20"/>
                <w:color w:val="auto"/>
              </w:rPr>
            </w:pPr>
            <w:r>
              <w:rPr>
                <w:rFonts w:ascii="Arial" w:cs="Arial" w:eastAsia="Arial" w:hAnsi="Arial"/>
                <w:sz w:val="18"/>
                <w:szCs w:val="18"/>
                <w:color w:val="auto"/>
                <w:w w:val="91"/>
              </w:rPr>
              <w:t>(Translation of registrant’s name into English)</w:t>
            </w:r>
          </w:p>
        </w:tc>
        <w:tc>
          <w:tcPr>
            <w:tcW w:w="740" w:type="dxa"/>
            <w:vAlign w:val="bottom"/>
          </w:tcPr>
          <w:p>
            <w:pPr>
              <w:spacing w:after="0"/>
              <w:rPr>
                <w:sz w:val="20"/>
                <w:szCs w:val="20"/>
                <w:color w:val="auto"/>
              </w:rPr>
            </w:pPr>
          </w:p>
        </w:tc>
      </w:tr>
      <w:tr>
        <w:trPr>
          <w:trHeight w:val="418"/>
        </w:trPr>
        <w:tc>
          <w:tcPr>
            <w:tcW w:w="10540" w:type="dxa"/>
            <w:vAlign w:val="bottom"/>
          </w:tcPr>
          <w:p>
            <w:pPr>
              <w:jc w:val="center"/>
              <w:ind w:left="610"/>
              <w:spacing w:after="0"/>
              <w:rPr>
                <w:sz w:val="20"/>
                <w:szCs w:val="20"/>
                <w:color w:val="auto"/>
              </w:rPr>
            </w:pPr>
            <w:r>
              <w:rPr>
                <w:rFonts w:ascii="Arial" w:cs="Arial" w:eastAsia="Arial" w:hAnsi="Arial"/>
                <w:sz w:val="18"/>
                <w:szCs w:val="18"/>
                <w:color w:val="auto"/>
                <w:w w:val="92"/>
              </w:rPr>
              <w:t>c/o GasLog LNG Services Ltd.</w:t>
            </w:r>
          </w:p>
        </w:tc>
        <w:tc>
          <w:tcPr>
            <w:tcW w:w="740" w:type="dxa"/>
            <w:vAlign w:val="bottom"/>
          </w:tcPr>
          <w:p>
            <w:pPr>
              <w:spacing w:after="0"/>
              <w:rPr>
                <w:sz w:val="24"/>
                <w:szCs w:val="24"/>
                <w:color w:val="auto"/>
              </w:rPr>
            </w:pPr>
          </w:p>
        </w:tc>
      </w:tr>
      <w:tr>
        <w:trPr>
          <w:trHeight w:val="216"/>
        </w:trPr>
        <w:tc>
          <w:tcPr>
            <w:tcW w:w="10540" w:type="dxa"/>
            <w:vAlign w:val="bottom"/>
          </w:tcPr>
          <w:p>
            <w:pPr>
              <w:jc w:val="center"/>
              <w:ind w:left="630"/>
              <w:spacing w:after="0"/>
              <w:rPr>
                <w:sz w:val="20"/>
                <w:szCs w:val="20"/>
                <w:color w:val="auto"/>
              </w:rPr>
            </w:pPr>
            <w:r>
              <w:rPr>
                <w:rFonts w:ascii="Arial" w:cs="Arial" w:eastAsia="Arial" w:hAnsi="Arial"/>
                <w:sz w:val="18"/>
                <w:szCs w:val="18"/>
                <w:color w:val="auto"/>
                <w:w w:val="96"/>
              </w:rPr>
              <w:t>69 Akti Miaouli 18537</w:t>
            </w:r>
          </w:p>
        </w:tc>
        <w:tc>
          <w:tcPr>
            <w:tcW w:w="740" w:type="dxa"/>
            <w:vAlign w:val="bottom"/>
          </w:tcPr>
          <w:p>
            <w:pPr>
              <w:spacing w:after="0"/>
              <w:rPr>
                <w:sz w:val="18"/>
                <w:szCs w:val="18"/>
                <w:color w:val="auto"/>
              </w:rPr>
            </w:pPr>
          </w:p>
        </w:tc>
      </w:tr>
      <w:tr>
        <w:trPr>
          <w:trHeight w:val="216"/>
        </w:trPr>
        <w:tc>
          <w:tcPr>
            <w:tcW w:w="10540" w:type="dxa"/>
            <w:vAlign w:val="bottom"/>
          </w:tcPr>
          <w:p>
            <w:pPr>
              <w:jc w:val="center"/>
              <w:ind w:left="610"/>
              <w:spacing w:after="0"/>
              <w:rPr>
                <w:sz w:val="20"/>
                <w:szCs w:val="20"/>
                <w:color w:val="auto"/>
              </w:rPr>
            </w:pPr>
            <w:r>
              <w:rPr>
                <w:rFonts w:ascii="Arial" w:cs="Arial" w:eastAsia="Arial" w:hAnsi="Arial"/>
                <w:sz w:val="18"/>
                <w:szCs w:val="18"/>
                <w:color w:val="auto"/>
                <w:w w:val="86"/>
              </w:rPr>
              <w:t>Piraeus Greece</w:t>
            </w:r>
          </w:p>
        </w:tc>
        <w:tc>
          <w:tcPr>
            <w:tcW w:w="740" w:type="dxa"/>
            <w:vAlign w:val="bottom"/>
          </w:tcPr>
          <w:p>
            <w:pPr>
              <w:spacing w:after="0"/>
              <w:rPr>
                <w:sz w:val="18"/>
                <w:szCs w:val="18"/>
                <w:color w:val="auto"/>
              </w:rPr>
            </w:pPr>
          </w:p>
        </w:tc>
      </w:tr>
      <w:tr>
        <w:trPr>
          <w:trHeight w:val="230"/>
        </w:trPr>
        <w:tc>
          <w:tcPr>
            <w:tcW w:w="10540" w:type="dxa"/>
            <w:vAlign w:val="bottom"/>
          </w:tcPr>
          <w:p>
            <w:pPr>
              <w:jc w:val="center"/>
              <w:ind w:left="630"/>
              <w:spacing w:after="0"/>
              <w:rPr>
                <w:sz w:val="20"/>
                <w:szCs w:val="20"/>
                <w:color w:val="auto"/>
              </w:rPr>
            </w:pPr>
            <w:r>
              <w:rPr>
                <w:rFonts w:ascii="Arial" w:cs="Arial" w:eastAsia="Arial" w:hAnsi="Arial"/>
                <w:sz w:val="18"/>
                <w:szCs w:val="18"/>
                <w:color w:val="auto"/>
                <w:w w:val="92"/>
              </w:rPr>
              <w:t>(Address of principal executive office)</w:t>
            </w:r>
          </w:p>
        </w:tc>
        <w:tc>
          <w:tcPr>
            <w:tcW w:w="740" w:type="dxa"/>
            <w:vAlign w:val="bottom"/>
          </w:tcPr>
          <w:p>
            <w:pPr>
              <w:spacing w:after="0"/>
              <w:rPr>
                <w:sz w:val="20"/>
                <w:szCs w:val="20"/>
                <w:color w:val="auto"/>
              </w:rPr>
            </w:pPr>
          </w:p>
        </w:tc>
      </w:tr>
      <w:tr>
        <w:trPr>
          <w:trHeight w:val="432"/>
        </w:trPr>
        <w:tc>
          <w:tcPr>
            <w:tcW w:w="105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40" w:type="dxa"/>
            <w:vAlign w:val="bottom"/>
          </w:tcPr>
          <w:p>
            <w:pPr>
              <w:spacing w:after="0"/>
              <w:rPr>
                <w:sz w:val="24"/>
                <w:szCs w:val="24"/>
                <w:color w:val="auto"/>
              </w:rPr>
            </w:pPr>
          </w:p>
        </w:tc>
      </w:tr>
      <w:tr>
        <w:trPr>
          <w:trHeight w:val="452"/>
        </w:trPr>
        <w:tc>
          <w:tcPr>
            <w:tcW w:w="105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740" w:type="dxa"/>
            <w:vAlign w:val="bottom"/>
          </w:tcPr>
          <w:p>
            <w:pPr>
              <w:spacing w:after="0"/>
              <w:rPr>
                <w:sz w:val="24"/>
                <w:szCs w:val="24"/>
                <w:color w:val="auto"/>
              </w:rPr>
            </w:pPr>
          </w:p>
        </w:tc>
      </w:tr>
      <w:tr>
        <w:trPr>
          <w:trHeight w:val="412"/>
        </w:trPr>
        <w:tc>
          <w:tcPr>
            <w:tcW w:w="105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40" w:type="dxa"/>
            <w:vAlign w:val="bottom"/>
          </w:tcPr>
          <w:p>
            <w:pPr>
              <w:ind w:left="440"/>
              <w:spacing w:after="0"/>
              <w:rPr>
                <w:sz w:val="20"/>
                <w:szCs w:val="20"/>
                <w:color w:val="auto"/>
              </w:rPr>
            </w:pPr>
            <w:r>
              <w:rPr>
                <w:rFonts w:ascii="Arial" w:cs="Arial" w:eastAsia="Arial" w:hAnsi="Arial"/>
                <w:sz w:val="18"/>
                <w:szCs w:val="18"/>
                <w:color w:val="auto"/>
              </w:rPr>
              <w:t>o</w:t>
            </w:r>
          </w:p>
        </w:tc>
      </w:tr>
      <w:tr>
        <w:trPr>
          <w:trHeight w:val="432"/>
        </w:trPr>
        <w:tc>
          <w:tcPr>
            <w:tcW w:w="105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40" w:type="dxa"/>
            <w:vAlign w:val="bottom"/>
          </w:tcPr>
          <w:p>
            <w:pPr>
              <w:ind w:left="440"/>
              <w:spacing w:after="0"/>
              <w:rPr>
                <w:sz w:val="20"/>
                <w:szCs w:val="20"/>
                <w:color w:val="auto"/>
              </w:rPr>
            </w:pPr>
            <w:r>
              <w:rPr>
                <w:rFonts w:ascii="Arial" w:cs="Arial" w:eastAsia="Arial" w:hAnsi="Arial"/>
                <w:sz w:val="18"/>
                <w:szCs w:val="18"/>
                <w:color w:val="auto"/>
              </w:rPr>
              <w:t>o</w:t>
            </w:r>
          </w:p>
        </w:tc>
      </w:tr>
      <w:tr>
        <w:trPr>
          <w:trHeight w:val="348"/>
        </w:trPr>
        <w:tc>
          <w:tcPr>
            <w:tcW w:w="105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ind w:right="80" w:firstLine="376"/>
        <w:spacing w:after="0" w:line="293" w:lineRule="auto"/>
        <w:rPr>
          <w:sz w:val="20"/>
          <w:szCs w:val="20"/>
          <w:color w:val="auto"/>
        </w:rPr>
      </w:pPr>
      <w:r>
        <w:rPr>
          <w:rFonts w:ascii="Arial" w:cs="Arial" w:eastAsia="Arial" w:hAnsi="Arial"/>
          <w:sz w:val="16"/>
          <w:szCs w:val="16"/>
          <w:color w:val="auto"/>
        </w:rPr>
        <w:t>The press release issued by GasLog Partners LP on May 7, 2020 relating to its results for the three-month period ended March 31, 2020 and the related financial report are attached hereto as Exhibits 99.1 and 99.2, respectively.</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ind w:right="160" w:firstLine="376"/>
        <w:spacing w:after="0" w:line="324" w:lineRule="auto"/>
        <w:rPr>
          <w:sz w:val="20"/>
          <w:szCs w:val="20"/>
          <w:color w:val="auto"/>
        </w:rPr>
      </w:pPr>
      <w:r>
        <w:rPr>
          <w:rFonts w:ascii="Arial" w:cs="Arial" w:eastAsia="Arial" w:hAnsi="Arial"/>
          <w:sz w:val="14"/>
          <w:szCs w:val="14"/>
          <w:color w:val="auto"/>
        </w:rPr>
        <w:t>Exhibit 99.2, including Appendix A thereto, to this Report on Form 6-K shall be incorporated by reference into our registration statement on Form F-3 (File No. 333-220736), filed with the Securities and Exchange Commission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spacing w:after="0"/>
              <w:rPr>
                <w:sz w:val="17"/>
                <w:szCs w:val="17"/>
                <w:color w:val="auto"/>
              </w:rPr>
            </w:pPr>
          </w:p>
        </w:tc>
        <w:tc>
          <w:tcPr>
            <w:tcW w:w="10520" w:type="dxa"/>
            <w:vAlign w:val="bottom"/>
          </w:tcPr>
          <w:p>
            <w:pPr>
              <w:ind w:left="4360"/>
              <w:spacing w:after="0"/>
              <w:rPr>
                <w:sz w:val="20"/>
                <w:szCs w:val="20"/>
                <w:color w:val="auto"/>
              </w:rPr>
            </w:pPr>
            <w:r>
              <w:rPr>
                <w:rFonts w:ascii="Arial" w:cs="Arial" w:eastAsia="Arial" w:hAnsi="Arial"/>
                <w:sz w:val="16"/>
                <w:szCs w:val="16"/>
                <w:color w:val="auto"/>
              </w:rPr>
              <w:t>EXHIBIT LIST</w:t>
            </w:r>
          </w:p>
        </w:tc>
      </w:tr>
      <w:tr>
        <w:trPr>
          <w:trHeight w:val="418"/>
        </w:trPr>
        <w:tc>
          <w:tcPr>
            <w:tcW w:w="760" w:type="dxa"/>
            <w:vAlign w:val="bottom"/>
          </w:tcPr>
          <w:p>
            <w:pPr>
              <w:spacing w:after="0"/>
              <w:rPr>
                <w:sz w:val="20"/>
                <w:szCs w:val="20"/>
                <w:color w:val="auto"/>
              </w:rPr>
            </w:pPr>
            <w:r>
              <w:rPr>
                <w:rFonts w:ascii="Arial" w:cs="Arial" w:eastAsia="Arial" w:hAnsi="Arial"/>
                <w:sz w:val="16"/>
                <w:szCs w:val="16"/>
                <w:color w:val="auto"/>
              </w:rPr>
              <w:t>Exhibit</w:t>
            </w:r>
          </w:p>
        </w:tc>
        <w:tc>
          <w:tcPr>
            <w:tcW w:w="10520" w:type="dxa"/>
            <w:vAlign w:val="bottom"/>
          </w:tcPr>
          <w:p>
            <w:pPr>
              <w:ind w:left="280"/>
              <w:spacing w:after="0"/>
              <w:rPr>
                <w:sz w:val="20"/>
                <w:szCs w:val="20"/>
                <w:color w:val="auto"/>
              </w:rPr>
            </w:pPr>
            <w:r>
              <w:rPr>
                <w:rFonts w:ascii="Arial" w:cs="Arial" w:eastAsia="Arial" w:hAnsi="Arial"/>
                <w:sz w:val="16"/>
                <w:szCs w:val="16"/>
                <w:color w:val="auto"/>
              </w:rPr>
              <w:t>Description</w:t>
            </w:r>
          </w:p>
        </w:tc>
      </w:tr>
      <w:tr>
        <w:trPr>
          <w:trHeight w:val="405"/>
        </w:trPr>
        <w:tc>
          <w:tcPr>
            <w:tcW w:w="760" w:type="dxa"/>
            <w:vAlign w:val="bottom"/>
          </w:tcPr>
          <w:p>
            <w:pPr>
              <w:spacing w:after="0"/>
              <w:rPr>
                <w:sz w:val="20"/>
                <w:szCs w:val="20"/>
                <w:color w:val="auto"/>
              </w:rPr>
            </w:pPr>
            <w:r>
              <w:rPr>
                <w:rFonts w:ascii="Arial" w:cs="Arial" w:eastAsia="Arial" w:hAnsi="Arial"/>
                <w:sz w:val="16"/>
                <w:szCs w:val="16"/>
                <w:color w:val="auto"/>
              </w:rPr>
              <w:t>99.1</w:t>
            </w:r>
          </w:p>
        </w:tc>
        <w:tc>
          <w:tcPr>
            <w:tcW w:w="10520" w:type="dxa"/>
            <w:vAlign w:val="bottom"/>
          </w:tcPr>
          <w:p>
            <w:pPr>
              <w:ind w:left="280"/>
              <w:spacing w:after="0"/>
              <w:rPr>
                <w:sz w:val="20"/>
                <w:szCs w:val="20"/>
                <w:color w:val="auto"/>
              </w:rPr>
            </w:pPr>
            <w:r>
              <w:rPr>
                <w:rFonts w:ascii="Arial" w:cs="Arial" w:eastAsia="Arial" w:hAnsi="Arial"/>
                <w:sz w:val="16"/>
                <w:szCs w:val="16"/>
                <w:color w:val="auto"/>
              </w:rPr>
              <w:t>Press Release dated May 7, 2020</w:t>
            </w:r>
          </w:p>
        </w:tc>
      </w:tr>
      <w:tr>
        <w:trPr>
          <w:trHeight w:val="405"/>
        </w:trPr>
        <w:tc>
          <w:tcPr>
            <w:tcW w:w="760" w:type="dxa"/>
            <w:vAlign w:val="bottom"/>
          </w:tcPr>
          <w:p>
            <w:pPr>
              <w:spacing w:after="0"/>
              <w:rPr>
                <w:sz w:val="20"/>
                <w:szCs w:val="20"/>
                <w:color w:val="auto"/>
              </w:rPr>
            </w:pPr>
            <w:r>
              <w:rPr>
                <w:rFonts w:ascii="Arial" w:cs="Arial" w:eastAsia="Arial" w:hAnsi="Arial"/>
                <w:sz w:val="16"/>
                <w:szCs w:val="16"/>
                <w:color w:val="auto"/>
              </w:rPr>
              <w:t>99.2</w:t>
            </w:r>
          </w:p>
        </w:tc>
        <w:tc>
          <w:tcPr>
            <w:tcW w:w="10520" w:type="dxa"/>
            <w:vAlign w:val="bottom"/>
          </w:tcPr>
          <w:p>
            <w:pPr>
              <w:ind w:left="280"/>
              <w:spacing w:after="0"/>
              <w:rPr>
                <w:sz w:val="20"/>
                <w:szCs w:val="20"/>
                <w:color w:val="auto"/>
              </w:rPr>
            </w:pPr>
            <w:r>
              <w:rPr>
                <w:rFonts w:ascii="Arial" w:cs="Arial" w:eastAsia="Arial" w:hAnsi="Arial"/>
                <w:sz w:val="16"/>
                <w:szCs w:val="16"/>
                <w:color w:val="auto"/>
              </w:rPr>
              <w:t>Financial Report for the Three Months Ended March 31, 2020</w:t>
            </w:r>
          </w:p>
        </w:tc>
      </w:tr>
      <w:tr>
        <w:trPr>
          <w:trHeight w:val="405"/>
        </w:trPr>
        <w:tc>
          <w:tcPr>
            <w:tcW w:w="760" w:type="dxa"/>
            <w:vAlign w:val="bottom"/>
          </w:tcPr>
          <w:p>
            <w:pPr>
              <w:spacing w:after="0"/>
              <w:rPr>
                <w:sz w:val="24"/>
                <w:szCs w:val="24"/>
                <w:color w:val="auto"/>
              </w:rPr>
            </w:pPr>
          </w:p>
        </w:tc>
        <w:tc>
          <w:tcPr>
            <w:tcW w:w="10520" w:type="dxa"/>
            <w:vAlign w:val="bottom"/>
          </w:tcPr>
          <w:p>
            <w:pPr>
              <w:ind w:left="280"/>
              <w:spacing w:after="0"/>
              <w:rPr>
                <w:sz w:val="20"/>
                <w:szCs w:val="20"/>
                <w:color w:val="auto"/>
              </w:rPr>
            </w:pPr>
            <w:r>
              <w:rPr>
                <w:rFonts w:ascii="Arial" w:cs="Arial" w:eastAsia="Arial" w:hAnsi="Arial"/>
                <w:sz w:val="16"/>
                <w:szCs w:val="16"/>
                <w:color w:val="auto"/>
              </w:rPr>
              <w:t>Management’s Discussion and Analysis of Financial Condition and Results of Operation</w:t>
            </w:r>
          </w:p>
        </w:tc>
      </w:tr>
      <w:tr>
        <w:trPr>
          <w:trHeight w:val="405"/>
        </w:trPr>
        <w:tc>
          <w:tcPr>
            <w:tcW w:w="760" w:type="dxa"/>
            <w:vAlign w:val="bottom"/>
          </w:tcPr>
          <w:p>
            <w:pPr>
              <w:spacing w:after="0"/>
              <w:rPr>
                <w:sz w:val="24"/>
                <w:szCs w:val="24"/>
                <w:color w:val="auto"/>
              </w:rPr>
            </w:pPr>
          </w:p>
        </w:tc>
        <w:tc>
          <w:tcPr>
            <w:tcW w:w="10520" w:type="dxa"/>
            <w:vAlign w:val="bottom"/>
          </w:tcPr>
          <w:p>
            <w:pPr>
              <w:ind w:left="280"/>
              <w:spacing w:after="0"/>
              <w:rPr>
                <w:sz w:val="20"/>
                <w:szCs w:val="20"/>
                <w:color w:val="auto"/>
              </w:rPr>
            </w:pPr>
            <w:r>
              <w:rPr>
                <w:rFonts w:ascii="Arial" w:cs="Arial" w:eastAsia="Arial" w:hAnsi="Arial"/>
                <w:sz w:val="16"/>
                <w:szCs w:val="16"/>
                <w:color w:val="auto"/>
              </w:rPr>
              <w:t>Unaudited Condensed Consolidated Financial Statements</w:t>
            </w:r>
          </w:p>
        </w:tc>
      </w:tr>
      <w:tr>
        <w:trPr>
          <w:trHeight w:val="405"/>
        </w:trPr>
        <w:tc>
          <w:tcPr>
            <w:tcW w:w="760" w:type="dxa"/>
            <w:vAlign w:val="bottom"/>
          </w:tcPr>
          <w:p>
            <w:pPr>
              <w:spacing w:after="0"/>
              <w:rPr>
                <w:sz w:val="24"/>
                <w:szCs w:val="24"/>
                <w:color w:val="auto"/>
              </w:rPr>
            </w:pPr>
          </w:p>
        </w:tc>
        <w:tc>
          <w:tcPr>
            <w:tcW w:w="10520" w:type="dxa"/>
            <w:vAlign w:val="bottom"/>
          </w:tcPr>
          <w:p>
            <w:pPr>
              <w:ind w:left="280"/>
              <w:spacing w:after="0"/>
              <w:rPr>
                <w:sz w:val="20"/>
                <w:szCs w:val="20"/>
                <w:color w:val="auto"/>
              </w:rPr>
            </w:pPr>
            <w:r>
              <w:rPr>
                <w:rFonts w:ascii="Arial" w:cs="Arial" w:eastAsia="Arial" w:hAnsi="Arial"/>
                <w:sz w:val="16"/>
                <w:szCs w:val="16"/>
                <w:color w:val="auto"/>
              </w:rPr>
              <w:t>Appendix A: Supplemental Non-GAAP Partnership Performance Information and Reconciliation Tables</w:t>
            </w:r>
          </w:p>
        </w:tc>
      </w:tr>
      <w:tr>
        <w:trPr>
          <w:trHeight w:val="641"/>
        </w:trPr>
        <w:tc>
          <w:tcPr>
            <w:tcW w:w="760" w:type="dxa"/>
            <w:vAlign w:val="bottom"/>
          </w:tcPr>
          <w:p>
            <w:pPr>
              <w:spacing w:after="0"/>
              <w:rPr>
                <w:sz w:val="24"/>
                <w:szCs w:val="24"/>
                <w:color w:val="auto"/>
              </w:rPr>
            </w:pPr>
          </w:p>
        </w:tc>
        <w:tc>
          <w:tcPr>
            <w:tcW w:w="10520" w:type="dxa"/>
            <w:vAlign w:val="bottom"/>
          </w:tcPr>
          <w:p>
            <w:pPr>
              <w:ind w:left="4820"/>
              <w:spacing w:after="0"/>
              <w:rPr>
                <w:sz w:val="20"/>
                <w:szCs w:val="20"/>
                <w:color w:val="auto"/>
              </w:rPr>
            </w:pPr>
            <w:r>
              <w:rPr>
                <w:rFonts w:ascii="Arial" w:cs="Arial" w:eastAsia="Arial" w:hAnsi="Arial"/>
                <w:sz w:val="18"/>
                <w:szCs w:val="18"/>
                <w:color w:val="auto"/>
              </w:rPr>
              <w:t>2</w:t>
            </w:r>
          </w:p>
        </w:tc>
      </w:tr>
      <w:tr>
        <w:trPr>
          <w:trHeight w:val="132"/>
        </w:trPr>
        <w:tc>
          <w:tcPr>
            <w:tcW w:w="760" w:type="dxa"/>
            <w:vAlign w:val="bottom"/>
            <w:tcBorders>
              <w:bottom w:val="single" w:sz="8" w:color="808080"/>
            </w:tcBorders>
          </w:tcPr>
          <w:p>
            <w:pPr>
              <w:spacing w:after="0"/>
              <w:rPr>
                <w:sz w:val="11"/>
                <w:szCs w:val="11"/>
                <w:color w:val="auto"/>
              </w:rPr>
            </w:pPr>
          </w:p>
        </w:tc>
        <w:tc>
          <w:tcPr>
            <w:tcW w:w="10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6"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right="80"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May 7, 2020</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GASLOG PARTNERS LP</w:t>
      </w:r>
    </w:p>
    <w:p>
      <w:pPr>
        <w:spacing w:after="0" w:line="221" w:lineRule="exact"/>
        <w:rPr>
          <w:sz w:val="20"/>
          <w:szCs w:val="20"/>
          <w:color w:val="auto"/>
        </w:rPr>
      </w:pPr>
    </w:p>
    <w:tbl>
      <w:tblPr>
        <w:tblLayout w:type="fixed"/>
        <w:tblInd w:w="6120" w:type="dxa"/>
        <w:tblCellMar>
          <w:top w:w="0" w:type="dxa"/>
          <w:left w:w="0" w:type="dxa"/>
          <w:bottom w:w="0" w:type="dxa"/>
          <w:right w:w="0" w:type="dxa"/>
        </w:tblCellMar>
      </w:tblPr>
      <w:tr>
        <w:trPr>
          <w:trHeight w:val="206"/>
        </w:trPr>
        <w:tc>
          <w:tcPr>
            <w:tcW w:w="500" w:type="dxa"/>
            <w:vAlign w:val="bottom"/>
          </w:tcPr>
          <w:p>
            <w:pPr>
              <w:spacing w:after="0"/>
              <w:rPr>
                <w:sz w:val="20"/>
                <w:szCs w:val="20"/>
                <w:color w:val="auto"/>
              </w:rPr>
            </w:pPr>
            <w:r>
              <w:rPr>
                <w:rFonts w:ascii="Arial" w:cs="Arial" w:eastAsia="Arial" w:hAnsi="Arial"/>
                <w:sz w:val="16"/>
                <w:szCs w:val="16"/>
                <w:color w:val="auto"/>
              </w:rPr>
              <w:t>by</w:t>
            </w:r>
          </w:p>
        </w:tc>
        <w:tc>
          <w:tcPr>
            <w:tcW w:w="4620" w:type="dxa"/>
            <w:vAlign w:val="bottom"/>
            <w:gridSpan w:val="2"/>
          </w:tcPr>
          <w:p>
            <w:pPr>
              <w:spacing w:after="0"/>
              <w:rPr>
                <w:sz w:val="20"/>
                <w:szCs w:val="20"/>
                <w:color w:val="auto"/>
              </w:rPr>
            </w:pPr>
            <w:r>
              <w:rPr>
                <w:rFonts w:ascii="Arial" w:cs="Arial" w:eastAsia="Arial" w:hAnsi="Arial"/>
                <w:sz w:val="16"/>
                <w:szCs w:val="16"/>
                <w:color w:val="auto"/>
              </w:rPr>
              <w:t>/s/ Andrew Orekar</w:t>
            </w:r>
          </w:p>
        </w:tc>
      </w:tr>
      <w:tr>
        <w:trPr>
          <w:trHeight w:val="46"/>
        </w:trPr>
        <w:tc>
          <w:tcPr>
            <w:tcW w:w="5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r>
      <w:tr>
        <w:trPr>
          <w:trHeight w:val="186"/>
        </w:trPr>
        <w:tc>
          <w:tcPr>
            <w:tcW w:w="50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Name:</w:t>
            </w:r>
          </w:p>
        </w:tc>
        <w:tc>
          <w:tcPr>
            <w:tcW w:w="4040" w:type="dxa"/>
            <w:vAlign w:val="bottom"/>
          </w:tcPr>
          <w:p>
            <w:pPr>
              <w:ind w:left="160"/>
              <w:spacing w:after="0"/>
              <w:rPr>
                <w:sz w:val="20"/>
                <w:szCs w:val="20"/>
                <w:color w:val="auto"/>
              </w:rPr>
            </w:pPr>
            <w:r>
              <w:rPr>
                <w:rFonts w:ascii="Arial" w:cs="Arial" w:eastAsia="Arial" w:hAnsi="Arial"/>
                <w:sz w:val="16"/>
                <w:szCs w:val="16"/>
                <w:color w:val="auto"/>
              </w:rPr>
              <w:t>Andrew Orekar</w:t>
            </w:r>
          </w:p>
        </w:tc>
      </w:tr>
      <w:tr>
        <w:trPr>
          <w:trHeight w:val="206"/>
        </w:trPr>
        <w:tc>
          <w:tcPr>
            <w:tcW w:w="50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4040" w:type="dxa"/>
            <w:vAlign w:val="bottom"/>
          </w:tcPr>
          <w:p>
            <w:pPr>
              <w:ind w:left="160"/>
              <w:spacing w:after="0"/>
              <w:rPr>
                <w:sz w:val="20"/>
                <w:szCs w:val="20"/>
                <w:color w:val="auto"/>
              </w:rPr>
            </w:pPr>
            <w:r>
              <w:rPr>
                <w:rFonts w:ascii="Arial" w:cs="Arial" w:eastAsia="Arial" w:hAnsi="Arial"/>
                <w:sz w:val="16"/>
                <w:szCs w:val="16"/>
                <w:color w:val="auto"/>
              </w:rPr>
              <w:t>Chief Executive Officer</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Ended March 31, 2020 and Declares Cash Distribution</w:t>
      </w:r>
    </w:p>
    <w:p>
      <w:pPr>
        <w:spacing w:after="0" w:line="235"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b w:val="1"/>
          <w:bCs w:val="1"/>
          <w:color w:val="auto"/>
        </w:rPr>
        <w:t xml:space="preserve">Piraeus, Greece, May 7, 2020, GasLog Partners LP (“GasLog Partners” or the “Partnership”) (NYSE: GLOP), </w:t>
      </w:r>
      <w:r>
        <w:rPr>
          <w:rFonts w:ascii="Arial" w:cs="Arial" w:eastAsia="Arial" w:hAnsi="Arial"/>
          <w:sz w:val="16"/>
          <w:szCs w:val="16"/>
          <w:color w:val="auto"/>
        </w:rPr>
        <w:t>an international owner and operator of liquefied</w:t>
      </w:r>
      <w:r>
        <w:rPr>
          <w:rFonts w:ascii="Arial" w:cs="Arial" w:eastAsia="Arial" w:hAnsi="Arial"/>
          <w:sz w:val="16"/>
          <w:szCs w:val="16"/>
          <w:b w:val="1"/>
          <w:bCs w:val="1"/>
          <w:color w:val="auto"/>
        </w:rPr>
        <w:t xml:space="preserve"> </w:t>
      </w:r>
      <w:r>
        <w:rPr>
          <w:rFonts w:ascii="Arial" w:cs="Arial" w:eastAsia="Arial" w:hAnsi="Arial"/>
          <w:sz w:val="16"/>
          <w:szCs w:val="16"/>
          <w:color w:val="auto"/>
        </w:rPr>
        <w:t>natural gas (“LNG”) carriers, today reported its financial results for the three-month period ended March 31, 2020.</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52" w:lineRule="exact"/>
        <w:rPr>
          <w:sz w:val="20"/>
          <w:szCs w:val="20"/>
          <w:color w:val="auto"/>
        </w:rPr>
      </w:pPr>
    </w:p>
    <w:p>
      <w:pPr>
        <w:ind w:left="340" w:right="260" w:hanging="332"/>
        <w:spacing w:after="0" w:line="270" w:lineRule="auto"/>
        <w:tabs>
          <w:tab w:leader="none" w:pos="304" w:val="left"/>
        </w:tabs>
        <w:numPr>
          <w:ilvl w:val="0"/>
          <w:numId w:val="1"/>
        </w:numPr>
        <w:rPr>
          <w:rFonts w:ascii="Arial" w:cs="Arial" w:eastAsia="Arial" w:hAnsi="Arial"/>
          <w:sz w:val="17"/>
          <w:szCs w:val="17"/>
          <w:color w:val="auto"/>
        </w:rPr>
      </w:pPr>
      <w:r>
        <w:rPr>
          <w:rFonts w:ascii="Arial" w:cs="Arial" w:eastAsia="Arial" w:hAnsi="Arial"/>
          <w:sz w:val="15"/>
          <w:szCs w:val="15"/>
          <w:color w:val="auto"/>
        </w:rPr>
        <w:t>Dedicated COVID-19 task force established to manage the impact of COVID-19 on all aspects of our business and operations and to review and amend our business continuity plan as required, including strict guidelines regarding access to all vessels and a company-wide “work from home” policy.</w:t>
      </w:r>
    </w:p>
    <w:p>
      <w:pPr>
        <w:spacing w:after="0" w:line="18" w:lineRule="exact"/>
        <w:rPr>
          <w:rFonts w:ascii="Arial" w:cs="Arial" w:eastAsia="Arial" w:hAnsi="Arial"/>
          <w:sz w:val="17"/>
          <w:szCs w:val="17"/>
          <w:color w:val="auto"/>
        </w:rPr>
      </w:pPr>
    </w:p>
    <w:p>
      <w:pPr>
        <w:ind w:left="340" w:right="80" w:hanging="332"/>
        <w:spacing w:after="0" w:line="254"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6"/>
          <w:szCs w:val="16"/>
          <w:color w:val="auto"/>
        </w:rPr>
        <w:t xml:space="preserve">Charter coverage of 95% during the first quarter of 2020, excluding the impact of 25 scheduled dry-docking days of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contracted time charter revenues of approximately $209 million for the remainder of 2020, representing 78% charter coverage.</w:t>
      </w:r>
    </w:p>
    <w:p>
      <w:pPr>
        <w:spacing w:after="0" w:line="18" w:lineRule="exact"/>
        <w:rPr>
          <w:rFonts w:ascii="Arial" w:cs="Arial" w:eastAsia="Arial" w:hAnsi="Arial"/>
          <w:sz w:val="18"/>
          <w:szCs w:val="18"/>
          <w:color w:val="auto"/>
        </w:rPr>
      </w:pPr>
    </w:p>
    <w:p>
      <w:pPr>
        <w:ind w:left="340" w:right="380" w:hanging="332"/>
        <w:spacing w:after="0" w:line="230"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6"/>
          <w:szCs w:val="16"/>
          <w:color w:val="auto"/>
        </w:rPr>
        <w:t>Quarterly IFRS (as defined below) and Partnership Performance Results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Revenues, Profit, Adjusted Profit</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Adjusted EBITDA</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$91.4 million, $14.2 million, $27.8 million and $64.2 million, respectively.</w:t>
      </w:r>
    </w:p>
    <w:p>
      <w:pPr>
        <w:spacing w:after="0" w:line="24"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6"/>
          <w:szCs w:val="16"/>
          <w:color w:val="auto"/>
        </w:rPr>
        <w:t>Quarterly Earnings/(loss) per unit (“EPU”) - common (basic) and Adjusted EPU</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 common (basic) of $0.14 and $0.42, respectively.</w:t>
      </w:r>
    </w:p>
    <w:p>
      <w:pPr>
        <w:spacing w:after="0" w:line="2" w:lineRule="exact"/>
        <w:rPr>
          <w:rFonts w:ascii="Arial" w:cs="Arial" w:eastAsia="Arial" w:hAnsi="Arial"/>
          <w:sz w:val="18"/>
          <w:szCs w:val="18"/>
          <w:color w:val="auto"/>
        </w:rPr>
      </w:pPr>
    </w:p>
    <w:p>
      <w:pPr>
        <w:ind w:left="300" w:hanging="292"/>
        <w:spacing w:after="0" w:line="223"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6"/>
          <w:szCs w:val="16"/>
          <w:color w:val="auto"/>
        </w:rPr>
        <w:t>Declared cash distribution of $0.125 per common unit for the first quarter of 2020.</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6"/>
          <w:szCs w:val="16"/>
          <w:color w:val="auto"/>
        </w:rPr>
        <w:t>Distribution coverage ratio</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of 4.6x.</w:t>
      </w:r>
    </w:p>
    <w:p>
      <w:pPr>
        <w:spacing w:after="0" w:line="168" w:lineRule="exact"/>
        <w:rPr>
          <w:sz w:val="20"/>
          <w:szCs w:val="20"/>
          <w:color w:val="auto"/>
        </w:rPr>
      </w:pPr>
    </w:p>
    <w:p>
      <w:pPr>
        <w:ind w:left="340" w:right="380" w:hanging="332"/>
        <w:spacing w:after="0" w:line="192"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Partnership Performance Results represent the results attributable to GasLog Partners which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 at the end of this press release.</w:t>
      </w:r>
    </w:p>
    <w:p>
      <w:pPr>
        <w:spacing w:after="0" w:line="1" w:lineRule="exact"/>
        <w:rPr>
          <w:rFonts w:ascii="Arial" w:cs="Arial" w:eastAsia="Arial" w:hAnsi="Arial"/>
          <w:sz w:val="23"/>
          <w:szCs w:val="23"/>
          <w:color w:val="auto"/>
          <w:vertAlign w:val="superscript"/>
        </w:rPr>
      </w:pPr>
    </w:p>
    <w:p>
      <w:pPr>
        <w:ind w:left="340" w:right="400" w:hanging="332"/>
        <w:spacing w:after="0" w:line="187"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Adjusted Profit, Adjusted EBITDA and Adjusted EPU are non-GAAP financial measures and should not be used in isolation or as substitutes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III at the end of this press release.</w:t>
      </w:r>
    </w:p>
    <w:p>
      <w:pPr>
        <w:spacing w:after="0" w:line="2" w:lineRule="exact"/>
        <w:rPr>
          <w:rFonts w:ascii="Arial" w:cs="Arial" w:eastAsia="Arial" w:hAnsi="Arial"/>
          <w:sz w:val="23"/>
          <w:szCs w:val="23"/>
          <w:color w:val="auto"/>
          <w:vertAlign w:val="superscript"/>
        </w:rPr>
      </w:pPr>
    </w:p>
    <w:p>
      <w:pPr>
        <w:ind w:left="340" w:right="80" w:hanging="332"/>
        <w:spacing w:after="0" w:line="191" w:lineRule="auto"/>
        <w:tabs>
          <w:tab w:leader="none" w:pos="328"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Distribution coverage ratio represents the ratio of Distributable cash flow to the cash distribution declared. Distributable cash flow is a non-GAAP financial measure and should not be used in isolation or as a substitute for GasLog Partners’ financial results presented in accordance with IFRS. For the definition and reconciliation of Distributable cash flow to the most directly comparable financial measure calculated and presented in accordance with IFRS, please refer to Exhibit III at the end of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39"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Mr. Andrew Orekar, Chief Executive Officer, commented: “I am pleased to announce a solid financial and operating quarter for the Partnership, despite the challenges presented by the outbreak of COVID-19 and the impact it has had on the global economy.</w:t>
      </w:r>
    </w:p>
    <w:p>
      <w:pPr>
        <w:spacing w:after="0" w:line="172"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During the first quarter of 2020, we took several proactive measures to ensure the continuous operation of our fleet for our customers and the maximization of our available liquidity. Along with our parent GasLog Ltd. (“GasLog”), we have established a dedicated COVID-19 task force to review and amend our business continuity plan as needed, onshore staff have been working from home since mid-March and timelines for crew changes aboard our vessels have been extended.</w:t>
      </w:r>
    </w:p>
    <w:p>
      <w:pPr>
        <w:spacing w:after="0" w:line="16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addition, today we are announcing a $0.125 distribution per unit for the first quarter, in line with our guidance announced earlier this year and a conservative payout of our quarterly Adjusted EPU. This distribution level will allow the Partnership to focus on strengthening its balance sheet, which will improve the resiliency of its operational and financial performance.</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 xml:space="preserve">There remains a high degree of uncertainty in our commercial environment as well as the financial markets in terms of the impact of COVID-19 on LNG and LNG shipping demand during the remainder of 2020. Accordingly, we are withdrawing our previously announced Adjusted EBITDA guidance of $230.0 to $260.0 million for 2020, while noting that 78% of our fleet is fixed for the remainder of the year, representing approximately $209.0 million of contracted revenues. Our charter coverage for the year has been supported by a new three-month charter for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which began at the end of March 2020 and will take her through to her dry-docking at the end of June 2020, as well as a new six-month charter for the </w:t>
      </w:r>
      <w:r>
        <w:rPr>
          <w:rFonts w:ascii="Arial" w:cs="Arial" w:eastAsia="Arial" w:hAnsi="Arial"/>
          <w:sz w:val="15"/>
          <w:szCs w:val="15"/>
          <w:i w:val="1"/>
          <w:iCs w:val="1"/>
          <w:color w:val="auto"/>
        </w:rPr>
        <w:t>Methane Rita Andrea</w:t>
      </w:r>
      <w:r>
        <w:rPr>
          <w:rFonts w:ascii="Arial" w:cs="Arial" w:eastAsia="Arial" w:hAnsi="Arial"/>
          <w:sz w:val="15"/>
          <w:szCs w:val="15"/>
          <w:color w:val="auto"/>
        </w:rPr>
        <w:t>, which began in April 2020.”</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COVID-19 Update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update</w:t>
      </w:r>
    </w:p>
    <w:p>
      <w:pPr>
        <w:spacing w:after="0" w:line="239" w:lineRule="exact"/>
        <w:rPr>
          <w:sz w:val="20"/>
          <w:szCs w:val="20"/>
          <w:color w:val="auto"/>
        </w:rPr>
      </w:pPr>
    </w:p>
    <w:p>
      <w:pPr>
        <w:jc w:val="both"/>
        <w:ind w:right="100"/>
        <w:spacing w:after="0" w:line="278" w:lineRule="auto"/>
        <w:rPr>
          <w:sz w:val="20"/>
          <w:szCs w:val="20"/>
          <w:color w:val="auto"/>
        </w:rPr>
      </w:pPr>
      <w:r>
        <w:rPr>
          <w:rFonts w:ascii="Arial" w:cs="Arial" w:eastAsia="Arial" w:hAnsi="Arial"/>
          <w:sz w:val="16"/>
          <w:szCs w:val="16"/>
          <w:color w:val="auto"/>
        </w:rPr>
        <w:t>GasLog Partners’ main focus, together with GasLog, is on securing the health and safety of employees and ensuring safe and reliable operations for our customers. To date, there have been no confirmed cases of COVID-19 infection amongst sea-going or shore-based personnel. During 2020 to date, extensive measures have been taken to limit the impact of COVID-19 on GasLog Partners’ and GasLog’s business. These include:</w:t>
      </w:r>
    </w:p>
    <w:p>
      <w:pPr>
        <w:spacing w:after="0" w:line="198" w:lineRule="exact"/>
        <w:rPr>
          <w:sz w:val="20"/>
          <w:szCs w:val="20"/>
          <w:color w:val="auto"/>
        </w:rPr>
      </w:pPr>
    </w:p>
    <w:p>
      <w:pPr>
        <w:ind w:left="660" w:right="600" w:hanging="328"/>
        <w:spacing w:after="0" w:line="263"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6"/>
          <w:szCs w:val="16"/>
          <w:color w:val="auto"/>
        </w:rPr>
        <w:t>A dedicated task force established to manage the impact of COVID-19 on all aspects of our business and operations and to review and amend our business continuity plan as required;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6"/>
          <w:szCs w:val="16"/>
          <w:color w:val="auto"/>
        </w:rPr>
        <w:t>A company-wide “work from home” policy instituted for all onshore employees;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6"/>
          <w:szCs w:val="16"/>
          <w:color w:val="auto"/>
        </w:rPr>
        <w:t>Strict guidelines imposed, restricting access to all vessels and suspending shore leave and crew changes from mid-March 2020.</w:t>
      </w:r>
    </w:p>
    <w:p>
      <w:pPr>
        <w:spacing w:after="0" w:line="21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As a result of these measures, and the dedication of employees onshore and aboard our vessels, approximately 100% of our fleet continues to be available for commercial use. These measures have also allowed GasLog Partners to opportunistically bring forward the scheduled dry-docking of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by 25 days such that the dry-docking was completed entirely during the slowdown of LNG trade in February and March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update</w:t>
      </w:r>
    </w:p>
    <w:p>
      <w:pPr>
        <w:spacing w:after="0" w:line="23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Given the continuing impact of COVID-19 on economic activity and energy demand, there is uncertainty regarding future LNG demand and, consequently, near-term LNG shipping requirements.</w:t>
      </w:r>
    </w:p>
    <w:p>
      <w:pPr>
        <w:spacing w:after="0" w:line="185" w:lineRule="exact"/>
        <w:rPr>
          <w:sz w:val="20"/>
          <w:szCs w:val="20"/>
          <w:color w:val="auto"/>
        </w:rPr>
      </w:pPr>
    </w:p>
    <w:p>
      <w:pPr>
        <w:ind w:left="660" w:hanging="328"/>
        <w:spacing w:after="0" w:line="250"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To date, we have not experienced any disruption to the charter parties, including contracted revenues, for our term- or spot-chartered vessels, as a result of COVID-19;</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6"/>
          <w:szCs w:val="16"/>
          <w:color w:val="auto"/>
        </w:rPr>
        <w:t>Our vessels operating in the spot and short-term market are currently chartered through to at least June 2020; and</w:t>
      </w:r>
    </w:p>
    <w:p>
      <w:pPr>
        <w:spacing w:after="0" w:line="9" w:lineRule="exact"/>
        <w:rPr>
          <w:rFonts w:ascii="Arial" w:cs="Arial" w:eastAsia="Arial" w:hAnsi="Arial"/>
          <w:sz w:val="18"/>
          <w:szCs w:val="18"/>
          <w:color w:val="auto"/>
        </w:rPr>
      </w:pPr>
    </w:p>
    <w:p>
      <w:pPr>
        <w:ind w:left="660" w:right="260" w:hanging="328"/>
        <w:spacing w:after="0" w:line="263"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6"/>
          <w:szCs w:val="16"/>
          <w:color w:val="auto"/>
        </w:rPr>
        <w:t>The combined impact of COVID-19 and normal seasonality may lead to greater volatility in spot rates and to lower utilization of vessels trading in the spot and short-term markets, in particular our steam turbine propulsion (“Steam”) vessels.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COVID-19 has had a significant impact on the global capital and bank credit markets, including access to and cost of liquidity.</w:t>
      </w:r>
    </w:p>
    <w:p>
      <w:pPr>
        <w:spacing w:after="0" w:line="248" w:lineRule="exact"/>
        <w:rPr>
          <w:sz w:val="20"/>
          <w:szCs w:val="20"/>
          <w:color w:val="auto"/>
        </w:rPr>
      </w:pPr>
    </w:p>
    <w:p>
      <w:pPr>
        <w:ind w:left="660" w:right="100" w:hanging="328"/>
        <w:spacing w:after="0" w:line="257"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6"/>
          <w:szCs w:val="16"/>
          <w:color w:val="auto"/>
        </w:rPr>
        <w:t>The recent fall in interest rates as a result of central bank measures to support economies affected by the COVID-19 pandemic has resulted in an increase in the mark-to-market derivative liabilities with respect to our derivative instruments with GasLog. In March 2020, following the execution of a Credit Support Annex between GasLog Partners and GasLog with a maximum cash collateral requirement of $15.0 million and a termination date of December 31, 2020, we posted the maximum cash collateral in the sum of $15.0 million with GasLog; and</w:t>
      </w:r>
    </w:p>
    <w:p>
      <w:pPr>
        <w:spacing w:after="0" w:line="10" w:lineRule="exact"/>
        <w:rPr>
          <w:rFonts w:ascii="Arial" w:cs="Arial" w:eastAsia="Arial" w:hAnsi="Arial"/>
          <w:sz w:val="18"/>
          <w:szCs w:val="18"/>
          <w:color w:val="auto"/>
        </w:rPr>
      </w:pPr>
    </w:p>
    <w:p>
      <w:pPr>
        <w:ind w:left="660" w:right="80" w:hanging="328"/>
        <w:spacing w:after="0" w:line="263"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6"/>
          <w:szCs w:val="16"/>
          <w:color w:val="auto"/>
        </w:rPr>
        <w:t>There have been no other material impacts to date of the COVID-19 pandemic on our financial position and we are continuing the process of refinancing our bank loans maturing in April and July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Financial Summary</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39"/>
        </w:trPr>
        <w:tc>
          <w:tcPr>
            <w:tcW w:w="1380" w:type="dxa"/>
            <w:vAlign w:val="bottom"/>
            <w:tcBorders>
              <w:top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6"/>
                <w:szCs w:val="16"/>
                <w:b w:val="1"/>
                <w:bCs w:val="1"/>
                <w:color w:val="auto"/>
                <w:w w:val="91"/>
              </w:rPr>
              <w:t>IFRS Common Control Reported Results</w:t>
            </w:r>
            <w:r>
              <w:rPr>
                <w:rFonts w:ascii="Arial" w:cs="Arial" w:eastAsia="Arial" w:hAnsi="Arial"/>
                <w:sz w:val="21"/>
                <w:szCs w:val="21"/>
                <w:b w:val="1"/>
                <w:bCs w:val="1"/>
                <w:color w:val="auto"/>
                <w:w w:val="91"/>
                <w:vertAlign w:val="superscript"/>
              </w:rPr>
              <w:t>(1)</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860" w:type="dxa"/>
            <w:vAlign w:val="bottom"/>
            <w:tcBorders>
              <w:bottom w:val="single" w:sz="8" w:color="auto"/>
            </w:tcBorders>
            <w:gridSpan w:val="5"/>
          </w:tcPr>
          <w:p>
            <w:pPr>
              <w:jc w:val="center"/>
              <w:ind w:left="859"/>
              <w:spacing w:after="0"/>
              <w:rPr>
                <w:sz w:val="20"/>
                <w:szCs w:val="20"/>
                <w:color w:val="auto"/>
              </w:rPr>
            </w:pPr>
            <w:r>
              <w:rPr>
                <w:rFonts w:ascii="Arial" w:cs="Arial" w:eastAsia="Arial" w:hAnsi="Arial"/>
                <w:sz w:val="16"/>
                <w:szCs w:val="16"/>
                <w:b w:val="1"/>
                <w:bCs w:val="1"/>
                <w:color w:val="auto"/>
                <w:w w:val="90"/>
              </w:rPr>
              <w:t>For the three months ended</w:t>
            </w:r>
          </w:p>
        </w:tc>
        <w:tc>
          <w:tcPr>
            <w:tcW w:w="9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 Change from</w:t>
            </w:r>
          </w:p>
        </w:tc>
        <w:tc>
          <w:tcPr>
            <w:tcW w:w="120" w:type="dxa"/>
            <w:vAlign w:val="bottom"/>
          </w:tcPr>
          <w:p>
            <w:pPr>
              <w:spacing w:after="0"/>
              <w:rPr>
                <w:sz w:val="17"/>
                <w:szCs w:val="17"/>
                <w:color w:val="auto"/>
              </w:rPr>
            </w:pPr>
          </w:p>
        </w:tc>
      </w:tr>
      <w:tr>
        <w:trPr>
          <w:trHeight w:val="182"/>
        </w:trPr>
        <w:tc>
          <w:tcPr>
            <w:tcW w:w="4100" w:type="dxa"/>
            <w:vAlign w:val="bottom"/>
            <w:gridSpan w:val="2"/>
          </w:tcPr>
          <w:p>
            <w:pPr>
              <w:spacing w:after="0" w:line="182" w:lineRule="exact"/>
              <w:rPr>
                <w:sz w:val="20"/>
                <w:szCs w:val="20"/>
                <w:color w:val="auto"/>
              </w:rPr>
            </w:pPr>
            <w:r>
              <w:rPr>
                <w:rFonts w:ascii="Arial" w:cs="Arial" w:eastAsia="Arial" w:hAnsi="Arial"/>
                <w:sz w:val="16"/>
                <w:szCs w:val="16"/>
                <w:b w:val="1"/>
                <w:bCs w:val="1"/>
                <w:i w:val="1"/>
                <w:iCs w:val="1"/>
                <w:color w:val="auto"/>
              </w:rPr>
              <w:t>(All amounts expressed in thousands of U.S.</w:t>
            </w:r>
          </w:p>
        </w:tc>
        <w:tc>
          <w:tcPr>
            <w:tcW w:w="1340" w:type="dxa"/>
            <w:vAlign w:val="bottom"/>
            <w:gridSpan w:val="2"/>
          </w:tcPr>
          <w:p>
            <w:pPr>
              <w:ind w:left="200"/>
              <w:spacing w:after="0" w:line="182" w:lineRule="exact"/>
              <w:rPr>
                <w:sz w:val="20"/>
                <w:szCs w:val="20"/>
                <w:color w:val="auto"/>
              </w:rPr>
            </w:pPr>
            <w:r>
              <w:rPr>
                <w:rFonts w:ascii="Arial" w:cs="Arial" w:eastAsia="Arial" w:hAnsi="Arial"/>
                <w:sz w:val="16"/>
                <w:szCs w:val="16"/>
                <w:b w:val="1"/>
                <w:bCs w:val="1"/>
                <w:color w:val="auto"/>
              </w:rPr>
              <w:t>March 31,</w:t>
            </w:r>
          </w:p>
        </w:tc>
        <w:tc>
          <w:tcPr>
            <w:tcW w:w="1520" w:type="dxa"/>
            <w:vAlign w:val="bottom"/>
            <w:gridSpan w:val="3"/>
          </w:tcPr>
          <w:p>
            <w:pPr>
              <w:jc w:val="center"/>
              <w:ind w:right="420"/>
              <w:spacing w:after="0" w:line="182" w:lineRule="exact"/>
              <w:rPr>
                <w:sz w:val="20"/>
                <w:szCs w:val="20"/>
                <w:color w:val="auto"/>
              </w:rPr>
            </w:pPr>
            <w:r>
              <w:rPr>
                <w:rFonts w:ascii="Arial" w:cs="Arial" w:eastAsia="Arial" w:hAnsi="Arial"/>
                <w:sz w:val="16"/>
                <w:szCs w:val="16"/>
                <w:b w:val="1"/>
                <w:bCs w:val="1"/>
                <w:color w:val="auto"/>
                <w:w w:val="90"/>
              </w:rPr>
              <w:t>December 31,</w:t>
            </w:r>
          </w:p>
        </w:tc>
        <w:tc>
          <w:tcPr>
            <w:tcW w:w="940" w:type="dxa"/>
            <w:vAlign w:val="bottom"/>
          </w:tcPr>
          <w:p>
            <w:pPr>
              <w:jc w:val="center"/>
              <w:ind w:right="119"/>
              <w:spacing w:after="0" w:line="182" w:lineRule="exact"/>
              <w:rPr>
                <w:sz w:val="20"/>
                <w:szCs w:val="20"/>
                <w:color w:val="auto"/>
              </w:rPr>
            </w:pPr>
            <w:r>
              <w:rPr>
                <w:rFonts w:ascii="Arial" w:cs="Arial" w:eastAsia="Arial" w:hAnsi="Arial"/>
                <w:sz w:val="16"/>
                <w:szCs w:val="16"/>
                <w:b w:val="1"/>
                <w:bCs w:val="1"/>
                <w:color w:val="auto"/>
                <w:w w:val="94"/>
              </w:rPr>
              <w:t>March 31,</w:t>
            </w:r>
          </w:p>
        </w:tc>
        <w:tc>
          <w:tcPr>
            <w:tcW w:w="200" w:type="dxa"/>
            <w:vAlign w:val="bottom"/>
          </w:tcPr>
          <w:p>
            <w:pPr>
              <w:spacing w:after="0"/>
              <w:rPr>
                <w:sz w:val="15"/>
                <w:szCs w:val="15"/>
                <w:color w:val="auto"/>
              </w:rPr>
            </w:pPr>
          </w:p>
        </w:tc>
        <w:tc>
          <w:tcPr>
            <w:tcW w:w="1340" w:type="dxa"/>
            <w:vAlign w:val="bottom"/>
            <w:gridSpan w:val="2"/>
          </w:tcPr>
          <w:p>
            <w:pPr>
              <w:jc w:val="right"/>
              <w:ind w:right="420"/>
              <w:spacing w:after="0" w:line="182" w:lineRule="exact"/>
              <w:rPr>
                <w:sz w:val="20"/>
                <w:szCs w:val="20"/>
                <w:color w:val="auto"/>
              </w:rPr>
            </w:pPr>
            <w:r>
              <w:rPr>
                <w:rFonts w:ascii="Arial" w:cs="Arial" w:eastAsia="Arial" w:hAnsi="Arial"/>
                <w:sz w:val="16"/>
                <w:szCs w:val="16"/>
                <w:b w:val="1"/>
                <w:bCs w:val="1"/>
                <w:color w:val="auto"/>
              </w:rPr>
              <w:t>March 31,</w:t>
            </w:r>
          </w:p>
        </w:tc>
        <w:tc>
          <w:tcPr>
            <w:tcW w:w="112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97"/>
              </w:rPr>
              <w:t>December 31,</w:t>
            </w:r>
          </w:p>
        </w:tc>
        <w:tc>
          <w:tcPr>
            <w:tcW w:w="120" w:type="dxa"/>
            <w:vAlign w:val="bottom"/>
          </w:tcPr>
          <w:p>
            <w:pPr>
              <w:spacing w:after="0"/>
              <w:rPr>
                <w:sz w:val="15"/>
                <w:szCs w:val="15"/>
                <w:color w:val="auto"/>
              </w:rPr>
            </w:pPr>
          </w:p>
        </w:tc>
      </w:tr>
      <w:tr>
        <w:trPr>
          <w:trHeight w:val="213"/>
        </w:trPr>
        <w:tc>
          <w:tcPr>
            <w:tcW w:w="41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i w:val="1"/>
                <w:iCs w:val="1"/>
                <w:color w:val="auto"/>
              </w:rPr>
              <w:t>dollars)</w:t>
            </w: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5"/>
              </w:rPr>
              <w:t>2020</w:t>
            </w:r>
          </w:p>
        </w:tc>
        <w:tc>
          <w:tcPr>
            <w:tcW w:w="20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E5FFFF"/>
            </w:tcBorders>
          </w:tcPr>
          <w:p>
            <w:pPr>
              <w:spacing w:after="0"/>
              <w:rPr>
                <w:sz w:val="18"/>
                <w:szCs w:val="18"/>
                <w:color w:val="auto"/>
              </w:rPr>
            </w:pPr>
          </w:p>
        </w:tc>
      </w:tr>
      <w:tr>
        <w:trPr>
          <w:trHeight w:val="199"/>
        </w:trPr>
        <w:tc>
          <w:tcPr>
            <w:tcW w:w="4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93,885</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96,512</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91,353</w:t>
            </w:r>
          </w:p>
        </w:tc>
        <w:tc>
          <w:tcPr>
            <w:tcW w:w="20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E5FFFF"/>
          </w:tcPr>
          <w:p>
            <w:pPr>
              <w:spacing w:after="0"/>
              <w:rPr>
                <w:sz w:val="17"/>
                <w:szCs w:val="17"/>
                <w:color w:val="auto"/>
              </w:rPr>
            </w:pPr>
          </w:p>
        </w:tc>
      </w:tr>
      <w:tr>
        <w:trPr>
          <w:trHeight w:val="203"/>
        </w:trPr>
        <w:tc>
          <w:tcPr>
            <w:tcW w:w="4100" w:type="dxa"/>
            <w:vAlign w:val="bottom"/>
            <w:gridSpan w:val="2"/>
          </w:tcPr>
          <w:p>
            <w:pPr>
              <w:spacing w:after="0"/>
              <w:rPr>
                <w:sz w:val="20"/>
                <w:szCs w:val="20"/>
                <w:color w:val="auto"/>
              </w:rPr>
            </w:pPr>
            <w:r>
              <w:rPr>
                <w:rFonts w:ascii="Arial" w:cs="Arial" w:eastAsia="Arial" w:hAnsi="Arial"/>
                <w:sz w:val="16"/>
                <w:szCs w:val="16"/>
                <w:color w:val="auto"/>
              </w:rPr>
              <w:t>Profit/(loss)</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23,016</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(106,362)</w:t>
            </w: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14,169</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(38%)</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(113%)</w:t>
            </w:r>
          </w:p>
        </w:tc>
      </w:tr>
      <w:tr>
        <w:trPr>
          <w:trHeight w:val="203"/>
        </w:trPr>
        <w:tc>
          <w:tcPr>
            <w:tcW w:w="4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EPU, common (basic)</w:t>
            </w: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0.28</w:t>
            </w:r>
          </w:p>
        </w:tc>
        <w:tc>
          <w:tcPr>
            <w:tcW w:w="13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(2.37)</w:t>
            </w:r>
          </w:p>
        </w:tc>
        <w:tc>
          <w:tcPr>
            <w:tcW w:w="18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0.14</w:t>
            </w:r>
          </w:p>
        </w:tc>
        <w:tc>
          <w:tcPr>
            <w:tcW w:w="13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(50%)</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(106%)</w:t>
            </w:r>
          </w:p>
        </w:tc>
      </w:tr>
      <w:tr>
        <w:trPr>
          <w:trHeight w:val="203"/>
        </w:trPr>
        <w:tc>
          <w:tcPr>
            <w:tcW w:w="4100" w:type="dxa"/>
            <w:vAlign w:val="bottom"/>
            <w:gridSpan w:val="2"/>
          </w:tcPr>
          <w:p>
            <w:pPr>
              <w:spacing w:after="0" w:line="20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29,611</w:t>
            </w:r>
          </w:p>
        </w:tc>
        <w:tc>
          <w:tcPr>
            <w:tcW w:w="1120" w:type="dxa"/>
            <w:vAlign w:val="bottom"/>
          </w:tcPr>
          <w:p>
            <w:pPr>
              <w:jc w:val="right"/>
              <w:spacing w:after="0"/>
              <w:rPr>
                <w:sz w:val="20"/>
                <w:szCs w:val="20"/>
                <w:color w:val="auto"/>
              </w:rPr>
            </w:pPr>
            <w:r>
              <w:rPr>
                <w:rFonts w:ascii="Arial" w:cs="Arial" w:eastAsia="Arial" w:hAnsi="Arial"/>
                <w:sz w:val="16"/>
                <w:szCs w:val="16"/>
                <w:color w:val="auto"/>
              </w:rPr>
              <w:t>29,646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27,821</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r>
      <w:tr>
        <w:trPr>
          <w:trHeight w:val="203"/>
        </w:trPr>
        <w:tc>
          <w:tcPr>
            <w:tcW w:w="410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68,757</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68,255</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64,201</w:t>
            </w:r>
          </w:p>
        </w:tc>
        <w:tc>
          <w:tcPr>
            <w:tcW w:w="13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w:t>
            </w:r>
          </w:p>
        </w:tc>
      </w:tr>
      <w:tr>
        <w:trPr>
          <w:trHeight w:val="281"/>
        </w:trPr>
        <w:tc>
          <w:tcPr>
            <w:tcW w:w="4100" w:type="dxa"/>
            <w:vAlign w:val="bottom"/>
            <w:gridSpan w:val="2"/>
          </w:tcPr>
          <w:p>
            <w:pPr>
              <w:spacing w:after="0"/>
              <w:rPr>
                <w:sz w:val="20"/>
                <w:szCs w:val="20"/>
                <w:color w:val="auto"/>
              </w:rPr>
            </w:pPr>
            <w:r>
              <w:rPr>
                <w:rFonts w:ascii="Arial" w:cs="Arial" w:eastAsia="Arial" w:hAnsi="Arial"/>
                <w:sz w:val="16"/>
                <w:szCs w:val="16"/>
                <w:color w:val="auto"/>
              </w:rPr>
              <w:t>Adjusted EPU, common (basic)</w:t>
            </w:r>
            <w:r>
              <w:rPr>
                <w:rFonts w:ascii="Arial" w:cs="Arial" w:eastAsia="Arial" w:hAnsi="Arial"/>
                <w:sz w:val="21"/>
                <w:szCs w:val="21"/>
                <w:color w:val="auto"/>
                <w:vertAlign w:val="superscript"/>
              </w:rPr>
              <w:t>(2)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0.42</w:t>
            </w:r>
          </w:p>
        </w:tc>
        <w:tc>
          <w:tcPr>
            <w:tcW w:w="1120" w:type="dxa"/>
            <w:vAlign w:val="bottom"/>
          </w:tcPr>
          <w:p>
            <w:pPr>
              <w:jc w:val="right"/>
              <w:spacing w:after="0"/>
              <w:rPr>
                <w:sz w:val="20"/>
                <w:szCs w:val="20"/>
                <w:color w:val="auto"/>
              </w:rPr>
            </w:pPr>
            <w:r>
              <w:rPr>
                <w:rFonts w:ascii="Arial" w:cs="Arial" w:eastAsia="Arial" w:hAnsi="Arial"/>
                <w:sz w:val="16"/>
                <w:szCs w:val="16"/>
                <w:color w:val="auto"/>
              </w:rPr>
              <w:t>0.46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0.42</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r>
    </w:tbl>
    <w:p>
      <w:pPr>
        <w:spacing w:after="0" w:line="119" w:lineRule="exact"/>
        <w:rPr>
          <w:sz w:val="20"/>
          <w:szCs w:val="20"/>
          <w:color w:val="auto"/>
        </w:rPr>
      </w:pPr>
    </w:p>
    <w:p>
      <w:pPr>
        <w:ind w:left="660" w:right="140" w:hanging="328"/>
        <w:spacing w:after="0" w:line="201" w:lineRule="auto"/>
        <w:tabs>
          <w:tab w:leader="none" w:pos="648"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“IFRS Common Control Reported Results” represent the results of GasLog Partners in accordance with IFRS. Such results include amounts related to vessels currently owned by the Partnership for the periods prior to their respective transfers to GasLog Partners from GasLog, as the transfers of such vessels were accounted for as reorganizations of entities under common control for IFRS accounting purposes. The unaudited condensed consolidated financial statements of the Partnership accompanying this press release are prepared under IFRS on this basis.</w:t>
      </w:r>
    </w:p>
    <w:p>
      <w:pPr>
        <w:spacing w:after="0" w:line="184" w:lineRule="exact"/>
        <w:rPr>
          <w:rFonts w:ascii="Arial" w:cs="Arial" w:eastAsia="Arial" w:hAnsi="Arial"/>
          <w:sz w:val="23"/>
          <w:szCs w:val="23"/>
          <w:color w:val="auto"/>
          <w:vertAlign w:val="superscript"/>
        </w:rPr>
      </w:pPr>
    </w:p>
    <w:p>
      <w:pPr>
        <w:ind w:left="660" w:right="240" w:hanging="328"/>
        <w:spacing w:after="0" w:line="186" w:lineRule="auto"/>
        <w:tabs>
          <w:tab w:leader="none" w:pos="648"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Adjusted Profit, Adjusted EBITDA and Adjusted EPU are non-GAAP financial measures. For the definitions and reconciliations of these measures to the most directly comparable financial measure presented in accordance with IFRS, please refer to Exhibit III at the end of this press release.</w:t>
      </w:r>
    </w:p>
    <w:p>
      <w:pPr>
        <w:spacing w:after="0" w:line="19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There were 1,273 revenue operating days for the quarter ended March 31, 2020 as compared to 1,348 revenue operating days for the quarter ended December 31, 2019 and 1,344 revenue operating days for the quarter ended March 31, 2019.</w:t>
      </w:r>
    </w:p>
    <w:p>
      <w:pPr>
        <w:spacing w:after="0" w:line="17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decrease in profit in the first quarter of 2020 as compared to the same period in 2019 is mainly attributable to an $8.0 million increase in loss from the mark-to-market valuation of the derivatives attributable to the Partnership, which were carried at fair value through profit or loss.</w:t>
      </w:r>
    </w:p>
    <w:p>
      <w:pPr>
        <w:spacing w:after="0" w:line="172"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The increase from a loss of $106.4 million in the fourth quarter of 2019 to a profit of $14.2 million in the first quarter of 2020 is mainly attributable to an impairment loss on vessels of $138.8 million recognized in the fourth quarter of 2019, partially offset by an increase of $16.5 million in mark-to-market loss on derivatives.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6"/>
                <w:szCs w:val="16"/>
                <w:b w:val="1"/>
                <w:bCs w:val="1"/>
                <w:color w:val="auto"/>
                <w:w w:val="90"/>
              </w:rPr>
              <w:t>Partnership Performance Results</w:t>
            </w:r>
            <w:r>
              <w:rPr>
                <w:rFonts w:ascii="Arial" w:cs="Arial" w:eastAsia="Arial" w:hAnsi="Arial"/>
                <w:sz w:val="21"/>
                <w:szCs w:val="21"/>
                <w:b w:val="1"/>
                <w:bCs w:val="1"/>
                <w:color w:val="auto"/>
                <w:w w:val="90"/>
                <w:vertAlign w:val="superscript"/>
              </w:rPr>
              <w:t>(1)</w:t>
            </w:r>
          </w:p>
        </w:tc>
        <w:tc>
          <w:tcPr>
            <w:tcW w:w="1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4080" w:type="dxa"/>
            <w:vAlign w:val="bottom"/>
          </w:tcPr>
          <w:p>
            <w:pPr>
              <w:spacing w:after="0"/>
              <w:rPr>
                <w:sz w:val="17"/>
                <w:szCs w:val="17"/>
                <w:color w:val="auto"/>
              </w:rPr>
            </w:pPr>
          </w:p>
        </w:tc>
        <w:tc>
          <w:tcPr>
            <w:tcW w:w="2900" w:type="dxa"/>
            <w:vAlign w:val="bottom"/>
            <w:tcBorders>
              <w:bottom w:val="single" w:sz="8" w:color="auto"/>
            </w:tcBorders>
            <w:gridSpan w:val="5"/>
          </w:tcPr>
          <w:p>
            <w:pPr>
              <w:jc w:val="center"/>
              <w:ind w:left="859"/>
              <w:spacing w:after="0"/>
              <w:rPr>
                <w:sz w:val="20"/>
                <w:szCs w:val="20"/>
                <w:color w:val="auto"/>
              </w:rPr>
            </w:pPr>
            <w:r>
              <w:rPr>
                <w:rFonts w:ascii="Arial" w:cs="Arial" w:eastAsia="Arial" w:hAnsi="Arial"/>
                <w:sz w:val="16"/>
                <w:szCs w:val="16"/>
                <w:b w:val="1"/>
                <w:bCs w:val="1"/>
                <w:color w:val="auto"/>
                <w:w w:val="90"/>
              </w:rPr>
              <w:t>For the three months ended</w:t>
            </w:r>
          </w:p>
        </w:tc>
        <w:tc>
          <w:tcPr>
            <w:tcW w:w="9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 Change from</w:t>
            </w:r>
          </w:p>
        </w:tc>
        <w:tc>
          <w:tcPr>
            <w:tcW w:w="120" w:type="dxa"/>
            <w:vAlign w:val="bottom"/>
          </w:tcPr>
          <w:p>
            <w:pPr>
              <w:spacing w:after="0"/>
              <w:rPr>
                <w:sz w:val="17"/>
                <w:szCs w:val="17"/>
                <w:color w:val="auto"/>
              </w:rPr>
            </w:pPr>
          </w:p>
        </w:tc>
      </w:tr>
      <w:tr>
        <w:trPr>
          <w:trHeight w:val="182"/>
        </w:trPr>
        <w:tc>
          <w:tcPr>
            <w:tcW w:w="4080" w:type="dxa"/>
            <w:vAlign w:val="bottom"/>
          </w:tcPr>
          <w:p>
            <w:pPr>
              <w:spacing w:after="0" w:line="182" w:lineRule="exact"/>
              <w:rPr>
                <w:sz w:val="20"/>
                <w:szCs w:val="20"/>
                <w:color w:val="auto"/>
              </w:rPr>
            </w:pPr>
            <w:r>
              <w:rPr>
                <w:rFonts w:ascii="Arial" w:cs="Arial" w:eastAsia="Arial" w:hAnsi="Arial"/>
                <w:sz w:val="16"/>
                <w:szCs w:val="16"/>
                <w:b w:val="1"/>
                <w:bCs w:val="1"/>
                <w:i w:val="1"/>
                <w:iCs w:val="1"/>
                <w:color w:val="auto"/>
              </w:rPr>
              <w:t>(All amounts expressed in thousands of U.S.</w:t>
            </w:r>
          </w:p>
        </w:tc>
        <w:tc>
          <w:tcPr>
            <w:tcW w:w="1360" w:type="dxa"/>
            <w:vAlign w:val="bottom"/>
            <w:gridSpan w:val="2"/>
          </w:tcPr>
          <w:p>
            <w:pPr>
              <w:jc w:val="right"/>
              <w:ind w:right="440"/>
              <w:spacing w:after="0" w:line="182" w:lineRule="exact"/>
              <w:rPr>
                <w:sz w:val="20"/>
                <w:szCs w:val="20"/>
                <w:color w:val="auto"/>
              </w:rPr>
            </w:pPr>
            <w:r>
              <w:rPr>
                <w:rFonts w:ascii="Arial" w:cs="Arial" w:eastAsia="Arial" w:hAnsi="Arial"/>
                <w:sz w:val="16"/>
                <w:szCs w:val="16"/>
                <w:b w:val="1"/>
                <w:bCs w:val="1"/>
                <w:color w:val="auto"/>
              </w:rPr>
              <w:t>March 31,</w:t>
            </w:r>
          </w:p>
        </w:tc>
        <w:tc>
          <w:tcPr>
            <w:tcW w:w="1540" w:type="dxa"/>
            <w:vAlign w:val="bottom"/>
            <w:gridSpan w:val="3"/>
          </w:tcPr>
          <w:p>
            <w:pPr>
              <w:jc w:val="center"/>
              <w:ind w:right="440"/>
              <w:spacing w:after="0" w:line="182" w:lineRule="exact"/>
              <w:rPr>
                <w:sz w:val="20"/>
                <w:szCs w:val="20"/>
                <w:color w:val="auto"/>
              </w:rPr>
            </w:pPr>
            <w:r>
              <w:rPr>
                <w:rFonts w:ascii="Arial" w:cs="Arial" w:eastAsia="Arial" w:hAnsi="Arial"/>
                <w:sz w:val="16"/>
                <w:szCs w:val="16"/>
                <w:b w:val="1"/>
                <w:bCs w:val="1"/>
                <w:color w:val="auto"/>
                <w:w w:val="90"/>
              </w:rPr>
              <w:t>December 31,</w:t>
            </w:r>
          </w:p>
        </w:tc>
        <w:tc>
          <w:tcPr>
            <w:tcW w:w="920" w:type="dxa"/>
            <w:vAlign w:val="bottom"/>
          </w:tcPr>
          <w:p>
            <w:pPr>
              <w:jc w:val="center"/>
              <w:ind w:right="99"/>
              <w:spacing w:after="0" w:line="182" w:lineRule="exact"/>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5"/>
                <w:szCs w:val="15"/>
                <w:color w:val="auto"/>
              </w:rPr>
            </w:pPr>
          </w:p>
        </w:tc>
        <w:tc>
          <w:tcPr>
            <w:tcW w:w="1320" w:type="dxa"/>
            <w:vAlign w:val="bottom"/>
            <w:gridSpan w:val="2"/>
          </w:tcPr>
          <w:p>
            <w:pPr>
              <w:jc w:val="right"/>
              <w:ind w:right="420"/>
              <w:spacing w:after="0" w:line="182" w:lineRule="exact"/>
              <w:rPr>
                <w:sz w:val="20"/>
                <w:szCs w:val="20"/>
                <w:color w:val="auto"/>
              </w:rPr>
            </w:pPr>
            <w:r>
              <w:rPr>
                <w:rFonts w:ascii="Arial" w:cs="Arial" w:eastAsia="Arial" w:hAnsi="Arial"/>
                <w:sz w:val="16"/>
                <w:szCs w:val="16"/>
                <w:b w:val="1"/>
                <w:bCs w:val="1"/>
                <w:color w:val="auto"/>
              </w:rPr>
              <w:t>March 31,</w:t>
            </w:r>
          </w:p>
        </w:tc>
        <w:tc>
          <w:tcPr>
            <w:tcW w:w="11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5"/>
                <w:szCs w:val="15"/>
                <w:color w:val="auto"/>
              </w:rPr>
            </w:pPr>
          </w:p>
        </w:tc>
      </w:tr>
      <w:tr>
        <w:trPr>
          <w:trHeight w:val="213"/>
        </w:trPr>
        <w:tc>
          <w:tcPr>
            <w:tcW w:w="4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dollars)</w:t>
            </w: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Borders>
              <w:bottom w:val="single" w:sz="8" w:color="E5FFFF"/>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E5FFFF"/>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E5FFFF"/>
            </w:tcBorders>
          </w:tcPr>
          <w:p>
            <w:pPr>
              <w:spacing w:after="0"/>
              <w:rPr>
                <w:sz w:val="18"/>
                <w:szCs w:val="18"/>
                <w:color w:val="auto"/>
              </w:rPr>
            </w:pPr>
          </w:p>
        </w:tc>
      </w:tr>
      <w:tr>
        <w:trPr>
          <w:trHeight w:val="199"/>
        </w:trPr>
        <w:tc>
          <w:tcPr>
            <w:tcW w:w="408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96,512</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91,353</w:t>
            </w:r>
          </w:p>
        </w:tc>
        <w:tc>
          <w:tcPr>
            <w:tcW w:w="240" w:type="dxa"/>
            <w:vAlign w:val="bottom"/>
            <w:shd w:val="clear" w:color="auto" w:fill="E5FFFF"/>
          </w:tcPr>
          <w:p>
            <w:pPr>
              <w:spacing w:after="0"/>
              <w:rPr>
                <w:sz w:val="17"/>
                <w:szCs w:val="17"/>
                <w:color w:val="auto"/>
              </w:rPr>
            </w:pPr>
          </w:p>
        </w:tc>
        <w:tc>
          <w:tcPr>
            <w:tcW w:w="1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E5FFFF"/>
          </w:tcPr>
          <w:p>
            <w:pPr>
              <w:spacing w:after="0"/>
              <w:rPr>
                <w:sz w:val="17"/>
                <w:szCs w:val="17"/>
                <w:color w:val="auto"/>
              </w:rPr>
            </w:pPr>
          </w:p>
        </w:tc>
        <w:tc>
          <w:tcPr>
            <w:tcW w:w="1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E5FFFF"/>
          </w:tcPr>
          <w:p>
            <w:pPr>
              <w:spacing w:after="0"/>
              <w:rPr>
                <w:sz w:val="17"/>
                <w:szCs w:val="17"/>
                <w:color w:val="auto"/>
              </w:rPr>
            </w:pPr>
          </w:p>
        </w:tc>
      </w:tr>
      <w:tr>
        <w:trPr>
          <w:trHeight w:val="203"/>
        </w:trPr>
        <w:tc>
          <w:tcPr>
            <w:tcW w:w="4080" w:type="dxa"/>
            <w:vAlign w:val="bottom"/>
          </w:tcPr>
          <w:p>
            <w:pPr>
              <w:spacing w:after="0"/>
              <w:rPr>
                <w:sz w:val="20"/>
                <w:szCs w:val="20"/>
                <w:color w:val="auto"/>
              </w:rPr>
            </w:pPr>
            <w:r>
              <w:rPr>
                <w:rFonts w:ascii="Arial" w:cs="Arial" w:eastAsia="Arial" w:hAnsi="Arial"/>
                <w:sz w:val="16"/>
                <w:szCs w:val="16"/>
                <w:color w:val="auto"/>
              </w:rPr>
              <w:t>Profit/(loss)</w:t>
            </w:r>
          </w:p>
        </w:tc>
        <w:tc>
          <w:tcPr>
            <w:tcW w:w="1120" w:type="dxa"/>
            <w:vAlign w:val="bottom"/>
          </w:tcPr>
          <w:p>
            <w:pPr>
              <w:jc w:val="right"/>
              <w:spacing w:after="0"/>
              <w:rPr>
                <w:sz w:val="20"/>
                <w:szCs w:val="20"/>
                <w:color w:val="auto"/>
              </w:rPr>
            </w:pPr>
            <w:r>
              <w:rPr>
                <w:rFonts w:ascii="Arial" w:cs="Arial" w:eastAsia="Arial" w:hAnsi="Arial"/>
                <w:sz w:val="16"/>
                <w:szCs w:val="16"/>
                <w:color w:val="auto"/>
              </w:rPr>
              <w:t>20,366</w:t>
            </w:r>
          </w:p>
        </w:tc>
        <w:tc>
          <w:tcPr>
            <w:tcW w:w="2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(106,362)</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14,169</w:t>
            </w:r>
          </w:p>
        </w:tc>
        <w:tc>
          <w:tcPr>
            <w:tcW w:w="2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(30%)</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(113%)</w:t>
            </w:r>
          </w:p>
        </w:tc>
      </w:tr>
      <w:tr>
        <w:trPr>
          <w:trHeight w:val="203"/>
        </w:trPr>
        <w:tc>
          <w:tcPr>
            <w:tcW w:w="4080" w:type="dxa"/>
            <w:vAlign w:val="bottom"/>
            <w:shd w:val="clear" w:color="auto" w:fill="E5FFFF"/>
          </w:tcPr>
          <w:p>
            <w:pPr>
              <w:spacing w:after="0"/>
              <w:rPr>
                <w:sz w:val="20"/>
                <w:szCs w:val="20"/>
                <w:color w:val="auto"/>
              </w:rPr>
            </w:pPr>
            <w:r>
              <w:rPr>
                <w:rFonts w:ascii="Arial" w:cs="Arial" w:eastAsia="Arial" w:hAnsi="Arial"/>
                <w:sz w:val="16"/>
                <w:szCs w:val="16"/>
                <w:color w:val="auto"/>
              </w:rPr>
              <w:t>EPU, common (basic)</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0.28</w:t>
            </w:r>
          </w:p>
        </w:tc>
        <w:tc>
          <w:tcPr>
            <w:tcW w:w="24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(2.37)</w:t>
            </w: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0.14</w:t>
            </w:r>
          </w:p>
        </w:tc>
        <w:tc>
          <w:tcPr>
            <w:tcW w:w="24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(50%)</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(106%)</w:t>
            </w:r>
          </w:p>
        </w:tc>
      </w:tr>
      <w:tr>
        <w:trPr>
          <w:trHeight w:val="203"/>
        </w:trPr>
        <w:tc>
          <w:tcPr>
            <w:tcW w:w="4080" w:type="dxa"/>
            <w:vAlign w:val="bottom"/>
          </w:tcPr>
          <w:p>
            <w:pPr>
              <w:spacing w:after="0" w:line="20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6"/>
                <w:szCs w:val="16"/>
                <w:color w:val="auto"/>
              </w:rPr>
              <w:t>26,961</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29,646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27,821</w:t>
            </w:r>
          </w:p>
        </w:tc>
        <w:tc>
          <w:tcPr>
            <w:tcW w:w="2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r>
      <w:tr>
        <w:trPr>
          <w:trHeight w:val="203"/>
        </w:trPr>
        <w:tc>
          <w:tcPr>
            <w:tcW w:w="408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62,901</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68,255</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64,201</w:t>
            </w:r>
          </w:p>
        </w:tc>
        <w:tc>
          <w:tcPr>
            <w:tcW w:w="24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w:t>
            </w:r>
          </w:p>
        </w:tc>
      </w:tr>
      <w:tr>
        <w:trPr>
          <w:trHeight w:val="203"/>
        </w:trPr>
        <w:tc>
          <w:tcPr>
            <w:tcW w:w="4080" w:type="dxa"/>
            <w:vAlign w:val="bottom"/>
          </w:tcPr>
          <w:p>
            <w:pPr>
              <w:spacing w:after="0" w:line="203" w:lineRule="exact"/>
              <w:rPr>
                <w:sz w:val="20"/>
                <w:szCs w:val="20"/>
                <w:color w:val="auto"/>
              </w:rPr>
            </w:pPr>
            <w:r>
              <w:rPr>
                <w:rFonts w:ascii="Arial" w:cs="Arial" w:eastAsia="Arial" w:hAnsi="Arial"/>
                <w:sz w:val="16"/>
                <w:szCs w:val="16"/>
                <w:color w:val="auto"/>
              </w:rPr>
              <w:t>Adjusted EPU, common (basic)</w:t>
            </w:r>
            <w:r>
              <w:rPr>
                <w:rFonts w:ascii="Arial" w:cs="Arial" w:eastAsia="Arial" w:hAnsi="Arial"/>
                <w:sz w:val="21"/>
                <w:szCs w:val="21"/>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6"/>
                <w:szCs w:val="16"/>
                <w:color w:val="auto"/>
              </w:rPr>
              <w:t>0.42</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0.42</w:t>
            </w:r>
          </w:p>
        </w:tc>
        <w:tc>
          <w:tcPr>
            <w:tcW w:w="2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r>
      <w:tr>
        <w:trPr>
          <w:trHeight w:val="203"/>
        </w:trPr>
        <w:tc>
          <w:tcPr>
            <w:tcW w:w="408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Distributable cash flow</w:t>
            </w:r>
            <w:r>
              <w:rPr>
                <w:rFonts w:ascii="Arial" w:cs="Arial" w:eastAsia="Arial" w:hAnsi="Arial"/>
                <w:sz w:val="21"/>
                <w:szCs w:val="21"/>
                <w:color w:val="auto"/>
                <w:vertAlign w:val="superscript"/>
              </w:rPr>
              <w:t>(2)</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27,608</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31,781</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27,356</w:t>
            </w:r>
          </w:p>
        </w:tc>
        <w:tc>
          <w:tcPr>
            <w:tcW w:w="24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(14%)</w:t>
            </w:r>
          </w:p>
        </w:tc>
      </w:tr>
      <w:tr>
        <w:trPr>
          <w:trHeight w:val="206"/>
        </w:trPr>
        <w:tc>
          <w:tcPr>
            <w:tcW w:w="4080" w:type="dxa"/>
            <w:vAlign w:val="bottom"/>
          </w:tcPr>
          <w:p>
            <w:pPr>
              <w:spacing w:after="0"/>
              <w:rPr>
                <w:sz w:val="20"/>
                <w:szCs w:val="20"/>
                <w:color w:val="auto"/>
              </w:rPr>
            </w:pPr>
            <w:r>
              <w:rPr>
                <w:rFonts w:ascii="Arial" w:cs="Arial" w:eastAsia="Arial" w:hAnsi="Arial"/>
                <w:sz w:val="16"/>
                <w:szCs w:val="16"/>
                <w:color w:val="auto"/>
              </w:rPr>
              <w:t>Cash distributions declared</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26,911</w:t>
            </w:r>
          </w:p>
        </w:tc>
        <w:tc>
          <w:tcPr>
            <w:tcW w:w="1120" w:type="dxa"/>
            <w:vAlign w:val="bottom"/>
          </w:tcPr>
          <w:p>
            <w:pPr>
              <w:jc w:val="right"/>
              <w:spacing w:after="0"/>
              <w:rPr>
                <w:sz w:val="20"/>
                <w:szCs w:val="20"/>
                <w:color w:val="auto"/>
              </w:rPr>
            </w:pPr>
            <w:r>
              <w:rPr>
                <w:rFonts w:ascii="Arial" w:cs="Arial" w:eastAsia="Arial" w:hAnsi="Arial"/>
                <w:sz w:val="16"/>
                <w:szCs w:val="16"/>
                <w:color w:val="auto"/>
              </w:rPr>
              <w:t>26,754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5,961</w:t>
            </w:r>
          </w:p>
        </w:tc>
        <w:tc>
          <w:tcPr>
            <w:tcW w:w="2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(78%)</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r>
    </w:tbl>
    <w:p>
      <w:pPr>
        <w:spacing w:after="0" w:line="200" w:lineRule="exact"/>
        <w:rPr>
          <w:sz w:val="20"/>
          <w:szCs w:val="20"/>
          <w:color w:val="auto"/>
        </w:rPr>
      </w:pPr>
    </w:p>
    <w:p>
      <w:pPr>
        <w:spacing w:after="0" w:line="209" w:lineRule="exact"/>
        <w:rPr>
          <w:sz w:val="20"/>
          <w:szCs w:val="20"/>
          <w:color w:val="auto"/>
        </w:rPr>
      </w:pPr>
    </w:p>
    <w:p>
      <w:pPr>
        <w:ind w:left="660" w:right="20" w:hanging="328"/>
        <w:spacing w:after="0" w:line="228" w:lineRule="auto"/>
        <w:tabs>
          <w:tab w:leader="none" w:pos="648" w:val="left"/>
        </w:tabs>
        <w:numPr>
          <w:ilvl w:val="0"/>
          <w:numId w:val="8"/>
        </w:numPr>
        <w:rPr>
          <w:rFonts w:ascii="Arial" w:cs="Arial" w:eastAsia="Arial" w:hAnsi="Arial"/>
          <w:sz w:val="21"/>
          <w:szCs w:val="21"/>
          <w:color w:val="auto"/>
          <w:vertAlign w:val="superscript"/>
        </w:rPr>
      </w:pPr>
      <w:r>
        <w:rPr>
          <w:rFonts w:ascii="Arial" w:cs="Arial" w:eastAsia="Arial" w:hAnsi="Arial"/>
          <w:sz w:val="13"/>
          <w:szCs w:val="13"/>
          <w:color w:val="auto"/>
        </w:rPr>
        <w:t>“Partnership Performance Results” represent the results attributable to GasLog Partners. Such results are non-GAAP measures and exclude amounts related to vessels currently owned by the Partnership for the periods prior to their respective transfers to GasLog Partners from GasLog, as the Partnership is not entitled to the cash or results generated in the periods prior to such transfers. Such results are included in the GasLog Partners’ results in accordance with IFRS because the transfers of the vessel owning entities by GasLog to the Partnership represent reorganizations of entities under common control and the Partnership reflects such transfers retroactively under IFRS. GasLog Partners believes that these non-GAAP financial measures provide meaningful supplemental information to both management and investors regarding the financial and operating performance of the Partnership necessary to understand the underlying basis for the calculations of the quarterly distribution and earnings per unit, which similarly exclude the results of vessels prior to their transfers to the Partnership. These non-GAAP financial measures should not be viewed in isolation or as substitutes to the equivalent GAAP measures presented in accordance with IFRS, but should be used in conjunction with the most directly comparable IFRS Common Control Reported Results. For the definitions and reconciliations of these measurements to the most directly comparable financial measures presented in accordance with IFRS, please refer to Exhibit II at the end of this press release.</w:t>
      </w:r>
    </w:p>
    <w:p>
      <w:pPr>
        <w:spacing w:after="0" w:line="186" w:lineRule="exact"/>
        <w:rPr>
          <w:rFonts w:ascii="Arial" w:cs="Arial" w:eastAsia="Arial" w:hAnsi="Arial"/>
          <w:sz w:val="21"/>
          <w:szCs w:val="21"/>
          <w:color w:val="auto"/>
          <w:vertAlign w:val="superscript"/>
        </w:rPr>
      </w:pPr>
    </w:p>
    <w:p>
      <w:pPr>
        <w:ind w:left="660" w:right="140" w:hanging="328"/>
        <w:spacing w:after="0" w:line="196"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Adjusted Profit, Adjusted EBITDA, Adjusted EPU and Distributable cash flow are non-GAAP financial measures and should not be used in isolation or as a substitute for GasLog Partners’ financial results presented in accordance with IFRS. For the definitions and reconciliations of these measures to the most directly comparable financial measures calculated and presented in accordance with IFRS, please refer to Exhibit III at the end of this press release.</w:t>
      </w:r>
    </w:p>
    <w:p>
      <w:pPr>
        <w:spacing w:after="0" w:line="19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With respect to the Partnership Performance Results, there were 1,273 revenue operating days for the quarter ended March 31, 2020 compared to 1,348 revenue operating days for the quarter ended December 31, 2019 and 1,254 revenue operating days for the quarter ended March 31, 2019.</w:t>
      </w:r>
    </w:p>
    <w:p>
      <w:pPr>
        <w:spacing w:after="0" w:line="172"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 xml:space="preserve">The decrease in profit in the first quarter of 2020 as compared to the same period in 2019 is mainly attributable to an $8.0 million increase in loss from the mark-to-market valuation of the derivatives attributable to the Partnership, which were carried at fair value through profit or loss, partially offset by the profits from the acquisition of the </w:t>
      </w:r>
      <w:r>
        <w:rPr>
          <w:rFonts w:ascii="Arial" w:cs="Arial" w:eastAsia="Arial" w:hAnsi="Arial"/>
          <w:sz w:val="16"/>
          <w:szCs w:val="16"/>
          <w:i w:val="1"/>
          <w:iCs w:val="1"/>
          <w:color w:val="auto"/>
        </w:rPr>
        <w:t xml:space="preserve">GasLog Glasgow </w:t>
      </w:r>
      <w:r>
        <w:rPr>
          <w:rFonts w:ascii="Arial" w:cs="Arial" w:eastAsia="Arial" w:hAnsi="Arial"/>
          <w:sz w:val="16"/>
          <w:szCs w:val="16"/>
          <w:color w:val="auto"/>
        </w:rPr>
        <w:t>on April 1, 2019.</w:t>
      </w:r>
    </w:p>
    <w:p>
      <w:pPr>
        <w:spacing w:after="0" w:line="184"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The increase from a loss of $106.4 million in the fourth quarter of 2019 to a profit of $14.2 million in the first quarter of 2020 is mainly attributable to an impairment loss on vessels of $138.8 million recognized in the fourth quarter of 2019, partially offset by an increase of $16.5 million in mark-to-market loss on derivatives.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Distributions</w:t>
      </w:r>
    </w:p>
    <w:p>
      <w:pPr>
        <w:spacing w:after="0" w:line="252"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On February 5, 2020, the board of directors of GasLog Partners approved and declared a distribution on the 8.625% Series A Cumulative Redeemable Perpetual Fixed to Floating Rate Preference Units (the “Series A Preference Units”) of $0.5390625 per preference unit, a distribution on the 8.200% Series B Cumulative Redeemable Perpetual Fixed to Floating Rate Preference Units (the “Series B Preference Units”) of $0.5125 per preference unit and a distribution on the 8.500% Series C Cumulative Redeemable Perpetual Fixed to Floating Rate Preference Units (the “Series C Preference Units”) of $0.53125 per preference unit. The cash distributions were paid on March 16, 2020 to all unitholders of record as of March 9, 2020.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23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May 6, 2020, the board of directors of GasLog Partners approved and declared a quarterly cash distribution of $0.125 per common unit for the quarter ended March 31, 2020. The cash distribution is payable on May 21, 2020 to all unitholders of record as of May 18,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 Repurchase Programme</w:t>
      </w:r>
    </w:p>
    <w:p>
      <w:pPr>
        <w:spacing w:after="0" w:line="239"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On February 5, 2020, the board of directors of GasLog Partners authorized a renewal of the Partnership’s unit repurchase programme, taking the total authority outstanding under the programme to $25.0 million which may be utilized from February 10, 2020 to December 31, 2021. In the three months ended March 31, 2020, GasLog Partners repurchased and cancelled 191,490 of the Partnership’s common units at a weighted average price of $5.18 per common unit for a total amount of $1.0 million, including commissions. Since the authorization of the unit repurchase programme and through May 7, 2020, GasLog Partners has repurchased and cancelled a total of 1,363,062 units at a weighted average price of $17.50 per common unit for a total amount of $23.9 million, including commissions.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ATM Common Equity Offering Programme (“ATM Programme”)</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No issuances of common units were made in the first three months of 2020 under the Partnership’s ATM Programme of up to $250.0 million. Since the commencement of the ATM Programme through May 7, 2020, GasLog Partners has issued and received payment for a total of 5,291,304 common units, with cumulative gross proceeds of $123.4 million at a weighted average price of $23.33 per unit and net proceeds of $121.2 million. In connection with the issuance of common units under the ATM Programme during this period, the Partnership also issued 107,987 general partner units to its general partner. The net proceeds from the issuance of the general partner units were $2.5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Chief Financial Officer (“CFO”) Transition</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Alastair Maxwell, CFO of GasLog Partners and GasLog, has informed the Partnership that, as a result of the relocation of his role to Piraeus, Greece, he will be stepping down from his position on June 30, 2020. Achilleas Tasioulas, currently Deputy CFO, will assume the responsibilities of CFO of GasLog Partners and GasLog on July 1, 2020. Please see the separate press release of today’s date on this matter.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Financing</w:t>
      </w:r>
    </w:p>
    <w:p>
      <w:pPr>
        <w:spacing w:after="0" w:line="239" w:lineRule="exact"/>
        <w:rPr>
          <w:sz w:val="20"/>
          <w:szCs w:val="20"/>
          <w:color w:val="auto"/>
        </w:rPr>
      </w:pPr>
    </w:p>
    <w:p>
      <w:pPr>
        <w:jc w:val="both"/>
        <w:ind w:right="120"/>
        <w:spacing w:after="0" w:line="273" w:lineRule="auto"/>
        <w:rPr>
          <w:sz w:val="20"/>
          <w:szCs w:val="20"/>
          <w:color w:val="auto"/>
        </w:rPr>
      </w:pPr>
      <w:r>
        <w:rPr>
          <w:rFonts w:ascii="Arial" w:cs="Arial" w:eastAsia="Arial" w:hAnsi="Arial"/>
          <w:sz w:val="16"/>
          <w:szCs w:val="16"/>
          <w:color w:val="auto"/>
        </w:rPr>
        <w:t>As of March 31, 2020, we had $61.4 million of cash and cash equivalents, of which $28.4 million was held in current accounts and $33.0 million was held in time deposits with an original duration of less than three months. As of March 31, 2020, an amount of $15.0 million was held as cash collateral with respect to our derivative instruments with GasLog, pursuant to a Credit Support Annex entered into between GasLog Partners and GasLog in March 2020, which has a maximum cash collateral requirement of $15.0 million and a termination date of December 31, 2020.</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three months ended March 31, 2020, GasLog Partners repurchased and cancelled 191,490 common units at a weighted average price of $5.18 under its unit repurchase programme authorized in January 2019, for a total amount of $1.0 million, including commissions.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As of March 31, 2020, we had an aggregate of $1,340.8 million of borrowings outstanding under our credit facilities, of which $109.9 million is repayable within one year.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 addition, as of March 31, 2020, we had unused availability under our revolving credit facilities of $32.0 million.</w:t>
      </w:r>
    </w:p>
    <w:p>
      <w:pPr>
        <w:spacing w:after="0" w:line="231"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The Partnership has entered into six interest rate swap agreements with GasLog at a notional value of $625.0 million in aggregate, maturing between 2020 and 2024. As a result of its hedging agreements, the Partnership has hedged 46.0% of its floating interest rate exposure on its outstanding debt as of March 31, 2020, at a weighted average interest rate of approximately 2.1% (excluding margin).</w:t>
      </w:r>
    </w:p>
    <w:p>
      <w:pPr>
        <w:spacing w:after="0" w:line="184"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Furthermore, the Partnership has in place 12 forward foreign exchange contracts with GasLog with a notional value of €15.9 million and 6 forward foreign exchange contracts with GasLog with a notional value of Singapore $1.5 million, with staggered maturities within 2020, to mitigate its foreign exchange transaction exposure in its operating expenses.</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As of March 31, 2020, our current assets totaled $93.2 million and current liabilities totaled $175.6 million, resulting in a negative working capital position of $82.4 million. 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current and expected volatile market conditions, we anticipate that our primary sources of funds over the next 12 months will be available cash, cash from operations and bank borrowings under existing, refinanced or new debt facilities, as well as public equity or debt instruments subject to a significant recovery in capital market conditions. We are continuing the process of refinancing our bank loans maturing in April and July 2021. We believe that these anticipated sources of funds will be sufficient to meet our liquidity needs and to comply with our banking covenants for at least 12 months from the end of the reporting period, although there can be no assurance that we will be able to obtain such debt or equity financing on terms acceptable to us.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LNG demand faced several headwinds in the first quarter of 2020 including a warmer than average winter in the northern hemisphere, high inventory levels of natural gas and LNG in several of the largest end markets for LNG and the outbreak of COVID-19, the impact of which has had an uneven distribution around the world during the year to date. For example, Chinese demand was 15 million tonnes (“mt”) in the first quarter of 2020, a decrease of 5% over the first quarter of 2019 according to Poten, but apparent demand in April has increased year-on-year based on vessel tracking data, including several cargoes exported from the US. Meanwhile, demand from Northern Asia more broadly (Japan, China, South Korea and Taiwan) grew by approximately 1 mt in the first quarter or 3% year-over-year. In addition, demand from India grew by nearly 2 mt in the first quarter of 2020 (or 37%) as the country looked to take advantage of historically low gas prices, although apparent demand in April is likely to be lower year-on-year based on vessel tracking data. Finally, demand from Europe grew by over 4 mt (or 37%) as gas pricing favored coal-to-gas switching for power generation and LNG replaces indigenous gas production. In total, LNG demand was 98 mt in the first quarter of 2020, compared with 89 mt in the first quarter of 2019, or an increase of 10%.</w:t>
      </w:r>
    </w:p>
    <w:p>
      <w:pPr>
        <w:spacing w:after="0" w:line="196" w:lineRule="exact"/>
        <w:rPr>
          <w:sz w:val="20"/>
          <w:szCs w:val="20"/>
          <w:color w:val="auto"/>
        </w:rPr>
      </w:pPr>
    </w:p>
    <w:p>
      <w:pPr>
        <w:ind w:right="160"/>
        <w:spacing w:after="0" w:line="318" w:lineRule="auto"/>
        <w:rPr>
          <w:sz w:val="20"/>
          <w:szCs w:val="20"/>
          <w:color w:val="auto"/>
        </w:rPr>
      </w:pPr>
      <w:r>
        <w:rPr>
          <w:rFonts w:ascii="Arial" w:cs="Arial" w:eastAsia="Arial" w:hAnsi="Arial"/>
          <w:sz w:val="14"/>
          <w:szCs w:val="14"/>
          <w:color w:val="auto"/>
        </w:rPr>
        <w:t>Wood Mackenzie currently expects global LNG demand to grow 21 mt or 6% this year, slower than the 26 mt or 7% it anticipated earlier this year prior to the global outbreak of COVID-19. Nonetheless, the demand for LNG over the near-term continues to be uncertain as many LNG importing countries either continue to have in effect shelter-in-place orders which prevent the operation of businesses deemed to be “non-essential” or are in the early stages of reopening their economies. Consequently, measures of global economic activity have declined significantly from comparable periods in 2019. However, the longer-term outlook for LNG demand remains favorable with demand growth of 92 mt estimated over the 2019-2025 timeframe, or compound annual growth of approximately 4% according to Wood Mackenzie.</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Global LNG supply was approximately 98 mt in the first quarter of 2020, an increase of 10 mt over the first quarter of 2019 (or 11%), primarily due to new supply additions in the U.S. (Cameron T1 and T2, Freeport T1, T2 and T3 and Elba Island), according to estimates from Wood Mackenzie. LNG supply is estimated to grow by 22 mt this year as the third train of Cameron begins operations and recent capacity additions continue to increase production. Further ahead, approximately 97 mt of new LNG capacity is expected to begin production during 2021-2025. However, Wood Mackenzie expects the pace of new project sanctions to slow significantly in 2020 due to the uncertainties caused by COVID-19 in long-term demand for LNG and low global energy prices, in particular crude oil prices due to oversupply following a collapse in oil demand due to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COVID-19 virus.</w:t>
      </w:r>
    </w:p>
    <w:p>
      <w:pPr>
        <w:spacing w:after="0" w:line="23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In the LNG shipping spot market, tri-fuel diesel electric vessel (“TFDE”) headline rates, as reported by Clarksons, averaged $57,000 per day in the first quarter of 2020, a decrease from the averages of $108,000 in the fourth quarter of 2019 and $59,500 in the first quarter of 2019. Headline spot rates for Steam vessels averaged $40,000 per day in the first quarter of 2020, a decrease from the average of $78,000 per day in the fourth quarter of 2019 but approximately in line with the $39,000 per day observed in the first quarter of 2019. Slower than expected LNG demand growth due in part to the impact of COVID-19 (as detailed above), high global inventories of natural gas and LNG following a warmer than average winter in the Northern Hemisphere and limited opportunities for LNG arbitrage trading between Atlantic and Pacific basins impacted headline spot rates in the first quarter of 2020.</w:t>
      </w:r>
    </w:p>
    <w:p>
      <w:pPr>
        <w:spacing w:after="0" w:line="194"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Clarksons currently assesses headline spot rates for TFDE and Steam LNG carriers at $32,500 per day and $23,000 per day, respectively. The COVID-19 outbreak has introduced significant uncertainty regarding demand for LNG and, consequently, demand for LNG shipping over the near term. The combined impact of the COVID-19 outbreak and normal seasonality may lead to greater volatility in spot rates and to lower utilization of vessels trading in the spot and short-term markets, in particular Steam vessels. In addition, global gas prices and gas price differentials remain near historic lows in the key markets of North Asia and Europe, limiting the opportunities for inter-basin arbitrage trading and likely reducing average voyage distances as well as potentially reducing global output of LNG over the near-term, particularly in the U.S., where a number of cargo deferrals and/or cancellations have been reported for this summer.</w:t>
      </w:r>
    </w:p>
    <w:p>
      <w:pPr>
        <w:spacing w:after="0" w:line="194" w:lineRule="exact"/>
        <w:rPr>
          <w:sz w:val="20"/>
          <w:szCs w:val="20"/>
          <w:color w:val="auto"/>
        </w:rPr>
      </w:pPr>
    </w:p>
    <w:p>
      <w:pPr>
        <w:ind w:right="60"/>
        <w:spacing w:after="0" w:line="335" w:lineRule="auto"/>
        <w:rPr>
          <w:sz w:val="20"/>
          <w:szCs w:val="20"/>
          <w:color w:val="auto"/>
        </w:rPr>
      </w:pPr>
      <w:r>
        <w:rPr>
          <w:rFonts w:ascii="Arial" w:cs="Arial" w:eastAsia="Arial" w:hAnsi="Arial"/>
          <w:sz w:val="14"/>
          <w:szCs w:val="14"/>
          <w:color w:val="auto"/>
        </w:rPr>
        <w:t>As of May 5, 2020, the orderbook totals 118 dedicated LNG carriers (&gt;100,000 cubic meters, or “cbm”), according to estimates from Poten, representing 22% of the on-the-water fleet. Of these, 74 vessels (or 63%) have multi-year charters. The pace of newbuild ordering has slowed significantly relative to 2018-19, with only 4 newbuildings ordered so far in 2020 and all of them ordered against multi-year contracts, an encouraging development for the future supply and demand balance of LNG carriers.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GasLog Partners and GasLog will host a joint conference call to discuss their results for the first quarter of 2020 at 8.30 a.m. EST (1.30 p.m. BST) on Thursday, May 7, 2020. Senior management of GasLog and GasLog Partners will review the operational and financial performance of both companies. The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5819 4851 (Hong Kong)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+47 2396 4173 (Oslo)</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8392466</w:t>
      </w:r>
    </w:p>
    <w:p>
      <w:pPr>
        <w:spacing w:after="0" w:line="23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 live webcast of the conference call will also be available on the Investor Relations page of both the GasLog (</w:t>
      </w:r>
      <w:r>
        <w:rPr>
          <w:rFonts w:ascii="Arial" w:cs="Arial" w:eastAsia="Arial" w:hAnsi="Arial"/>
          <w:sz w:val="16"/>
          <w:szCs w:val="16"/>
          <w:u w:val="single" w:color="auto"/>
          <w:color w:val="0000FF"/>
        </w:rPr>
        <w:t>http://www.gaslogltd.com/investors</w:t>
      </w:r>
      <w:r>
        <w:rPr>
          <w:rFonts w:ascii="Arial" w:cs="Arial" w:eastAsia="Arial" w:hAnsi="Arial"/>
          <w:sz w:val="16"/>
          <w:szCs w:val="16"/>
          <w:color w:val="auto"/>
        </w:rPr>
        <w:t>) and GasLog Partners (</w:t>
      </w:r>
      <w:r>
        <w:rPr>
          <w:rFonts w:ascii="Arial" w:cs="Arial" w:eastAsia="Arial" w:hAnsi="Arial"/>
          <w:sz w:val="16"/>
          <w:szCs w:val="16"/>
          <w:u w:val="single" w:color="auto"/>
          <w:color w:val="0000FF"/>
        </w:rPr>
        <w:t>http://www.gaslogmlp.com/investors</w:t>
      </w:r>
      <w:r>
        <w:rPr>
          <w:rFonts w:ascii="Arial" w:cs="Arial" w:eastAsia="Arial" w:hAnsi="Arial"/>
          <w:sz w:val="16"/>
          <w:szCs w:val="16"/>
          <w:color w:val="auto"/>
        </w:rPr>
        <w:t>) websites.</w:t>
      </w:r>
    </w:p>
    <w:p>
      <w:pPr>
        <w:spacing w:after="0" w:line="17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For those unable to participate in the conference call, a replay of the webcast will be available on the Investor Relations pages of the companies’ websites as referenced above.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3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w:t>
      </w:r>
      <w:r>
        <w:rPr>
          <w:rFonts w:ascii="Arial" w:cs="Arial" w:eastAsia="Arial" w:hAnsi="Arial"/>
          <w:sz w:val="16"/>
          <w:szCs w:val="16"/>
          <w:u w:val="single" w:color="auto"/>
          <w:color w:val="0000FF"/>
        </w:rPr>
        <w:t>http://www.gaslogmlp.com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cash distribution reductions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ind w:left="660" w:right="240" w:hanging="328"/>
        <w:spacing w:after="0" w:line="266" w:lineRule="auto"/>
        <w:tabs>
          <w:tab w:leader="none" w:pos="624" w:val="left"/>
        </w:tabs>
        <w:numPr>
          <w:ilvl w:val="0"/>
          <w:numId w:val="9"/>
        </w:numPr>
        <w:rPr>
          <w:rFonts w:ascii="Arial" w:cs="Arial" w:eastAsia="Arial" w:hAnsi="Arial"/>
          <w:sz w:val="17"/>
          <w:szCs w:val="17"/>
          <w:color w:val="auto"/>
        </w:rPr>
      </w:pPr>
      <w:r>
        <w:rPr>
          <w:rFonts w:ascii="Arial" w:cs="Arial" w:eastAsia="Arial" w:hAnsi="Arial"/>
          <w:sz w:val="15"/>
          <w:szCs w:val="15"/>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0" w:lineRule="exact"/>
        <w:rPr>
          <w:rFonts w:ascii="Arial" w:cs="Arial" w:eastAsia="Arial" w:hAnsi="Arial"/>
          <w:sz w:val="17"/>
          <w:szCs w:val="17"/>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fluctuations in charter hire rates, vessel utilization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jc w:val="both"/>
        <w:ind w:left="660" w:right="100" w:hanging="328"/>
        <w:spacing w:after="0" w:line="255"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potential disruption to the LNG, LNG shipping and financial markets caused by the global shutdown as a result of the COVID-19 pandemic;</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fluctuations in exchange rates, especially the U.S. dollar and the Euro;</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distribution policy and our ability to make cash distributions on our units or the impact of cash distribution reductions on our financial position;</w:t>
      </w:r>
    </w:p>
    <w:p>
      <w:pPr>
        <w:spacing w:after="0" w:line="9" w:lineRule="exact"/>
        <w:rPr>
          <w:rFonts w:ascii="Arial" w:cs="Arial" w:eastAsia="Arial" w:hAnsi="Arial"/>
          <w:sz w:val="18"/>
          <w:szCs w:val="18"/>
          <w:color w:val="auto"/>
        </w:rPr>
      </w:pPr>
    </w:p>
    <w:p>
      <w:pPr>
        <w:ind w:left="660" w:right="100" w:hanging="328"/>
        <w:spacing w:after="0" w:line="255"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impact on us and the shipping industry of environmental concerns, including climate change;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20" w:lineRule="exact"/>
        <w:rPr>
          <w:rFonts w:ascii="Arial" w:cs="Arial" w:eastAsia="Arial" w:hAnsi="Arial"/>
          <w:sz w:val="17"/>
          <w:szCs w:val="17"/>
          <w:color w:val="auto"/>
        </w:rPr>
      </w:pPr>
    </w:p>
    <w:p>
      <w:pPr>
        <w:ind w:left="660" w:right="360" w:hanging="328"/>
        <w:spacing w:after="0" w:line="255"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6"/>
          <w:szCs w:val="16"/>
          <w:color w:val="auto"/>
        </w:rPr>
        <w:t>potential liability from future litigation;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5"/>
          <w:szCs w:val="15"/>
          <w:color w:val="auto"/>
        </w:rPr>
        <w:t xml:space="preserve">other risks and uncertainties described in the Partnership’s Annual Report on Form 20-F filed with the SEC on March 3, 2020,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2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+44-203-388-3100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ir@gaslogmlp.com</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59" w:right="4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EXHIBIT I – Unaudited Interim Financial Information: IFRS Common Control Reported Results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2019 and March 31,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tcPr>
          <w:p>
            <w:pPr>
              <w:spacing w:after="0"/>
              <w:rPr>
                <w:sz w:val="17"/>
                <w:szCs w:val="17"/>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December 31,</w:t>
            </w:r>
          </w:p>
        </w:tc>
        <w:tc>
          <w:tcPr>
            <w:tcW w:w="132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804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85"/>
        </w:trPr>
        <w:tc>
          <w:tcPr>
            <w:tcW w:w="80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13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128</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97</w:t>
            </w: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Vessels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2,286,430</w:t>
            </w:r>
          </w:p>
        </w:tc>
        <w:tc>
          <w:tcPr>
            <w:tcW w:w="1320" w:type="dxa"/>
            <w:vAlign w:val="bottom"/>
          </w:tcPr>
          <w:p>
            <w:pPr>
              <w:jc w:val="right"/>
              <w:spacing w:after="0"/>
              <w:rPr>
                <w:sz w:val="20"/>
                <w:szCs w:val="20"/>
                <w:color w:val="auto"/>
              </w:rPr>
            </w:pPr>
            <w:r>
              <w:rPr>
                <w:rFonts w:ascii="Arial" w:cs="Arial" w:eastAsia="Arial" w:hAnsi="Arial"/>
                <w:sz w:val="16"/>
                <w:szCs w:val="16"/>
                <w:color w:val="auto"/>
              </w:rPr>
              <w:t>2,272,392</w:t>
            </w:r>
          </w:p>
        </w:tc>
      </w:tr>
      <w:tr>
        <w:trPr>
          <w:trHeight w:val="203"/>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Right-of-use assets</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1,033</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896</w:t>
            </w:r>
          </w:p>
        </w:tc>
      </w:tr>
      <w:tr>
        <w:trPr>
          <w:trHeight w:val="196"/>
        </w:trPr>
        <w:tc>
          <w:tcPr>
            <w:tcW w:w="80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2,287,591</w:t>
            </w:r>
          </w:p>
        </w:tc>
        <w:tc>
          <w:tcPr>
            <w:tcW w:w="1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2,273,385</w:t>
            </w:r>
          </w:p>
        </w:tc>
      </w:tr>
      <w:tr>
        <w:trPr>
          <w:trHeight w:val="183"/>
        </w:trPr>
        <w:tc>
          <w:tcPr>
            <w:tcW w:w="804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130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7,147</w:t>
            </w:r>
          </w:p>
        </w:tc>
        <w:tc>
          <w:tcPr>
            <w:tcW w:w="1320" w:type="dxa"/>
            <w:vAlign w:val="bottom"/>
          </w:tcPr>
          <w:p>
            <w:pPr>
              <w:jc w:val="right"/>
              <w:spacing w:after="0"/>
              <w:rPr>
                <w:sz w:val="20"/>
                <w:szCs w:val="20"/>
                <w:color w:val="auto"/>
              </w:rPr>
            </w:pPr>
            <w:r>
              <w:rPr>
                <w:rFonts w:ascii="Arial" w:cs="Arial" w:eastAsia="Arial" w:hAnsi="Arial"/>
                <w:sz w:val="16"/>
                <w:szCs w:val="16"/>
                <w:color w:val="auto"/>
              </w:rPr>
              <w:t>11,866</w:t>
            </w:r>
          </w:p>
        </w:tc>
      </w:tr>
      <w:tr>
        <w:trPr>
          <w:trHeight w:val="203"/>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Inventories</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3,353</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3,240</w:t>
            </w: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1,597</w:t>
            </w:r>
          </w:p>
        </w:tc>
        <w:tc>
          <w:tcPr>
            <w:tcW w:w="1320" w:type="dxa"/>
            <w:vAlign w:val="bottom"/>
          </w:tcPr>
          <w:p>
            <w:pPr>
              <w:jc w:val="right"/>
              <w:spacing w:after="0"/>
              <w:rPr>
                <w:sz w:val="20"/>
                <w:szCs w:val="20"/>
                <w:color w:val="auto"/>
              </w:rPr>
            </w:pPr>
            <w:r>
              <w:rPr>
                <w:rFonts w:ascii="Arial" w:cs="Arial" w:eastAsia="Arial" w:hAnsi="Arial"/>
                <w:sz w:val="16"/>
                <w:szCs w:val="16"/>
                <w:color w:val="auto"/>
              </w:rPr>
              <w:t>16,721</w:t>
            </w:r>
          </w:p>
        </w:tc>
      </w:tr>
      <w:tr>
        <w:trPr>
          <w:trHeight w:val="203"/>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372</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96,884</w:t>
            </w:r>
          </w:p>
        </w:tc>
        <w:tc>
          <w:tcPr>
            <w:tcW w:w="1320" w:type="dxa"/>
            <w:vAlign w:val="bottom"/>
          </w:tcPr>
          <w:p>
            <w:pPr>
              <w:jc w:val="right"/>
              <w:spacing w:after="0"/>
              <w:rPr>
                <w:sz w:val="20"/>
                <w:szCs w:val="20"/>
                <w:color w:val="auto"/>
              </w:rPr>
            </w:pPr>
            <w:r>
              <w:rPr>
                <w:rFonts w:ascii="Arial" w:cs="Arial" w:eastAsia="Arial" w:hAnsi="Arial"/>
                <w:sz w:val="16"/>
                <w:szCs w:val="16"/>
                <w:color w:val="auto"/>
              </w:rPr>
              <w:t>61,362</w:t>
            </w:r>
          </w:p>
        </w:tc>
      </w:tr>
      <w:tr>
        <w:trPr>
          <w:trHeight w:val="196"/>
        </w:trPr>
        <w:tc>
          <w:tcPr>
            <w:tcW w:w="80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assets</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109,353</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93,189</w:t>
            </w:r>
          </w:p>
        </w:tc>
      </w:tr>
      <w:tr>
        <w:trPr>
          <w:trHeight w:val="236"/>
        </w:trPr>
        <w:tc>
          <w:tcPr>
            <w:tcW w:w="80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assets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2,396,944</w:t>
            </w:r>
          </w:p>
        </w:tc>
        <w:tc>
          <w:tcPr>
            <w:tcW w:w="180" w:type="dxa"/>
            <w:vAlign w:val="bottom"/>
            <w:tcBorders>
              <w:bottom w:val="single" w:sz="8" w:color="E5FF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2,366,574</w:t>
            </w:r>
          </w:p>
        </w:tc>
      </w:tr>
      <w:tr>
        <w:trPr>
          <w:trHeight w:val="156"/>
        </w:trPr>
        <w:tc>
          <w:tcPr>
            <w:tcW w:w="8040" w:type="dxa"/>
            <w:vAlign w:val="bottom"/>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Partners’ equity and liabilities</w:t>
            </w:r>
          </w:p>
        </w:tc>
        <w:tc>
          <w:tcPr>
            <w:tcW w:w="1300" w:type="dxa"/>
            <w:vAlign w:val="bottom"/>
            <w:shd w:val="clear" w:color="auto" w:fill="E5FFFF"/>
          </w:tcPr>
          <w:p>
            <w:pPr>
              <w:spacing w:after="0"/>
              <w:rPr>
                <w:sz w:val="13"/>
                <w:szCs w:val="13"/>
                <w:color w:val="auto"/>
              </w:rPr>
            </w:pPr>
          </w:p>
        </w:tc>
        <w:tc>
          <w:tcPr>
            <w:tcW w:w="180" w:type="dxa"/>
            <w:vAlign w:val="bottom"/>
            <w:shd w:val="clear" w:color="auto" w:fill="E5FFFF"/>
          </w:tcPr>
          <w:p>
            <w:pPr>
              <w:spacing w:after="0"/>
              <w:rPr>
                <w:sz w:val="13"/>
                <w:szCs w:val="13"/>
                <w:color w:val="auto"/>
              </w:rPr>
            </w:pPr>
          </w:p>
        </w:tc>
        <w:tc>
          <w:tcPr>
            <w:tcW w:w="1320" w:type="dxa"/>
            <w:vAlign w:val="bottom"/>
            <w:shd w:val="clear" w:color="auto" w:fill="E5FFFF"/>
          </w:tcPr>
          <w:p>
            <w:pPr>
              <w:spacing w:after="0"/>
              <w:rPr>
                <w:sz w:val="13"/>
                <w:szCs w:val="13"/>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6"/>
                <w:szCs w:val="16"/>
                <w:b w:val="1"/>
                <w:bCs w:val="1"/>
                <w:color w:val="auto"/>
              </w:rPr>
              <w:t>Partners’ equity</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3"/>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Common unitholders (46,860,182 units issued and outstanding as of December 31, 2019 and 46,668,692 units</w:t>
            </w:r>
          </w:p>
        </w:tc>
        <w:tc>
          <w:tcPr>
            <w:tcW w:w="13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r>
      <w:tr>
        <w:trPr>
          <w:trHeight w:val="212"/>
        </w:trPr>
        <w:tc>
          <w:tcPr>
            <w:tcW w:w="80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issued and outstanding as of March 31, 2020)</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606,811</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586,240</w:t>
            </w:r>
          </w:p>
        </w:tc>
      </w:tr>
      <w:tr>
        <w:trPr>
          <w:trHeight w:val="193"/>
        </w:trPr>
        <w:tc>
          <w:tcPr>
            <w:tcW w:w="8040" w:type="dxa"/>
            <w:vAlign w:val="bottom"/>
          </w:tcPr>
          <w:p>
            <w:pPr>
              <w:spacing w:after="0"/>
              <w:rPr>
                <w:sz w:val="20"/>
                <w:szCs w:val="20"/>
                <w:color w:val="auto"/>
              </w:rPr>
            </w:pPr>
            <w:r>
              <w:rPr>
                <w:rFonts w:ascii="Arial" w:cs="Arial" w:eastAsia="Arial" w:hAnsi="Arial"/>
                <w:sz w:val="16"/>
                <w:szCs w:val="16"/>
                <w:color w:val="auto"/>
              </w:rPr>
              <w:t>Class B unitholders (nil units issued and outstanding as of December 31, 2019 and 2,490,000 units issued and</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6"/>
        </w:trPr>
        <w:tc>
          <w:tcPr>
            <w:tcW w:w="8040" w:type="dxa"/>
            <w:vAlign w:val="bottom"/>
          </w:tcPr>
          <w:p>
            <w:pPr>
              <w:ind w:left="180"/>
              <w:spacing w:after="0"/>
              <w:rPr>
                <w:sz w:val="20"/>
                <w:szCs w:val="20"/>
                <w:color w:val="auto"/>
              </w:rPr>
            </w:pPr>
            <w:r>
              <w:rPr>
                <w:rFonts w:ascii="Arial" w:cs="Arial" w:eastAsia="Arial" w:hAnsi="Arial"/>
                <w:sz w:val="16"/>
                <w:szCs w:val="16"/>
                <w:color w:val="auto"/>
              </w:rPr>
              <w:t>outstanding as of March 31, 2020)</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(1,021,336 units issued and outstanding as of December 31, 2019 and March 31, 2020)</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11,271</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10,843</w:t>
            </w:r>
          </w:p>
        </w:tc>
      </w:tr>
      <w:tr>
        <w:trPr>
          <w:trHeight w:val="193"/>
        </w:trPr>
        <w:tc>
          <w:tcPr>
            <w:tcW w:w="8040" w:type="dxa"/>
            <w:vAlign w:val="bottom"/>
          </w:tcPr>
          <w:p>
            <w:pPr>
              <w:spacing w:after="0"/>
              <w:rPr>
                <w:sz w:val="20"/>
                <w:szCs w:val="20"/>
                <w:color w:val="auto"/>
              </w:rPr>
            </w:pPr>
            <w:r>
              <w:rPr>
                <w:rFonts w:ascii="Arial" w:cs="Arial" w:eastAsia="Arial" w:hAnsi="Arial"/>
                <w:sz w:val="16"/>
                <w:szCs w:val="16"/>
                <w:color w:val="auto"/>
              </w:rPr>
              <w:t>Preference unitholders (5,750,000 Series A Preference Units, 4,600,000 Series B Preference Units and</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6"/>
        </w:trPr>
        <w:tc>
          <w:tcPr>
            <w:tcW w:w="8040" w:type="dxa"/>
            <w:vAlign w:val="bottom"/>
          </w:tcPr>
          <w:p>
            <w:pPr>
              <w:ind w:left="180"/>
              <w:spacing w:after="0"/>
              <w:rPr>
                <w:sz w:val="20"/>
                <w:szCs w:val="20"/>
                <w:color w:val="auto"/>
              </w:rPr>
            </w:pPr>
            <w:r>
              <w:rPr>
                <w:rFonts w:ascii="Arial" w:cs="Arial" w:eastAsia="Arial" w:hAnsi="Arial"/>
                <w:sz w:val="16"/>
                <w:szCs w:val="16"/>
                <w:color w:val="auto"/>
              </w:rPr>
              <w:t>4,000,000 Series C Preference Units issued and outstanding as of December 31, 2019 and March 31, 2020)</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347,889</w:t>
            </w:r>
          </w:p>
        </w:tc>
        <w:tc>
          <w:tcPr>
            <w:tcW w:w="1320" w:type="dxa"/>
            <w:vAlign w:val="bottom"/>
          </w:tcPr>
          <w:p>
            <w:pPr>
              <w:jc w:val="right"/>
              <w:spacing w:after="0"/>
              <w:rPr>
                <w:sz w:val="20"/>
                <w:szCs w:val="20"/>
                <w:color w:val="auto"/>
              </w:rPr>
            </w:pPr>
            <w:r>
              <w:rPr>
                <w:rFonts w:ascii="Arial" w:cs="Arial" w:eastAsia="Arial" w:hAnsi="Arial"/>
                <w:sz w:val="16"/>
                <w:szCs w:val="16"/>
                <w:color w:val="auto"/>
              </w:rPr>
              <w:t>347,889</w:t>
            </w:r>
          </w:p>
        </w:tc>
      </w:tr>
      <w:tr>
        <w:trPr>
          <w:trHeight w:val="202"/>
        </w:trPr>
        <w:tc>
          <w:tcPr>
            <w:tcW w:w="80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965,971</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944,972</w:t>
            </w:r>
          </w:p>
        </w:tc>
      </w:tr>
      <w:tr>
        <w:trPr>
          <w:trHeight w:val="183"/>
        </w:trPr>
        <w:tc>
          <w:tcPr>
            <w:tcW w:w="8040" w:type="dxa"/>
            <w:vAlign w:val="bottom"/>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16,630</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22,232</w:t>
            </w: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Due to related parties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5,642</w:t>
            </w:r>
          </w:p>
        </w:tc>
        <w:tc>
          <w:tcPr>
            <w:tcW w:w="1320" w:type="dxa"/>
            <w:vAlign w:val="bottom"/>
          </w:tcPr>
          <w:p>
            <w:pPr>
              <w:jc w:val="right"/>
              <w:spacing w:after="0"/>
              <w:rPr>
                <w:sz w:val="20"/>
                <w:szCs w:val="20"/>
                <w:color w:val="auto"/>
              </w:rPr>
            </w:pPr>
            <w:r>
              <w:rPr>
                <w:rFonts w:ascii="Arial" w:cs="Arial" w:eastAsia="Arial" w:hAnsi="Arial"/>
                <w:sz w:val="16"/>
                <w:szCs w:val="16"/>
                <w:color w:val="auto"/>
              </w:rPr>
              <w:t>2,587</w:t>
            </w:r>
          </w:p>
        </w:tc>
      </w:tr>
      <w:tr>
        <w:trPr>
          <w:trHeight w:val="203"/>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2,607</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8,308</w:t>
            </w: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51,570</w:t>
            </w:r>
          </w:p>
        </w:tc>
        <w:tc>
          <w:tcPr>
            <w:tcW w:w="1320" w:type="dxa"/>
            <w:vAlign w:val="bottom"/>
          </w:tcPr>
          <w:p>
            <w:pPr>
              <w:jc w:val="right"/>
              <w:spacing w:after="0"/>
              <w:rPr>
                <w:sz w:val="20"/>
                <w:szCs w:val="20"/>
                <w:color w:val="auto"/>
              </w:rPr>
            </w:pPr>
            <w:r>
              <w:rPr>
                <w:rFonts w:ascii="Arial" w:cs="Arial" w:eastAsia="Arial" w:hAnsi="Arial"/>
                <w:sz w:val="16"/>
                <w:szCs w:val="16"/>
                <w:color w:val="auto"/>
              </w:rPr>
              <w:t>32,051</w:t>
            </w:r>
          </w:p>
        </w:tc>
      </w:tr>
      <w:tr>
        <w:trPr>
          <w:trHeight w:val="203"/>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Borrowings—current portion</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109,822</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109,920</w:t>
            </w: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Lease liabilities—current portion</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472</w:t>
            </w:r>
          </w:p>
        </w:tc>
        <w:tc>
          <w:tcPr>
            <w:tcW w:w="132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196"/>
        </w:trPr>
        <w:tc>
          <w:tcPr>
            <w:tcW w:w="80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186,743</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175,567</w:t>
            </w:r>
          </w:p>
        </w:tc>
      </w:tr>
      <w:tr>
        <w:trPr>
          <w:trHeight w:val="183"/>
        </w:trPr>
        <w:tc>
          <w:tcPr>
            <w:tcW w:w="804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6,688</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14,267</w:t>
            </w: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Borrowings—non-current portion</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1,236,202</w:t>
            </w:r>
          </w:p>
        </w:tc>
        <w:tc>
          <w:tcPr>
            <w:tcW w:w="1320" w:type="dxa"/>
            <w:vAlign w:val="bottom"/>
          </w:tcPr>
          <w:p>
            <w:pPr>
              <w:jc w:val="right"/>
              <w:spacing w:after="0"/>
              <w:rPr>
                <w:sz w:val="20"/>
                <w:szCs w:val="20"/>
                <w:color w:val="auto"/>
              </w:rPr>
            </w:pPr>
            <w:r>
              <w:rPr>
                <w:rFonts w:ascii="Arial" w:cs="Arial" w:eastAsia="Arial" w:hAnsi="Arial"/>
                <w:sz w:val="16"/>
                <w:szCs w:val="16"/>
                <w:color w:val="auto"/>
              </w:rPr>
              <w:t>1,230,841</w:t>
            </w:r>
          </w:p>
        </w:tc>
      </w:tr>
      <w:tr>
        <w:trPr>
          <w:trHeight w:val="203"/>
        </w:trPr>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liabilities—non-current portion</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414</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w:t>
            </w:r>
          </w:p>
        </w:tc>
      </w:tr>
      <w:tr>
        <w:trPr>
          <w:trHeight w:val="203"/>
        </w:trPr>
        <w:tc>
          <w:tcPr>
            <w:tcW w:w="80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926</w:t>
            </w:r>
          </w:p>
        </w:tc>
        <w:tc>
          <w:tcPr>
            <w:tcW w:w="1320" w:type="dxa"/>
            <w:vAlign w:val="bottom"/>
          </w:tcPr>
          <w:p>
            <w:pPr>
              <w:jc w:val="right"/>
              <w:spacing w:after="0"/>
              <w:rPr>
                <w:sz w:val="20"/>
                <w:szCs w:val="20"/>
                <w:color w:val="auto"/>
              </w:rPr>
            </w:pPr>
            <w:r>
              <w:rPr>
                <w:rFonts w:ascii="Arial" w:cs="Arial" w:eastAsia="Arial" w:hAnsi="Arial"/>
                <w:sz w:val="16"/>
                <w:szCs w:val="16"/>
                <w:color w:val="auto"/>
              </w:rPr>
              <w:t>627</w:t>
            </w:r>
          </w:p>
        </w:tc>
      </w:tr>
      <w:tr>
        <w:trPr>
          <w:trHeight w:val="196"/>
        </w:trPr>
        <w:tc>
          <w:tcPr>
            <w:tcW w:w="80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1,244,230</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1,246,035</w:t>
            </w:r>
          </w:p>
        </w:tc>
      </w:tr>
      <w:tr>
        <w:trPr>
          <w:trHeight w:val="196"/>
        </w:trPr>
        <w:tc>
          <w:tcPr>
            <w:tcW w:w="8040" w:type="dxa"/>
            <w:vAlign w:val="bottom"/>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2,396,944</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2,366,574</w:t>
            </w:r>
          </w:p>
        </w:tc>
      </w:tr>
      <w:tr>
        <w:trPr>
          <w:trHeight w:val="20"/>
        </w:trPr>
        <w:tc>
          <w:tcPr>
            <w:tcW w:w="8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40"/>
          </w:cols>
          <w:pgMar w:left="320" w:top="342" w:right="7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2019 and March 31,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286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83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March 31, 2019</w:t>
            </w:r>
          </w:p>
        </w:tc>
        <w:tc>
          <w:tcPr>
            <w:tcW w:w="14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199"/>
        </w:trPr>
        <w:tc>
          <w:tcPr>
            <w:tcW w:w="8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93,885</w:t>
            </w:r>
          </w:p>
        </w:tc>
        <w:tc>
          <w:tcPr>
            <w:tcW w:w="1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91,353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6"/>
                <w:szCs w:val="16"/>
                <w:color w:val="auto"/>
              </w:rPr>
              <w:t>Net pool allocation</w:t>
            </w:r>
          </w:p>
        </w:tc>
        <w:tc>
          <w:tcPr>
            <w:tcW w:w="128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(1,837)</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(18,631)</w:t>
            </w:r>
          </w:p>
        </w:tc>
        <w:tc>
          <w:tcPr>
            <w:tcW w:w="1380" w:type="dxa"/>
            <w:vAlign w:val="bottom"/>
          </w:tcPr>
          <w:p>
            <w:pPr>
              <w:jc w:val="right"/>
              <w:spacing w:after="0"/>
              <w:rPr>
                <w:sz w:val="20"/>
                <w:szCs w:val="20"/>
                <w:color w:val="auto"/>
              </w:rPr>
            </w:pPr>
            <w:r>
              <w:rPr>
                <w:rFonts w:ascii="Arial" w:cs="Arial" w:eastAsia="Arial" w:hAnsi="Arial"/>
                <w:sz w:val="16"/>
                <w:szCs w:val="16"/>
                <w:color w:val="auto"/>
              </w:rPr>
              <w:t>(19,093)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(21,870)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(20,598)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(4,694)</w:t>
            </w:r>
          </w:p>
        </w:tc>
        <w:tc>
          <w:tcPr>
            <w:tcW w:w="1380" w:type="dxa"/>
            <w:vAlign w:val="bottom"/>
          </w:tcPr>
          <w:p>
            <w:pPr>
              <w:jc w:val="right"/>
              <w:spacing w:after="0"/>
              <w:rPr>
                <w:sz w:val="20"/>
                <w:szCs w:val="20"/>
                <w:color w:val="auto"/>
              </w:rPr>
            </w:pPr>
            <w:r>
              <w:rPr>
                <w:rFonts w:ascii="Arial" w:cs="Arial" w:eastAsia="Arial" w:hAnsi="Arial"/>
                <w:sz w:val="16"/>
                <w:szCs w:val="16"/>
                <w:color w:val="auto"/>
              </w:rPr>
              <w:t>(4,171)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46,887</w:t>
            </w:r>
          </w:p>
        </w:tc>
        <w:tc>
          <w:tcPr>
            <w:tcW w:w="1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43,603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Pr>
          <w:p>
            <w:pPr>
              <w:spacing w:after="0"/>
              <w:rPr>
                <w:sz w:val="20"/>
                <w:szCs w:val="20"/>
                <w:color w:val="auto"/>
              </w:rPr>
            </w:pPr>
            <w:r>
              <w:rPr>
                <w:rFonts w:ascii="Arial" w:cs="Arial" w:eastAsia="Arial" w:hAnsi="Arial"/>
                <w:sz w:val="16"/>
                <w:szCs w:val="16"/>
                <w:color w:val="auto"/>
              </w:rPr>
              <w:t>Financial costs</w:t>
            </w:r>
          </w:p>
        </w:tc>
        <w:tc>
          <w:tcPr>
            <w:tcW w:w="1280" w:type="dxa"/>
            <w:vAlign w:val="bottom"/>
          </w:tcPr>
          <w:p>
            <w:pPr>
              <w:jc w:val="right"/>
              <w:spacing w:after="0"/>
              <w:rPr>
                <w:sz w:val="20"/>
                <w:szCs w:val="20"/>
                <w:color w:val="auto"/>
              </w:rPr>
            </w:pPr>
            <w:r>
              <w:rPr>
                <w:rFonts w:ascii="Arial" w:cs="Arial" w:eastAsia="Arial" w:hAnsi="Arial"/>
                <w:sz w:val="16"/>
                <w:szCs w:val="16"/>
                <w:color w:val="auto"/>
              </w:rPr>
              <w:t>(19,632)</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(15,513)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638</w:t>
            </w:r>
          </w:p>
        </w:tc>
        <w:tc>
          <w:tcPr>
            <w:tcW w:w="1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6"/>
                <w:szCs w:val="16"/>
                <w:color w:val="auto"/>
              </w:rPr>
              <w:t>Loss on derivatives</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(4,877)</w:t>
            </w:r>
          </w:p>
        </w:tc>
        <w:tc>
          <w:tcPr>
            <w:tcW w:w="1380" w:type="dxa"/>
            <w:vAlign w:val="bottom"/>
          </w:tcPr>
          <w:p>
            <w:pPr>
              <w:jc w:val="right"/>
              <w:spacing w:after="0"/>
              <w:rPr>
                <w:sz w:val="20"/>
                <w:szCs w:val="20"/>
                <w:color w:val="auto"/>
              </w:rPr>
            </w:pPr>
            <w:r>
              <w:rPr>
                <w:rFonts w:ascii="Arial" w:cs="Arial" w:eastAsia="Arial" w:hAnsi="Arial"/>
                <w:sz w:val="16"/>
                <w:szCs w:val="16"/>
                <w:color w:val="auto"/>
              </w:rPr>
              <w:t>(14,120)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(23,871)</w:t>
            </w:r>
          </w:p>
        </w:tc>
        <w:tc>
          <w:tcPr>
            <w:tcW w:w="1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(29,434)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3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for the period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23,016</w:t>
            </w:r>
          </w:p>
        </w:tc>
        <w:tc>
          <w:tcPr>
            <w:tcW w:w="160" w:type="dxa"/>
            <w:vAlign w:val="bottom"/>
            <w:tcBorders>
              <w:bottom w:val="single" w:sz="8" w:color="E5FF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8320" w:type="dxa"/>
            <w:vAlign w:val="bottom"/>
            <w:shd w:val="clear" w:color="auto" w:fill="E5FFFF"/>
          </w:tcPr>
          <w:p>
            <w:pPr>
              <w:spacing w:after="0" w:line="156" w:lineRule="exact"/>
              <w:rPr>
                <w:sz w:val="20"/>
                <w:szCs w:val="20"/>
                <w:color w:val="auto"/>
              </w:rPr>
            </w:pPr>
            <w:r>
              <w:rPr>
                <w:rFonts w:ascii="Arial" w:cs="Arial" w:eastAsia="Arial" w:hAnsi="Arial"/>
                <w:sz w:val="16"/>
                <w:szCs w:val="16"/>
                <w:color w:val="auto"/>
              </w:rPr>
              <w:t>Less:</w:t>
            </w:r>
          </w:p>
        </w:tc>
        <w:tc>
          <w:tcPr>
            <w:tcW w:w="1280" w:type="dxa"/>
            <w:vAlign w:val="bottom"/>
            <w:shd w:val="clear" w:color="auto" w:fill="E5FFFF"/>
          </w:tcPr>
          <w:p>
            <w:pPr>
              <w:spacing w:after="0"/>
              <w:rPr>
                <w:sz w:val="13"/>
                <w:szCs w:val="13"/>
                <w:color w:val="auto"/>
              </w:rPr>
            </w:pPr>
          </w:p>
        </w:tc>
        <w:tc>
          <w:tcPr>
            <w:tcW w:w="160" w:type="dxa"/>
            <w:vAlign w:val="bottom"/>
            <w:shd w:val="clear" w:color="auto" w:fill="E5FFFF"/>
          </w:tcPr>
          <w:p>
            <w:pPr>
              <w:spacing w:after="0"/>
              <w:rPr>
                <w:sz w:val="13"/>
                <w:szCs w:val="13"/>
                <w:color w:val="auto"/>
              </w:rPr>
            </w:pPr>
          </w:p>
        </w:tc>
        <w:tc>
          <w:tcPr>
            <w:tcW w:w="1380" w:type="dxa"/>
            <w:vAlign w:val="bottom"/>
            <w:shd w:val="clear" w:color="auto" w:fill="E5F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6"/>
                <w:szCs w:val="16"/>
                <w:color w:val="auto"/>
              </w:rPr>
              <w:t>Profit attributable to GasLog’s operations</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(2,650)</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20,366</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12,529</w:t>
            </w:r>
          </w:p>
        </w:tc>
        <w:tc>
          <w:tcPr>
            <w:tcW w:w="1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6"/>
                <w:szCs w:val="16"/>
                <w:color w:val="auto"/>
              </w:rPr>
              <w:t>General partner units</w:t>
            </w:r>
          </w:p>
        </w:tc>
        <w:tc>
          <w:tcPr>
            <w:tcW w:w="1280" w:type="dxa"/>
            <w:vAlign w:val="bottom"/>
          </w:tcPr>
          <w:p>
            <w:pPr>
              <w:jc w:val="right"/>
              <w:spacing w:after="0"/>
              <w:rPr>
                <w:sz w:val="20"/>
                <w:szCs w:val="20"/>
                <w:color w:val="auto"/>
              </w:rPr>
            </w:pPr>
            <w:r>
              <w:rPr>
                <w:rFonts w:ascii="Arial" w:cs="Arial" w:eastAsia="Arial" w:hAnsi="Arial"/>
                <w:sz w:val="16"/>
                <w:szCs w:val="16"/>
                <w:color w:val="auto"/>
              </w:rPr>
              <w:t>255</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E5FFFF"/>
          </w:tcPr>
          <w:p>
            <w:pPr>
              <w:spacing w:after="0"/>
              <w:rPr>
                <w:sz w:val="20"/>
                <w:szCs w:val="20"/>
                <w:color w:val="auto"/>
              </w:rPr>
            </w:pPr>
            <w:r>
              <w:rPr>
                <w:rFonts w:ascii="Arial" w:cs="Arial" w:eastAsia="Arial" w:hAnsi="Arial"/>
                <w:sz w:val="16"/>
                <w:szCs w:val="16"/>
                <w:color w:val="auto"/>
              </w:rPr>
              <w:t>Incentive distribution rights</w:t>
            </w: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20" w:type="dxa"/>
            <w:vAlign w:val="bottom"/>
          </w:tcPr>
          <w:p>
            <w:pPr>
              <w:spacing w:after="0"/>
              <w:rPr>
                <w:sz w:val="20"/>
                <w:szCs w:val="20"/>
                <w:color w:val="auto"/>
              </w:rPr>
            </w:pPr>
            <w:r>
              <w:rPr>
                <w:rFonts w:ascii="Arial" w:cs="Arial" w:eastAsia="Arial" w:hAnsi="Arial"/>
                <w:sz w:val="16"/>
                <w:szCs w:val="16"/>
                <w:color w:val="auto"/>
              </w:rPr>
              <w:t>Preference units</w:t>
            </w:r>
          </w:p>
        </w:tc>
        <w:tc>
          <w:tcPr>
            <w:tcW w:w="1280" w:type="dxa"/>
            <w:vAlign w:val="bottom"/>
          </w:tcPr>
          <w:p>
            <w:pPr>
              <w:jc w:val="right"/>
              <w:spacing w:after="0"/>
              <w:rPr>
                <w:sz w:val="20"/>
                <w:szCs w:val="20"/>
                <w:color w:val="auto"/>
              </w:rPr>
            </w:pPr>
            <w:r>
              <w:rPr>
                <w:rFonts w:ascii="Arial" w:cs="Arial" w:eastAsia="Arial" w:hAnsi="Arial"/>
                <w:sz w:val="16"/>
                <w:szCs w:val="16"/>
                <w:color w:val="auto"/>
              </w:rPr>
              <w:t>7,582</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for the period (basic and diluted):</w:t>
            </w:r>
          </w:p>
        </w:tc>
        <w:tc>
          <w:tcPr>
            <w:tcW w:w="1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Arial" w:cs="Arial" w:eastAsia="Arial" w:hAnsi="Arial"/>
                <w:sz w:val="16"/>
                <w:szCs w:val="16"/>
                <w:color w:val="auto"/>
              </w:rPr>
              <w:t>Common unit, basic</w:t>
            </w:r>
          </w:p>
        </w:tc>
        <w:tc>
          <w:tcPr>
            <w:tcW w:w="1280" w:type="dxa"/>
            <w:vAlign w:val="bottom"/>
          </w:tcPr>
          <w:p>
            <w:pPr>
              <w:jc w:val="right"/>
              <w:spacing w:after="0"/>
              <w:rPr>
                <w:sz w:val="20"/>
                <w:szCs w:val="20"/>
                <w:color w:val="auto"/>
              </w:rPr>
            </w:pPr>
            <w:r>
              <w:rPr>
                <w:rFonts w:ascii="Arial" w:cs="Arial" w:eastAsia="Arial" w:hAnsi="Arial"/>
                <w:sz w:val="16"/>
                <w:szCs w:val="16"/>
                <w:color w:val="auto"/>
              </w:rPr>
              <w:t>0.28</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E5FFFF"/>
          </w:tcPr>
          <w:p>
            <w:pPr>
              <w:spacing w:after="0"/>
              <w:rPr>
                <w:sz w:val="20"/>
                <w:szCs w:val="20"/>
                <w:color w:val="auto"/>
              </w:rPr>
            </w:pPr>
            <w:r>
              <w:rPr>
                <w:rFonts w:ascii="Arial" w:cs="Arial" w:eastAsia="Arial" w:hAnsi="Arial"/>
                <w:sz w:val="16"/>
                <w:szCs w:val="16"/>
                <w:color w:val="auto"/>
              </w:rPr>
              <w:t>Common unit, diluted</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0.28</w:t>
            </w:r>
          </w:p>
        </w:tc>
        <w:tc>
          <w:tcPr>
            <w:tcW w:w="1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20" w:type="dxa"/>
            <w:vAlign w:val="bottom"/>
          </w:tcPr>
          <w:p>
            <w:pPr>
              <w:spacing w:after="0"/>
              <w:rPr>
                <w:sz w:val="20"/>
                <w:szCs w:val="20"/>
                <w:color w:val="auto"/>
              </w:rPr>
            </w:pPr>
            <w:r>
              <w:rPr>
                <w:rFonts w:ascii="Arial" w:cs="Arial" w:eastAsia="Arial" w:hAnsi="Arial"/>
                <w:sz w:val="16"/>
                <w:szCs w:val="16"/>
                <w:color w:val="auto"/>
              </w:rPr>
              <w:t>General partner unit</w:t>
            </w:r>
          </w:p>
        </w:tc>
        <w:tc>
          <w:tcPr>
            <w:tcW w:w="1280" w:type="dxa"/>
            <w:vAlign w:val="bottom"/>
          </w:tcPr>
          <w:p>
            <w:pPr>
              <w:jc w:val="right"/>
              <w:spacing w:after="0"/>
              <w:rPr>
                <w:sz w:val="20"/>
                <w:szCs w:val="20"/>
                <w:color w:val="auto"/>
              </w:rPr>
            </w:pPr>
            <w:r>
              <w:rPr>
                <w:rFonts w:ascii="Arial" w:cs="Arial" w:eastAsia="Arial" w:hAnsi="Arial"/>
                <w:sz w:val="16"/>
                <w:szCs w:val="16"/>
                <w:color w:val="auto"/>
              </w:rPr>
              <w:t>0.28</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2" w:right="39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2019 and March 31,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98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For the three months ended</w:t>
            </w:r>
          </w:p>
        </w:tc>
      </w:tr>
      <w:tr>
        <w:trPr>
          <w:trHeight w:val="208"/>
        </w:trPr>
        <w:tc>
          <w:tcPr>
            <w:tcW w:w="7360" w:type="dxa"/>
            <w:vAlign w:val="bottom"/>
          </w:tcPr>
          <w:p>
            <w:pPr>
              <w:spacing w:after="0"/>
              <w:rPr>
                <w:sz w:val="18"/>
                <w:szCs w:val="18"/>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March 31,</w:t>
            </w:r>
          </w:p>
        </w:tc>
        <w:tc>
          <w:tcPr>
            <w:tcW w:w="13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736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E5FFFF"/>
            </w:tcBorders>
          </w:tcPr>
          <w:p>
            <w:pPr>
              <w:spacing w:after="0"/>
              <w:rPr>
                <w:sz w:val="18"/>
                <w:szCs w:val="18"/>
                <w:color w:val="auto"/>
              </w:rPr>
            </w:pPr>
          </w:p>
        </w:tc>
      </w:tr>
      <w:tr>
        <w:trPr>
          <w:trHeight w:val="213"/>
        </w:trPr>
        <w:tc>
          <w:tcPr>
            <w:tcW w:w="736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3"/>
        </w:trPr>
        <w:tc>
          <w:tcPr>
            <w:tcW w:w="73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23,016</w:t>
            </w:r>
          </w:p>
        </w:tc>
        <w:tc>
          <w:tcPr>
            <w:tcW w:w="42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14,169</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Adjustments for:</w:t>
            </w: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21,870</w:t>
            </w:r>
          </w:p>
        </w:tc>
        <w:tc>
          <w:tcPr>
            <w:tcW w:w="42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20,598</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Financial costs</w:t>
            </w:r>
          </w:p>
        </w:tc>
        <w:tc>
          <w:tcPr>
            <w:tcW w:w="1240" w:type="dxa"/>
            <w:vAlign w:val="bottom"/>
          </w:tcPr>
          <w:p>
            <w:pPr>
              <w:jc w:val="right"/>
              <w:spacing w:after="0"/>
              <w:rPr>
                <w:sz w:val="20"/>
                <w:szCs w:val="20"/>
                <w:color w:val="auto"/>
              </w:rPr>
            </w:pPr>
            <w:r>
              <w:rPr>
                <w:rFonts w:ascii="Arial" w:cs="Arial" w:eastAsia="Arial" w:hAnsi="Arial"/>
                <w:sz w:val="16"/>
                <w:szCs w:val="16"/>
                <w:color w:val="auto"/>
              </w:rPr>
              <w:t>19,632</w:t>
            </w:r>
          </w:p>
        </w:tc>
        <w:tc>
          <w:tcPr>
            <w:tcW w:w="4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15,513</w:t>
            </w:r>
          </w:p>
        </w:tc>
      </w:tr>
      <w:tr>
        <w:trPr>
          <w:trHeight w:val="203"/>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660" w:type="dxa"/>
            <w:vAlign w:val="bottom"/>
            <w:gridSpan w:val="2"/>
            <w:shd w:val="clear" w:color="auto" w:fill="E5FFFF"/>
          </w:tcPr>
          <w:p>
            <w:pPr>
              <w:jc w:val="right"/>
              <w:ind w:right="360"/>
              <w:spacing w:after="0"/>
              <w:rPr>
                <w:sz w:val="20"/>
                <w:szCs w:val="20"/>
                <w:color w:val="auto"/>
              </w:rPr>
            </w:pPr>
            <w:r>
              <w:rPr>
                <w:rFonts w:ascii="Arial" w:cs="Arial" w:eastAsia="Arial" w:hAnsi="Arial"/>
                <w:sz w:val="16"/>
                <w:szCs w:val="16"/>
                <w:color w:val="auto"/>
              </w:rPr>
              <w:t>(638)</w:t>
            </w:r>
          </w:p>
        </w:tc>
        <w:tc>
          <w:tcPr>
            <w:tcW w:w="132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(199)</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Unrealized loss on derivatives held for trading</w:t>
            </w:r>
          </w:p>
        </w:tc>
        <w:tc>
          <w:tcPr>
            <w:tcW w:w="1240" w:type="dxa"/>
            <w:vAlign w:val="bottom"/>
          </w:tcPr>
          <w:p>
            <w:pPr>
              <w:jc w:val="right"/>
              <w:spacing w:after="0"/>
              <w:rPr>
                <w:sz w:val="20"/>
                <w:szCs w:val="20"/>
                <w:color w:val="auto"/>
              </w:rPr>
            </w:pPr>
            <w:r>
              <w:rPr>
                <w:rFonts w:ascii="Arial" w:cs="Arial" w:eastAsia="Arial" w:hAnsi="Arial"/>
                <w:sz w:val="16"/>
                <w:szCs w:val="16"/>
                <w:color w:val="auto"/>
              </w:rPr>
              <w:t>5,607</w:t>
            </w:r>
          </w:p>
        </w:tc>
        <w:tc>
          <w:tcPr>
            <w:tcW w:w="4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13,652</w:t>
            </w:r>
          </w:p>
        </w:tc>
      </w:tr>
      <w:tr>
        <w:trPr>
          <w:trHeight w:val="203"/>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w:t>
            </w:r>
          </w:p>
        </w:tc>
        <w:tc>
          <w:tcPr>
            <w:tcW w:w="42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297</w:t>
            </w:r>
          </w:p>
        </w:tc>
      </w:tr>
      <w:tr>
        <w:trPr>
          <w:trHeight w:val="196"/>
        </w:trPr>
        <w:tc>
          <w:tcPr>
            <w:tcW w:w="736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69,749</w:t>
            </w:r>
          </w:p>
        </w:tc>
        <w:tc>
          <w:tcPr>
            <w:tcW w:w="42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64,030</w:t>
            </w:r>
          </w:p>
        </w:tc>
        <w:tc>
          <w:tcPr>
            <w:tcW w:w="100" w:type="dxa"/>
            <w:vAlign w:val="bottom"/>
          </w:tcPr>
          <w:p>
            <w:pPr>
              <w:spacing w:after="0"/>
              <w:rPr>
                <w:sz w:val="17"/>
                <w:szCs w:val="17"/>
                <w:color w:val="auto"/>
              </w:rPr>
            </w:pPr>
          </w:p>
        </w:tc>
      </w:tr>
      <w:tr>
        <w:trPr>
          <w:trHeight w:val="203"/>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660" w:type="dxa"/>
            <w:vAlign w:val="bottom"/>
            <w:gridSpan w:val="2"/>
            <w:shd w:val="clear" w:color="auto" w:fill="E5FFFF"/>
          </w:tcPr>
          <w:p>
            <w:pPr>
              <w:jc w:val="right"/>
              <w:ind w:right="360"/>
              <w:spacing w:after="0"/>
              <w:rPr>
                <w:sz w:val="20"/>
                <w:szCs w:val="20"/>
                <w:color w:val="auto"/>
              </w:rPr>
            </w:pPr>
            <w:r>
              <w:rPr>
                <w:rFonts w:ascii="Arial" w:cs="Arial" w:eastAsia="Arial" w:hAnsi="Arial"/>
                <w:sz w:val="16"/>
                <w:szCs w:val="16"/>
                <w:color w:val="auto"/>
              </w:rPr>
              <w:t>(5,711)</w:t>
            </w:r>
          </w:p>
        </w:tc>
        <w:tc>
          <w:tcPr>
            <w:tcW w:w="132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(34,770)</w:t>
            </w:r>
          </w:p>
        </w:tc>
      </w:tr>
      <w:tr>
        <w:trPr>
          <w:trHeight w:val="196"/>
        </w:trPr>
        <w:tc>
          <w:tcPr>
            <w:tcW w:w="73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64,038</w:t>
            </w:r>
          </w:p>
        </w:tc>
        <w:tc>
          <w:tcPr>
            <w:tcW w:w="42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29,260</w:t>
            </w:r>
          </w:p>
        </w:tc>
        <w:tc>
          <w:tcPr>
            <w:tcW w:w="100" w:type="dxa"/>
            <w:vAlign w:val="bottom"/>
            <w:tcBorders>
              <w:bottom w:val="single" w:sz="8" w:color="E5FFFF"/>
            </w:tcBorders>
          </w:tcPr>
          <w:p>
            <w:pPr>
              <w:spacing w:after="0"/>
              <w:rPr>
                <w:sz w:val="17"/>
                <w:szCs w:val="17"/>
                <w:color w:val="auto"/>
              </w:rPr>
            </w:pPr>
          </w:p>
        </w:tc>
      </w:tr>
      <w:tr>
        <w:trPr>
          <w:trHeight w:val="196"/>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(20,622)</w:t>
            </w:r>
          </w:p>
        </w:tc>
        <w:tc>
          <w:tcPr>
            <w:tcW w:w="420" w:type="dxa"/>
            <w:vAlign w:val="bottom"/>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(17,203)</w:t>
            </w:r>
          </w:p>
        </w:tc>
        <w:tc>
          <w:tcPr>
            <w:tcW w:w="100" w:type="dxa"/>
            <w:vAlign w:val="bottom"/>
            <w:shd w:val="clear" w:color="auto" w:fill="E5FFFF"/>
          </w:tcPr>
          <w:p>
            <w:pPr>
              <w:spacing w:after="0"/>
              <w:rPr>
                <w:sz w:val="17"/>
                <w:szCs w:val="17"/>
                <w:color w:val="auto"/>
              </w:rPr>
            </w:pPr>
          </w:p>
        </w:tc>
      </w:tr>
      <w:tr>
        <w:trPr>
          <w:trHeight w:val="196"/>
        </w:trPr>
        <w:tc>
          <w:tcPr>
            <w:tcW w:w="73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43,416</w:t>
            </w:r>
          </w:p>
        </w:tc>
        <w:tc>
          <w:tcPr>
            <w:tcW w:w="420" w:type="dxa"/>
            <w:vAlign w:val="bottom"/>
            <w:tcBorders>
              <w:bottom w:val="single" w:sz="8" w:color="E5FF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12,057</w:t>
            </w:r>
          </w:p>
        </w:tc>
        <w:tc>
          <w:tcPr>
            <w:tcW w:w="100" w:type="dxa"/>
            <w:vAlign w:val="bottom"/>
            <w:tcBorders>
              <w:bottom w:val="single" w:sz="8" w:color="E5FFFF"/>
            </w:tcBorders>
          </w:tcPr>
          <w:p>
            <w:pPr>
              <w:spacing w:after="0"/>
              <w:rPr>
                <w:sz w:val="17"/>
                <w:szCs w:val="17"/>
                <w:color w:val="auto"/>
              </w:rPr>
            </w:pPr>
          </w:p>
        </w:tc>
      </w:tr>
      <w:tr>
        <w:trPr>
          <w:trHeight w:val="183"/>
        </w:trPr>
        <w:tc>
          <w:tcPr>
            <w:tcW w:w="73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240" w:type="dxa"/>
            <w:vAlign w:val="bottom"/>
            <w:shd w:val="clear" w:color="auto" w:fill="E5FFFF"/>
          </w:tcPr>
          <w:p>
            <w:pPr>
              <w:spacing w:after="0"/>
              <w:rPr>
                <w:sz w:val="15"/>
                <w:szCs w:val="15"/>
                <w:color w:val="auto"/>
              </w:rPr>
            </w:pPr>
          </w:p>
        </w:tc>
        <w:tc>
          <w:tcPr>
            <w:tcW w:w="420" w:type="dxa"/>
            <w:vAlign w:val="bottom"/>
            <w:shd w:val="clear" w:color="auto" w:fill="E5FFFF"/>
          </w:tcPr>
          <w:p>
            <w:pPr>
              <w:spacing w:after="0"/>
              <w:rPr>
                <w:sz w:val="15"/>
                <w:szCs w:val="15"/>
                <w:color w:val="auto"/>
              </w:rPr>
            </w:pPr>
          </w:p>
        </w:tc>
        <w:tc>
          <w:tcPr>
            <w:tcW w:w="12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Payments for vessels’ additions</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color w:val="auto"/>
              </w:rPr>
              <w:t>(2,216)</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(5,466)</w:t>
            </w:r>
          </w:p>
        </w:tc>
      </w:tr>
      <w:tr>
        <w:trPr>
          <w:trHeight w:val="203"/>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4,021</w:t>
            </w:r>
          </w:p>
        </w:tc>
        <w:tc>
          <w:tcPr>
            <w:tcW w:w="42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1240" w:type="dxa"/>
            <w:vAlign w:val="bottom"/>
          </w:tcPr>
          <w:p>
            <w:pPr>
              <w:jc w:val="right"/>
              <w:spacing w:after="0"/>
              <w:rPr>
                <w:sz w:val="20"/>
                <w:szCs w:val="20"/>
                <w:color w:val="auto"/>
              </w:rPr>
            </w:pPr>
            <w:r>
              <w:rPr>
                <w:rFonts w:ascii="Arial" w:cs="Arial" w:eastAsia="Arial" w:hAnsi="Arial"/>
                <w:sz w:val="16"/>
                <w:szCs w:val="16"/>
                <w:color w:val="auto"/>
              </w:rPr>
              <w:t>547</w:t>
            </w:r>
          </w:p>
        </w:tc>
        <w:tc>
          <w:tcPr>
            <w:tcW w:w="42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217</w:t>
            </w:r>
          </w:p>
        </w:tc>
      </w:tr>
      <w:tr>
        <w:trPr>
          <w:trHeight w:val="203"/>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w:t>
            </w:r>
          </w:p>
        </w:tc>
        <w:tc>
          <w:tcPr>
            <w:tcW w:w="42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color w:val="auto"/>
              </w:rPr>
              <w:t>(5,000)</w:t>
            </w: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7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by/(used in) investing activities</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7,352</w:t>
            </w:r>
          </w:p>
        </w:tc>
        <w:tc>
          <w:tcPr>
            <w:tcW w:w="4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(5,249)</w:t>
            </w:r>
          </w:p>
        </w:tc>
        <w:tc>
          <w:tcPr>
            <w:tcW w:w="100" w:type="dxa"/>
            <w:vAlign w:val="bottom"/>
            <w:tcBorders>
              <w:top w:val="single" w:sz="8" w:color="E5FFFF"/>
            </w:tcBorders>
            <w:shd w:val="clear" w:color="auto" w:fill="E5FFFF"/>
          </w:tcPr>
          <w:p>
            <w:pPr>
              <w:spacing w:after="0"/>
              <w:rPr>
                <w:sz w:val="17"/>
                <w:szCs w:val="17"/>
                <w:color w:val="auto"/>
              </w:rPr>
            </w:pPr>
          </w:p>
        </w:tc>
      </w:tr>
      <w:tr>
        <w:trPr>
          <w:trHeight w:val="183"/>
        </w:trPr>
        <w:tc>
          <w:tcPr>
            <w:tcW w:w="73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Borrowings drawdowns</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360,000</w:t>
            </w:r>
          </w:p>
        </w:tc>
        <w:tc>
          <w:tcPr>
            <w:tcW w:w="420" w:type="dxa"/>
            <w:vAlign w:val="bottom"/>
            <w:shd w:val="clear" w:color="auto" w:fill="E5FFFF"/>
          </w:tcPr>
          <w:p>
            <w:pPr>
              <w:spacing w:after="0"/>
              <w:rPr>
                <w:sz w:val="17"/>
                <w:szCs w:val="17"/>
                <w:color w:val="auto"/>
              </w:rPr>
            </w:pPr>
          </w:p>
        </w:tc>
        <w:tc>
          <w:tcPr>
            <w:tcW w:w="13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25,940</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Borrowings repayments</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color w:val="auto"/>
              </w:rPr>
              <w:t>(385,319)</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(32,675)</w:t>
            </w:r>
          </w:p>
        </w:tc>
      </w:tr>
      <w:tr>
        <w:trPr>
          <w:trHeight w:val="203"/>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1660" w:type="dxa"/>
            <w:vAlign w:val="bottom"/>
            <w:gridSpan w:val="2"/>
            <w:shd w:val="clear" w:color="auto" w:fill="E5FFFF"/>
          </w:tcPr>
          <w:p>
            <w:pPr>
              <w:jc w:val="right"/>
              <w:ind w:right="360"/>
              <w:spacing w:after="0"/>
              <w:rPr>
                <w:sz w:val="20"/>
                <w:szCs w:val="20"/>
                <w:color w:val="auto"/>
              </w:rPr>
            </w:pPr>
            <w:r>
              <w:rPr>
                <w:rFonts w:ascii="Arial" w:cs="Arial" w:eastAsia="Arial" w:hAnsi="Arial"/>
                <w:sz w:val="16"/>
                <w:szCs w:val="16"/>
                <w:color w:val="auto"/>
              </w:rPr>
              <w:t>(4,800)</w:t>
            </w:r>
          </w:p>
        </w:tc>
        <w:tc>
          <w:tcPr>
            <w:tcW w:w="132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(156)</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Repurchases of common units</w:t>
            </w:r>
          </w:p>
        </w:tc>
        <w:tc>
          <w:tcPr>
            <w:tcW w:w="16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(996)</w:t>
            </w:r>
          </w:p>
        </w:tc>
      </w:tr>
      <w:tr>
        <w:trPr>
          <w:trHeight w:val="203"/>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1660" w:type="dxa"/>
            <w:vAlign w:val="bottom"/>
            <w:gridSpan w:val="2"/>
            <w:shd w:val="clear" w:color="auto" w:fill="E5FFFF"/>
          </w:tcPr>
          <w:p>
            <w:pPr>
              <w:jc w:val="right"/>
              <w:ind w:right="360"/>
              <w:spacing w:after="0"/>
              <w:rPr>
                <w:sz w:val="20"/>
                <w:szCs w:val="20"/>
                <w:color w:val="auto"/>
              </w:rPr>
            </w:pPr>
            <w:r>
              <w:rPr>
                <w:rFonts w:ascii="Arial" w:cs="Arial" w:eastAsia="Arial" w:hAnsi="Arial"/>
                <w:sz w:val="16"/>
                <w:szCs w:val="16"/>
                <w:color w:val="auto"/>
              </w:rPr>
              <w:t>(667)</w:t>
            </w:r>
          </w:p>
        </w:tc>
        <w:tc>
          <w:tcPr>
            <w:tcW w:w="132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r>
      <w:tr>
        <w:trPr>
          <w:trHeight w:val="203"/>
        </w:trPr>
        <w:tc>
          <w:tcPr>
            <w:tcW w:w="7360" w:type="dxa"/>
            <w:vAlign w:val="bottom"/>
          </w:tcPr>
          <w:p>
            <w:pPr>
              <w:spacing w:after="0"/>
              <w:rPr>
                <w:sz w:val="20"/>
                <w:szCs w:val="20"/>
                <w:color w:val="auto"/>
              </w:rPr>
            </w:pPr>
            <w:r>
              <w:rPr>
                <w:rFonts w:ascii="Arial" w:cs="Arial" w:eastAsia="Arial" w:hAnsi="Arial"/>
                <w:sz w:val="16"/>
                <w:szCs w:val="16"/>
                <w:color w:val="auto"/>
              </w:rPr>
              <w:t>Distributions paid</w:t>
            </w:r>
          </w:p>
        </w:tc>
        <w:tc>
          <w:tcPr>
            <w:tcW w:w="1660" w:type="dxa"/>
            <w:vAlign w:val="bottom"/>
            <w:gridSpan w:val="2"/>
          </w:tcPr>
          <w:p>
            <w:pPr>
              <w:jc w:val="right"/>
              <w:ind w:right="360"/>
              <w:spacing w:after="0"/>
              <w:rPr>
                <w:sz w:val="20"/>
                <w:szCs w:val="20"/>
                <w:color w:val="auto"/>
              </w:rPr>
            </w:pPr>
            <w:r>
              <w:rPr>
                <w:rFonts w:ascii="Arial" w:cs="Arial" w:eastAsia="Arial" w:hAnsi="Arial"/>
                <w:sz w:val="16"/>
                <w:szCs w:val="16"/>
                <w:color w:val="auto"/>
              </w:rPr>
              <w:t>(35,219)</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(34,336)</w:t>
            </w:r>
          </w:p>
        </w:tc>
      </w:tr>
      <w:tr>
        <w:trPr>
          <w:trHeight w:val="203"/>
        </w:trPr>
        <w:tc>
          <w:tcPr>
            <w:tcW w:w="736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liabilities</w:t>
            </w:r>
          </w:p>
        </w:tc>
        <w:tc>
          <w:tcPr>
            <w:tcW w:w="1660" w:type="dxa"/>
            <w:vAlign w:val="bottom"/>
            <w:gridSpan w:val="2"/>
            <w:shd w:val="clear" w:color="auto" w:fill="E5FFFF"/>
          </w:tcPr>
          <w:p>
            <w:pPr>
              <w:jc w:val="right"/>
              <w:ind w:right="360"/>
              <w:spacing w:after="0"/>
              <w:rPr>
                <w:sz w:val="20"/>
                <w:szCs w:val="20"/>
                <w:color w:val="auto"/>
              </w:rPr>
            </w:pPr>
            <w:r>
              <w:rPr>
                <w:rFonts w:ascii="Arial" w:cs="Arial" w:eastAsia="Arial" w:hAnsi="Arial"/>
                <w:sz w:val="16"/>
                <w:szCs w:val="16"/>
                <w:color w:val="auto"/>
              </w:rPr>
              <w:t>(125)</w:t>
            </w:r>
          </w:p>
        </w:tc>
        <w:tc>
          <w:tcPr>
            <w:tcW w:w="132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(107)</w:t>
            </w:r>
          </w:p>
        </w:tc>
      </w:tr>
      <w:tr>
        <w:trPr>
          <w:trHeight w:val="196"/>
        </w:trPr>
        <w:tc>
          <w:tcPr>
            <w:tcW w:w="73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(66,130)</w:t>
            </w:r>
          </w:p>
        </w:tc>
        <w:tc>
          <w:tcPr>
            <w:tcW w:w="42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(42,330)</w:t>
            </w:r>
          </w:p>
        </w:tc>
        <w:tc>
          <w:tcPr>
            <w:tcW w:w="100" w:type="dxa"/>
            <w:vAlign w:val="bottom"/>
            <w:tcBorders>
              <w:bottom w:val="single" w:sz="8" w:color="E5FFFF"/>
            </w:tcBorders>
          </w:tcPr>
          <w:p>
            <w:pPr>
              <w:spacing w:after="0"/>
              <w:rPr>
                <w:sz w:val="17"/>
                <w:szCs w:val="17"/>
                <w:color w:val="auto"/>
              </w:rPr>
            </w:pPr>
          </w:p>
        </w:tc>
      </w:tr>
      <w:tr>
        <w:trPr>
          <w:trHeight w:val="196"/>
        </w:trPr>
        <w:tc>
          <w:tcPr>
            <w:tcW w:w="7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(15,362)</w:t>
            </w:r>
          </w:p>
        </w:tc>
        <w:tc>
          <w:tcPr>
            <w:tcW w:w="420" w:type="dxa"/>
            <w:vAlign w:val="bottom"/>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(35,522)</w:t>
            </w:r>
          </w:p>
        </w:tc>
        <w:tc>
          <w:tcPr>
            <w:tcW w:w="100" w:type="dxa"/>
            <w:vAlign w:val="bottom"/>
            <w:shd w:val="clear" w:color="auto" w:fill="E5FFFF"/>
          </w:tcPr>
          <w:p>
            <w:pPr>
              <w:spacing w:after="0"/>
              <w:rPr>
                <w:sz w:val="17"/>
                <w:szCs w:val="17"/>
                <w:color w:val="auto"/>
              </w:rPr>
            </w:pPr>
          </w:p>
        </w:tc>
      </w:tr>
      <w:tr>
        <w:trPr>
          <w:trHeight w:val="196"/>
        </w:trPr>
        <w:tc>
          <w:tcPr>
            <w:tcW w:w="73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133,370</w:t>
            </w:r>
          </w:p>
        </w:tc>
        <w:tc>
          <w:tcPr>
            <w:tcW w:w="420" w:type="dxa"/>
            <w:vAlign w:val="bottom"/>
            <w:tcBorders>
              <w:bottom w:val="single" w:sz="8" w:color="E5FF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96,884</w:t>
            </w:r>
          </w:p>
        </w:tc>
        <w:tc>
          <w:tcPr>
            <w:tcW w:w="100" w:type="dxa"/>
            <w:vAlign w:val="bottom"/>
            <w:tcBorders>
              <w:bottom w:val="single" w:sz="8" w:color="E5FFFF"/>
            </w:tcBorders>
          </w:tcPr>
          <w:p>
            <w:pPr>
              <w:spacing w:after="0"/>
              <w:rPr>
                <w:sz w:val="17"/>
                <w:szCs w:val="17"/>
                <w:color w:val="auto"/>
              </w:rPr>
            </w:pPr>
          </w:p>
        </w:tc>
      </w:tr>
      <w:tr>
        <w:trPr>
          <w:trHeight w:val="196"/>
        </w:trPr>
        <w:tc>
          <w:tcPr>
            <w:tcW w:w="73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118,008</w:t>
            </w:r>
          </w:p>
        </w:tc>
        <w:tc>
          <w:tcPr>
            <w:tcW w:w="420" w:type="dxa"/>
            <w:vAlign w:val="bottom"/>
            <w:tcBorders>
              <w:bottom w:val="single" w:sz="8" w:color="E5FFFF"/>
            </w:tcBorders>
            <w:shd w:val="clear" w:color="auto" w:fill="E5FFFF"/>
          </w:tcPr>
          <w:p>
            <w:pPr>
              <w:spacing w:after="0"/>
              <w:rPr>
                <w:sz w:val="17"/>
                <w:szCs w:val="17"/>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61,362</w:t>
            </w:r>
          </w:p>
        </w:tc>
        <w:tc>
          <w:tcPr>
            <w:tcW w:w="100" w:type="dxa"/>
            <w:vAlign w:val="bottom"/>
            <w:tcBorders>
              <w:bottom w:val="single" w:sz="8" w:color="E5FFFF"/>
            </w:tcBorders>
            <w:shd w:val="clear" w:color="auto" w:fill="E5FFFF"/>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340"/>
          </w:cols>
          <w:pgMar w:left="320" w:top="342" w:right="1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IFRS Common Control Reported Results in our Financial Statements to Partnership Performance Results: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 xml:space="preserve">Our Partnership Performance Results presented below are non-GAAP measures and exclude amounts related to GAS-twelve Ltd. (the owner of the </w:t>
      </w:r>
      <w:r>
        <w:rPr>
          <w:rFonts w:ascii="Arial" w:cs="Arial" w:eastAsia="Arial" w:hAnsi="Arial"/>
          <w:sz w:val="17"/>
          <w:szCs w:val="17"/>
          <w:i w:val="1"/>
          <w:iCs w:val="1"/>
          <w:color w:val="auto"/>
        </w:rPr>
        <w:t>GasLog</w:t>
      </w:r>
      <w:r>
        <w:rPr>
          <w:rFonts w:ascii="Arial" w:cs="Arial" w:eastAsia="Arial" w:hAnsi="Arial"/>
          <w:sz w:val="17"/>
          <w:szCs w:val="17"/>
          <w:color w:val="auto"/>
        </w:rPr>
        <w:t xml:space="preserve"> </w:t>
      </w:r>
      <w:r>
        <w:rPr>
          <w:rFonts w:ascii="Arial" w:cs="Arial" w:eastAsia="Arial" w:hAnsi="Arial"/>
          <w:sz w:val="17"/>
          <w:szCs w:val="17"/>
          <w:i w:val="1"/>
          <w:iCs w:val="1"/>
          <w:color w:val="auto"/>
        </w:rPr>
        <w:t>Glasgow</w:t>
      </w:r>
      <w:r>
        <w:rPr>
          <w:rFonts w:ascii="Arial" w:cs="Arial" w:eastAsia="Arial" w:hAnsi="Arial"/>
          <w:sz w:val="17"/>
          <w:szCs w:val="17"/>
          <w:color w:val="auto"/>
        </w:rPr>
        <w:t>) for the period prior to its transfer to the Partnership on April 1, 2019. While such amounts are reflected in the Partnership’s unaudited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because the transfer to the Partnership was accounted for as a reorganization of entities under common control under IFRS, GAS-twelve Ltd. was not owned by the Partnership prior to its transfer to the Partnership on April 1, 2019 and accordingly the Partnership was not entitled to the cash or results generated in the period prior to such transfer.</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IFRS Common Control Reported Results presented below include the accounts of the Partnership and its subsidiaries. Transfers of vessel owning subsidiaries from GasLog are accounted for as reorganizations of entities under common control and the Partnership’s consolidated financial statements are restated to reflect such subsidiaries from the date of their incorporation by GasLog as they were under the common control of GasLog.</w:t>
      </w:r>
    </w:p>
    <w:p>
      <w:pPr>
        <w:spacing w:after="0" w:line="14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GasLog Partners believes that these non-GAAP financial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acquired vessels prior to their transfers to the Partnership. These non-GAAP financial measures should not be viewed in isolation or as substitutes for the equivalent GAAP measures presented in accordance with IFRS, but should be used in conjunction with the most directly comparable IFRS Common Control Reported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60" w:type="dxa"/>
            <w:vAlign w:val="bottom"/>
            <w:gridSpan w:val="9"/>
          </w:tcPr>
          <w:p>
            <w:pPr>
              <w:jc w:val="right"/>
              <w:ind w:right="661"/>
              <w:spacing w:after="0"/>
              <w:rPr>
                <w:sz w:val="20"/>
                <w:szCs w:val="20"/>
                <w:color w:val="auto"/>
              </w:rPr>
            </w:pPr>
            <w:r>
              <w:rPr>
                <w:rFonts w:ascii="Arial" w:cs="Arial" w:eastAsia="Arial" w:hAnsi="Arial"/>
                <w:sz w:val="18"/>
                <w:szCs w:val="18"/>
                <w:b w:val="1"/>
                <w:bCs w:val="1"/>
                <w:color w:val="auto"/>
              </w:rPr>
              <w:t>For the three months ended March 31, 2019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Results</w:t>
            </w:r>
          </w:p>
        </w:tc>
        <w:tc>
          <w:tcPr>
            <w:tcW w:w="148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91"/>
              </w:rPr>
              <w:t>Partnership</w:t>
            </w:r>
          </w:p>
        </w:tc>
        <w:tc>
          <w:tcPr>
            <w:tcW w:w="20" w:type="dxa"/>
            <w:vAlign w:val="bottom"/>
          </w:tcPr>
          <w:p>
            <w:pPr>
              <w:spacing w:after="0"/>
              <w:rPr>
                <w:sz w:val="18"/>
                <w:szCs w:val="18"/>
                <w:color w:val="auto"/>
              </w:rPr>
            </w:pPr>
          </w:p>
        </w:tc>
        <w:tc>
          <w:tcPr>
            <w:tcW w:w="164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3"/>
              </w:rPr>
              <w:t>IFRS Common</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attributable to</w:t>
            </w:r>
          </w:p>
        </w:tc>
        <w:tc>
          <w:tcPr>
            <w:tcW w:w="148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90"/>
              </w:rPr>
              <w:t>Performance</w:t>
            </w:r>
          </w:p>
        </w:tc>
        <w:tc>
          <w:tcPr>
            <w:tcW w:w="20" w:type="dxa"/>
            <w:vAlign w:val="bottom"/>
          </w:tcPr>
          <w:p>
            <w:pPr>
              <w:spacing w:after="0"/>
              <w:rPr>
                <w:sz w:val="18"/>
                <w:szCs w:val="18"/>
                <w:color w:val="auto"/>
              </w:rPr>
            </w:pPr>
          </w:p>
        </w:tc>
        <w:tc>
          <w:tcPr>
            <w:tcW w:w="164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3"/>
              </w:rPr>
              <w:t>Control</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9"/>
              </w:rPr>
              <w:t>GasLog</w:t>
            </w:r>
          </w:p>
        </w:tc>
        <w:tc>
          <w:tcPr>
            <w:tcW w:w="1480" w:type="dxa"/>
            <w:vAlign w:val="bottom"/>
            <w:gridSpan w:val="3"/>
            <w:vMerge w:val="restart"/>
          </w:tcPr>
          <w:p>
            <w:pPr>
              <w:jc w:val="center"/>
              <w:ind w:right="121"/>
              <w:spacing w:after="0"/>
              <w:rPr>
                <w:sz w:val="20"/>
                <w:szCs w:val="20"/>
                <w:color w:val="auto"/>
              </w:rPr>
            </w:pPr>
            <w:r>
              <w:rPr>
                <w:rFonts w:ascii="Arial" w:cs="Arial" w:eastAsia="Arial" w:hAnsi="Arial"/>
                <w:sz w:val="18"/>
                <w:szCs w:val="18"/>
                <w:b w:val="1"/>
                <w:bCs w:val="1"/>
                <w:color w:val="auto"/>
                <w:w w:val="86"/>
              </w:rPr>
              <w:t>Results</w:t>
            </w:r>
          </w:p>
        </w:tc>
        <w:tc>
          <w:tcPr>
            <w:tcW w:w="20" w:type="dxa"/>
            <w:vAlign w:val="bottom"/>
          </w:tcPr>
          <w:p>
            <w:pPr>
              <w:spacing w:after="0"/>
              <w:rPr>
                <w:sz w:val="14"/>
                <w:szCs w:val="14"/>
                <w:color w:val="auto"/>
              </w:rPr>
            </w:pPr>
          </w:p>
        </w:tc>
        <w:tc>
          <w:tcPr>
            <w:tcW w:w="1640" w:type="dxa"/>
            <w:vAlign w:val="bottom"/>
            <w:gridSpan w:val="3"/>
            <w:vMerge w:val="restart"/>
          </w:tcPr>
          <w:p>
            <w:pPr>
              <w:jc w:val="center"/>
              <w:ind w:right="81"/>
              <w:spacing w:after="0"/>
              <w:rPr>
                <w:sz w:val="20"/>
                <w:szCs w:val="20"/>
                <w:color w:val="auto"/>
              </w:rPr>
            </w:pPr>
            <w:r>
              <w:rPr>
                <w:rFonts w:ascii="Arial" w:cs="Arial" w:eastAsia="Arial" w:hAnsi="Arial"/>
                <w:sz w:val="18"/>
                <w:szCs w:val="18"/>
                <w:b w:val="1"/>
                <w:bCs w:val="1"/>
                <w:color w:val="auto"/>
                <w:w w:val="88"/>
              </w:rPr>
              <w:t>Reported Results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7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10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7,560</w:t>
            </w:r>
          </w:p>
        </w:tc>
        <w:tc>
          <w:tcPr>
            <w:tcW w:w="16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86,325</w:t>
            </w:r>
          </w:p>
        </w:tc>
        <w:tc>
          <w:tcPr>
            <w:tcW w:w="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93,885</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pool allocation</w:t>
            </w:r>
          </w:p>
        </w:tc>
        <w:tc>
          <w:tcPr>
            <w:tcW w:w="10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25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(95)</w:t>
            </w:r>
          </w:p>
        </w:tc>
        <w:tc>
          <w:tcPr>
            <w:tcW w:w="1480" w:type="dxa"/>
            <w:vAlign w:val="bottom"/>
            <w:gridSpan w:val="3"/>
            <w:shd w:val="clear" w:color="auto" w:fill="E5FFFF"/>
          </w:tcPr>
          <w:p>
            <w:pPr>
              <w:jc w:val="right"/>
              <w:ind w:right="41"/>
              <w:spacing w:after="0"/>
              <w:rPr>
                <w:sz w:val="20"/>
                <w:szCs w:val="20"/>
                <w:color w:val="auto"/>
              </w:rPr>
            </w:pPr>
            <w:r>
              <w:rPr>
                <w:rFonts w:ascii="Arial" w:cs="Arial" w:eastAsia="Arial" w:hAnsi="Arial"/>
                <w:sz w:val="18"/>
                <w:szCs w:val="18"/>
                <w:color w:val="auto"/>
              </w:rPr>
              <w:t>(1,742)</w:t>
            </w:r>
          </w:p>
        </w:tc>
        <w:tc>
          <w:tcPr>
            <w:tcW w:w="1660" w:type="dxa"/>
            <w:vAlign w:val="bottom"/>
            <w:gridSpan w:val="4"/>
            <w:shd w:val="clear" w:color="auto" w:fill="E5FFFF"/>
          </w:tcPr>
          <w:p>
            <w:pPr>
              <w:jc w:val="right"/>
              <w:ind w:right="1"/>
              <w:spacing w:after="0"/>
              <w:rPr>
                <w:sz w:val="20"/>
                <w:szCs w:val="20"/>
                <w:color w:val="auto"/>
              </w:rPr>
            </w:pPr>
            <w:r>
              <w:rPr>
                <w:rFonts w:ascii="Arial" w:cs="Arial" w:eastAsia="Arial" w:hAnsi="Arial"/>
                <w:sz w:val="18"/>
                <w:szCs w:val="18"/>
                <w:color w:val="auto"/>
              </w:rPr>
              <w:t>(1,837)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Vessel operating costs</w:t>
            </w:r>
          </w:p>
        </w:tc>
        <w:tc>
          <w:tcPr>
            <w:tcW w:w="2580" w:type="dxa"/>
            <w:vAlign w:val="bottom"/>
            <w:gridSpan w:val="3"/>
          </w:tcPr>
          <w:p>
            <w:pPr>
              <w:jc w:val="right"/>
              <w:ind w:right="100"/>
              <w:spacing w:after="0"/>
              <w:rPr>
                <w:sz w:val="20"/>
                <w:szCs w:val="20"/>
                <w:color w:val="auto"/>
              </w:rPr>
            </w:pPr>
            <w:r>
              <w:rPr>
                <w:rFonts w:ascii="Arial" w:cs="Arial" w:eastAsia="Arial" w:hAnsi="Arial"/>
                <w:sz w:val="18"/>
                <w:szCs w:val="18"/>
                <w:color w:val="auto"/>
              </w:rPr>
              <w:t>(1,513)</w:t>
            </w:r>
          </w:p>
        </w:tc>
        <w:tc>
          <w:tcPr>
            <w:tcW w:w="1480" w:type="dxa"/>
            <w:vAlign w:val="bottom"/>
            <w:gridSpan w:val="3"/>
          </w:tcPr>
          <w:p>
            <w:pPr>
              <w:jc w:val="right"/>
              <w:ind w:right="41"/>
              <w:spacing w:after="0"/>
              <w:rPr>
                <w:sz w:val="20"/>
                <w:szCs w:val="20"/>
                <w:color w:val="auto"/>
              </w:rPr>
            </w:pPr>
            <w:r>
              <w:rPr>
                <w:rFonts w:ascii="Arial" w:cs="Arial" w:eastAsia="Arial" w:hAnsi="Arial"/>
                <w:sz w:val="18"/>
                <w:szCs w:val="18"/>
                <w:color w:val="auto"/>
              </w:rPr>
              <w:t>(17,118)</w:t>
            </w:r>
          </w:p>
        </w:tc>
        <w:tc>
          <w:tcPr>
            <w:tcW w:w="1660" w:type="dxa"/>
            <w:vAlign w:val="bottom"/>
            <w:gridSpan w:val="4"/>
          </w:tcPr>
          <w:p>
            <w:pPr>
              <w:jc w:val="right"/>
              <w:ind w:right="1"/>
              <w:spacing w:after="0"/>
              <w:rPr>
                <w:sz w:val="20"/>
                <w:szCs w:val="20"/>
                <w:color w:val="auto"/>
              </w:rPr>
            </w:pPr>
            <w:r>
              <w:rPr>
                <w:rFonts w:ascii="Arial" w:cs="Arial" w:eastAsia="Arial" w:hAnsi="Arial"/>
                <w:sz w:val="18"/>
                <w:szCs w:val="18"/>
                <w:color w:val="auto"/>
              </w:rPr>
              <w:t>(18,631)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25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(1,490)</w:t>
            </w:r>
          </w:p>
        </w:tc>
        <w:tc>
          <w:tcPr>
            <w:tcW w:w="1480" w:type="dxa"/>
            <w:vAlign w:val="bottom"/>
            <w:gridSpan w:val="3"/>
            <w:shd w:val="clear" w:color="auto" w:fill="E5FFFF"/>
          </w:tcPr>
          <w:p>
            <w:pPr>
              <w:jc w:val="right"/>
              <w:ind w:right="41"/>
              <w:spacing w:after="0"/>
              <w:rPr>
                <w:sz w:val="20"/>
                <w:szCs w:val="20"/>
                <w:color w:val="auto"/>
              </w:rPr>
            </w:pPr>
            <w:r>
              <w:rPr>
                <w:rFonts w:ascii="Arial" w:cs="Arial" w:eastAsia="Arial" w:hAnsi="Arial"/>
                <w:sz w:val="18"/>
                <w:szCs w:val="18"/>
                <w:color w:val="auto"/>
              </w:rPr>
              <w:t>(20,380)</w:t>
            </w:r>
          </w:p>
        </w:tc>
        <w:tc>
          <w:tcPr>
            <w:tcW w:w="1660" w:type="dxa"/>
            <w:vAlign w:val="bottom"/>
            <w:gridSpan w:val="4"/>
            <w:shd w:val="clear" w:color="auto" w:fill="E5FFFF"/>
          </w:tcPr>
          <w:p>
            <w:pPr>
              <w:jc w:val="right"/>
              <w:ind w:right="1"/>
              <w:spacing w:after="0"/>
              <w:rPr>
                <w:sz w:val="20"/>
                <w:szCs w:val="20"/>
                <w:color w:val="auto"/>
              </w:rPr>
            </w:pPr>
            <w:r>
              <w:rPr>
                <w:rFonts w:ascii="Arial" w:cs="Arial" w:eastAsia="Arial" w:hAnsi="Arial"/>
                <w:sz w:val="18"/>
                <w:szCs w:val="18"/>
                <w:color w:val="auto"/>
              </w:rPr>
              <w:t>(21,870)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80" w:type="dxa"/>
            <w:vAlign w:val="bottom"/>
            <w:gridSpan w:val="3"/>
          </w:tcPr>
          <w:p>
            <w:pPr>
              <w:jc w:val="right"/>
              <w:ind w:right="100"/>
              <w:spacing w:after="0"/>
              <w:rPr>
                <w:sz w:val="20"/>
                <w:szCs w:val="20"/>
                <w:color w:val="auto"/>
              </w:rPr>
            </w:pPr>
            <w:r>
              <w:rPr>
                <w:rFonts w:ascii="Arial" w:cs="Arial" w:eastAsia="Arial" w:hAnsi="Arial"/>
                <w:sz w:val="18"/>
                <w:szCs w:val="18"/>
                <w:color w:val="auto"/>
              </w:rPr>
              <w:t>(96</w:t>
            </w:r>
            <w:r>
              <w:rPr>
                <w:rFonts w:ascii="Arial" w:cs="Arial" w:eastAsia="Arial" w:hAnsi="Arial"/>
                <w:sz w:val="18"/>
                <w:szCs w:val="18"/>
                <w:b w:val="1"/>
                <w:bCs w:val="1"/>
                <w:color w:val="auto"/>
              </w:rPr>
              <w:t>)</w:t>
            </w:r>
          </w:p>
        </w:tc>
        <w:tc>
          <w:tcPr>
            <w:tcW w:w="1480" w:type="dxa"/>
            <w:vAlign w:val="bottom"/>
            <w:gridSpan w:val="3"/>
          </w:tcPr>
          <w:p>
            <w:pPr>
              <w:jc w:val="right"/>
              <w:ind w:right="41"/>
              <w:spacing w:after="0"/>
              <w:rPr>
                <w:sz w:val="20"/>
                <w:szCs w:val="20"/>
                <w:color w:val="auto"/>
              </w:rPr>
            </w:pPr>
            <w:r>
              <w:rPr>
                <w:rFonts w:ascii="Arial" w:cs="Arial" w:eastAsia="Arial" w:hAnsi="Arial"/>
                <w:sz w:val="18"/>
                <w:szCs w:val="18"/>
                <w:color w:val="auto"/>
              </w:rPr>
              <w:t>(4,598)</w:t>
            </w:r>
          </w:p>
        </w:tc>
        <w:tc>
          <w:tcPr>
            <w:tcW w:w="1660" w:type="dxa"/>
            <w:vAlign w:val="bottom"/>
            <w:gridSpan w:val="4"/>
          </w:tcPr>
          <w:p>
            <w:pPr>
              <w:jc w:val="right"/>
              <w:ind w:right="1"/>
              <w:spacing w:after="0"/>
              <w:rPr>
                <w:sz w:val="20"/>
                <w:szCs w:val="20"/>
                <w:color w:val="auto"/>
              </w:rPr>
            </w:pPr>
            <w:r>
              <w:rPr>
                <w:rFonts w:ascii="Arial" w:cs="Arial" w:eastAsia="Arial" w:hAnsi="Arial"/>
                <w:sz w:val="18"/>
                <w:szCs w:val="18"/>
                <w:color w:val="auto"/>
              </w:rPr>
              <w:t>(4,694)</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0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4,366</w:t>
            </w:r>
          </w:p>
        </w:tc>
        <w:tc>
          <w:tcPr>
            <w:tcW w:w="16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42,521</w:t>
            </w:r>
          </w:p>
        </w:tc>
        <w:tc>
          <w:tcPr>
            <w:tcW w:w="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46,887</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Financial costs</w:t>
            </w:r>
          </w:p>
        </w:tc>
        <w:tc>
          <w:tcPr>
            <w:tcW w:w="10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(1,730)</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(19,632)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258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E5FFFF"/>
          </w:tcPr>
          <w:p>
            <w:pPr>
              <w:spacing w:after="0"/>
              <w:rPr>
                <w:sz w:val="18"/>
                <w:szCs w:val="18"/>
                <w:color w:val="auto"/>
              </w:rPr>
            </w:pPr>
          </w:p>
        </w:tc>
        <w:tc>
          <w:tcPr>
            <w:tcW w:w="1580" w:type="dxa"/>
            <w:vAlign w:val="bottom"/>
            <w:gridSpan w:val="3"/>
            <w:shd w:val="clear" w:color="auto" w:fill="E5FFFF"/>
          </w:tcPr>
          <w:p>
            <w:pPr>
              <w:jc w:val="right"/>
              <w:ind w:right="20"/>
              <w:spacing w:after="0"/>
              <w:rPr>
                <w:sz w:val="20"/>
                <w:szCs w:val="20"/>
                <w:color w:val="auto"/>
              </w:rPr>
            </w:pPr>
            <w:r>
              <w:rPr>
                <w:rFonts w:ascii="Arial" w:cs="Arial" w:eastAsia="Arial" w:hAnsi="Arial"/>
                <w:sz w:val="18"/>
                <w:szCs w:val="18"/>
                <w:color w:val="auto"/>
              </w:rPr>
              <w:t>638</w:t>
            </w:r>
          </w:p>
        </w:tc>
        <w:tc>
          <w:tcPr>
            <w:tcW w:w="80" w:type="dxa"/>
            <w:vAlign w:val="bottom"/>
            <w:shd w:val="clear" w:color="auto" w:fill="E5FF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Loss on derivatives</w:t>
            </w:r>
          </w:p>
        </w:tc>
        <w:tc>
          <w:tcPr>
            <w:tcW w:w="10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1"/>
              <w:spacing w:after="0"/>
              <w:rPr>
                <w:sz w:val="20"/>
                <w:szCs w:val="20"/>
                <w:color w:val="auto"/>
              </w:rPr>
            </w:pPr>
            <w:r>
              <w:rPr>
                <w:rFonts w:ascii="Arial" w:cs="Arial" w:eastAsia="Arial" w:hAnsi="Arial"/>
                <w:sz w:val="18"/>
                <w:szCs w:val="18"/>
                <w:color w:val="auto"/>
              </w:rPr>
              <w:t>(4,877)</w:t>
            </w:r>
          </w:p>
        </w:tc>
        <w:tc>
          <w:tcPr>
            <w:tcW w:w="1660" w:type="dxa"/>
            <w:vAlign w:val="bottom"/>
            <w:gridSpan w:val="4"/>
          </w:tcPr>
          <w:p>
            <w:pPr>
              <w:jc w:val="right"/>
              <w:ind w:right="1"/>
              <w:spacing w:after="0"/>
              <w:rPr>
                <w:sz w:val="20"/>
                <w:szCs w:val="20"/>
                <w:color w:val="auto"/>
              </w:rPr>
            </w:pPr>
            <w:r>
              <w:rPr>
                <w:rFonts w:ascii="Arial" w:cs="Arial" w:eastAsia="Arial" w:hAnsi="Arial"/>
                <w:sz w:val="18"/>
                <w:szCs w:val="18"/>
                <w:color w:val="auto"/>
              </w:rPr>
              <w:t>(4,877)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10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(1,716)</w:t>
            </w:r>
          </w:p>
        </w:tc>
        <w:tc>
          <w:tcPr>
            <w:tcW w:w="16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(22,155)</w:t>
            </w:r>
          </w:p>
        </w:tc>
        <w:tc>
          <w:tcPr>
            <w:tcW w:w="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(23,871)</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b w:val="1"/>
                <w:bCs w:val="1"/>
                <w:color w:val="auto"/>
              </w:rPr>
              <w:t>Profit for the period</w:t>
            </w:r>
          </w:p>
        </w:tc>
        <w:tc>
          <w:tcPr>
            <w:tcW w:w="106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2,650</w:t>
            </w:r>
          </w:p>
        </w:tc>
        <w:tc>
          <w:tcPr>
            <w:tcW w:w="1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23,016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60" w:type="dxa"/>
            <w:vAlign w:val="bottom"/>
            <w:gridSpan w:val="9"/>
          </w:tcPr>
          <w:p>
            <w:pPr>
              <w:jc w:val="right"/>
              <w:ind w:right="521"/>
              <w:spacing w:after="0"/>
              <w:rPr>
                <w:sz w:val="20"/>
                <w:szCs w:val="20"/>
                <w:color w:val="auto"/>
              </w:rPr>
            </w:pPr>
            <w:r>
              <w:rPr>
                <w:rFonts w:ascii="Arial" w:cs="Arial" w:eastAsia="Arial" w:hAnsi="Arial"/>
                <w:sz w:val="18"/>
                <w:szCs w:val="18"/>
                <w:b w:val="1"/>
                <w:bCs w:val="1"/>
                <w:color w:val="auto"/>
              </w:rPr>
              <w:t>For the three months ended December 31, 2019</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Results</w:t>
            </w:r>
          </w:p>
        </w:tc>
        <w:tc>
          <w:tcPr>
            <w:tcW w:w="148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1"/>
              </w:rPr>
              <w:t>Partnership</w:t>
            </w:r>
          </w:p>
        </w:tc>
        <w:tc>
          <w:tcPr>
            <w:tcW w:w="20" w:type="dxa"/>
            <w:vAlign w:val="bottom"/>
          </w:tcPr>
          <w:p>
            <w:pPr>
              <w:spacing w:after="0"/>
              <w:rPr>
                <w:sz w:val="18"/>
                <w:szCs w:val="18"/>
                <w:color w:val="auto"/>
              </w:rPr>
            </w:pPr>
          </w:p>
        </w:tc>
        <w:tc>
          <w:tcPr>
            <w:tcW w:w="164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3"/>
              </w:rPr>
              <w:t>IFRS Common</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attributable to</w:t>
            </w:r>
          </w:p>
        </w:tc>
        <w:tc>
          <w:tcPr>
            <w:tcW w:w="148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0"/>
              </w:rPr>
              <w:t>Performance</w:t>
            </w:r>
          </w:p>
        </w:tc>
        <w:tc>
          <w:tcPr>
            <w:tcW w:w="20" w:type="dxa"/>
            <w:vAlign w:val="bottom"/>
          </w:tcPr>
          <w:p>
            <w:pPr>
              <w:spacing w:after="0"/>
              <w:rPr>
                <w:sz w:val="18"/>
                <w:szCs w:val="18"/>
                <w:color w:val="auto"/>
              </w:rPr>
            </w:pPr>
          </w:p>
        </w:tc>
        <w:tc>
          <w:tcPr>
            <w:tcW w:w="164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3"/>
              </w:rPr>
              <w:t>Control</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9"/>
              </w:rPr>
              <w:t>GasLog</w:t>
            </w:r>
          </w:p>
        </w:tc>
        <w:tc>
          <w:tcPr>
            <w:tcW w:w="1480" w:type="dxa"/>
            <w:vAlign w:val="bottom"/>
            <w:gridSpan w:val="3"/>
            <w:vMerge w:val="restart"/>
          </w:tcPr>
          <w:p>
            <w:pPr>
              <w:jc w:val="center"/>
              <w:ind w:right="81"/>
              <w:spacing w:after="0"/>
              <w:rPr>
                <w:sz w:val="20"/>
                <w:szCs w:val="20"/>
                <w:color w:val="auto"/>
              </w:rPr>
            </w:pPr>
            <w:r>
              <w:rPr>
                <w:rFonts w:ascii="Arial" w:cs="Arial" w:eastAsia="Arial" w:hAnsi="Arial"/>
                <w:sz w:val="18"/>
                <w:szCs w:val="18"/>
                <w:b w:val="1"/>
                <w:bCs w:val="1"/>
                <w:color w:val="auto"/>
                <w:w w:val="86"/>
              </w:rPr>
              <w:t>Results</w:t>
            </w:r>
          </w:p>
        </w:tc>
        <w:tc>
          <w:tcPr>
            <w:tcW w:w="20" w:type="dxa"/>
            <w:vAlign w:val="bottom"/>
          </w:tcPr>
          <w:p>
            <w:pPr>
              <w:spacing w:after="0"/>
              <w:rPr>
                <w:sz w:val="14"/>
                <w:szCs w:val="14"/>
                <w:color w:val="auto"/>
              </w:rPr>
            </w:pPr>
          </w:p>
        </w:tc>
        <w:tc>
          <w:tcPr>
            <w:tcW w:w="1640" w:type="dxa"/>
            <w:vAlign w:val="bottom"/>
            <w:gridSpan w:val="3"/>
            <w:vMerge w:val="restart"/>
          </w:tcPr>
          <w:p>
            <w:pPr>
              <w:jc w:val="center"/>
              <w:ind w:right="41"/>
              <w:spacing w:after="0"/>
              <w:rPr>
                <w:sz w:val="20"/>
                <w:szCs w:val="20"/>
                <w:color w:val="auto"/>
              </w:rPr>
            </w:pPr>
            <w:r>
              <w:rPr>
                <w:rFonts w:ascii="Arial" w:cs="Arial" w:eastAsia="Arial" w:hAnsi="Arial"/>
                <w:sz w:val="18"/>
                <w:szCs w:val="18"/>
                <w:b w:val="1"/>
                <w:bCs w:val="1"/>
                <w:color w:val="auto"/>
                <w:w w:val="88"/>
              </w:rPr>
              <w:t>Reported Results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7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10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96,512</w:t>
            </w:r>
          </w:p>
        </w:tc>
        <w:tc>
          <w:tcPr>
            <w:tcW w:w="1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96,512</w:t>
            </w:r>
          </w:p>
        </w:tc>
        <w:tc>
          <w:tcPr>
            <w:tcW w:w="80" w:type="dxa"/>
            <w:vAlign w:val="bottom"/>
            <w:tcBorders>
              <w:top w:val="single" w:sz="8" w:color="E5FFFF"/>
            </w:tcBorders>
            <w:shd w:val="clear" w:color="auto" w:fill="E5FF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0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1"/>
              <w:spacing w:after="0"/>
              <w:rPr>
                <w:sz w:val="20"/>
                <w:szCs w:val="20"/>
                <w:color w:val="auto"/>
              </w:rPr>
            </w:pPr>
            <w:r>
              <w:rPr>
                <w:rFonts w:ascii="Arial" w:cs="Arial" w:eastAsia="Arial" w:hAnsi="Arial"/>
                <w:sz w:val="18"/>
                <w:szCs w:val="18"/>
                <w:color w:val="auto"/>
              </w:rPr>
              <w:t>(1,761)</w:t>
            </w:r>
          </w:p>
        </w:tc>
        <w:tc>
          <w:tcPr>
            <w:tcW w:w="1660" w:type="dxa"/>
            <w:vAlign w:val="bottom"/>
            <w:gridSpan w:val="4"/>
          </w:tcPr>
          <w:p>
            <w:pPr>
              <w:jc w:val="right"/>
              <w:ind w:right="1"/>
              <w:spacing w:after="0"/>
              <w:rPr>
                <w:sz w:val="20"/>
                <w:szCs w:val="20"/>
                <w:color w:val="auto"/>
              </w:rPr>
            </w:pPr>
            <w:r>
              <w:rPr>
                <w:rFonts w:ascii="Arial" w:cs="Arial" w:eastAsia="Arial" w:hAnsi="Arial"/>
                <w:sz w:val="18"/>
                <w:szCs w:val="18"/>
                <w:color w:val="auto"/>
              </w:rPr>
              <w:t>(1,761)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costs</w:t>
            </w:r>
          </w:p>
        </w:tc>
        <w:tc>
          <w:tcPr>
            <w:tcW w:w="106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E5FFFF"/>
          </w:tcPr>
          <w:p>
            <w:pPr>
              <w:jc w:val="right"/>
              <w:ind w:right="41"/>
              <w:spacing w:after="0"/>
              <w:rPr>
                <w:sz w:val="20"/>
                <w:szCs w:val="20"/>
                <w:color w:val="auto"/>
              </w:rPr>
            </w:pPr>
            <w:r>
              <w:rPr>
                <w:rFonts w:ascii="Arial" w:cs="Arial" w:eastAsia="Arial" w:hAnsi="Arial"/>
                <w:sz w:val="18"/>
                <w:szCs w:val="18"/>
                <w:color w:val="auto"/>
              </w:rPr>
              <w:t>(21,447)</w:t>
            </w:r>
          </w:p>
        </w:tc>
        <w:tc>
          <w:tcPr>
            <w:tcW w:w="1660" w:type="dxa"/>
            <w:vAlign w:val="bottom"/>
            <w:gridSpan w:val="4"/>
            <w:shd w:val="clear" w:color="auto" w:fill="E5FFFF"/>
          </w:tcPr>
          <w:p>
            <w:pPr>
              <w:jc w:val="right"/>
              <w:ind w:right="1"/>
              <w:spacing w:after="0"/>
              <w:rPr>
                <w:sz w:val="20"/>
                <w:szCs w:val="20"/>
                <w:color w:val="auto"/>
              </w:rPr>
            </w:pPr>
            <w:r>
              <w:rPr>
                <w:rFonts w:ascii="Arial" w:cs="Arial" w:eastAsia="Arial" w:hAnsi="Arial"/>
                <w:sz w:val="18"/>
                <w:szCs w:val="18"/>
                <w:color w:val="auto"/>
              </w:rPr>
              <w:t>(21,447)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Depreciation</w:t>
            </w:r>
          </w:p>
        </w:tc>
        <w:tc>
          <w:tcPr>
            <w:tcW w:w="10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1"/>
              <w:spacing w:after="0"/>
              <w:rPr>
                <w:sz w:val="20"/>
                <w:szCs w:val="20"/>
                <w:color w:val="auto"/>
              </w:rPr>
            </w:pPr>
            <w:r>
              <w:rPr>
                <w:rFonts w:ascii="Arial" w:cs="Arial" w:eastAsia="Arial" w:hAnsi="Arial"/>
                <w:sz w:val="18"/>
                <w:szCs w:val="18"/>
                <w:color w:val="auto"/>
              </w:rPr>
              <w:t>(22,483)</w:t>
            </w:r>
          </w:p>
        </w:tc>
        <w:tc>
          <w:tcPr>
            <w:tcW w:w="1660" w:type="dxa"/>
            <w:vAlign w:val="bottom"/>
            <w:gridSpan w:val="4"/>
          </w:tcPr>
          <w:p>
            <w:pPr>
              <w:jc w:val="right"/>
              <w:ind w:right="1"/>
              <w:spacing w:after="0"/>
              <w:rPr>
                <w:sz w:val="20"/>
                <w:szCs w:val="20"/>
                <w:color w:val="auto"/>
              </w:rPr>
            </w:pPr>
            <w:r>
              <w:rPr>
                <w:rFonts w:ascii="Arial" w:cs="Arial" w:eastAsia="Arial" w:hAnsi="Arial"/>
                <w:sz w:val="18"/>
                <w:szCs w:val="18"/>
                <w:color w:val="auto"/>
              </w:rPr>
              <w:t>(22,483)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E5FFFF"/>
          </w:tcPr>
          <w:p>
            <w:pPr>
              <w:jc w:val="right"/>
              <w:ind w:right="41"/>
              <w:spacing w:after="0"/>
              <w:rPr>
                <w:sz w:val="20"/>
                <w:szCs w:val="20"/>
                <w:color w:val="auto"/>
              </w:rPr>
            </w:pPr>
            <w:r>
              <w:rPr>
                <w:rFonts w:ascii="Arial" w:cs="Arial" w:eastAsia="Arial" w:hAnsi="Arial"/>
                <w:sz w:val="18"/>
                <w:szCs w:val="18"/>
                <w:color w:val="auto"/>
              </w:rPr>
              <w:t>(5,049)</w:t>
            </w:r>
          </w:p>
        </w:tc>
        <w:tc>
          <w:tcPr>
            <w:tcW w:w="1660" w:type="dxa"/>
            <w:vAlign w:val="bottom"/>
            <w:gridSpan w:val="4"/>
            <w:shd w:val="clear" w:color="auto" w:fill="E5FFFF"/>
          </w:tcPr>
          <w:p>
            <w:pPr>
              <w:jc w:val="right"/>
              <w:ind w:right="1"/>
              <w:spacing w:after="0"/>
              <w:rPr>
                <w:sz w:val="20"/>
                <w:szCs w:val="20"/>
                <w:color w:val="auto"/>
              </w:rPr>
            </w:pPr>
            <w:r>
              <w:rPr>
                <w:rFonts w:ascii="Arial" w:cs="Arial" w:eastAsia="Arial" w:hAnsi="Arial"/>
                <w:sz w:val="18"/>
                <w:szCs w:val="18"/>
                <w:color w:val="auto"/>
              </w:rPr>
              <w:t>(5,049)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Impairment loss on vessels</w:t>
            </w:r>
          </w:p>
        </w:tc>
        <w:tc>
          <w:tcPr>
            <w:tcW w:w="10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41"/>
              <w:spacing w:after="0"/>
              <w:rPr>
                <w:sz w:val="20"/>
                <w:szCs w:val="20"/>
                <w:color w:val="auto"/>
              </w:rPr>
            </w:pPr>
            <w:r>
              <w:rPr>
                <w:rFonts w:ascii="Arial" w:cs="Arial" w:eastAsia="Arial" w:hAnsi="Arial"/>
                <w:sz w:val="18"/>
                <w:szCs w:val="18"/>
                <w:color w:val="auto"/>
              </w:rPr>
              <w:t>(138,848)</w:t>
            </w:r>
          </w:p>
        </w:tc>
        <w:tc>
          <w:tcPr>
            <w:tcW w:w="1660" w:type="dxa"/>
            <w:vAlign w:val="bottom"/>
            <w:gridSpan w:val="4"/>
          </w:tcPr>
          <w:p>
            <w:pPr>
              <w:jc w:val="right"/>
              <w:ind w:right="1"/>
              <w:spacing w:after="0"/>
              <w:rPr>
                <w:sz w:val="20"/>
                <w:szCs w:val="20"/>
                <w:color w:val="auto"/>
              </w:rPr>
            </w:pPr>
            <w:r>
              <w:rPr>
                <w:rFonts w:ascii="Arial" w:cs="Arial" w:eastAsia="Arial" w:hAnsi="Arial"/>
                <w:sz w:val="18"/>
                <w:szCs w:val="18"/>
                <w:color w:val="auto"/>
              </w:rPr>
              <w:t>(138,848)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Loss from operations</w:t>
            </w:r>
          </w:p>
        </w:tc>
        <w:tc>
          <w:tcPr>
            <w:tcW w:w="10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(93,076)</w:t>
            </w:r>
          </w:p>
        </w:tc>
        <w:tc>
          <w:tcPr>
            <w:tcW w:w="1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(93,076)</w:t>
            </w:r>
          </w:p>
        </w:tc>
        <w:tc>
          <w:tcPr>
            <w:tcW w:w="80" w:type="dxa"/>
            <w:vAlign w:val="bottom"/>
            <w:tcBorders>
              <w:top w:val="single" w:sz="8" w:color="E5FFFF"/>
            </w:tcBorders>
            <w:shd w:val="clear" w:color="auto" w:fill="E5FF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Financial costs</w:t>
            </w:r>
          </w:p>
        </w:tc>
        <w:tc>
          <w:tcPr>
            <w:tcW w:w="10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(16,348)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(16,348)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06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E5FFFF"/>
          </w:tcPr>
          <w:p>
            <w:pPr>
              <w:jc w:val="right"/>
              <w:ind w:right="101"/>
              <w:spacing w:after="0"/>
              <w:rPr>
                <w:sz w:val="20"/>
                <w:szCs w:val="20"/>
                <w:color w:val="auto"/>
              </w:rPr>
            </w:pPr>
            <w:r>
              <w:rPr>
                <w:rFonts w:ascii="Arial" w:cs="Arial" w:eastAsia="Arial" w:hAnsi="Arial"/>
                <w:sz w:val="18"/>
                <w:szCs w:val="18"/>
                <w:color w:val="auto"/>
              </w:rPr>
              <w:t>329</w:t>
            </w:r>
          </w:p>
        </w:tc>
        <w:tc>
          <w:tcPr>
            <w:tcW w:w="1660" w:type="dxa"/>
            <w:vAlign w:val="bottom"/>
            <w:gridSpan w:val="4"/>
            <w:shd w:val="clear" w:color="auto" w:fill="E5FFFF"/>
          </w:tcPr>
          <w:p>
            <w:pPr>
              <w:jc w:val="right"/>
              <w:ind w:right="61"/>
              <w:spacing w:after="0"/>
              <w:rPr>
                <w:sz w:val="20"/>
                <w:szCs w:val="20"/>
                <w:color w:val="auto"/>
              </w:rPr>
            </w:pPr>
            <w:r>
              <w:rPr>
                <w:rFonts w:ascii="Arial" w:cs="Arial" w:eastAsia="Arial" w:hAnsi="Arial"/>
                <w:sz w:val="18"/>
                <w:szCs w:val="18"/>
                <w:color w:val="auto"/>
              </w:rPr>
              <w:t>329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Gain on derivatives</w:t>
            </w:r>
          </w:p>
        </w:tc>
        <w:tc>
          <w:tcPr>
            <w:tcW w:w="106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1"/>
              <w:spacing w:after="0"/>
              <w:rPr>
                <w:sz w:val="20"/>
                <w:szCs w:val="20"/>
                <w:color w:val="auto"/>
              </w:rPr>
            </w:pPr>
            <w:r>
              <w:rPr>
                <w:rFonts w:ascii="Arial" w:cs="Arial" w:eastAsia="Arial" w:hAnsi="Arial"/>
                <w:sz w:val="18"/>
                <w:szCs w:val="18"/>
                <w:color w:val="auto"/>
              </w:rPr>
              <w:t>2,733</w:t>
            </w:r>
          </w:p>
        </w:tc>
        <w:tc>
          <w:tcPr>
            <w:tcW w:w="1660" w:type="dxa"/>
            <w:vAlign w:val="bottom"/>
            <w:gridSpan w:val="4"/>
          </w:tcPr>
          <w:p>
            <w:pPr>
              <w:jc w:val="right"/>
              <w:ind w:right="61"/>
              <w:spacing w:after="0"/>
              <w:rPr>
                <w:sz w:val="20"/>
                <w:szCs w:val="20"/>
                <w:color w:val="auto"/>
              </w:rPr>
            </w:pPr>
            <w:r>
              <w:rPr>
                <w:rFonts w:ascii="Arial" w:cs="Arial" w:eastAsia="Arial" w:hAnsi="Arial"/>
                <w:sz w:val="18"/>
                <w:szCs w:val="18"/>
                <w:color w:val="auto"/>
              </w:rPr>
              <w:t>2,733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10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(13,286)</w:t>
            </w:r>
          </w:p>
        </w:tc>
        <w:tc>
          <w:tcPr>
            <w:tcW w:w="1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(13,286)</w:t>
            </w:r>
          </w:p>
        </w:tc>
        <w:tc>
          <w:tcPr>
            <w:tcW w:w="80" w:type="dxa"/>
            <w:vAlign w:val="bottom"/>
            <w:tcBorders>
              <w:top w:val="single" w:sz="8" w:color="E5FFFF"/>
            </w:tcBorders>
            <w:shd w:val="clear" w:color="auto" w:fill="E5FF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06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(106,362</w:t>
            </w:r>
          </w:p>
        </w:tc>
        <w:tc>
          <w:tcPr>
            <w:tcW w:w="120" w:type="dxa"/>
            <w:vAlign w:val="bottom"/>
          </w:tcPr>
          <w:p>
            <w:pPr>
              <w:jc w:val="right"/>
              <w:ind w:right="41"/>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(106,362</w:t>
            </w:r>
          </w:p>
        </w:tc>
        <w:tc>
          <w:tcPr>
            <w:tcW w:w="80" w:type="dxa"/>
            <w:vAlign w:val="bottom"/>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40" w:type="dxa"/>
            <w:vAlign w:val="bottom"/>
            <w:gridSpan w:val="6"/>
          </w:tcPr>
          <w:p>
            <w:pPr>
              <w:ind w:left="600"/>
              <w:spacing w:after="0"/>
              <w:rPr>
                <w:sz w:val="20"/>
                <w:szCs w:val="20"/>
                <w:color w:val="auto"/>
              </w:rPr>
            </w:pPr>
            <w:r>
              <w:rPr>
                <w:rFonts w:ascii="Arial" w:cs="Arial" w:eastAsia="Arial" w:hAnsi="Arial"/>
                <w:sz w:val="18"/>
                <w:szCs w:val="18"/>
                <w:b w:val="1"/>
                <w:bCs w:val="1"/>
                <w:color w:val="auto"/>
              </w:rPr>
              <w:t>For the three months ended March 31, 2020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Results</w:t>
            </w: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Partnership</w:t>
            </w: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IFRS Common</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attributable to</w:t>
            </w: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Performance</w:t>
            </w: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Control</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9"/>
              </w:rPr>
              <w:t>GasLog</w:t>
            </w:r>
          </w:p>
        </w:tc>
        <w:tc>
          <w:tcPr>
            <w:tcW w:w="148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6"/>
              </w:rPr>
              <w:t>Results</w:t>
            </w: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8"/>
              </w:rPr>
              <w:t>Reported Results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108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ind w:left="116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91,353</w:t>
            </w:r>
          </w:p>
        </w:tc>
        <w:tc>
          <w:tcPr>
            <w:tcW w:w="160" w:type="dxa"/>
            <w:vAlign w:val="bottom"/>
            <w:tcBorders>
              <w:top w:val="single" w:sz="8" w:color="E5FFFF"/>
            </w:tcBorders>
            <w:shd w:val="clear" w:color="auto" w:fill="E5FFFF"/>
          </w:tcPr>
          <w:p>
            <w:pPr>
              <w:spacing w:after="0"/>
              <w:rPr>
                <w:sz w:val="18"/>
                <w:szCs w:val="18"/>
                <w:color w:val="auto"/>
              </w:rPr>
            </w:pPr>
          </w:p>
        </w:tc>
        <w:tc>
          <w:tcPr>
            <w:tcW w:w="15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91,353</w:t>
            </w:r>
          </w:p>
        </w:tc>
        <w:tc>
          <w:tcPr>
            <w:tcW w:w="100" w:type="dxa"/>
            <w:vAlign w:val="bottom"/>
            <w:tcBorders>
              <w:top w:val="single" w:sz="8" w:color="E5FFFF"/>
            </w:tcBorders>
            <w:shd w:val="clear" w:color="auto" w:fill="E5FF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080" w:type="dxa"/>
            <w:vAlign w:val="bottom"/>
          </w:tcPr>
          <w:p>
            <w:pPr>
              <w:spacing w:after="0"/>
              <w:rPr>
                <w:sz w:val="18"/>
                <w:szCs w:val="18"/>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(3,888)</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(3,888)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costs</w:t>
            </w:r>
          </w:p>
        </w:tc>
        <w:tc>
          <w:tcPr>
            <w:tcW w:w="108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ind w:left="1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(19,093)</w:t>
            </w:r>
          </w:p>
        </w:tc>
        <w:tc>
          <w:tcPr>
            <w:tcW w:w="16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(19,093)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Depreciation</w:t>
            </w:r>
          </w:p>
        </w:tc>
        <w:tc>
          <w:tcPr>
            <w:tcW w:w="1080" w:type="dxa"/>
            <w:vAlign w:val="bottom"/>
          </w:tcPr>
          <w:p>
            <w:pPr>
              <w:spacing w:after="0"/>
              <w:rPr>
                <w:sz w:val="18"/>
                <w:szCs w:val="18"/>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(20,598)</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(20,598)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ind w:left="1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(4,171)</w:t>
            </w:r>
          </w:p>
        </w:tc>
        <w:tc>
          <w:tcPr>
            <w:tcW w:w="16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(4,171)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080" w:type="dxa"/>
            <w:vAlign w:val="bottom"/>
            <w:tcBorders>
              <w:bottom w:val="single" w:sz="8" w:color="E5FFFF"/>
            </w:tcBorders>
          </w:tcPr>
          <w:p>
            <w:pPr>
              <w:spacing w:after="0"/>
              <w:rPr>
                <w:sz w:val="18"/>
                <w:szCs w:val="18"/>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E5FF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43,603</w:t>
            </w:r>
          </w:p>
        </w:tc>
        <w:tc>
          <w:tcPr>
            <w:tcW w:w="160" w:type="dxa"/>
            <w:vAlign w:val="bottom"/>
            <w:tcBorders>
              <w:bottom w:val="single" w:sz="8" w:color="E5FFFF"/>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43,603</w:t>
            </w:r>
          </w:p>
        </w:tc>
        <w:tc>
          <w:tcPr>
            <w:tcW w:w="100" w:type="dxa"/>
            <w:vAlign w:val="bottom"/>
            <w:tcBorders>
              <w:bottom w:val="single" w:sz="8" w:color="E5FFFF"/>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080" w:type="dxa"/>
            <w:vAlign w:val="bottom"/>
            <w:shd w:val="clear" w:color="auto" w:fill="E5FFFF"/>
          </w:tcPr>
          <w:p>
            <w:pPr>
              <w:spacing w:after="0"/>
              <w:rPr>
                <w:sz w:val="18"/>
                <w:szCs w:val="18"/>
                <w:color w:val="auto"/>
              </w:rPr>
            </w:pPr>
          </w:p>
        </w:tc>
        <w:tc>
          <w:tcPr>
            <w:tcW w:w="1340" w:type="dxa"/>
            <w:vAlign w:val="bottom"/>
            <w:shd w:val="clear" w:color="auto" w:fill="E5FFFF"/>
          </w:tcPr>
          <w:p>
            <w:pPr>
              <w:ind w:left="1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(15,513)</w:t>
            </w:r>
          </w:p>
        </w:tc>
        <w:tc>
          <w:tcPr>
            <w:tcW w:w="160" w:type="dxa"/>
            <w:vAlign w:val="bottom"/>
            <w:shd w:val="clear" w:color="auto" w:fill="E5FFFF"/>
          </w:tcPr>
          <w:p>
            <w:pPr>
              <w:spacing w:after="0"/>
              <w:rPr>
                <w:sz w:val="18"/>
                <w:szCs w:val="18"/>
                <w:color w:val="auto"/>
              </w:rPr>
            </w:pP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(15,513)</w:t>
            </w:r>
          </w:p>
        </w:tc>
        <w:tc>
          <w:tcPr>
            <w:tcW w:w="100" w:type="dxa"/>
            <w:vAlign w:val="bottom"/>
            <w:shd w:val="clear" w:color="auto" w:fill="E5FF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Financial income</w:t>
            </w:r>
          </w:p>
        </w:tc>
        <w:tc>
          <w:tcPr>
            <w:tcW w:w="1080" w:type="dxa"/>
            <w:vAlign w:val="bottom"/>
          </w:tcPr>
          <w:p>
            <w:pPr>
              <w:spacing w:after="0"/>
              <w:rPr>
                <w:sz w:val="18"/>
                <w:szCs w:val="18"/>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Loss on derivatives</w:t>
            </w:r>
          </w:p>
        </w:tc>
        <w:tc>
          <w:tcPr>
            <w:tcW w:w="108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ind w:left="1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(14,120)</w:t>
            </w:r>
          </w:p>
        </w:tc>
        <w:tc>
          <w:tcPr>
            <w:tcW w:w="16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(14,120)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080" w:type="dxa"/>
            <w:vAlign w:val="bottom"/>
            <w:tcBorders>
              <w:bottom w:val="single" w:sz="8" w:color="E5FFFF"/>
            </w:tcBorders>
          </w:tcPr>
          <w:p>
            <w:pPr>
              <w:spacing w:after="0"/>
              <w:rPr>
                <w:sz w:val="18"/>
                <w:szCs w:val="18"/>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E5FF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(29,434)</w:t>
            </w:r>
          </w:p>
        </w:tc>
        <w:tc>
          <w:tcPr>
            <w:tcW w:w="160" w:type="dxa"/>
            <w:vAlign w:val="bottom"/>
            <w:tcBorders>
              <w:bottom w:val="single" w:sz="8" w:color="E5FFFF"/>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(29,434)</w:t>
            </w:r>
          </w:p>
        </w:tc>
        <w:tc>
          <w:tcPr>
            <w:tcW w:w="100" w:type="dxa"/>
            <w:vAlign w:val="bottom"/>
            <w:tcBorders>
              <w:bottom w:val="single" w:sz="8" w:color="E5FFFF"/>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for the period</w:t>
            </w:r>
          </w:p>
        </w:tc>
        <w:tc>
          <w:tcPr>
            <w:tcW w:w="1080" w:type="dxa"/>
            <w:vAlign w:val="bottom"/>
            <w:tcBorders>
              <w:bottom w:val="single" w:sz="8" w:color="E5FFFF"/>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ind w:left="116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E5FFFF"/>
            </w:tcBorders>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14,169</w:t>
            </w:r>
          </w:p>
        </w:tc>
        <w:tc>
          <w:tcPr>
            <w:tcW w:w="160" w:type="dxa"/>
            <w:vAlign w:val="bottom"/>
            <w:tcBorders>
              <w:bottom w:val="single" w:sz="8" w:color="E5FFFF"/>
            </w:tcBorders>
            <w:shd w:val="clear" w:color="auto" w:fill="E5FFFF"/>
          </w:tcPr>
          <w:p>
            <w:pPr>
              <w:spacing w:after="0"/>
              <w:rPr>
                <w:sz w:val="18"/>
                <w:szCs w:val="18"/>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14,169</w:t>
            </w:r>
          </w:p>
        </w:tc>
        <w:tc>
          <w:tcPr>
            <w:tcW w:w="100" w:type="dxa"/>
            <w:vAlign w:val="bottom"/>
            <w:tcBorders>
              <w:bottom w:val="single" w:sz="8" w:color="E5FFFF"/>
            </w:tcBorders>
            <w:shd w:val="clear" w:color="auto" w:fill="E5FF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EXHIBIT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EBITDA is defined as earnings before financial income and costs, gain/loss on derivatives, taxes, depreciation and amortization. Adjusted EBITDA is defined as EBITDA before impairment loss on vessels. Adjusted Profit represents earnings before (a) non-cash gain/loss on derivatives that includes unrealized gain/loss on derivatives held for trading, (b) write-off and accelerated amortization of unamortized loan fees and (c) impairment loss on vessels. Adjusted EPU, represents earnings attributable to unitholders before (a) non-cash gain/loss on derivatives that includes unrealized gain/loss on derivatives held for trading, (b) write-off and accelerated amortization of unamortized loan fees and (c) impairment loss on vessels.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and, in the case of Adjusted Profit and Adjusted EPU, non-cash gain/loss on derivatives, write-off and accelerated amortization of unamortized loan fees and impairment loss on vessels, which items are affected by various and possibly changing financing methods, financial market conditions, general shipping market conditions, capital structure and historical cost basis and which items may significantly affect results of operations between periods. In the current period, impairment has been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7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pacing w:after="0" w:line="184"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EBITDA, Adjusted EBITDA, Adjusted Profit and Adjusted EPU are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reconciliations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w w:val="95"/>
              </w:rPr>
              <w:t>Reconciliation of Profit to EBITDA and Adjusted EBITDA:</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(Amounts expressed in thousands of U.S. Dollars)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14"/>
        </w:trPr>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8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1"/>
              </w:rPr>
              <w:t>IFRS Common Control Reported Results</w:t>
            </w:r>
          </w:p>
        </w:tc>
        <w:tc>
          <w:tcPr>
            <w:tcW w:w="500" w:type="dxa"/>
            <w:vAlign w:val="bottom"/>
          </w:tcPr>
          <w:p>
            <w:pPr>
              <w:spacing w:after="0"/>
              <w:rPr>
                <w:sz w:val="24"/>
                <w:szCs w:val="24"/>
                <w:color w:val="auto"/>
              </w:rPr>
            </w:pPr>
          </w:p>
        </w:tc>
      </w:tr>
      <w:tr>
        <w:trPr>
          <w:trHeight w:val="216"/>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For the three months ended</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March 31, 2019</w:t>
            </w:r>
          </w:p>
        </w:tc>
        <w:tc>
          <w:tcPr>
            <w:tcW w:w="160" w:type="dxa"/>
            <w:vAlign w:val="bottom"/>
          </w:tcPr>
          <w:p>
            <w:pPr>
              <w:spacing w:after="0"/>
              <w:rPr>
                <w:sz w:val="20"/>
                <w:szCs w:val="20"/>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2019</w:t>
            </w:r>
          </w:p>
        </w:tc>
        <w:tc>
          <w:tcPr>
            <w:tcW w:w="2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 2020</w:t>
            </w:r>
          </w:p>
        </w:tc>
        <w:tc>
          <w:tcPr>
            <w:tcW w:w="500" w:type="dxa"/>
            <w:vAlign w:val="bottom"/>
          </w:tcPr>
          <w:p>
            <w:pPr>
              <w:spacing w:after="0"/>
              <w:rPr>
                <w:sz w:val="20"/>
                <w:szCs w:val="20"/>
                <w:color w:val="auto"/>
              </w:rPr>
            </w:pPr>
          </w:p>
        </w:tc>
      </w:tr>
      <w:tr>
        <w:trPr>
          <w:trHeight w:val="209"/>
        </w:trPr>
        <w:tc>
          <w:tcPr>
            <w:tcW w:w="4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Profit/(loss) for the period</w:t>
            </w:r>
          </w:p>
        </w:tc>
        <w:tc>
          <w:tcPr>
            <w:tcW w:w="260" w:type="dxa"/>
            <w:vAlign w:val="bottom"/>
            <w:tcBorders>
              <w:top w:val="single" w:sz="8" w:color="auto"/>
            </w:tcBorders>
            <w:shd w:val="clear" w:color="auto" w:fill="E5FFFF"/>
          </w:tcPr>
          <w:p>
            <w:pPr>
              <w:spacing w:after="0"/>
              <w:rPr>
                <w:sz w:val="18"/>
                <w:szCs w:val="18"/>
                <w:color w:val="auto"/>
              </w:rPr>
            </w:pPr>
          </w:p>
        </w:tc>
        <w:tc>
          <w:tcPr>
            <w:tcW w:w="1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23,016</w:t>
            </w:r>
          </w:p>
        </w:tc>
        <w:tc>
          <w:tcPr>
            <w:tcW w:w="10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1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(106,362)</w:t>
            </w:r>
          </w:p>
        </w:tc>
        <w:tc>
          <w:tcPr>
            <w:tcW w:w="260" w:type="dxa"/>
            <w:vAlign w:val="bottom"/>
            <w:tcBorders>
              <w:top w:val="single" w:sz="8" w:color="E5FFFF"/>
            </w:tcBorders>
            <w:shd w:val="clear" w:color="auto" w:fill="E5FFFF"/>
          </w:tcPr>
          <w:p>
            <w:pPr>
              <w:spacing w:after="0"/>
              <w:rPr>
                <w:sz w:val="18"/>
                <w:szCs w:val="18"/>
                <w:color w:val="auto"/>
              </w:rPr>
            </w:pPr>
          </w:p>
        </w:tc>
        <w:tc>
          <w:tcPr>
            <w:tcW w:w="1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14,169</w:t>
            </w:r>
          </w:p>
        </w:tc>
        <w:tc>
          <w:tcPr>
            <w:tcW w:w="100" w:type="dxa"/>
            <w:vAlign w:val="bottom"/>
            <w:tcBorders>
              <w:top w:val="single" w:sz="8" w:color="E5FFFF"/>
            </w:tcBorders>
            <w:shd w:val="clear" w:color="auto" w:fill="E5FF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21,870</w:t>
            </w:r>
          </w:p>
        </w:tc>
        <w:tc>
          <w:tcPr>
            <w:tcW w:w="2320" w:type="dxa"/>
            <w:vAlign w:val="bottom"/>
            <w:gridSpan w:val="3"/>
          </w:tcPr>
          <w:p>
            <w:pPr>
              <w:jc w:val="right"/>
              <w:ind w:right="260"/>
              <w:spacing w:after="0"/>
              <w:rPr>
                <w:sz w:val="20"/>
                <w:szCs w:val="20"/>
                <w:color w:val="auto"/>
              </w:rPr>
            </w:pPr>
            <w:r>
              <w:rPr>
                <w:rFonts w:ascii="Arial" w:cs="Arial" w:eastAsia="Arial" w:hAnsi="Arial"/>
                <w:sz w:val="18"/>
                <w:szCs w:val="18"/>
                <w:color w:val="auto"/>
              </w:rPr>
              <w:t>22,483</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20,598</w:t>
            </w:r>
          </w:p>
        </w:tc>
        <w:tc>
          <w:tcPr>
            <w:tcW w:w="500" w:type="dxa"/>
            <w:vAlign w:val="bottom"/>
          </w:tcPr>
          <w:p>
            <w:pPr>
              <w:spacing w:after="0"/>
              <w:rPr>
                <w:sz w:val="18"/>
                <w:szCs w:val="18"/>
                <w:color w:val="auto"/>
              </w:rPr>
            </w:pPr>
          </w:p>
        </w:tc>
      </w:tr>
      <w:tr>
        <w:trPr>
          <w:trHeight w:val="216"/>
        </w:trPr>
        <w:tc>
          <w:tcPr>
            <w:tcW w:w="47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19,632</w:t>
            </w:r>
          </w:p>
        </w:tc>
        <w:tc>
          <w:tcPr>
            <w:tcW w:w="2320" w:type="dxa"/>
            <w:vAlign w:val="bottom"/>
            <w:gridSpan w:val="3"/>
            <w:shd w:val="clear" w:color="auto" w:fill="E5FFFF"/>
          </w:tcPr>
          <w:p>
            <w:pPr>
              <w:jc w:val="right"/>
              <w:ind w:right="260"/>
              <w:spacing w:after="0"/>
              <w:rPr>
                <w:sz w:val="20"/>
                <w:szCs w:val="20"/>
                <w:color w:val="auto"/>
              </w:rPr>
            </w:pPr>
            <w:r>
              <w:rPr>
                <w:rFonts w:ascii="Arial" w:cs="Arial" w:eastAsia="Arial" w:hAnsi="Arial"/>
                <w:sz w:val="18"/>
                <w:szCs w:val="18"/>
                <w:color w:val="auto"/>
              </w:rPr>
              <w:t>16,348</w:t>
            </w:r>
          </w:p>
        </w:tc>
        <w:tc>
          <w:tcPr>
            <w:tcW w:w="20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15,513</w:t>
            </w:r>
          </w:p>
        </w:tc>
        <w:tc>
          <w:tcPr>
            <w:tcW w:w="500" w:type="dxa"/>
            <w:vAlign w:val="bottom"/>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2320" w:type="dxa"/>
            <w:vAlign w:val="bottom"/>
            <w:gridSpan w:val="3"/>
          </w:tcPr>
          <w:p>
            <w:pPr>
              <w:jc w:val="right"/>
              <w:ind w:right="200"/>
              <w:spacing w:after="0"/>
              <w:rPr>
                <w:sz w:val="20"/>
                <w:szCs w:val="20"/>
                <w:color w:val="auto"/>
              </w:rPr>
            </w:pPr>
            <w:r>
              <w:rPr>
                <w:rFonts w:ascii="Arial" w:cs="Arial" w:eastAsia="Arial" w:hAnsi="Arial"/>
                <w:sz w:val="18"/>
                <w:szCs w:val="18"/>
                <w:color w:val="auto"/>
              </w:rPr>
              <w:t>(329)</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500" w:type="dxa"/>
            <w:vAlign w:val="bottom"/>
          </w:tcPr>
          <w:p>
            <w:pPr>
              <w:spacing w:after="0"/>
              <w:rPr>
                <w:sz w:val="18"/>
                <w:szCs w:val="18"/>
                <w:color w:val="auto"/>
              </w:rPr>
            </w:pPr>
          </w:p>
        </w:tc>
      </w:tr>
      <w:tr>
        <w:trPr>
          <w:trHeight w:val="216"/>
        </w:trPr>
        <w:tc>
          <w:tcPr>
            <w:tcW w:w="47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Loss/(gain) on derivatives</w:t>
            </w:r>
          </w:p>
        </w:tc>
        <w:tc>
          <w:tcPr>
            <w:tcW w:w="17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4,877</w:t>
            </w:r>
          </w:p>
        </w:tc>
        <w:tc>
          <w:tcPr>
            <w:tcW w:w="2320" w:type="dxa"/>
            <w:vAlign w:val="bottom"/>
            <w:gridSpan w:val="3"/>
            <w:shd w:val="clear" w:color="auto" w:fill="E5FFFF"/>
          </w:tcPr>
          <w:p>
            <w:pPr>
              <w:jc w:val="right"/>
              <w:ind w:right="200"/>
              <w:spacing w:after="0"/>
              <w:rPr>
                <w:sz w:val="20"/>
                <w:szCs w:val="20"/>
                <w:color w:val="auto"/>
              </w:rPr>
            </w:pPr>
            <w:r>
              <w:rPr>
                <w:rFonts w:ascii="Arial" w:cs="Arial" w:eastAsia="Arial" w:hAnsi="Arial"/>
                <w:sz w:val="18"/>
                <w:szCs w:val="18"/>
                <w:color w:val="auto"/>
              </w:rPr>
              <w:t>(2,733)</w:t>
            </w:r>
          </w:p>
        </w:tc>
        <w:tc>
          <w:tcPr>
            <w:tcW w:w="20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14,120</w:t>
            </w:r>
          </w:p>
        </w:tc>
        <w:tc>
          <w:tcPr>
            <w:tcW w:w="500" w:type="dxa"/>
            <w:vAlign w:val="bottom"/>
          </w:tcPr>
          <w:p>
            <w:pPr>
              <w:spacing w:after="0"/>
              <w:rPr>
                <w:sz w:val="18"/>
                <w:szCs w:val="18"/>
                <w:color w:val="auto"/>
              </w:rPr>
            </w:pPr>
          </w:p>
        </w:tc>
      </w:tr>
      <w:tr>
        <w:trPr>
          <w:trHeight w:val="209"/>
        </w:trPr>
        <w:tc>
          <w:tcPr>
            <w:tcW w:w="44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EBITDA</w:t>
            </w: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68,757</w:t>
            </w:r>
          </w:p>
        </w:tc>
        <w:tc>
          <w:tcPr>
            <w:tcW w:w="100" w:type="dxa"/>
            <w:vAlign w:val="bottom"/>
            <w:tcBorders>
              <w:bottom w:val="single" w:sz="8" w:color="E5FFFF"/>
            </w:tcBorders>
          </w:tcPr>
          <w:p>
            <w:pPr>
              <w:spacing w:after="0"/>
              <w:rPr>
                <w:sz w:val="18"/>
                <w:szCs w:val="18"/>
                <w:color w:val="auto"/>
              </w:rPr>
            </w:pPr>
          </w:p>
        </w:tc>
        <w:tc>
          <w:tcPr>
            <w:tcW w:w="160" w:type="dxa"/>
            <w:vAlign w:val="bottom"/>
            <w:tcBorders>
              <w:bottom w:val="single" w:sz="8" w:color="E5FFFF"/>
            </w:tcBorders>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(70,593)</w:t>
            </w:r>
          </w:p>
        </w:tc>
        <w:tc>
          <w:tcPr>
            <w:tcW w:w="260" w:type="dxa"/>
            <w:vAlign w:val="bottom"/>
            <w:tcBorders>
              <w:bottom w:val="single" w:sz="8" w:color="E5FFFF"/>
            </w:tcBorders>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64,201</w:t>
            </w:r>
          </w:p>
        </w:tc>
        <w:tc>
          <w:tcPr>
            <w:tcW w:w="100" w:type="dxa"/>
            <w:vAlign w:val="bottom"/>
            <w:tcBorders>
              <w:bottom w:val="single" w:sz="8" w:color="E5FFFF"/>
            </w:tcBorders>
          </w:tcPr>
          <w:p>
            <w:pPr>
              <w:spacing w:after="0"/>
              <w:rPr>
                <w:sz w:val="18"/>
                <w:szCs w:val="18"/>
                <w:color w:val="auto"/>
              </w:rPr>
            </w:pPr>
          </w:p>
        </w:tc>
        <w:tc>
          <w:tcPr>
            <w:tcW w:w="500" w:type="dxa"/>
            <w:vAlign w:val="bottom"/>
          </w:tcPr>
          <w:p>
            <w:pPr>
              <w:spacing w:after="0"/>
              <w:rPr>
                <w:sz w:val="18"/>
                <w:szCs w:val="18"/>
                <w:color w:val="auto"/>
              </w:rPr>
            </w:pPr>
          </w:p>
        </w:tc>
      </w:tr>
      <w:tr>
        <w:trPr>
          <w:trHeight w:val="210"/>
        </w:trPr>
        <w:tc>
          <w:tcPr>
            <w:tcW w:w="4440" w:type="dxa"/>
            <w:vAlign w:val="bottom"/>
            <w:shd w:val="clear" w:color="auto" w:fill="E5FFFF"/>
          </w:tcPr>
          <w:p>
            <w:pPr>
              <w:spacing w:after="0"/>
              <w:rPr>
                <w:sz w:val="20"/>
                <w:szCs w:val="20"/>
                <w:color w:val="auto"/>
              </w:rPr>
            </w:pPr>
            <w:r>
              <w:rPr>
                <w:rFonts w:ascii="Arial" w:cs="Arial" w:eastAsia="Arial" w:hAnsi="Arial"/>
                <w:sz w:val="18"/>
                <w:szCs w:val="18"/>
                <w:color w:val="auto"/>
              </w:rPr>
              <w:t>Impairment loss on vessels</w:t>
            </w:r>
          </w:p>
        </w:tc>
        <w:tc>
          <w:tcPr>
            <w:tcW w:w="260" w:type="dxa"/>
            <w:vAlign w:val="bottom"/>
            <w:tcBorders>
              <w:bottom w:val="single" w:sz="8" w:color="auto"/>
            </w:tcBorders>
            <w:shd w:val="clear" w:color="auto" w:fill="E5FFFF"/>
          </w:tcPr>
          <w:p>
            <w:pPr>
              <w:spacing w:after="0"/>
              <w:rPr>
                <w:sz w:val="18"/>
                <w:szCs w:val="18"/>
                <w:color w:val="auto"/>
              </w:rPr>
            </w:pPr>
          </w:p>
        </w:tc>
        <w:tc>
          <w:tcPr>
            <w:tcW w:w="1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138,848</w:t>
            </w:r>
          </w:p>
        </w:tc>
        <w:tc>
          <w:tcPr>
            <w:tcW w:w="260" w:type="dxa"/>
            <w:vAlign w:val="bottom"/>
            <w:shd w:val="clear" w:color="auto" w:fill="E5FFFF"/>
          </w:tcPr>
          <w:p>
            <w:pPr>
              <w:spacing w:after="0"/>
              <w:rPr>
                <w:sz w:val="18"/>
                <w:szCs w:val="18"/>
                <w:color w:val="auto"/>
              </w:rPr>
            </w:pPr>
          </w:p>
        </w:tc>
        <w:tc>
          <w:tcPr>
            <w:tcW w:w="1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8"/>
                <w:szCs w:val="18"/>
                <w:color w:val="auto"/>
              </w:rPr>
            </w:pPr>
          </w:p>
        </w:tc>
        <w:tc>
          <w:tcPr>
            <w:tcW w:w="500" w:type="dxa"/>
            <w:vAlign w:val="bottom"/>
          </w:tcPr>
          <w:p>
            <w:pPr>
              <w:spacing w:after="0"/>
              <w:rPr>
                <w:sz w:val="18"/>
                <w:szCs w:val="18"/>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68,255</w:t>
            </w:r>
          </w:p>
        </w:tc>
        <w:tc>
          <w:tcPr>
            <w:tcW w:w="26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64,201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32"/>
        </w:trPr>
        <w:tc>
          <w:tcPr>
            <w:tcW w:w="44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0"/>
              </w:rPr>
              <w:t>Partnership Performance Results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9"/>
              </w:rPr>
              <w:t>For the three months ended</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98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22"/>
                <w:szCs w:val="22"/>
                <w:color w:val="auto"/>
              </w:rPr>
            </w:pPr>
          </w:p>
        </w:tc>
        <w:tc>
          <w:tcPr>
            <w:tcW w:w="24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0"/>
              </w:rPr>
              <w:t>December 31, 2019</w:t>
            </w:r>
          </w:p>
        </w:tc>
        <w:tc>
          <w:tcPr>
            <w:tcW w:w="15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199"/>
        </w:trPr>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Profit/(loss) for the period</w:t>
            </w: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20,366</w:t>
            </w:r>
          </w:p>
        </w:tc>
        <w:tc>
          <w:tcPr>
            <w:tcW w:w="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3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14,169</w:t>
            </w:r>
          </w:p>
        </w:tc>
        <w:tc>
          <w:tcPr>
            <w:tcW w:w="14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Depreciation</w:t>
            </w:r>
          </w:p>
        </w:tc>
        <w:tc>
          <w:tcPr>
            <w:tcW w:w="1580" w:type="dxa"/>
            <w:vAlign w:val="bottom"/>
          </w:tcPr>
          <w:p>
            <w:pPr>
              <w:jc w:val="right"/>
              <w:spacing w:after="0"/>
              <w:rPr>
                <w:sz w:val="20"/>
                <w:szCs w:val="20"/>
                <w:color w:val="auto"/>
              </w:rPr>
            </w:pPr>
            <w:r>
              <w:rPr>
                <w:rFonts w:ascii="Arial" w:cs="Arial" w:eastAsia="Arial" w:hAnsi="Arial"/>
                <w:sz w:val="16"/>
                <w:szCs w:val="16"/>
                <w:color w:val="auto"/>
              </w:rPr>
              <w:t>20,380</w:t>
            </w:r>
          </w:p>
        </w:tc>
        <w:tc>
          <w:tcPr>
            <w:tcW w:w="80" w:type="dxa"/>
            <w:vAlign w:val="bottom"/>
          </w:tcPr>
          <w:p>
            <w:pPr>
              <w:spacing w:after="0"/>
              <w:rPr>
                <w:sz w:val="17"/>
                <w:szCs w:val="17"/>
                <w:color w:val="auto"/>
              </w:rPr>
            </w:pPr>
          </w:p>
        </w:tc>
        <w:tc>
          <w:tcPr>
            <w:tcW w:w="2420" w:type="dxa"/>
            <w:vAlign w:val="bottom"/>
            <w:gridSpan w:val="3"/>
          </w:tcPr>
          <w:p>
            <w:pPr>
              <w:jc w:val="right"/>
              <w:ind w:right="340"/>
              <w:spacing w:after="0"/>
              <w:rPr>
                <w:sz w:val="20"/>
                <w:szCs w:val="20"/>
                <w:color w:val="auto"/>
              </w:rPr>
            </w:pPr>
            <w:r>
              <w:rPr>
                <w:rFonts w:ascii="Arial" w:cs="Arial" w:eastAsia="Arial" w:hAnsi="Arial"/>
                <w:sz w:val="16"/>
                <w:szCs w:val="16"/>
                <w:color w:val="auto"/>
              </w:rPr>
              <w:t>22,483</w:t>
            </w:r>
          </w:p>
        </w:tc>
        <w:tc>
          <w:tcPr>
            <w:tcW w:w="22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20,598</w:t>
            </w: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17,902</w:t>
            </w:r>
          </w:p>
        </w:tc>
        <w:tc>
          <w:tcPr>
            <w:tcW w:w="80" w:type="dxa"/>
            <w:vAlign w:val="bottom"/>
            <w:shd w:val="clear" w:color="auto" w:fill="E5FFFF"/>
          </w:tcPr>
          <w:p>
            <w:pPr>
              <w:spacing w:after="0"/>
              <w:rPr>
                <w:sz w:val="17"/>
                <w:szCs w:val="17"/>
                <w:color w:val="auto"/>
              </w:rPr>
            </w:pPr>
          </w:p>
        </w:tc>
        <w:tc>
          <w:tcPr>
            <w:tcW w:w="2420" w:type="dxa"/>
            <w:vAlign w:val="bottom"/>
            <w:gridSpan w:val="3"/>
            <w:shd w:val="clear" w:color="auto" w:fill="E5FFFF"/>
          </w:tcPr>
          <w:p>
            <w:pPr>
              <w:jc w:val="right"/>
              <w:ind w:right="340"/>
              <w:spacing w:after="0"/>
              <w:rPr>
                <w:sz w:val="20"/>
                <w:szCs w:val="20"/>
                <w:color w:val="auto"/>
              </w:rPr>
            </w:pPr>
            <w:r>
              <w:rPr>
                <w:rFonts w:ascii="Arial" w:cs="Arial" w:eastAsia="Arial" w:hAnsi="Arial"/>
                <w:sz w:val="16"/>
                <w:szCs w:val="16"/>
                <w:color w:val="auto"/>
              </w:rPr>
              <w:t>16,348</w:t>
            </w:r>
          </w:p>
        </w:tc>
        <w:tc>
          <w:tcPr>
            <w:tcW w:w="22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15,513</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Financial income</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(624)</w:t>
            </w:r>
          </w:p>
        </w:tc>
        <w:tc>
          <w:tcPr>
            <w:tcW w:w="2420" w:type="dxa"/>
            <w:vAlign w:val="bottom"/>
            <w:gridSpan w:val="3"/>
          </w:tcPr>
          <w:p>
            <w:pPr>
              <w:jc w:val="right"/>
              <w:ind w:right="280"/>
              <w:spacing w:after="0"/>
              <w:rPr>
                <w:sz w:val="20"/>
                <w:szCs w:val="20"/>
                <w:color w:val="auto"/>
              </w:rPr>
            </w:pPr>
            <w:r>
              <w:rPr>
                <w:rFonts w:ascii="Arial" w:cs="Arial" w:eastAsia="Arial" w:hAnsi="Arial"/>
                <w:sz w:val="16"/>
                <w:szCs w:val="16"/>
                <w:color w:val="auto"/>
              </w:rPr>
              <w:t>(329)</w:t>
            </w:r>
          </w:p>
        </w:tc>
        <w:tc>
          <w:tcPr>
            <w:tcW w:w="22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4,877</w:t>
            </w:r>
          </w:p>
        </w:tc>
        <w:tc>
          <w:tcPr>
            <w:tcW w:w="80" w:type="dxa"/>
            <w:vAlign w:val="bottom"/>
            <w:shd w:val="clear" w:color="auto" w:fill="E5FFFF"/>
          </w:tcPr>
          <w:p>
            <w:pPr>
              <w:spacing w:after="0"/>
              <w:rPr>
                <w:sz w:val="17"/>
                <w:szCs w:val="17"/>
                <w:color w:val="auto"/>
              </w:rPr>
            </w:pPr>
          </w:p>
        </w:tc>
        <w:tc>
          <w:tcPr>
            <w:tcW w:w="24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(2,733)</w:t>
            </w:r>
          </w:p>
        </w:tc>
        <w:tc>
          <w:tcPr>
            <w:tcW w:w="22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14,120</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62,901</w:t>
            </w:r>
          </w:p>
        </w:tc>
        <w:tc>
          <w:tcPr>
            <w:tcW w:w="8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(70,593)</w:t>
            </w:r>
          </w:p>
        </w:tc>
        <w:tc>
          <w:tcPr>
            <w:tcW w:w="340" w:type="dxa"/>
            <w:vAlign w:val="bottom"/>
            <w:tcBorders>
              <w:bottom w:val="single" w:sz="8" w:color="E5FF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64,201</w:t>
            </w:r>
          </w:p>
        </w:tc>
        <w:tc>
          <w:tcPr>
            <w:tcW w:w="14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138,848</w:t>
            </w:r>
          </w:p>
        </w:tc>
        <w:tc>
          <w:tcPr>
            <w:tcW w:w="3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68,255</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8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80" w:type="dxa"/>
            <w:vAlign w:val="bottom"/>
          </w:tcPr>
          <w:p>
            <w:pPr>
              <w:spacing w:after="0"/>
              <w:rPr>
                <w:sz w:val="24"/>
                <w:szCs w:val="24"/>
                <w:color w:val="auto"/>
              </w:rPr>
            </w:pPr>
          </w:p>
        </w:tc>
        <w:tc>
          <w:tcPr>
            <w:tcW w:w="4300" w:type="dxa"/>
            <w:vAlign w:val="bottom"/>
            <w:gridSpan w:val="6"/>
          </w:tcPr>
          <w:p>
            <w:pPr>
              <w:jc w:val="center"/>
              <w:ind w:left="1279"/>
              <w:spacing w:after="0"/>
              <w:rPr>
                <w:sz w:val="20"/>
                <w:szCs w:val="20"/>
                <w:color w:val="auto"/>
              </w:rPr>
            </w:pPr>
            <w:r>
              <w:rPr>
                <w:rFonts w:ascii="Arial" w:cs="Arial" w:eastAsia="Arial" w:hAnsi="Arial"/>
                <w:sz w:val="16"/>
                <w:szCs w:val="16"/>
                <w:b w:val="1"/>
                <w:bCs w:val="1"/>
                <w:color w:val="auto"/>
                <w:w w:val="92"/>
              </w:rPr>
              <w:t>IFRS Common Control Reported Results</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9"/>
              </w:rPr>
              <w:t>For the three months ended</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98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22"/>
                <w:szCs w:val="22"/>
                <w:color w:val="auto"/>
              </w:rPr>
            </w:pPr>
          </w:p>
        </w:tc>
        <w:tc>
          <w:tcPr>
            <w:tcW w:w="24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0"/>
              </w:rPr>
              <w:t>December 31, 2019</w:t>
            </w:r>
          </w:p>
        </w:tc>
        <w:tc>
          <w:tcPr>
            <w:tcW w:w="15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199"/>
        </w:trPr>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Profit/(loss) for the period</w:t>
            </w: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23,016</w:t>
            </w:r>
          </w:p>
        </w:tc>
        <w:tc>
          <w:tcPr>
            <w:tcW w:w="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3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14,169</w:t>
            </w:r>
          </w:p>
        </w:tc>
        <w:tc>
          <w:tcPr>
            <w:tcW w:w="14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Non-cash loss/(gain) on derivatives</w:t>
            </w:r>
          </w:p>
        </w:tc>
        <w:tc>
          <w:tcPr>
            <w:tcW w:w="1580" w:type="dxa"/>
            <w:vAlign w:val="bottom"/>
          </w:tcPr>
          <w:p>
            <w:pPr>
              <w:jc w:val="right"/>
              <w:spacing w:after="0"/>
              <w:rPr>
                <w:sz w:val="20"/>
                <w:szCs w:val="20"/>
                <w:color w:val="auto"/>
              </w:rPr>
            </w:pPr>
            <w:r>
              <w:rPr>
                <w:rFonts w:ascii="Arial" w:cs="Arial" w:eastAsia="Arial" w:hAnsi="Arial"/>
                <w:sz w:val="16"/>
                <w:szCs w:val="16"/>
                <w:color w:val="auto"/>
              </w:rPr>
              <w:t>5,607</w:t>
            </w:r>
          </w:p>
        </w:tc>
        <w:tc>
          <w:tcPr>
            <w:tcW w:w="80" w:type="dxa"/>
            <w:vAlign w:val="bottom"/>
          </w:tcPr>
          <w:p>
            <w:pPr>
              <w:spacing w:after="0"/>
              <w:rPr>
                <w:sz w:val="17"/>
                <w:szCs w:val="17"/>
                <w:color w:val="auto"/>
              </w:rPr>
            </w:pPr>
          </w:p>
        </w:tc>
        <w:tc>
          <w:tcPr>
            <w:tcW w:w="2420" w:type="dxa"/>
            <w:vAlign w:val="bottom"/>
            <w:gridSpan w:val="3"/>
          </w:tcPr>
          <w:p>
            <w:pPr>
              <w:jc w:val="right"/>
              <w:ind w:right="280"/>
              <w:spacing w:after="0"/>
              <w:rPr>
                <w:sz w:val="20"/>
                <w:szCs w:val="20"/>
                <w:color w:val="auto"/>
              </w:rPr>
            </w:pPr>
            <w:r>
              <w:rPr>
                <w:rFonts w:ascii="Arial" w:cs="Arial" w:eastAsia="Arial" w:hAnsi="Arial"/>
                <w:sz w:val="16"/>
                <w:szCs w:val="16"/>
                <w:color w:val="auto"/>
              </w:rPr>
              <w:t>(2,840)</w:t>
            </w:r>
          </w:p>
        </w:tc>
        <w:tc>
          <w:tcPr>
            <w:tcW w:w="22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13,652</w:t>
            </w: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988</w:t>
            </w:r>
          </w:p>
        </w:tc>
        <w:tc>
          <w:tcPr>
            <w:tcW w:w="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400" w:type="dxa"/>
            <w:vAlign w:val="bottom"/>
            <w:gridSpan w:val="3"/>
            <w:shd w:val="clear" w:color="auto" w:fill="E5FFFF"/>
          </w:tcPr>
          <w:p>
            <w:pPr>
              <w:jc w:val="right"/>
              <w:ind w:right="5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20" w:type="dxa"/>
            <w:vAlign w:val="bottom"/>
            <w:gridSpan w:val="3"/>
          </w:tcPr>
          <w:p>
            <w:pPr>
              <w:jc w:val="right"/>
              <w:ind w:right="340"/>
              <w:spacing w:after="0"/>
              <w:rPr>
                <w:sz w:val="20"/>
                <w:szCs w:val="20"/>
                <w:color w:val="auto"/>
              </w:rPr>
            </w:pPr>
            <w:r>
              <w:rPr>
                <w:rFonts w:ascii="Arial" w:cs="Arial" w:eastAsia="Arial" w:hAnsi="Arial"/>
                <w:sz w:val="16"/>
                <w:szCs w:val="16"/>
                <w:color w:val="auto"/>
              </w:rPr>
              <w:t>138,848</w:t>
            </w:r>
          </w:p>
        </w:tc>
        <w:tc>
          <w:tcPr>
            <w:tcW w:w="22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9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29,611</w:t>
            </w: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29,646</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27,821</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0"/>
              </w:rPr>
              <w:t>Partnership Performance Results</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9"/>
              </w:rPr>
              <w:t>For the three months ended</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98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22"/>
                <w:szCs w:val="22"/>
                <w:color w:val="auto"/>
              </w:rPr>
            </w:pPr>
          </w:p>
        </w:tc>
        <w:tc>
          <w:tcPr>
            <w:tcW w:w="24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0"/>
              </w:rPr>
              <w:t>December 31, 2019</w:t>
            </w:r>
          </w:p>
        </w:tc>
        <w:tc>
          <w:tcPr>
            <w:tcW w:w="15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199"/>
        </w:trPr>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Profit/(loss) for the period</w:t>
            </w: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20,366</w:t>
            </w:r>
          </w:p>
        </w:tc>
        <w:tc>
          <w:tcPr>
            <w:tcW w:w="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3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14,169</w:t>
            </w:r>
          </w:p>
        </w:tc>
        <w:tc>
          <w:tcPr>
            <w:tcW w:w="14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Non-cash loss/(gain) on derivatives</w:t>
            </w:r>
          </w:p>
        </w:tc>
        <w:tc>
          <w:tcPr>
            <w:tcW w:w="1580" w:type="dxa"/>
            <w:vAlign w:val="bottom"/>
          </w:tcPr>
          <w:p>
            <w:pPr>
              <w:jc w:val="right"/>
              <w:spacing w:after="0"/>
              <w:rPr>
                <w:sz w:val="20"/>
                <w:szCs w:val="20"/>
                <w:color w:val="auto"/>
              </w:rPr>
            </w:pPr>
            <w:r>
              <w:rPr>
                <w:rFonts w:ascii="Arial" w:cs="Arial" w:eastAsia="Arial" w:hAnsi="Arial"/>
                <w:sz w:val="16"/>
                <w:szCs w:val="16"/>
                <w:color w:val="auto"/>
              </w:rPr>
              <w:t>5,607</w:t>
            </w:r>
          </w:p>
        </w:tc>
        <w:tc>
          <w:tcPr>
            <w:tcW w:w="80" w:type="dxa"/>
            <w:vAlign w:val="bottom"/>
          </w:tcPr>
          <w:p>
            <w:pPr>
              <w:spacing w:after="0"/>
              <w:rPr>
                <w:sz w:val="17"/>
                <w:szCs w:val="17"/>
                <w:color w:val="auto"/>
              </w:rPr>
            </w:pPr>
          </w:p>
        </w:tc>
        <w:tc>
          <w:tcPr>
            <w:tcW w:w="2420" w:type="dxa"/>
            <w:vAlign w:val="bottom"/>
            <w:gridSpan w:val="3"/>
          </w:tcPr>
          <w:p>
            <w:pPr>
              <w:jc w:val="right"/>
              <w:ind w:right="280"/>
              <w:spacing w:after="0"/>
              <w:rPr>
                <w:sz w:val="20"/>
                <w:szCs w:val="20"/>
                <w:color w:val="auto"/>
              </w:rPr>
            </w:pPr>
            <w:r>
              <w:rPr>
                <w:rFonts w:ascii="Arial" w:cs="Arial" w:eastAsia="Arial" w:hAnsi="Arial"/>
                <w:sz w:val="16"/>
                <w:szCs w:val="16"/>
                <w:color w:val="auto"/>
              </w:rPr>
              <w:t>(2,840)</w:t>
            </w:r>
          </w:p>
        </w:tc>
        <w:tc>
          <w:tcPr>
            <w:tcW w:w="22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13,652</w:t>
            </w: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988</w:t>
            </w:r>
          </w:p>
        </w:tc>
        <w:tc>
          <w:tcPr>
            <w:tcW w:w="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400" w:type="dxa"/>
            <w:vAlign w:val="bottom"/>
            <w:gridSpan w:val="3"/>
            <w:shd w:val="clear" w:color="auto" w:fill="E5FFFF"/>
          </w:tcPr>
          <w:p>
            <w:pPr>
              <w:jc w:val="right"/>
              <w:ind w:right="5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20" w:type="dxa"/>
            <w:vAlign w:val="bottom"/>
            <w:gridSpan w:val="3"/>
          </w:tcPr>
          <w:p>
            <w:pPr>
              <w:jc w:val="right"/>
              <w:ind w:right="340"/>
              <w:spacing w:after="0"/>
              <w:rPr>
                <w:sz w:val="20"/>
                <w:szCs w:val="20"/>
                <w:color w:val="auto"/>
              </w:rPr>
            </w:pPr>
            <w:r>
              <w:rPr>
                <w:rFonts w:ascii="Arial" w:cs="Arial" w:eastAsia="Arial" w:hAnsi="Arial"/>
                <w:sz w:val="16"/>
                <w:szCs w:val="16"/>
                <w:color w:val="auto"/>
              </w:rPr>
              <w:t>138,848</w:t>
            </w:r>
          </w:p>
        </w:tc>
        <w:tc>
          <w:tcPr>
            <w:tcW w:w="22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9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26,961</w:t>
            </w: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29,646</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27,821</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Profit to EPU and Adjusted EPU:</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8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9"/>
              </w:rPr>
              <w:t>For the three months ended</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980" w:type="dxa"/>
            <w:vAlign w:val="bottom"/>
          </w:tcPr>
          <w:p>
            <w:pPr>
              <w:spacing w:after="0"/>
              <w:rPr>
                <w:sz w:val="22"/>
                <w:szCs w:val="22"/>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22"/>
                <w:szCs w:val="22"/>
                <w:color w:val="auto"/>
              </w:rPr>
            </w:pPr>
          </w:p>
        </w:tc>
        <w:tc>
          <w:tcPr>
            <w:tcW w:w="24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0"/>
              </w:rPr>
              <w:t>December 31, 2019</w:t>
            </w:r>
          </w:p>
        </w:tc>
        <w:tc>
          <w:tcPr>
            <w:tcW w:w="15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199"/>
        </w:trPr>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Profit/(loss) for the period</w:t>
            </w: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23,016</w:t>
            </w:r>
          </w:p>
        </w:tc>
        <w:tc>
          <w:tcPr>
            <w:tcW w:w="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3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14,169</w:t>
            </w:r>
          </w:p>
        </w:tc>
        <w:tc>
          <w:tcPr>
            <w:tcW w:w="14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Less: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6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(2,650)</w:t>
            </w:r>
          </w:p>
        </w:tc>
        <w:tc>
          <w:tcPr>
            <w:tcW w:w="240" w:type="dxa"/>
            <w:vAlign w:val="bottom"/>
            <w:shd w:val="clear" w:color="auto" w:fill="E5FFFF"/>
          </w:tcPr>
          <w:p>
            <w:pPr>
              <w:spacing w:after="0"/>
              <w:rPr>
                <w:sz w:val="17"/>
                <w:szCs w:val="17"/>
                <w:color w:val="auto"/>
              </w:rPr>
            </w:pPr>
          </w:p>
        </w:tc>
        <w:tc>
          <w:tcPr>
            <w:tcW w:w="2400" w:type="dxa"/>
            <w:vAlign w:val="bottom"/>
            <w:gridSpan w:val="3"/>
            <w:shd w:val="clear" w:color="auto" w:fill="E5FFFF"/>
          </w:tcPr>
          <w:p>
            <w:pPr>
              <w:jc w:val="right"/>
              <w:ind w:right="5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6"/>
                <w:szCs w:val="16"/>
                <w:b w:val="1"/>
                <w:bCs w:val="1"/>
                <w:color w:val="auto"/>
              </w:rPr>
              <w:t>Profit/(loss) attributable to Partnership’s operations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(106,362)</w:t>
            </w: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14,169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Adjustment for:</w:t>
            </w:r>
          </w:p>
        </w:tc>
        <w:tc>
          <w:tcPr>
            <w:tcW w:w="15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Paid and accrued preference unit distributions</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(7,582)</w:t>
            </w:r>
          </w:p>
        </w:tc>
        <w:tc>
          <w:tcPr>
            <w:tcW w:w="2420" w:type="dxa"/>
            <w:vAlign w:val="bottom"/>
            <w:gridSpan w:val="3"/>
          </w:tcPr>
          <w:p>
            <w:pPr>
              <w:jc w:val="right"/>
              <w:ind w:right="280"/>
              <w:spacing w:after="0"/>
              <w:rPr>
                <w:sz w:val="20"/>
                <w:szCs w:val="20"/>
                <w:color w:val="auto"/>
              </w:rPr>
            </w:pPr>
            <w:r>
              <w:rPr>
                <w:rFonts w:ascii="Arial" w:cs="Arial" w:eastAsia="Arial" w:hAnsi="Arial"/>
                <w:sz w:val="16"/>
                <w:szCs w:val="16"/>
                <w:color w:val="auto"/>
              </w:rPr>
              <w:t>(7,582)</w:t>
            </w:r>
          </w:p>
        </w:tc>
        <w:tc>
          <w:tcPr>
            <w:tcW w:w="22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(7,582)</w:t>
            </w:r>
          </w:p>
        </w:tc>
        <w:tc>
          <w:tcPr>
            <w:tcW w:w="0" w:type="dxa"/>
            <w:vAlign w:val="bottom"/>
          </w:tcPr>
          <w:p>
            <w:pPr>
              <w:spacing w:after="0"/>
              <w:rPr>
                <w:sz w:val="1"/>
                <w:szCs w:val="1"/>
                <w:color w:val="auto"/>
              </w:rPr>
            </w:pPr>
          </w:p>
        </w:tc>
      </w:tr>
      <w:tr>
        <w:trPr>
          <w:trHeight w:val="196"/>
        </w:trPr>
        <w:tc>
          <w:tcPr>
            <w:tcW w:w="49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profit/(loss) attributable to:</w:t>
            </w: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12,784</w:t>
            </w: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(113,944)</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6,587</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color w:val="auto"/>
              </w:rPr>
              <w:t>Common units</w:t>
            </w: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vMerge w:val="continue"/>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(111,514)</w:t>
            </w:r>
          </w:p>
        </w:tc>
        <w:tc>
          <w:tcPr>
            <w:tcW w:w="3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6,446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255</w:t>
            </w:r>
          </w:p>
        </w:tc>
        <w:tc>
          <w:tcPr>
            <w:tcW w:w="80" w:type="dxa"/>
            <w:vAlign w:val="bottom"/>
            <w:shd w:val="clear" w:color="auto" w:fill="E5FFFF"/>
          </w:tcPr>
          <w:p>
            <w:pPr>
              <w:spacing w:after="0"/>
              <w:rPr>
                <w:sz w:val="17"/>
                <w:szCs w:val="17"/>
                <w:color w:val="auto"/>
              </w:rPr>
            </w:pPr>
          </w:p>
        </w:tc>
        <w:tc>
          <w:tcPr>
            <w:tcW w:w="24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(2,430)</w:t>
            </w:r>
          </w:p>
        </w:tc>
        <w:tc>
          <w:tcPr>
            <w:tcW w:w="22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400" w:type="dxa"/>
            <w:vAlign w:val="bottom"/>
            <w:gridSpan w:val="3"/>
          </w:tcPr>
          <w:p>
            <w:pPr>
              <w:ind w:left="1580"/>
              <w:spacing w:after="0"/>
              <w:rPr>
                <w:sz w:val="20"/>
                <w:szCs w:val="20"/>
                <w:color w:val="auto"/>
              </w:rPr>
            </w:pPr>
            <w:r>
              <w:rPr>
                <w:rFonts w:ascii="Arial" w:cs="Arial" w:eastAsia="Arial" w:hAnsi="Arial"/>
                <w:sz w:val="16"/>
                <w:szCs w:val="16"/>
                <w:color w:val="auto"/>
              </w:rPr>
              <w:t>N/A</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Weighted average units outstanding (basic)</w:t>
            </w:r>
          </w:p>
        </w:tc>
        <w:tc>
          <w:tcPr>
            <w:tcW w:w="15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8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Common units</w:t>
            </w:r>
          </w:p>
        </w:tc>
        <w:tc>
          <w:tcPr>
            <w:tcW w:w="1580" w:type="dxa"/>
            <w:vAlign w:val="bottom"/>
          </w:tcPr>
          <w:p>
            <w:pPr>
              <w:jc w:val="right"/>
              <w:spacing w:after="0"/>
              <w:rPr>
                <w:sz w:val="20"/>
                <w:szCs w:val="20"/>
                <w:color w:val="auto"/>
              </w:rPr>
            </w:pPr>
            <w:r>
              <w:rPr>
                <w:rFonts w:ascii="Arial" w:cs="Arial" w:eastAsia="Arial" w:hAnsi="Arial"/>
                <w:sz w:val="16"/>
                <w:szCs w:val="16"/>
                <w:color w:val="auto"/>
              </w:rPr>
              <w:t>45,448,993</w:t>
            </w:r>
          </w:p>
        </w:tc>
        <w:tc>
          <w:tcPr>
            <w:tcW w:w="80" w:type="dxa"/>
            <w:vAlign w:val="bottom"/>
          </w:tcPr>
          <w:p>
            <w:pPr>
              <w:spacing w:after="0"/>
              <w:rPr>
                <w:sz w:val="17"/>
                <w:szCs w:val="17"/>
                <w:color w:val="auto"/>
              </w:rPr>
            </w:pPr>
          </w:p>
        </w:tc>
        <w:tc>
          <w:tcPr>
            <w:tcW w:w="2420" w:type="dxa"/>
            <w:vAlign w:val="bottom"/>
            <w:gridSpan w:val="3"/>
          </w:tcPr>
          <w:p>
            <w:pPr>
              <w:jc w:val="right"/>
              <w:ind w:right="340"/>
              <w:spacing w:after="0"/>
              <w:rPr>
                <w:sz w:val="20"/>
                <w:szCs w:val="20"/>
                <w:color w:val="auto"/>
              </w:rPr>
            </w:pPr>
            <w:r>
              <w:rPr>
                <w:rFonts w:ascii="Arial" w:cs="Arial" w:eastAsia="Arial" w:hAnsi="Arial"/>
                <w:sz w:val="16"/>
                <w:szCs w:val="16"/>
                <w:color w:val="auto"/>
              </w:rPr>
              <w:t>46,986,958</w:t>
            </w:r>
          </w:p>
        </w:tc>
        <w:tc>
          <w:tcPr>
            <w:tcW w:w="22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46,764,077</w:t>
            </w: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927,532</w:t>
            </w:r>
          </w:p>
        </w:tc>
        <w:tc>
          <w:tcPr>
            <w:tcW w:w="80" w:type="dxa"/>
            <w:vAlign w:val="bottom"/>
            <w:shd w:val="clear" w:color="auto" w:fill="E5FFFF"/>
          </w:tcPr>
          <w:p>
            <w:pPr>
              <w:spacing w:after="0"/>
              <w:rPr>
                <w:sz w:val="17"/>
                <w:szCs w:val="17"/>
                <w:color w:val="auto"/>
              </w:rPr>
            </w:pPr>
          </w:p>
        </w:tc>
        <w:tc>
          <w:tcPr>
            <w:tcW w:w="2420" w:type="dxa"/>
            <w:vAlign w:val="bottom"/>
            <w:gridSpan w:val="3"/>
            <w:shd w:val="clear" w:color="auto" w:fill="E5FFFF"/>
          </w:tcPr>
          <w:p>
            <w:pPr>
              <w:jc w:val="right"/>
              <w:ind w:right="340"/>
              <w:spacing w:after="0"/>
              <w:rPr>
                <w:sz w:val="20"/>
                <w:szCs w:val="20"/>
                <w:color w:val="auto"/>
              </w:rPr>
            </w:pPr>
            <w:r>
              <w:rPr>
                <w:rFonts w:ascii="Arial" w:cs="Arial" w:eastAsia="Arial" w:hAnsi="Arial"/>
                <w:sz w:val="16"/>
                <w:szCs w:val="16"/>
                <w:color w:val="auto"/>
              </w:rPr>
              <w:t>1,021,336</w:t>
            </w:r>
          </w:p>
        </w:tc>
        <w:tc>
          <w:tcPr>
            <w:tcW w:w="22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1,021,336</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b w:val="1"/>
                <w:bCs w:val="1"/>
                <w:color w:val="auto"/>
              </w:rPr>
              <w:t>EPU (basic)</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0.28</w:t>
            </w:r>
          </w:p>
        </w:tc>
        <w:tc>
          <w:tcPr>
            <w:tcW w:w="80" w:type="dxa"/>
            <w:vAlign w:val="bottom"/>
            <w:shd w:val="clear" w:color="auto" w:fill="E5FFFF"/>
          </w:tcPr>
          <w:p>
            <w:pPr>
              <w:spacing w:after="0"/>
              <w:rPr>
                <w:sz w:val="17"/>
                <w:szCs w:val="17"/>
                <w:color w:val="auto"/>
              </w:rPr>
            </w:pPr>
          </w:p>
        </w:tc>
        <w:tc>
          <w:tcPr>
            <w:tcW w:w="24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(2.37)</w:t>
            </w:r>
          </w:p>
        </w:tc>
        <w:tc>
          <w:tcPr>
            <w:tcW w:w="220" w:type="dxa"/>
            <w:vAlign w:val="bottom"/>
            <w:shd w:val="clear" w:color="auto" w:fill="E5FFFF"/>
          </w:tcPr>
          <w:p>
            <w:pPr>
              <w:spacing w:after="0"/>
              <w:rPr>
                <w:sz w:val="17"/>
                <w:szCs w:val="17"/>
                <w:color w:val="auto"/>
              </w:rPr>
            </w:pPr>
          </w:p>
        </w:tc>
        <w:tc>
          <w:tcPr>
            <w:tcW w:w="150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6"/>
        </w:trPr>
        <w:tc>
          <w:tcPr>
            <w:tcW w:w="4980" w:type="dxa"/>
            <w:vAlign w:val="bottom"/>
          </w:tcPr>
          <w:p>
            <w:pPr>
              <w:spacing w:after="0"/>
              <w:rPr>
                <w:sz w:val="20"/>
                <w:szCs w:val="20"/>
                <w:color w:val="auto"/>
              </w:rPr>
            </w:pPr>
            <w:r>
              <w:rPr>
                <w:rFonts w:ascii="Arial" w:cs="Arial" w:eastAsia="Arial" w:hAnsi="Arial"/>
                <w:sz w:val="16"/>
                <w:szCs w:val="16"/>
                <w:color w:val="auto"/>
              </w:rPr>
              <w:t>General partner units</w:t>
            </w:r>
          </w:p>
        </w:tc>
        <w:tc>
          <w:tcPr>
            <w:tcW w:w="1580" w:type="dxa"/>
            <w:vAlign w:val="bottom"/>
          </w:tcPr>
          <w:p>
            <w:pPr>
              <w:jc w:val="right"/>
              <w:spacing w:after="0"/>
              <w:rPr>
                <w:sz w:val="20"/>
                <w:szCs w:val="20"/>
                <w:color w:val="auto"/>
              </w:rPr>
            </w:pPr>
            <w:r>
              <w:rPr>
                <w:rFonts w:ascii="Arial" w:cs="Arial" w:eastAsia="Arial" w:hAnsi="Arial"/>
                <w:sz w:val="16"/>
                <w:szCs w:val="16"/>
                <w:color w:val="auto"/>
              </w:rPr>
              <w:t>0.28</w:t>
            </w:r>
          </w:p>
        </w:tc>
        <w:tc>
          <w:tcPr>
            <w:tcW w:w="80" w:type="dxa"/>
            <w:vAlign w:val="bottom"/>
          </w:tcPr>
          <w:p>
            <w:pPr>
              <w:spacing w:after="0"/>
              <w:rPr>
                <w:sz w:val="17"/>
                <w:szCs w:val="17"/>
                <w:color w:val="auto"/>
              </w:rPr>
            </w:pPr>
          </w:p>
        </w:tc>
        <w:tc>
          <w:tcPr>
            <w:tcW w:w="2420" w:type="dxa"/>
            <w:vAlign w:val="bottom"/>
            <w:gridSpan w:val="3"/>
          </w:tcPr>
          <w:p>
            <w:pPr>
              <w:jc w:val="right"/>
              <w:ind w:right="280"/>
              <w:spacing w:after="0"/>
              <w:rPr>
                <w:sz w:val="20"/>
                <w:szCs w:val="20"/>
                <w:color w:val="auto"/>
              </w:rPr>
            </w:pPr>
            <w:r>
              <w:rPr>
                <w:rFonts w:ascii="Arial" w:cs="Arial" w:eastAsia="Arial" w:hAnsi="Arial"/>
                <w:sz w:val="16"/>
                <w:szCs w:val="16"/>
                <w:color w:val="auto"/>
              </w:rPr>
              <w:t>(2.38)</w:t>
            </w:r>
          </w:p>
        </w:tc>
        <w:tc>
          <w:tcPr>
            <w:tcW w:w="22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80"/>
          </w:cols>
          <w:pgMar w:left="320" w:top="328" w:right="7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4"/>
              </w:rPr>
              <w:t>For the three months ended</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980" w:type="dxa"/>
            <w:vAlign w:val="bottom"/>
          </w:tcPr>
          <w:p>
            <w:pPr>
              <w:spacing w:after="0"/>
              <w:rPr>
                <w:sz w:val="22"/>
                <w:szCs w:val="22"/>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 2019</w:t>
            </w:r>
          </w:p>
        </w:tc>
        <w:tc>
          <w:tcPr>
            <w:tcW w:w="140" w:type="dxa"/>
            <w:vAlign w:val="bottom"/>
          </w:tcPr>
          <w:p>
            <w:pPr>
              <w:spacing w:after="0"/>
              <w:rPr>
                <w:sz w:val="22"/>
                <w:szCs w:val="22"/>
                <w:color w:val="auto"/>
              </w:rPr>
            </w:pPr>
          </w:p>
        </w:tc>
        <w:tc>
          <w:tcPr>
            <w:tcW w:w="218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December 31, 2019</w:t>
            </w:r>
          </w:p>
        </w:tc>
        <w:tc>
          <w:tcPr>
            <w:tcW w:w="17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199"/>
        </w:trPr>
        <w:tc>
          <w:tcPr>
            <w:tcW w:w="4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Profit/(loss) for the period</w:t>
            </w: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23,016</w:t>
            </w:r>
          </w:p>
        </w:tc>
        <w:tc>
          <w:tcPr>
            <w:tcW w:w="18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34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14,169</w:t>
            </w:r>
          </w:p>
        </w:tc>
        <w:tc>
          <w:tcPr>
            <w:tcW w:w="14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Less:</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76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(2,650)</w:t>
            </w:r>
          </w:p>
        </w:tc>
        <w:tc>
          <w:tcPr>
            <w:tcW w:w="140" w:type="dxa"/>
            <w:vAlign w:val="bottom"/>
            <w:shd w:val="clear" w:color="auto" w:fill="E5FFFF"/>
          </w:tcPr>
          <w:p>
            <w:pPr>
              <w:spacing w:after="0"/>
              <w:rPr>
                <w:sz w:val="17"/>
                <w:szCs w:val="17"/>
                <w:color w:val="auto"/>
              </w:rPr>
            </w:pPr>
          </w:p>
        </w:tc>
        <w:tc>
          <w:tcPr>
            <w:tcW w:w="218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6"/>
                <w:szCs w:val="16"/>
                <w:b w:val="1"/>
                <w:bCs w:val="1"/>
                <w:color w:val="auto"/>
              </w:rPr>
              <w:t>Profit/(loss) attributable to Partnership’s operations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(106,362)</w:t>
            </w:r>
          </w:p>
        </w:tc>
        <w:tc>
          <w:tcPr>
            <w:tcW w:w="340" w:type="dxa"/>
            <w:vAlign w:val="bottom"/>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14,169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Adjustment for:</w:t>
            </w:r>
          </w:p>
        </w:tc>
        <w:tc>
          <w:tcPr>
            <w:tcW w:w="15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8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Paid and accrued preference unit distributions</w:t>
            </w:r>
          </w:p>
        </w:tc>
        <w:tc>
          <w:tcPr>
            <w:tcW w:w="1760" w:type="dxa"/>
            <w:vAlign w:val="bottom"/>
            <w:gridSpan w:val="2"/>
          </w:tcPr>
          <w:p>
            <w:pPr>
              <w:jc w:val="right"/>
              <w:ind w:right="140"/>
              <w:spacing w:after="0"/>
              <w:rPr>
                <w:sz w:val="20"/>
                <w:szCs w:val="20"/>
                <w:color w:val="auto"/>
              </w:rPr>
            </w:pPr>
            <w:r>
              <w:rPr>
                <w:rFonts w:ascii="Arial" w:cs="Arial" w:eastAsia="Arial" w:hAnsi="Arial"/>
                <w:sz w:val="16"/>
                <w:szCs w:val="16"/>
                <w:color w:val="auto"/>
              </w:rPr>
              <w:t>(7,582)</w:t>
            </w:r>
          </w:p>
        </w:tc>
        <w:tc>
          <w:tcPr>
            <w:tcW w:w="2320" w:type="dxa"/>
            <w:vAlign w:val="bottom"/>
            <w:gridSpan w:val="3"/>
          </w:tcPr>
          <w:p>
            <w:pPr>
              <w:jc w:val="right"/>
              <w:ind w:right="280"/>
              <w:spacing w:after="0"/>
              <w:rPr>
                <w:sz w:val="20"/>
                <w:szCs w:val="20"/>
                <w:color w:val="auto"/>
              </w:rPr>
            </w:pPr>
            <w:r>
              <w:rPr>
                <w:rFonts w:ascii="Arial" w:cs="Arial" w:eastAsia="Arial" w:hAnsi="Arial"/>
                <w:sz w:val="16"/>
                <w:szCs w:val="16"/>
                <w:color w:val="auto"/>
              </w:rPr>
              <w:t>(7,582)</w:t>
            </w:r>
          </w:p>
        </w:tc>
        <w:tc>
          <w:tcPr>
            <w:tcW w:w="1720" w:type="dxa"/>
            <w:vAlign w:val="bottom"/>
            <w:gridSpan w:val="2"/>
          </w:tcPr>
          <w:p>
            <w:pPr>
              <w:jc w:val="right"/>
              <w:ind w:right="80"/>
              <w:spacing w:after="0"/>
              <w:rPr>
                <w:sz w:val="20"/>
                <w:szCs w:val="20"/>
                <w:color w:val="auto"/>
              </w:rPr>
            </w:pPr>
            <w:r>
              <w:rPr>
                <w:rFonts w:ascii="Arial" w:cs="Arial" w:eastAsia="Arial" w:hAnsi="Arial"/>
                <w:sz w:val="16"/>
                <w:szCs w:val="16"/>
                <w:color w:val="auto"/>
              </w:rPr>
              <w:t>(7,582)</w:t>
            </w:r>
          </w:p>
        </w:tc>
        <w:tc>
          <w:tcPr>
            <w:tcW w:w="0" w:type="dxa"/>
            <w:vAlign w:val="bottom"/>
          </w:tcPr>
          <w:p>
            <w:pPr>
              <w:spacing w:after="0"/>
              <w:rPr>
                <w:sz w:val="1"/>
                <w:szCs w:val="1"/>
                <w:color w:val="auto"/>
              </w:rPr>
            </w:pPr>
          </w:p>
        </w:tc>
      </w:tr>
      <w:tr>
        <w:trPr>
          <w:trHeight w:val="196"/>
        </w:trPr>
        <w:tc>
          <w:tcPr>
            <w:tcW w:w="49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profit/(loss) used in EPU calculation</w:t>
            </w: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12,784</w:t>
            </w: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(113,944)</w:t>
            </w:r>
          </w:p>
        </w:tc>
        <w:tc>
          <w:tcPr>
            <w:tcW w:w="340" w:type="dxa"/>
            <w:vAlign w:val="bottom"/>
            <w:tcBorders>
              <w:top w:val="single" w:sz="8" w:color="E5FFFF"/>
              <w:bottom w:val="single" w:sz="8" w:color="E5FFFF"/>
            </w:tcBorders>
            <w:shd w:val="clear" w:color="auto" w:fill="E5FFFF"/>
          </w:tcPr>
          <w:p>
            <w:pPr>
              <w:spacing w:after="0"/>
              <w:rPr>
                <w:sz w:val="17"/>
                <w:szCs w:val="17"/>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6,587</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color w:val="auto"/>
              </w:rPr>
              <w:t>Non-cash loss/(gain) on derivatives</w:t>
            </w: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vMerge w:val="continue"/>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(2,840)</w:t>
            </w:r>
          </w:p>
        </w:tc>
        <w:tc>
          <w:tcPr>
            <w:tcW w:w="34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13,652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988</w:t>
            </w: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18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b w:val="1"/>
                <w:bCs w:val="1"/>
                <w:color w:val="auto"/>
              </w:rPr>
              <w:t>—</w:t>
            </w:r>
          </w:p>
        </w:tc>
        <w:tc>
          <w:tcPr>
            <w:tcW w:w="17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right"/>
              <w:ind w:right="340"/>
              <w:spacing w:after="0"/>
              <w:rPr>
                <w:sz w:val="20"/>
                <w:szCs w:val="20"/>
                <w:color w:val="auto"/>
              </w:rPr>
            </w:pPr>
            <w:r>
              <w:rPr>
                <w:rFonts w:ascii="Arial" w:cs="Arial" w:eastAsia="Arial" w:hAnsi="Arial"/>
                <w:sz w:val="16"/>
                <w:szCs w:val="16"/>
                <w:color w:val="auto"/>
              </w:rPr>
              <w:t>138,848</w:t>
            </w:r>
          </w:p>
        </w:tc>
        <w:tc>
          <w:tcPr>
            <w:tcW w:w="17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w w:val="99"/>
              </w:rPr>
              <w:t>Adjusted Partnership’s profit used in EPU calculation attributable</w:t>
            </w: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E5FFFF"/>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shd w:val="clear" w:color="auto" w:fill="E5FF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80" w:type="dxa"/>
            <w:vAlign w:val="bottom"/>
            <w:vMerge w:val="continue"/>
            <w:shd w:val="clear" w:color="auto" w:fill="E5FFFF"/>
          </w:tcPr>
          <w:p>
            <w:pPr>
              <w:spacing w:after="0"/>
              <w:rPr>
                <w:sz w:val="14"/>
                <w:szCs w:val="14"/>
                <w:color w:val="auto"/>
              </w:rPr>
            </w:pPr>
          </w:p>
        </w:tc>
        <w:tc>
          <w:tcPr>
            <w:tcW w:w="15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19,379</w:t>
            </w:r>
          </w:p>
        </w:tc>
        <w:tc>
          <w:tcPr>
            <w:tcW w:w="180" w:type="dxa"/>
            <w:vAlign w:val="bottom"/>
            <w:shd w:val="clear" w:color="auto" w:fill="E5FFFF"/>
          </w:tcPr>
          <w:p>
            <w:pPr>
              <w:spacing w:after="0"/>
              <w:rPr>
                <w:sz w:val="14"/>
                <w:szCs w:val="14"/>
                <w:color w:val="auto"/>
              </w:rPr>
            </w:pPr>
          </w:p>
        </w:tc>
        <w:tc>
          <w:tcPr>
            <w:tcW w:w="140" w:type="dxa"/>
            <w:vAlign w:val="bottom"/>
            <w:vMerge w:val="restart"/>
            <w:shd w:val="clear" w:color="auto" w:fill="E5FFFF"/>
          </w:tcPr>
          <w:p>
            <w:pPr>
              <w:spacing w:after="0"/>
              <w:rPr>
                <w:sz w:val="14"/>
                <w:szCs w:val="14"/>
                <w:color w:val="auto"/>
              </w:rPr>
            </w:pPr>
          </w:p>
        </w:tc>
        <w:tc>
          <w:tcPr>
            <w:tcW w:w="2180" w:type="dxa"/>
            <w:vAlign w:val="bottom"/>
            <w:gridSpan w:val="2"/>
            <w:vMerge w:val="restart"/>
            <w:shd w:val="clear" w:color="auto" w:fill="E5FFFF"/>
          </w:tcPr>
          <w:p>
            <w:pPr>
              <w:jc w:val="right"/>
              <w:ind w:right="340"/>
              <w:spacing w:after="0"/>
              <w:rPr>
                <w:sz w:val="20"/>
                <w:szCs w:val="20"/>
                <w:color w:val="auto"/>
              </w:rPr>
            </w:pPr>
            <w:r>
              <w:rPr>
                <w:rFonts w:ascii="Arial" w:cs="Arial" w:eastAsia="Arial" w:hAnsi="Arial"/>
                <w:sz w:val="16"/>
                <w:szCs w:val="16"/>
                <w:b w:val="1"/>
                <w:bCs w:val="1"/>
                <w:color w:val="auto"/>
              </w:rPr>
              <w:t>22,064</w:t>
            </w:r>
          </w:p>
        </w:tc>
        <w:tc>
          <w:tcPr>
            <w:tcW w:w="1720" w:type="dxa"/>
            <w:vAlign w:val="bottom"/>
            <w:gridSpan w:val="2"/>
            <w:vMerge w:val="restart"/>
            <w:shd w:val="clear" w:color="auto" w:fill="E5FFFF"/>
          </w:tcPr>
          <w:p>
            <w:pPr>
              <w:jc w:val="right"/>
              <w:ind w:right="140"/>
              <w:spacing w:after="0"/>
              <w:rPr>
                <w:sz w:val="20"/>
                <w:szCs w:val="20"/>
                <w:color w:val="auto"/>
              </w:rPr>
            </w:pPr>
            <w:r>
              <w:rPr>
                <w:rFonts w:ascii="Arial" w:cs="Arial" w:eastAsia="Arial" w:hAnsi="Arial"/>
                <w:sz w:val="16"/>
                <w:szCs w:val="16"/>
                <w:b w:val="1"/>
                <w:bCs w:val="1"/>
                <w:color w:val="auto"/>
              </w:rPr>
              <w:t>20,239</w:t>
            </w: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to:</w:t>
            </w:r>
          </w:p>
        </w:tc>
        <w:tc>
          <w:tcPr>
            <w:tcW w:w="1580" w:type="dxa"/>
            <w:vAlign w:val="bottom"/>
            <w:vMerge w:val="continue"/>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vMerge w:val="continue"/>
            <w:shd w:val="clear" w:color="auto" w:fill="E5FFFF"/>
          </w:tcPr>
          <w:p>
            <w:pPr>
              <w:spacing w:after="0"/>
              <w:rPr>
                <w:sz w:val="17"/>
                <w:szCs w:val="17"/>
                <w:color w:val="auto"/>
              </w:rPr>
            </w:pPr>
          </w:p>
        </w:tc>
        <w:tc>
          <w:tcPr>
            <w:tcW w:w="2180" w:type="dxa"/>
            <w:vAlign w:val="bottom"/>
            <w:gridSpan w:val="2"/>
            <w:vMerge w:val="continue"/>
            <w:shd w:val="clear" w:color="auto" w:fill="E5FFFF"/>
          </w:tcPr>
          <w:p>
            <w:pPr>
              <w:spacing w:after="0"/>
              <w:rPr>
                <w:sz w:val="17"/>
                <w:szCs w:val="17"/>
                <w:color w:val="auto"/>
              </w:rPr>
            </w:pPr>
          </w:p>
        </w:tc>
        <w:tc>
          <w:tcPr>
            <w:tcW w:w="1720" w:type="dxa"/>
            <w:vAlign w:val="bottom"/>
            <w:gridSpan w:val="2"/>
            <w:vMerge w:val="continue"/>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6"/>
                <w:szCs w:val="16"/>
                <w:color w:val="auto"/>
              </w:rPr>
              <w:t>Common units</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vMerge w:val="continue"/>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18,992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21,593</w:t>
            </w: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19,805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387</w:t>
            </w:r>
          </w:p>
        </w:tc>
        <w:tc>
          <w:tcPr>
            <w:tcW w:w="180" w:type="dxa"/>
            <w:vAlign w:val="bottom"/>
            <w:shd w:val="clear" w:color="auto" w:fill="E5FFFF"/>
          </w:tcPr>
          <w:p>
            <w:pPr>
              <w:spacing w:after="0"/>
              <w:rPr>
                <w:sz w:val="17"/>
                <w:szCs w:val="17"/>
                <w:color w:val="auto"/>
              </w:rPr>
            </w:pPr>
          </w:p>
        </w:tc>
        <w:tc>
          <w:tcPr>
            <w:tcW w:w="2320" w:type="dxa"/>
            <w:vAlign w:val="bottom"/>
            <w:gridSpan w:val="3"/>
            <w:shd w:val="clear" w:color="auto" w:fill="E5FFFF"/>
          </w:tcPr>
          <w:p>
            <w:pPr>
              <w:jc w:val="right"/>
              <w:ind w:right="340"/>
              <w:spacing w:after="0"/>
              <w:rPr>
                <w:sz w:val="20"/>
                <w:szCs w:val="20"/>
                <w:color w:val="auto"/>
              </w:rPr>
            </w:pPr>
            <w:r>
              <w:rPr>
                <w:rFonts w:ascii="Arial" w:cs="Arial" w:eastAsia="Arial" w:hAnsi="Arial"/>
                <w:sz w:val="16"/>
                <w:szCs w:val="16"/>
                <w:color w:val="auto"/>
              </w:rPr>
              <w:t>471</w:t>
            </w:r>
          </w:p>
        </w:tc>
        <w:tc>
          <w:tcPr>
            <w:tcW w:w="17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180" w:type="dxa"/>
            <w:vAlign w:val="bottom"/>
            <w:gridSpan w:val="2"/>
          </w:tcPr>
          <w:p>
            <w:pPr>
              <w:jc w:val="right"/>
              <w:ind w:right="340"/>
              <w:spacing w:after="0"/>
              <w:rPr>
                <w:sz w:val="20"/>
                <w:szCs w:val="20"/>
                <w:color w:val="auto"/>
              </w:rPr>
            </w:pPr>
            <w:r>
              <w:rPr>
                <w:rFonts w:ascii="Arial" w:cs="Arial" w:eastAsia="Arial" w:hAnsi="Arial"/>
                <w:sz w:val="16"/>
                <w:szCs w:val="16"/>
                <w:color w:val="auto"/>
              </w:rPr>
              <w:t>N/A</w:t>
            </w: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Weighted average units outstanding (basic)</w:t>
            </w:r>
          </w:p>
        </w:tc>
        <w:tc>
          <w:tcPr>
            <w:tcW w:w="15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8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5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color w:val="auto"/>
              </w:rPr>
              <w:t>Common units</w:t>
            </w:r>
          </w:p>
        </w:tc>
        <w:tc>
          <w:tcPr>
            <w:tcW w:w="1580" w:type="dxa"/>
            <w:vAlign w:val="bottom"/>
          </w:tcPr>
          <w:p>
            <w:pPr>
              <w:jc w:val="right"/>
              <w:spacing w:after="0"/>
              <w:rPr>
                <w:sz w:val="20"/>
                <w:szCs w:val="20"/>
                <w:color w:val="auto"/>
              </w:rPr>
            </w:pPr>
            <w:r>
              <w:rPr>
                <w:rFonts w:ascii="Arial" w:cs="Arial" w:eastAsia="Arial" w:hAnsi="Arial"/>
                <w:sz w:val="16"/>
                <w:szCs w:val="16"/>
                <w:color w:val="auto"/>
              </w:rPr>
              <w:t>45,448,993</w:t>
            </w:r>
          </w:p>
        </w:tc>
        <w:tc>
          <w:tcPr>
            <w:tcW w:w="180" w:type="dxa"/>
            <w:vAlign w:val="bottom"/>
          </w:tcPr>
          <w:p>
            <w:pPr>
              <w:spacing w:after="0"/>
              <w:rPr>
                <w:sz w:val="17"/>
                <w:szCs w:val="17"/>
                <w:color w:val="auto"/>
              </w:rPr>
            </w:pPr>
          </w:p>
        </w:tc>
        <w:tc>
          <w:tcPr>
            <w:tcW w:w="2320" w:type="dxa"/>
            <w:vAlign w:val="bottom"/>
            <w:gridSpan w:val="3"/>
          </w:tcPr>
          <w:p>
            <w:pPr>
              <w:jc w:val="right"/>
              <w:ind w:right="340"/>
              <w:spacing w:after="0"/>
              <w:rPr>
                <w:sz w:val="20"/>
                <w:szCs w:val="20"/>
                <w:color w:val="auto"/>
              </w:rPr>
            </w:pPr>
            <w:r>
              <w:rPr>
                <w:rFonts w:ascii="Arial" w:cs="Arial" w:eastAsia="Arial" w:hAnsi="Arial"/>
                <w:sz w:val="16"/>
                <w:szCs w:val="16"/>
                <w:color w:val="auto"/>
              </w:rPr>
              <w:t>46,986,958</w:t>
            </w: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46,764,077</w:t>
            </w: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 units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927,532</w:t>
            </w:r>
          </w:p>
        </w:tc>
        <w:tc>
          <w:tcPr>
            <w:tcW w:w="180" w:type="dxa"/>
            <w:vAlign w:val="bottom"/>
            <w:shd w:val="clear" w:color="auto" w:fill="E5FFFF"/>
          </w:tcPr>
          <w:p>
            <w:pPr>
              <w:spacing w:after="0"/>
              <w:rPr>
                <w:sz w:val="17"/>
                <w:szCs w:val="17"/>
                <w:color w:val="auto"/>
              </w:rPr>
            </w:pPr>
          </w:p>
        </w:tc>
        <w:tc>
          <w:tcPr>
            <w:tcW w:w="2320" w:type="dxa"/>
            <w:vAlign w:val="bottom"/>
            <w:gridSpan w:val="3"/>
            <w:shd w:val="clear" w:color="auto" w:fill="E5FFFF"/>
          </w:tcPr>
          <w:p>
            <w:pPr>
              <w:jc w:val="right"/>
              <w:ind w:right="340"/>
              <w:spacing w:after="0"/>
              <w:rPr>
                <w:sz w:val="20"/>
                <w:szCs w:val="20"/>
                <w:color w:val="auto"/>
              </w:rPr>
            </w:pPr>
            <w:r>
              <w:rPr>
                <w:rFonts w:ascii="Arial" w:cs="Arial" w:eastAsia="Arial" w:hAnsi="Arial"/>
                <w:sz w:val="16"/>
                <w:szCs w:val="16"/>
                <w:color w:val="auto"/>
              </w:rPr>
              <w:t>1,021,336</w:t>
            </w:r>
          </w:p>
        </w:tc>
        <w:tc>
          <w:tcPr>
            <w:tcW w:w="17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1,021,336</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Arial" w:cs="Arial" w:eastAsia="Arial" w:hAnsi="Arial"/>
                <w:sz w:val="16"/>
                <w:szCs w:val="16"/>
                <w:b w:val="1"/>
                <w:bCs w:val="1"/>
                <w:color w:val="auto"/>
              </w:rPr>
              <w:t>Adjusted EPU (basic)</w:t>
            </w: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E5FFFF"/>
          </w:tcPr>
          <w:p>
            <w:pPr>
              <w:spacing w:after="0"/>
              <w:rPr>
                <w:sz w:val="20"/>
                <w:szCs w:val="20"/>
                <w:color w:val="auto"/>
              </w:rPr>
            </w:pPr>
            <w:r>
              <w:rPr>
                <w:rFonts w:ascii="Arial" w:cs="Arial" w:eastAsia="Arial" w:hAnsi="Arial"/>
                <w:sz w:val="16"/>
                <w:szCs w:val="16"/>
                <w:color w:val="auto"/>
              </w:rPr>
              <w:t>Common units</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0.42</w:t>
            </w:r>
          </w:p>
        </w:tc>
        <w:tc>
          <w:tcPr>
            <w:tcW w:w="180" w:type="dxa"/>
            <w:vAlign w:val="bottom"/>
            <w:shd w:val="clear" w:color="auto" w:fill="E5FFFF"/>
          </w:tcPr>
          <w:p>
            <w:pPr>
              <w:spacing w:after="0"/>
              <w:rPr>
                <w:sz w:val="17"/>
                <w:szCs w:val="17"/>
                <w:color w:val="auto"/>
              </w:rPr>
            </w:pPr>
          </w:p>
        </w:tc>
        <w:tc>
          <w:tcPr>
            <w:tcW w:w="2320" w:type="dxa"/>
            <w:vAlign w:val="bottom"/>
            <w:gridSpan w:val="3"/>
            <w:shd w:val="clear" w:color="auto" w:fill="E5FFFF"/>
          </w:tcPr>
          <w:p>
            <w:pPr>
              <w:jc w:val="right"/>
              <w:ind w:right="340"/>
              <w:spacing w:after="0"/>
              <w:rPr>
                <w:sz w:val="20"/>
                <w:szCs w:val="20"/>
                <w:color w:val="auto"/>
              </w:rPr>
            </w:pPr>
            <w:r>
              <w:rPr>
                <w:rFonts w:ascii="Arial" w:cs="Arial" w:eastAsia="Arial" w:hAnsi="Arial"/>
                <w:sz w:val="16"/>
                <w:szCs w:val="16"/>
                <w:color w:val="auto"/>
              </w:rPr>
              <w:t>0.46</w:t>
            </w:r>
          </w:p>
        </w:tc>
        <w:tc>
          <w:tcPr>
            <w:tcW w:w="172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6"/>
        </w:trPr>
        <w:tc>
          <w:tcPr>
            <w:tcW w:w="4980" w:type="dxa"/>
            <w:vAlign w:val="bottom"/>
          </w:tcPr>
          <w:p>
            <w:pPr>
              <w:spacing w:after="0"/>
              <w:rPr>
                <w:sz w:val="20"/>
                <w:szCs w:val="20"/>
                <w:color w:val="auto"/>
              </w:rPr>
            </w:pPr>
            <w:r>
              <w:rPr>
                <w:rFonts w:ascii="Arial" w:cs="Arial" w:eastAsia="Arial" w:hAnsi="Arial"/>
                <w:sz w:val="16"/>
                <w:szCs w:val="16"/>
                <w:color w:val="auto"/>
              </w:rPr>
              <w:t>General partner units</w:t>
            </w:r>
          </w:p>
        </w:tc>
        <w:tc>
          <w:tcPr>
            <w:tcW w:w="1580" w:type="dxa"/>
            <w:vAlign w:val="bottom"/>
          </w:tcPr>
          <w:p>
            <w:pPr>
              <w:jc w:val="right"/>
              <w:spacing w:after="0"/>
              <w:rPr>
                <w:sz w:val="20"/>
                <w:szCs w:val="20"/>
                <w:color w:val="auto"/>
              </w:rPr>
            </w:pPr>
            <w:r>
              <w:rPr>
                <w:rFonts w:ascii="Arial" w:cs="Arial" w:eastAsia="Arial" w:hAnsi="Arial"/>
                <w:sz w:val="16"/>
                <w:szCs w:val="16"/>
                <w:color w:val="auto"/>
              </w:rPr>
              <w:t>0.42</w:t>
            </w:r>
          </w:p>
        </w:tc>
        <w:tc>
          <w:tcPr>
            <w:tcW w:w="180" w:type="dxa"/>
            <w:vAlign w:val="bottom"/>
          </w:tcPr>
          <w:p>
            <w:pPr>
              <w:spacing w:after="0"/>
              <w:rPr>
                <w:sz w:val="17"/>
                <w:szCs w:val="17"/>
                <w:color w:val="auto"/>
              </w:rPr>
            </w:pPr>
          </w:p>
        </w:tc>
        <w:tc>
          <w:tcPr>
            <w:tcW w:w="2320" w:type="dxa"/>
            <w:vAlign w:val="bottom"/>
            <w:gridSpan w:val="3"/>
          </w:tcPr>
          <w:p>
            <w:pPr>
              <w:jc w:val="right"/>
              <w:ind w:right="340"/>
              <w:spacing w:after="0"/>
              <w:rPr>
                <w:sz w:val="20"/>
                <w:szCs w:val="20"/>
                <w:color w:val="auto"/>
              </w:rPr>
            </w:pPr>
            <w:r>
              <w:rPr>
                <w:rFonts w:ascii="Arial" w:cs="Arial" w:eastAsia="Arial" w:hAnsi="Arial"/>
                <w:sz w:val="16"/>
                <w:szCs w:val="16"/>
                <w:color w:val="auto"/>
              </w:rPr>
              <w:t>0.46</w:t>
            </w: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Distributable Cash Flow</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Distributable cash flow means Adjusted EBITDA, on the basis of the Partnership Performance Results, after considering financial costs for the period, including realized loss on derivatives (interest rate swaps and forward foreign exchange contracts) and excluding amortization of loan fees, lease expense,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 attributable to the Partnership.</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20"/>
                <w:szCs w:val="20"/>
                <w:color w:val="auto"/>
              </w:rPr>
            </w:pPr>
            <w:r>
              <w:rPr>
                <w:rFonts w:ascii="Arial" w:cs="Arial" w:eastAsia="Arial" w:hAnsi="Arial"/>
                <w:sz w:val="16"/>
                <w:szCs w:val="16"/>
                <w:b w:val="1"/>
                <w:bCs w:val="1"/>
                <w:color w:val="auto"/>
              </w:rPr>
              <w:t>Reconciliation of Distributable Cash Flow to Partnership’s Profit: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508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5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4"/>
              </w:rPr>
              <w:t>For the three months ended</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2"/>
        </w:trPr>
        <w:tc>
          <w:tcPr>
            <w:tcW w:w="5080" w:type="dxa"/>
            <w:vAlign w:val="bottom"/>
          </w:tcPr>
          <w:p>
            <w:pPr>
              <w:spacing w:after="0"/>
              <w:rPr>
                <w:sz w:val="22"/>
                <w:szCs w:val="22"/>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 xml:space="preserve">March 31, 2019 </w:t>
            </w:r>
            <w:r>
              <w:rPr>
                <w:rFonts w:ascii="Arial" w:cs="Arial" w:eastAsia="Arial" w:hAnsi="Arial"/>
                <w:sz w:val="21"/>
                <w:szCs w:val="21"/>
                <w:b w:val="1"/>
                <w:bCs w:val="1"/>
                <w:color w:val="auto"/>
                <w:vertAlign w:val="superscript"/>
              </w:rPr>
              <w:t>(1)</w:t>
            </w:r>
          </w:p>
        </w:tc>
        <w:tc>
          <w:tcPr>
            <w:tcW w:w="160" w:type="dxa"/>
            <w:vAlign w:val="bottom"/>
          </w:tcPr>
          <w:p>
            <w:pPr>
              <w:spacing w:after="0"/>
              <w:rPr>
                <w:sz w:val="22"/>
                <w:szCs w:val="22"/>
                <w:color w:val="auto"/>
              </w:rPr>
            </w:pPr>
          </w:p>
        </w:tc>
        <w:tc>
          <w:tcPr>
            <w:tcW w:w="21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December 31, 2019</w:t>
            </w:r>
          </w:p>
        </w:tc>
        <w:tc>
          <w:tcPr>
            <w:tcW w:w="16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 xml:space="preserve">March 31, 2020 </w:t>
            </w:r>
            <w:r>
              <w:rPr>
                <w:rFonts w:ascii="Arial" w:cs="Arial" w:eastAsia="Arial" w:hAnsi="Arial"/>
                <w:sz w:val="21"/>
                <w:szCs w:val="21"/>
                <w:b w:val="1"/>
                <w:bCs w:val="1"/>
                <w:color w:val="auto"/>
                <w:vertAlign w:val="superscript"/>
              </w:rPr>
              <w:t>(4)</w:t>
            </w:r>
          </w:p>
        </w:tc>
      </w:tr>
      <w:tr>
        <w:trPr>
          <w:trHeight w:val="196"/>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Partnership’s profit/(loss) for the period</w:t>
            </w: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20,366</w:t>
            </w:r>
          </w:p>
        </w:tc>
        <w:tc>
          <w:tcPr>
            <w:tcW w:w="1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(106,362)</w:t>
            </w:r>
          </w:p>
        </w:tc>
        <w:tc>
          <w:tcPr>
            <w:tcW w:w="32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14,169</w:t>
            </w:r>
          </w:p>
        </w:tc>
        <w:tc>
          <w:tcPr>
            <w:tcW w:w="120" w:type="dxa"/>
            <w:vAlign w:val="bottom"/>
            <w:tcBorders>
              <w:top w:val="single" w:sz="8" w:color="E5FFFF"/>
            </w:tcBorders>
            <w:shd w:val="clear" w:color="auto" w:fill="E5FF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Depreciation</w:t>
            </w:r>
          </w:p>
        </w:tc>
        <w:tc>
          <w:tcPr>
            <w:tcW w:w="1560" w:type="dxa"/>
            <w:vAlign w:val="bottom"/>
          </w:tcPr>
          <w:p>
            <w:pPr>
              <w:jc w:val="right"/>
              <w:spacing w:after="0"/>
              <w:rPr>
                <w:sz w:val="20"/>
                <w:szCs w:val="20"/>
                <w:color w:val="auto"/>
              </w:rPr>
            </w:pPr>
            <w:r>
              <w:rPr>
                <w:rFonts w:ascii="Arial" w:cs="Arial" w:eastAsia="Arial" w:hAnsi="Arial"/>
                <w:sz w:val="16"/>
                <w:szCs w:val="16"/>
                <w:color w:val="auto"/>
              </w:rPr>
              <w:t>20,380</w:t>
            </w:r>
          </w:p>
        </w:tc>
        <w:tc>
          <w:tcPr>
            <w:tcW w:w="160" w:type="dxa"/>
            <w:vAlign w:val="bottom"/>
          </w:tcPr>
          <w:p>
            <w:pPr>
              <w:spacing w:after="0"/>
              <w:rPr>
                <w:sz w:val="17"/>
                <w:szCs w:val="17"/>
                <w:color w:val="auto"/>
              </w:rPr>
            </w:pPr>
          </w:p>
        </w:tc>
        <w:tc>
          <w:tcPr>
            <w:tcW w:w="2300" w:type="dxa"/>
            <w:vAlign w:val="bottom"/>
            <w:gridSpan w:val="3"/>
          </w:tcPr>
          <w:p>
            <w:pPr>
              <w:jc w:val="right"/>
              <w:ind w:right="320"/>
              <w:spacing w:after="0"/>
              <w:rPr>
                <w:sz w:val="20"/>
                <w:szCs w:val="20"/>
                <w:color w:val="auto"/>
              </w:rPr>
            </w:pPr>
            <w:r>
              <w:rPr>
                <w:rFonts w:ascii="Arial" w:cs="Arial" w:eastAsia="Arial" w:hAnsi="Arial"/>
                <w:sz w:val="16"/>
                <w:szCs w:val="16"/>
                <w:color w:val="auto"/>
              </w:rPr>
              <w:t>22,483</w:t>
            </w:r>
          </w:p>
        </w:tc>
        <w:tc>
          <w:tcPr>
            <w:tcW w:w="1560" w:type="dxa"/>
            <w:vAlign w:val="bottom"/>
          </w:tcPr>
          <w:p>
            <w:pPr>
              <w:jc w:val="right"/>
              <w:spacing w:after="0"/>
              <w:rPr>
                <w:sz w:val="20"/>
                <w:szCs w:val="20"/>
                <w:color w:val="auto"/>
              </w:rPr>
            </w:pPr>
            <w:r>
              <w:rPr>
                <w:rFonts w:ascii="Arial" w:cs="Arial" w:eastAsia="Arial" w:hAnsi="Arial"/>
                <w:sz w:val="16"/>
                <w:szCs w:val="16"/>
                <w:color w:val="auto"/>
              </w:rPr>
              <w:t>20,598</w:t>
            </w:r>
          </w:p>
        </w:tc>
        <w:tc>
          <w:tcPr>
            <w:tcW w:w="120" w:type="dxa"/>
            <w:vAlign w:val="bottom"/>
          </w:tcPr>
          <w:p>
            <w:pPr>
              <w:spacing w:after="0"/>
              <w:rPr>
                <w:sz w:val="17"/>
                <w:szCs w:val="17"/>
                <w:color w:val="auto"/>
              </w:rPr>
            </w:pP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17,902</w:t>
            </w:r>
          </w:p>
        </w:tc>
        <w:tc>
          <w:tcPr>
            <w:tcW w:w="160" w:type="dxa"/>
            <w:vAlign w:val="bottom"/>
            <w:shd w:val="clear" w:color="auto" w:fill="E5FFFF"/>
          </w:tcPr>
          <w:p>
            <w:pPr>
              <w:spacing w:after="0"/>
              <w:rPr>
                <w:sz w:val="17"/>
                <w:szCs w:val="17"/>
                <w:color w:val="auto"/>
              </w:rPr>
            </w:pPr>
          </w:p>
        </w:tc>
        <w:tc>
          <w:tcPr>
            <w:tcW w:w="2300" w:type="dxa"/>
            <w:vAlign w:val="bottom"/>
            <w:gridSpan w:val="3"/>
            <w:shd w:val="clear" w:color="auto" w:fill="E5FFFF"/>
          </w:tcPr>
          <w:p>
            <w:pPr>
              <w:jc w:val="right"/>
              <w:ind w:right="320"/>
              <w:spacing w:after="0"/>
              <w:rPr>
                <w:sz w:val="20"/>
                <w:szCs w:val="20"/>
                <w:color w:val="auto"/>
              </w:rPr>
            </w:pPr>
            <w:r>
              <w:rPr>
                <w:rFonts w:ascii="Arial" w:cs="Arial" w:eastAsia="Arial" w:hAnsi="Arial"/>
                <w:sz w:val="16"/>
                <w:szCs w:val="16"/>
                <w:color w:val="auto"/>
              </w:rPr>
              <w:t>16,348</w:t>
            </w: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15,513</w:t>
            </w:r>
          </w:p>
        </w:tc>
        <w:tc>
          <w:tcPr>
            <w:tcW w:w="120" w:type="dxa"/>
            <w:vAlign w:val="bottom"/>
            <w:shd w:val="clear" w:color="auto" w:fill="E5FF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Financial income</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(624)</w:t>
            </w:r>
          </w:p>
        </w:tc>
        <w:tc>
          <w:tcPr>
            <w:tcW w:w="2300" w:type="dxa"/>
            <w:vAlign w:val="bottom"/>
            <w:gridSpan w:val="3"/>
          </w:tcPr>
          <w:p>
            <w:pPr>
              <w:jc w:val="right"/>
              <w:ind w:right="260"/>
              <w:spacing w:after="0"/>
              <w:rPr>
                <w:sz w:val="20"/>
                <w:szCs w:val="20"/>
                <w:color w:val="auto"/>
              </w:rPr>
            </w:pPr>
            <w:r>
              <w:rPr>
                <w:rFonts w:ascii="Arial" w:cs="Arial" w:eastAsia="Arial" w:hAnsi="Arial"/>
                <w:sz w:val="16"/>
                <w:szCs w:val="16"/>
                <w:color w:val="auto"/>
              </w:rPr>
              <w:t>(329)</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(199)</w:t>
            </w:r>
          </w:p>
        </w:tc>
      </w:tr>
      <w:tr>
        <w:trPr>
          <w:trHeight w:val="203"/>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4,877</w:t>
            </w:r>
          </w:p>
        </w:tc>
        <w:tc>
          <w:tcPr>
            <w:tcW w:w="160" w:type="dxa"/>
            <w:vAlign w:val="bottom"/>
            <w:shd w:val="clear" w:color="auto" w:fill="E5FFFF"/>
          </w:tcPr>
          <w:p>
            <w:pPr>
              <w:spacing w:after="0"/>
              <w:rPr>
                <w:sz w:val="17"/>
                <w:szCs w:val="17"/>
                <w:color w:val="auto"/>
              </w:rPr>
            </w:pPr>
          </w:p>
        </w:tc>
        <w:tc>
          <w:tcPr>
            <w:tcW w:w="230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(2,733)</w:t>
            </w: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14,120</w:t>
            </w:r>
          </w:p>
        </w:tc>
        <w:tc>
          <w:tcPr>
            <w:tcW w:w="120" w:type="dxa"/>
            <w:vAlign w:val="bottom"/>
            <w:shd w:val="clear" w:color="auto" w:fill="E5FFFF"/>
          </w:tcPr>
          <w:p>
            <w:pPr>
              <w:spacing w:after="0"/>
              <w:rPr>
                <w:sz w:val="17"/>
                <w:szCs w:val="17"/>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62,901</w:t>
            </w:r>
          </w:p>
        </w:tc>
        <w:tc>
          <w:tcPr>
            <w:tcW w:w="160" w:type="dxa"/>
            <w:vAlign w:val="bottom"/>
            <w:tcBorders>
              <w:bottom w:val="single" w:sz="8" w:color="E5FFFF"/>
            </w:tcBorders>
          </w:tcPr>
          <w:p>
            <w:pPr>
              <w:spacing w:after="0"/>
              <w:rPr>
                <w:sz w:val="17"/>
                <w:szCs w:val="17"/>
                <w:color w:val="auto"/>
              </w:rPr>
            </w:pPr>
          </w:p>
        </w:tc>
        <w:tc>
          <w:tcPr>
            <w:tcW w:w="160" w:type="dxa"/>
            <w:vAlign w:val="bottom"/>
            <w:tcBorders>
              <w:bottom w:val="single" w:sz="8" w:color="E5FFFF"/>
            </w:tcBorders>
          </w:tcPr>
          <w:p>
            <w:pPr>
              <w:spacing w:after="0"/>
              <w:rPr>
                <w:sz w:val="17"/>
                <w:szCs w:val="17"/>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(70,593)</w:t>
            </w:r>
          </w:p>
        </w:tc>
        <w:tc>
          <w:tcPr>
            <w:tcW w:w="320" w:type="dxa"/>
            <w:vAlign w:val="bottom"/>
            <w:tcBorders>
              <w:bottom w:val="single" w:sz="8" w:color="E5FFFF"/>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64,201</w:t>
            </w:r>
          </w:p>
        </w:tc>
        <w:tc>
          <w:tcPr>
            <w:tcW w:w="120" w:type="dxa"/>
            <w:vAlign w:val="bottom"/>
            <w:tcBorders>
              <w:bottom w:val="single" w:sz="8" w:color="E5FFFF"/>
            </w:tcBorders>
          </w:tcPr>
          <w:p>
            <w:pPr>
              <w:spacing w:after="0"/>
              <w:rPr>
                <w:sz w:val="17"/>
                <w:szCs w:val="17"/>
                <w:color w:val="auto"/>
              </w:rPr>
            </w:pPr>
          </w:p>
        </w:tc>
      </w:tr>
      <w:tr>
        <w:trPr>
          <w:trHeight w:val="196"/>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138,848</w:t>
            </w:r>
          </w:p>
        </w:tc>
        <w:tc>
          <w:tcPr>
            <w:tcW w:w="320" w:type="dxa"/>
            <w:vAlign w:val="bottom"/>
            <w:shd w:val="clear" w:color="auto" w:fill="E5FFFF"/>
          </w:tcPr>
          <w:p>
            <w:pPr>
              <w:spacing w:after="0"/>
              <w:rPr>
                <w:sz w:val="17"/>
                <w:szCs w:val="17"/>
                <w:color w:val="auto"/>
              </w:rPr>
            </w:pPr>
          </w:p>
        </w:tc>
        <w:tc>
          <w:tcPr>
            <w:tcW w:w="1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Adjusted EBITDA</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62,901</w:t>
            </w:r>
          </w:p>
        </w:tc>
        <w:tc>
          <w:tcPr>
            <w:tcW w:w="160" w:type="dxa"/>
            <w:vAlign w:val="bottom"/>
            <w:tcBorders>
              <w:bottom w:val="single" w:sz="8" w:color="E5FFFF"/>
            </w:tcBorders>
          </w:tcPr>
          <w:p>
            <w:pPr>
              <w:spacing w:after="0"/>
              <w:rPr>
                <w:sz w:val="17"/>
                <w:szCs w:val="17"/>
                <w:color w:val="auto"/>
              </w:rPr>
            </w:pPr>
          </w:p>
        </w:tc>
        <w:tc>
          <w:tcPr>
            <w:tcW w:w="160" w:type="dxa"/>
            <w:vAlign w:val="bottom"/>
            <w:tcBorders>
              <w:bottom w:val="single" w:sz="8" w:color="E5FFFF"/>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68,255</w:t>
            </w:r>
          </w:p>
        </w:tc>
        <w:tc>
          <w:tcPr>
            <w:tcW w:w="320" w:type="dxa"/>
            <w:vAlign w:val="bottom"/>
            <w:tcBorders>
              <w:bottom w:val="single" w:sz="8" w:color="E5FF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64,201</w:t>
            </w:r>
          </w:p>
        </w:tc>
        <w:tc>
          <w:tcPr>
            <w:tcW w:w="120" w:type="dxa"/>
            <w:vAlign w:val="bottom"/>
            <w:tcBorders>
              <w:bottom w:val="single" w:sz="8" w:color="E5FFFF"/>
            </w:tcBorders>
          </w:tcPr>
          <w:p>
            <w:pPr>
              <w:spacing w:after="0"/>
              <w:rPr>
                <w:sz w:val="17"/>
                <w:szCs w:val="17"/>
                <w:color w:val="auto"/>
              </w:rPr>
            </w:pPr>
          </w:p>
        </w:tc>
      </w:tr>
      <w:tr>
        <w:trPr>
          <w:trHeight w:val="173"/>
        </w:trPr>
        <w:tc>
          <w:tcPr>
            <w:tcW w:w="5080" w:type="dxa"/>
            <w:vAlign w:val="bottom"/>
            <w:shd w:val="clear" w:color="auto" w:fill="E5FFFF"/>
          </w:tcPr>
          <w:p>
            <w:pPr>
              <w:spacing w:after="0" w:line="173" w:lineRule="exact"/>
              <w:rPr>
                <w:sz w:val="20"/>
                <w:szCs w:val="20"/>
                <w:color w:val="auto"/>
              </w:rPr>
            </w:pPr>
            <w:r>
              <w:rPr>
                <w:rFonts w:ascii="Arial" w:cs="Arial" w:eastAsia="Arial" w:hAnsi="Arial"/>
                <w:sz w:val="16"/>
                <w:szCs w:val="16"/>
                <w:color w:val="auto"/>
                <w:w w:val="99"/>
              </w:rPr>
              <w:t>Financial costs (excluding amortization of loan fees and lease expense)</w:t>
            </w:r>
          </w:p>
        </w:tc>
        <w:tc>
          <w:tcPr>
            <w:tcW w:w="15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82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15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r>
      <w:tr>
        <w:trPr>
          <w:trHeight w:val="212"/>
        </w:trPr>
        <w:tc>
          <w:tcPr>
            <w:tcW w:w="50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and realized loss on derivatives</w:t>
            </w:r>
          </w:p>
        </w:tc>
        <w:tc>
          <w:tcPr>
            <w:tcW w:w="17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(14,784)</w:t>
            </w:r>
          </w:p>
        </w:tc>
        <w:tc>
          <w:tcPr>
            <w:tcW w:w="230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(15,036)</w:t>
            </w:r>
          </w:p>
        </w:tc>
        <w:tc>
          <w:tcPr>
            <w:tcW w:w="16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(14,467)</w:t>
            </w:r>
          </w:p>
        </w:tc>
      </w:tr>
      <w:tr>
        <w:trPr>
          <w:trHeight w:val="203"/>
        </w:trPr>
        <w:tc>
          <w:tcPr>
            <w:tcW w:w="5080" w:type="dxa"/>
            <w:vAlign w:val="bottom"/>
          </w:tcPr>
          <w:p>
            <w:pPr>
              <w:spacing w:after="0" w:line="203" w:lineRule="exact"/>
              <w:rPr>
                <w:sz w:val="20"/>
                <w:szCs w:val="20"/>
                <w:color w:val="auto"/>
              </w:rPr>
            </w:pPr>
            <w:r>
              <w:rPr>
                <w:rFonts w:ascii="Arial" w:cs="Arial" w:eastAsia="Arial" w:hAnsi="Arial"/>
                <w:sz w:val="16"/>
                <w:szCs w:val="16"/>
                <w:color w:val="auto"/>
              </w:rPr>
              <w:t xml:space="preserve">Dry-docking capital reserve </w:t>
            </w:r>
            <w:r>
              <w:rPr>
                <w:rFonts w:ascii="Arial" w:cs="Arial" w:eastAsia="Arial" w:hAnsi="Arial"/>
                <w:sz w:val="21"/>
                <w:szCs w:val="21"/>
                <w:color w:val="auto"/>
                <w:vertAlign w:val="superscript"/>
              </w:rPr>
              <w:t>(2)</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(3,882)</w:t>
            </w:r>
          </w:p>
        </w:tc>
        <w:tc>
          <w:tcPr>
            <w:tcW w:w="2300" w:type="dxa"/>
            <w:vAlign w:val="bottom"/>
            <w:gridSpan w:val="3"/>
          </w:tcPr>
          <w:p>
            <w:pPr>
              <w:jc w:val="right"/>
              <w:ind w:right="260"/>
              <w:spacing w:after="0"/>
              <w:rPr>
                <w:sz w:val="20"/>
                <w:szCs w:val="20"/>
                <w:color w:val="auto"/>
              </w:rPr>
            </w:pPr>
            <w:r>
              <w:rPr>
                <w:rFonts w:ascii="Arial" w:cs="Arial" w:eastAsia="Arial" w:hAnsi="Arial"/>
                <w:sz w:val="16"/>
                <w:szCs w:val="16"/>
                <w:color w:val="auto"/>
              </w:rPr>
              <w:t>(4,170)</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(4,027)</w:t>
            </w:r>
          </w:p>
        </w:tc>
      </w:tr>
      <w:tr>
        <w:trPr>
          <w:trHeight w:val="203"/>
        </w:trPr>
        <w:tc>
          <w:tcPr>
            <w:tcW w:w="508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 xml:space="preserve">Replacement capital reserve </w:t>
            </w:r>
            <w:r>
              <w:rPr>
                <w:rFonts w:ascii="Arial" w:cs="Arial" w:eastAsia="Arial" w:hAnsi="Arial"/>
                <w:sz w:val="21"/>
                <w:szCs w:val="21"/>
                <w:color w:val="auto"/>
                <w:vertAlign w:val="superscript"/>
              </w:rPr>
              <w:t>(2)</w:t>
            </w:r>
          </w:p>
        </w:tc>
        <w:tc>
          <w:tcPr>
            <w:tcW w:w="17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(9,045)</w:t>
            </w:r>
          </w:p>
        </w:tc>
        <w:tc>
          <w:tcPr>
            <w:tcW w:w="230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(9,686)</w:t>
            </w:r>
          </w:p>
        </w:tc>
        <w:tc>
          <w:tcPr>
            <w:tcW w:w="16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(10,769)</w:t>
            </w: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Accrued preferred equity distribution</w:t>
            </w:r>
          </w:p>
        </w:tc>
        <w:tc>
          <w:tcPr>
            <w:tcW w:w="1720" w:type="dxa"/>
            <w:vAlign w:val="bottom"/>
            <w:gridSpan w:val="2"/>
          </w:tcPr>
          <w:p>
            <w:pPr>
              <w:jc w:val="right"/>
              <w:ind w:right="100"/>
              <w:spacing w:after="0"/>
              <w:rPr>
                <w:sz w:val="20"/>
                <w:szCs w:val="20"/>
                <w:color w:val="auto"/>
              </w:rPr>
            </w:pPr>
            <w:r>
              <w:rPr>
                <w:rFonts w:ascii="Arial" w:cs="Arial" w:eastAsia="Arial" w:hAnsi="Arial"/>
                <w:sz w:val="16"/>
                <w:szCs w:val="16"/>
                <w:color w:val="auto"/>
              </w:rPr>
              <w:t>(7,582)</w:t>
            </w:r>
          </w:p>
        </w:tc>
        <w:tc>
          <w:tcPr>
            <w:tcW w:w="2300" w:type="dxa"/>
            <w:vAlign w:val="bottom"/>
            <w:gridSpan w:val="3"/>
          </w:tcPr>
          <w:p>
            <w:pPr>
              <w:jc w:val="right"/>
              <w:ind w:right="260"/>
              <w:spacing w:after="0"/>
              <w:rPr>
                <w:sz w:val="20"/>
                <w:szCs w:val="20"/>
                <w:color w:val="auto"/>
              </w:rPr>
            </w:pPr>
            <w:r>
              <w:rPr>
                <w:rFonts w:ascii="Arial" w:cs="Arial" w:eastAsia="Arial" w:hAnsi="Arial"/>
                <w:sz w:val="16"/>
                <w:szCs w:val="16"/>
                <w:color w:val="auto"/>
              </w:rPr>
              <w:t>(7,582)</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(7,582)</w:t>
            </w:r>
          </w:p>
        </w:tc>
      </w:tr>
      <w:tr>
        <w:trPr>
          <w:trHeight w:val="196"/>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Distributable cash flow</w:t>
            </w: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27,608</w:t>
            </w:r>
          </w:p>
        </w:tc>
        <w:tc>
          <w:tcPr>
            <w:tcW w:w="1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31,781</w:t>
            </w:r>
          </w:p>
        </w:tc>
        <w:tc>
          <w:tcPr>
            <w:tcW w:w="32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27,356</w:t>
            </w:r>
          </w:p>
        </w:tc>
        <w:tc>
          <w:tcPr>
            <w:tcW w:w="120" w:type="dxa"/>
            <w:vAlign w:val="bottom"/>
            <w:tcBorders>
              <w:top w:val="single" w:sz="8" w:color="E5FFFF"/>
            </w:tcBorders>
            <w:shd w:val="clear" w:color="auto" w:fill="E5FFFF"/>
          </w:tcPr>
          <w:p>
            <w:pPr>
              <w:spacing w:after="0"/>
              <w:rPr>
                <w:sz w:val="17"/>
                <w:szCs w:val="17"/>
                <w:color w:val="auto"/>
              </w:rPr>
            </w:pPr>
          </w:p>
        </w:tc>
      </w:tr>
      <w:tr>
        <w:trPr>
          <w:trHeight w:val="196"/>
        </w:trPr>
        <w:tc>
          <w:tcPr>
            <w:tcW w:w="5080" w:type="dxa"/>
            <w:vAlign w:val="bottom"/>
            <w:tcBorders>
              <w:bottom w:val="single" w:sz="8" w:color="E5FFFF"/>
            </w:tcBorders>
          </w:tcPr>
          <w:p>
            <w:pPr>
              <w:spacing w:after="0" w:line="196" w:lineRule="exact"/>
              <w:rPr>
                <w:sz w:val="20"/>
                <w:szCs w:val="20"/>
                <w:color w:val="auto"/>
              </w:rPr>
            </w:pPr>
            <w:r>
              <w:rPr>
                <w:rFonts w:ascii="Arial" w:cs="Arial" w:eastAsia="Arial" w:hAnsi="Arial"/>
                <w:sz w:val="16"/>
                <w:szCs w:val="16"/>
                <w:color w:val="auto"/>
              </w:rPr>
              <w:t xml:space="preserve">Other reserves </w:t>
            </w:r>
            <w:r>
              <w:rPr>
                <w:rFonts w:ascii="Arial" w:cs="Arial" w:eastAsia="Arial" w:hAnsi="Arial"/>
                <w:sz w:val="21"/>
                <w:szCs w:val="21"/>
                <w:color w:val="auto"/>
                <w:vertAlign w:val="superscript"/>
              </w:rPr>
              <w:t>(3)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160" w:type="dxa"/>
            <w:vAlign w:val="bottom"/>
            <w:tcBorders>
              <w:bottom w:val="single" w:sz="8" w:color="E5FFFF"/>
            </w:tcBorders>
          </w:tcPr>
          <w:p>
            <w:pPr>
              <w:spacing w:after="0"/>
              <w:rPr>
                <w:sz w:val="17"/>
                <w:szCs w:val="17"/>
                <w:color w:val="auto"/>
              </w:rPr>
            </w:pPr>
          </w:p>
        </w:tc>
        <w:tc>
          <w:tcPr>
            <w:tcW w:w="160" w:type="dxa"/>
            <w:vAlign w:val="bottom"/>
            <w:tcBorders>
              <w:bottom w:val="single" w:sz="8" w:color="E5FFFF"/>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(5,027)</w:t>
            </w:r>
          </w:p>
        </w:tc>
        <w:tc>
          <w:tcPr>
            <w:tcW w:w="320" w:type="dxa"/>
            <w:vAlign w:val="bottom"/>
            <w:tcBorders>
              <w:bottom w:val="single" w:sz="8" w:color="E5FF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(21,395)</w:t>
            </w:r>
          </w:p>
        </w:tc>
        <w:tc>
          <w:tcPr>
            <w:tcW w:w="120" w:type="dxa"/>
            <w:vAlign w:val="bottom"/>
            <w:tcBorders>
              <w:bottom w:val="single" w:sz="8" w:color="E5FFFF"/>
            </w:tcBorders>
          </w:tcPr>
          <w:p>
            <w:pPr>
              <w:spacing w:after="0"/>
              <w:rPr>
                <w:sz w:val="17"/>
                <w:szCs w:val="17"/>
                <w:color w:val="auto"/>
              </w:rPr>
            </w:pPr>
          </w:p>
        </w:tc>
      </w:tr>
      <w:tr>
        <w:trPr>
          <w:trHeight w:val="196"/>
        </w:trPr>
        <w:tc>
          <w:tcPr>
            <w:tcW w:w="50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distribution declared</w:t>
            </w:r>
          </w:p>
        </w:tc>
        <w:tc>
          <w:tcPr>
            <w:tcW w:w="1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26,911</w:t>
            </w:r>
          </w:p>
        </w:tc>
        <w:tc>
          <w:tcPr>
            <w:tcW w:w="160" w:type="dxa"/>
            <w:vAlign w:val="bottom"/>
            <w:tcBorders>
              <w:bottom w:val="single" w:sz="8" w:color="E5FFFF"/>
            </w:tcBorders>
            <w:shd w:val="clear" w:color="auto" w:fill="E5FFFF"/>
          </w:tcPr>
          <w:p>
            <w:pPr>
              <w:spacing w:after="0"/>
              <w:rPr>
                <w:sz w:val="17"/>
                <w:szCs w:val="17"/>
                <w:color w:val="auto"/>
              </w:rPr>
            </w:pPr>
          </w:p>
        </w:tc>
        <w:tc>
          <w:tcPr>
            <w:tcW w:w="160" w:type="dxa"/>
            <w:vAlign w:val="bottom"/>
            <w:tcBorders>
              <w:bottom w:val="single" w:sz="8" w:color="E5FFFF"/>
            </w:tcBorders>
            <w:shd w:val="clear" w:color="auto" w:fill="E5FFFF"/>
          </w:tcPr>
          <w:p>
            <w:pPr>
              <w:spacing w:after="0"/>
              <w:rPr>
                <w:sz w:val="17"/>
                <w:szCs w:val="17"/>
                <w:color w:val="auto"/>
              </w:rPr>
            </w:pPr>
          </w:p>
        </w:tc>
        <w:tc>
          <w:tcPr>
            <w:tcW w:w="1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26,754</w:t>
            </w:r>
          </w:p>
        </w:tc>
        <w:tc>
          <w:tcPr>
            <w:tcW w:w="320" w:type="dxa"/>
            <w:vAlign w:val="bottom"/>
            <w:tcBorders>
              <w:bottom w:val="single" w:sz="8" w:color="E5FFFF"/>
            </w:tcBorders>
            <w:shd w:val="clear" w:color="auto" w:fill="E5FFFF"/>
          </w:tcPr>
          <w:p>
            <w:pPr>
              <w:spacing w:after="0"/>
              <w:rPr>
                <w:sz w:val="17"/>
                <w:szCs w:val="17"/>
                <w:color w:val="auto"/>
              </w:rPr>
            </w:pPr>
          </w:p>
        </w:tc>
        <w:tc>
          <w:tcPr>
            <w:tcW w:w="1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5,961</w:t>
            </w:r>
          </w:p>
        </w:tc>
        <w:tc>
          <w:tcPr>
            <w:tcW w:w="120" w:type="dxa"/>
            <w:vAlign w:val="bottom"/>
            <w:tcBorders>
              <w:bottom w:val="single" w:sz="8" w:color="E5FFFF"/>
            </w:tcBorders>
            <w:shd w:val="clear" w:color="auto" w:fill="E5FFFF"/>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line="262" w:lineRule="auto"/>
        <w:tabs>
          <w:tab w:leader="none" w:pos="344"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 xml:space="preserve">Excludes amounts related to GAS-twelve Ltd., the owner of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for the period prior to its transfer to the Partnership on April 1, 2019. While such amounts are reflected in the Partnership’s unaudited condensed consolidated financial statements because the transfer to the Partnership was accounted as a reorganization of entities under common control under IFRS, GAS-twelve Ltd. was not owned by the Partnership prior to its respective transfer to the Partnership in April 2019 and accordingly the Partnership was not entitled to the cash or results generated in the period prior to such transfer.</w:t>
      </w:r>
    </w:p>
    <w:p>
      <w:pPr>
        <w:spacing w:after="0" w:line="184" w:lineRule="exact"/>
        <w:rPr>
          <w:rFonts w:ascii="Arial" w:cs="Arial" w:eastAsia="Arial" w:hAnsi="Arial"/>
          <w:sz w:val="21"/>
          <w:szCs w:val="21"/>
          <w:color w:val="auto"/>
          <w:vertAlign w:val="superscript"/>
        </w:rPr>
      </w:pPr>
    </w:p>
    <w:p>
      <w:pPr>
        <w:ind w:left="340" w:right="240" w:hanging="332"/>
        <w:spacing w:after="0" w:line="224" w:lineRule="auto"/>
        <w:tabs>
          <w:tab w:leader="none" w:pos="344"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Effective January 1, 2020, the Partnership revised the assumed re-investment rate used in calculating the dry-docking capital reserve and the replacement capital reserve to reflect recent movements in market interest rate forecasts.</w:t>
      </w:r>
    </w:p>
    <w:p>
      <w:pPr>
        <w:spacing w:after="0" w:line="199" w:lineRule="exact"/>
        <w:rPr>
          <w:rFonts w:ascii="Arial" w:cs="Arial" w:eastAsia="Arial" w:hAnsi="Arial"/>
          <w:sz w:val="22"/>
          <w:szCs w:val="22"/>
          <w:color w:val="auto"/>
          <w:vertAlign w:val="superscript"/>
        </w:rPr>
      </w:pPr>
    </w:p>
    <w:p>
      <w:pPr>
        <w:ind w:left="340" w:right="360" w:hanging="332"/>
        <w:spacing w:after="0" w:line="224" w:lineRule="auto"/>
        <w:tabs>
          <w:tab w:leader="none" w:pos="344"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Refers to movements in reserves (other than the dry-docking and replacement capital reserves) for the proper conduct of the business of the Partnership and its subsidiaries.</w:t>
      </w:r>
    </w:p>
    <w:p>
      <w:pPr>
        <w:spacing w:after="0" w:line="199" w:lineRule="exact"/>
        <w:rPr>
          <w:rFonts w:ascii="Arial" w:cs="Arial" w:eastAsia="Arial" w:hAnsi="Arial"/>
          <w:sz w:val="22"/>
          <w:szCs w:val="22"/>
          <w:color w:val="auto"/>
          <w:vertAlign w:val="superscript"/>
        </w:rPr>
      </w:pPr>
    </w:p>
    <w:p>
      <w:pPr>
        <w:ind w:left="340" w:right="260" w:hanging="332"/>
        <w:spacing w:after="0" w:line="224" w:lineRule="auto"/>
        <w:tabs>
          <w:tab w:leader="none" w:pos="344"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March 31, 2020, the cash distributions declared and the other reserves have been calculated based on the number of units issued and outstanding as of March 31, 2020.</w:t>
      </w:r>
    </w:p>
    <w:p>
      <w:pPr>
        <w:spacing w:after="0" w:line="20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80"/>
          </w:cols>
          <w:pgMar w:left="320" w:top="328" w:right="59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99.2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Months Ended March 31, 2020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39" w:lineRule="exact"/>
        <w:rPr>
          <w:sz w:val="20"/>
          <w:szCs w:val="20"/>
          <w:color w:val="auto"/>
        </w:rPr>
      </w:pPr>
    </w:p>
    <w:p>
      <w:pPr>
        <w:ind w:right="60" w:firstLine="405"/>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three-month periods ended March 31, 2020 and March 31, 2019.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March 3, 2020.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80" w:firstLine="383"/>
        <w:spacing w:after="0" w:line="268" w:lineRule="auto"/>
        <w:rPr>
          <w:sz w:val="20"/>
          <w:szCs w:val="20"/>
          <w:color w:val="auto"/>
        </w:rPr>
      </w:pPr>
      <w:r>
        <w:rPr>
          <w:rFonts w:ascii="Arial" w:cs="Arial" w:eastAsia="Arial" w:hAnsi="Arial"/>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cash distribution reductions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48" w:lineRule="exact"/>
        <w:rPr>
          <w:sz w:val="20"/>
          <w:szCs w:val="20"/>
          <w:color w:val="auto"/>
        </w:rPr>
      </w:pPr>
    </w:p>
    <w:p>
      <w:pPr>
        <w:ind w:left="660" w:right="120" w:hanging="328"/>
        <w:spacing w:after="0" w:line="284" w:lineRule="auto"/>
        <w:tabs>
          <w:tab w:leader="none" w:pos="624" w:val="left"/>
        </w:tabs>
        <w:numPr>
          <w:ilvl w:val="0"/>
          <w:numId w:val="11"/>
        </w:numPr>
        <w:rPr>
          <w:rFonts w:ascii="Arial" w:cs="Arial" w:eastAsia="Arial" w:hAnsi="Arial"/>
          <w:sz w:val="16"/>
          <w:szCs w:val="16"/>
          <w:color w:val="auto"/>
        </w:rPr>
      </w:pPr>
      <w:r>
        <w:rPr>
          <w:rFonts w:ascii="Arial" w:cs="Arial" w:eastAsia="Arial" w:hAnsi="Arial"/>
          <w:sz w:val="14"/>
          <w:szCs w:val="14"/>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9" w:lineRule="exact"/>
        <w:rPr>
          <w:rFonts w:ascii="Arial" w:cs="Arial" w:eastAsia="Arial" w:hAnsi="Arial"/>
          <w:sz w:val="16"/>
          <w:szCs w:val="16"/>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fluctuations in charter hire rates, vessel utilization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our ability to secure new multi-year charters at economically attractive rates;</w:t>
      </w:r>
    </w:p>
    <w:p>
      <w:pPr>
        <w:spacing w:after="0" w:line="9" w:lineRule="exact"/>
        <w:rPr>
          <w:rFonts w:ascii="Arial" w:cs="Arial" w:eastAsia="Arial" w:hAnsi="Arial"/>
          <w:sz w:val="18"/>
          <w:szCs w:val="18"/>
          <w:color w:val="auto"/>
        </w:rPr>
      </w:pPr>
    </w:p>
    <w:p>
      <w:pPr>
        <w:jc w:val="both"/>
        <w:ind w:left="660" w:right="220" w:hanging="328"/>
        <w:spacing w:after="0" w:line="255"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potential disruption to the LNG, LNG shipping and financial markets caused by the global shutdown as a result of the COVID-19 pandemic;</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fluctuations in exchange rates, especially the U.S. dollar and the Euro;</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6"/>
          <w:szCs w:val="16"/>
          <w:color w:val="auto"/>
        </w:rPr>
        <w:t>our ability to expand our portfolio by acquiring vessels through our drop-down pipeline with GasLog Ltd. (“GasLog”) or by acquiring other assets from third parties;</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our future operating performance, financial condition, liquidity and cash available for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our distribution policy and our ability to make cash distributions on our units or the impact of cash distribution reductions on our financial position;</w:t>
      </w:r>
    </w:p>
    <w:p>
      <w:pPr>
        <w:spacing w:after="0" w:line="9" w:lineRule="exact"/>
        <w:rPr>
          <w:rFonts w:ascii="Arial" w:cs="Arial" w:eastAsia="Arial" w:hAnsi="Arial"/>
          <w:sz w:val="18"/>
          <w:szCs w:val="18"/>
          <w:color w:val="auto"/>
        </w:rPr>
      </w:pPr>
    </w:p>
    <w:p>
      <w:pPr>
        <w:ind w:left="660" w:right="220" w:hanging="328"/>
        <w:spacing w:after="0" w:line="255"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the impact on us and the shipping industry of environmental concerns, including climate change;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ind w:left="660" w:right="460" w:hanging="328"/>
        <w:spacing w:after="0" w:line="255"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6"/>
          <w:szCs w:val="16"/>
          <w:color w:val="auto"/>
        </w:rPr>
        <w:t>potential liability from future litigation;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5"/>
          <w:szCs w:val="15"/>
          <w:color w:val="auto"/>
        </w:rPr>
        <w:t xml:space="preserve">other risks and uncertainties described in the Partnership’s Annual Report on Form 20-F filed with the SEC on March 3, 2020,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23" w:lineRule="exact"/>
        <w:rPr>
          <w:sz w:val="20"/>
          <w:szCs w:val="20"/>
          <w:color w:val="auto"/>
        </w:rPr>
      </w:pPr>
    </w:p>
    <w:p>
      <w:pPr>
        <w:ind w:right="100" w:firstLine="324"/>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26" w:lineRule="exact"/>
        <w:rPr>
          <w:sz w:val="20"/>
          <w:szCs w:val="20"/>
          <w:color w:val="auto"/>
        </w:rPr>
      </w:pPr>
    </w:p>
    <w:p>
      <w:pPr>
        <w:ind w:right="6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However, given the current uncertainty in relation to COVID-19 and in an effort to facilitate robust disclosure, we have identified the following risks and uncertainties or updated the risk factors described in our Annual Report on Form 20-F filed with the SEC on March 3, 2020: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control the outbreak of the COVID-19 virus is negatively affecting the global economy, energy demand and our business.</w:t>
      </w:r>
    </w:p>
    <w:p>
      <w:pPr>
        <w:spacing w:after="0" w:line="235" w:lineRule="exact"/>
        <w:rPr>
          <w:sz w:val="20"/>
          <w:szCs w:val="20"/>
          <w:color w:val="auto"/>
        </w:rPr>
      </w:pPr>
    </w:p>
    <w:p>
      <w:pPr>
        <w:ind w:firstLine="405"/>
        <w:spacing w:after="0" w:line="285" w:lineRule="auto"/>
        <w:rPr>
          <w:sz w:val="20"/>
          <w:szCs w:val="20"/>
          <w:color w:val="auto"/>
        </w:rPr>
      </w:pPr>
      <w:r>
        <w:rPr>
          <w:rFonts w:ascii="Arial" w:cs="Arial" w:eastAsia="Arial" w:hAnsi="Arial"/>
          <w:sz w:val="15"/>
          <w:szCs w:val="15"/>
          <w:color w:val="auto"/>
        </w:rPr>
        <w:t>The recent COVID-19 virus outbreak has introduced uncertainty in a number of areas of our business, including operational, commercial, administrative and financial activities. It has also negatively impacted, and may continue to impact negatively, global economic activity and demand for energy including LNG. As a result of significantly lower demand for oil and refined products and the failure of the principal producers of oil to reduce production in line with the fall in demand, oil prices have fallen by approximately 59% since the end of 2019. Natural gas prices in the primary European and Asian markets for LNG have also fallen although to a lesser extent. Together with reduced economic activity as a result of the COVID-19 virus, the decline in oil and gas prices could disincentivize trading of LNG and reduce the demand for LNG carriers. In the financial markets, the virus, and the responses of governments around the world to manage the impact of the virus, have led to lower interest rates, a strengthening of the U.S. dollar and extreme volatility in the prices of equities, bonds, commodities and their respective derivatives. Our unit price has declined significantly, due, in part, to the impact of the COVID-19 virus. Record low interest rates and exchange rates, especially the U.S. dollar exchange rate, have required us to post $15.0 million of cash collateral against our current marked-to-market derivative liabilities pursuant to a Credit Support Annex entered into between GasLog Partners and GasLog in March 2020. Continuing liquidity constraints in the bank credit markets could create uncertainty about our ability to refinance our 2021 debt maturities. The ongoing spread of the COVID-19 virus may continue to affect negatively our business and operations, the health of our crews and the availability of our fleet, particularly if crew members contract COVID-19 as well as our financial position and prospects. The reduction in LNG demand and the closure of, or restricted access to, ports and terminals in regions affected by the virus may lead to reduced chartering activity and, in the extreme, an inability of our charterers to meet their obligations under the terms of their term charters. Failure to control the continued spread of the virus could significantly impact economic activity and demand for LNG and LNG shipping which could further negatively affect our business, financial condition, results of operations and cash available for distribution.</w:t>
      </w:r>
    </w:p>
    <w:p>
      <w:pPr>
        <w:spacing w:after="0" w:line="181" w:lineRule="exact"/>
        <w:rPr>
          <w:sz w:val="20"/>
          <w:szCs w:val="20"/>
          <w:color w:val="auto"/>
        </w:rPr>
      </w:pPr>
    </w:p>
    <w:p>
      <w:pPr>
        <w:ind w:right="180" w:firstLine="405"/>
        <w:spacing w:after="0" w:line="273" w:lineRule="auto"/>
        <w:rPr>
          <w:sz w:val="20"/>
          <w:szCs w:val="20"/>
          <w:color w:val="auto"/>
        </w:rPr>
      </w:pPr>
      <w:r>
        <w:rPr>
          <w:rFonts w:ascii="Arial" w:cs="Arial" w:eastAsia="Arial" w:hAnsi="Arial"/>
          <w:sz w:val="16"/>
          <w:szCs w:val="16"/>
          <w:color w:val="auto"/>
        </w:rPr>
        <w:t>Although we have taken extensive measures to limit the impact of COVID-19 on business continuity, including the establishment of a dedicated COVID-19 team to implement and amend the GasLog Partners’ and GasLog’s business continuity plan as necessary, implementation of a strict “work from home policy” for all shore-based employees, the development of and strict adherence to guidelines for restricted access to all vessels and the suspension of shore leave and crew changes from mid-March 2020, these may not be sufficient to protect our business against the impact of COVID-19.</w:t>
      </w:r>
    </w:p>
    <w:p>
      <w:pPr>
        <w:spacing w:after="0" w:line="189" w:lineRule="exact"/>
        <w:rPr>
          <w:sz w:val="20"/>
          <w:szCs w:val="20"/>
          <w:color w:val="auto"/>
        </w:rPr>
      </w:pPr>
    </w:p>
    <w:p>
      <w:pPr>
        <w:ind w:right="60"/>
        <w:spacing w:after="0" w:line="355" w:lineRule="auto"/>
        <w:rPr>
          <w:sz w:val="20"/>
          <w:szCs w:val="20"/>
          <w:color w:val="auto"/>
        </w:rPr>
      </w:pPr>
      <w:r>
        <w:rPr>
          <w:rFonts w:ascii="Arial" w:cs="Arial" w:eastAsia="Arial" w:hAnsi="Arial"/>
          <w:sz w:val="13"/>
          <w:szCs w:val="13"/>
          <w:b w:val="1"/>
          <w:bCs w:val="1"/>
          <w:i w:val="1"/>
          <w:iCs w:val="1"/>
          <w:color w:val="auto"/>
        </w:rPr>
        <w:t>In the remaining months of 2020, three of our vessels are scheduled to be dry-docked and, in 2021, five of our vessels are scheduled to be dry-docked. The dry-dockings for four of these vessels (three in 2020 and one in 2021) will be longer and more costly than normal as a result of the need to install ballast water treatment systems (“BWTS”) on each vessel in order to comply with regulatory requirements. Any delay or cost overrun of the dry-docking could have a material adverse effect on our business, results of operations and financial condition and could significantly reduce or eliminate our ability to pay distributions on our common or Preference Units.</w:t>
      </w:r>
    </w:p>
    <w:p>
      <w:pPr>
        <w:spacing w:after="0" w:line="141" w:lineRule="exact"/>
        <w:rPr>
          <w:sz w:val="20"/>
          <w:szCs w:val="20"/>
          <w:color w:val="auto"/>
        </w:rPr>
      </w:pPr>
    </w:p>
    <w:p>
      <w:pPr>
        <w:ind w:right="20" w:firstLine="405"/>
        <w:spacing w:after="0" w:line="311" w:lineRule="auto"/>
        <w:rPr>
          <w:sz w:val="20"/>
          <w:szCs w:val="20"/>
          <w:color w:val="auto"/>
        </w:rPr>
      </w:pPr>
      <w:r>
        <w:rPr>
          <w:rFonts w:ascii="Arial" w:cs="Arial" w:eastAsia="Arial" w:hAnsi="Arial"/>
          <w:sz w:val="14"/>
          <w:szCs w:val="14"/>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In 2020 and 2021, some of the dry-dockings will be longer and more costly than normal as a result of the need to install BWTS on each vessel in order to comply with regulatory requirements. Furthermore, the COVID-19 virus, including the recent “stop work” order in Singapore, may impact the availability of dry-dock yard slots and our ability to source the required personnel and equipment. If more than one of our ships is required to be out of service at the same time, or if a ship is dry-docked longer than expected or if the cost of repairs is greater than budgeted, our results of operations and our cash flows, including cash available for distribution to unitholders, could be adversely affected. The upcoming dry-dockings of our vessels are expected to be carried out in 2020 (three vessels), 2021 (five vessels) and 2023 (four vessels).</w:t>
      </w:r>
    </w:p>
    <w:p>
      <w:pPr>
        <w:spacing w:after="0" w:line="167"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b w:val="1"/>
          <w:bCs w:val="1"/>
          <w:i w:val="1"/>
          <w:iCs w:val="1"/>
          <w:color w:val="auto"/>
        </w:rPr>
        <w:t>Our ability to raise capital to repay or refinance our debt obligations or to fund our maintenance or growth capital expenditures will depend on certain financial, business and other factors, many of which are beyond our control. The COVID-19 virus has had a significant impact on all financial markets, including the prices and the volatility of equities, bonds, commodities, interest rates and foreign exchange rates and their associated derivatives, and the availability and cost of liquidity in the bank credit markets. The recent significant fall in the value of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20" w:name="page21"/>
    <w:bookmarkEnd w:id="20"/>
    <w:p>
      <w:pPr>
        <w:ind w:right="40"/>
        <w:spacing w:after="0" w:line="271" w:lineRule="auto"/>
        <w:rPr>
          <w:sz w:val="20"/>
          <w:szCs w:val="20"/>
          <w:color w:val="auto"/>
        </w:rPr>
      </w:pPr>
      <w:r>
        <w:rPr>
          <w:rFonts w:ascii="Arial" w:cs="Arial" w:eastAsia="Arial" w:hAnsi="Arial"/>
          <w:sz w:val="16"/>
          <w:szCs w:val="16"/>
          <w:b w:val="1"/>
          <w:bCs w:val="1"/>
          <w:i w:val="1"/>
          <w:iCs w:val="1"/>
          <w:color w:val="auto"/>
        </w:rPr>
        <w:t>common units may make it difficult or impossible for us to access the equity or equity-linked capital markets. The recent fall in U.S. interest rates, has required us to post cash collateral against our current marked-to-market derivative liabilities. To the extent that we are unable to finance these obligations and expenditures with cash from operations or incremental bank loans or by issuing debt or equity securities, our ability to make cash distributions may be diminished, or our financial leverage may increase, or our unitholders may be diluted. Our business may be adversely affected if we need to access sources of funding which are more expensive and/or more restrictive.</w:t>
      </w:r>
    </w:p>
    <w:p>
      <w:pPr>
        <w:spacing w:after="0" w:line="190" w:lineRule="exact"/>
        <w:rPr>
          <w:sz w:val="20"/>
          <w:szCs w:val="20"/>
          <w:color w:val="auto"/>
        </w:rPr>
      </w:pPr>
    </w:p>
    <w:p>
      <w:pPr>
        <w:ind w:firstLine="405"/>
        <w:spacing w:after="0" w:line="269" w:lineRule="auto"/>
        <w:rPr>
          <w:sz w:val="20"/>
          <w:szCs w:val="20"/>
          <w:color w:val="auto"/>
        </w:rPr>
      </w:pPr>
      <w:r>
        <w:rPr>
          <w:rFonts w:ascii="Arial" w:cs="Arial" w:eastAsia="Arial" w:hAnsi="Arial"/>
          <w:sz w:val="16"/>
          <w:szCs w:val="16"/>
          <w:color w:val="auto"/>
        </w:rPr>
        <w:t>To fund our existing and future debt obligations and capital expenditures and any future growth, we will be required to use cash from operations, incur borrowings, and/or seek to access other financing sources including the capital markets. Our access to potential funding sources and our future financial and operating performance will be affected by prevailing economic conditions and financial, business, regulatory and other factors, many of which are beyond our control. The COVID-19 virus is having a significant negative impact on global financial markets. Continuing liquidity constraints in the bank credit markets could create uncertainty about our ability to refinance our 2021 debt maturities. If we are unable to access the capital markets or raise additional bank financing or generate sufficient cash flow to meet our debt, capital expenditure and other business requirements, we may be forced to take actions such as:</w:t>
      </w:r>
    </w:p>
    <w:p>
      <w:pPr>
        <w:spacing w:after="0" w:line="207"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seeking waivers or consents from our creditors;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restructuring our debt;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seeking additional debt or equity capital;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selling assets;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further reducing distributions;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reducing, delaying or cancelling our business activities, acquisitions, investments or capital expenditures; or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6"/>
          <w:szCs w:val="16"/>
          <w:color w:val="auto"/>
        </w:rPr>
        <w:t>seeking bankruptcy protection.</w:t>
      </w:r>
    </w:p>
    <w:p>
      <w:pPr>
        <w:spacing w:after="0" w:line="212" w:lineRule="exact"/>
        <w:rPr>
          <w:sz w:val="20"/>
          <w:szCs w:val="20"/>
          <w:color w:val="auto"/>
        </w:rPr>
      </w:pPr>
    </w:p>
    <w:p>
      <w:pPr>
        <w:ind w:firstLine="405"/>
        <w:spacing w:after="0" w:line="288" w:lineRule="auto"/>
        <w:rPr>
          <w:sz w:val="20"/>
          <w:szCs w:val="20"/>
          <w:color w:val="auto"/>
        </w:rPr>
      </w:pPr>
      <w:r>
        <w:rPr>
          <w:rFonts w:ascii="Arial" w:cs="Arial" w:eastAsia="Arial" w:hAnsi="Arial"/>
          <w:sz w:val="15"/>
          <w:szCs w:val="15"/>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Use of cash from operations and possible future sale of certain assets will reduce cash available for distribution to unitholders. Our ability to obtain bank financing or to access the capital markets may be limited by our financial condition at the time of any such financing or offering as well as by adverse market conditions. Following the recent significant fall in the value of our common units, we may not be able to access the equity or equity-linked capital markets. Even if we are successful in obtaining the necessary funds, the terms of such financings could limit our ability to pay cash distributions to unitholders or operate our business as currently conducted. In addition, incurring additional debt may significantly increase our interest expense and financial leverage, and issuing additional equity securities may result in significant unitholder dilution and would increase the aggregate amount of cash required to maintain our quarterly distributions to unitholders.</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9" w:lineRule="exact"/>
        <w:rPr>
          <w:sz w:val="20"/>
          <w:szCs w:val="20"/>
          <w:color w:val="auto"/>
        </w:rPr>
      </w:pPr>
    </w:p>
    <w:p>
      <w:pPr>
        <w:ind w:right="320" w:firstLine="383"/>
        <w:spacing w:after="0" w:line="273" w:lineRule="auto"/>
        <w:rPr>
          <w:sz w:val="20"/>
          <w:szCs w:val="20"/>
          <w:color w:val="auto"/>
        </w:rPr>
      </w:pPr>
      <w:r>
        <w:rPr>
          <w:rFonts w:ascii="Arial" w:cs="Arial" w:eastAsia="Arial" w:hAnsi="Arial"/>
          <w:sz w:val="16"/>
          <w:szCs w:val="16"/>
          <w:color w:val="auto"/>
        </w:rPr>
        <w:t>On February 5, 2020, the board of directors of GasLog Partners authorized a renewal of the Partnership’s unit repurchase programme taking the total authority outstanding under the programme to $25.0 million which may be utilized from February 10, 2020 to December 31, 2021. In the three months ended March 31, 2020, GasLog Partners repurchased and cancelled 191,490 of the Partnership’s common units at a weighted average price of $5.18 per common unit for a total amount of $1.0 million, including commissions.</w:t>
      </w:r>
    </w:p>
    <w:p>
      <w:pPr>
        <w:spacing w:after="0" w:line="189" w:lineRule="exact"/>
        <w:rPr>
          <w:sz w:val="20"/>
          <w:szCs w:val="20"/>
          <w:color w:val="auto"/>
        </w:rPr>
      </w:pPr>
    </w:p>
    <w:p>
      <w:pPr>
        <w:ind w:right="140" w:firstLine="383"/>
        <w:spacing w:after="0" w:line="278" w:lineRule="auto"/>
        <w:rPr>
          <w:sz w:val="20"/>
          <w:szCs w:val="20"/>
          <w:color w:val="auto"/>
        </w:rPr>
      </w:pPr>
      <w:r>
        <w:rPr>
          <w:rFonts w:ascii="Arial" w:cs="Arial" w:eastAsia="Arial" w:hAnsi="Arial"/>
          <w:sz w:val="16"/>
          <w:szCs w:val="16"/>
          <w:color w:val="auto"/>
        </w:rPr>
        <w:t>As of March 31, 2020, GasLog held a 35.6% interest in the Partnership (including 2.0% through general partner units).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Update</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Operational update</w:t>
      </w:r>
    </w:p>
    <w:p>
      <w:pPr>
        <w:spacing w:after="0" w:line="239" w:lineRule="exact"/>
        <w:rPr>
          <w:sz w:val="20"/>
          <w:szCs w:val="20"/>
          <w:color w:val="auto"/>
        </w:rPr>
      </w:pPr>
    </w:p>
    <w:p>
      <w:pPr>
        <w:jc w:val="both"/>
        <w:ind w:right="60" w:firstLine="383"/>
        <w:spacing w:after="0" w:line="278" w:lineRule="auto"/>
        <w:rPr>
          <w:sz w:val="20"/>
          <w:szCs w:val="20"/>
          <w:color w:val="auto"/>
        </w:rPr>
      </w:pPr>
      <w:r>
        <w:rPr>
          <w:rFonts w:ascii="Arial" w:cs="Arial" w:eastAsia="Arial" w:hAnsi="Arial"/>
          <w:sz w:val="16"/>
          <w:szCs w:val="16"/>
          <w:color w:val="auto"/>
        </w:rPr>
        <w:t>GasLog Partners’ main focus, together with GasLog, is on securing the health and safety of employees and ensuring safe and reliable operations for our customers. To date, there have been no confirmed cases of COVID-19 infection amongst sea-going or shore-based personnel. During 2020 to date, extensive measures have been taken to limit the impact of COVID-19 on GasLog Partners’ and GasLog’s business. These include:</w:t>
      </w:r>
    </w:p>
    <w:p>
      <w:pPr>
        <w:spacing w:after="0" w:line="198" w:lineRule="exact"/>
        <w:rPr>
          <w:sz w:val="20"/>
          <w:szCs w:val="20"/>
          <w:color w:val="auto"/>
        </w:rPr>
      </w:pPr>
    </w:p>
    <w:p>
      <w:pPr>
        <w:ind w:left="660" w:right="580" w:hanging="328"/>
        <w:spacing w:after="0" w:line="250"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6"/>
          <w:szCs w:val="16"/>
          <w:color w:val="auto"/>
        </w:rPr>
        <w:t>A dedicated task force established to manage the impact of COVID-19 on all aspects of our business and operations and to review and amend our business continuity plan as required;</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6"/>
          <w:szCs w:val="16"/>
          <w:color w:val="auto"/>
        </w:rPr>
        <w:t>A company-wide “work from home” policy instituted for all onshore employees;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6"/>
          <w:szCs w:val="16"/>
          <w:color w:val="auto"/>
        </w:rPr>
        <w:t>Strict guidelines imposed, restricting access to all vessels and suspending shore leave and crew changes from mid-March 2020.</w:t>
      </w:r>
    </w:p>
    <w:p>
      <w:pPr>
        <w:spacing w:after="0" w:line="212" w:lineRule="exact"/>
        <w:rPr>
          <w:sz w:val="20"/>
          <w:szCs w:val="20"/>
          <w:color w:val="auto"/>
        </w:rPr>
      </w:pPr>
    </w:p>
    <w:p>
      <w:pPr>
        <w:ind w:right="180" w:firstLine="383"/>
        <w:spacing w:after="0" w:line="278" w:lineRule="auto"/>
        <w:rPr>
          <w:sz w:val="20"/>
          <w:szCs w:val="20"/>
          <w:color w:val="auto"/>
        </w:rPr>
      </w:pPr>
      <w:r>
        <w:rPr>
          <w:rFonts w:ascii="Arial" w:cs="Arial" w:eastAsia="Arial" w:hAnsi="Arial"/>
          <w:sz w:val="16"/>
          <w:szCs w:val="16"/>
          <w:color w:val="auto"/>
        </w:rPr>
        <w:t xml:space="preserve">As a result of these measures, and the dedication of employees onshore and aboard our vessels, approximately 100% of our fleet continues to be available for commercial use. These measures have also allowed GasLog Partners to opportunistically bring forward the scheduled dry-docking of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by 25 days such that the dry-docking was completed entirely during the slowdown of LNG trade in February and March 2020.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21" w:name="page22"/>
    <w:bookmarkEnd w:id="21"/>
    <w:p>
      <w:pPr>
        <w:ind w:left="340"/>
        <w:spacing w:after="0"/>
        <w:rPr>
          <w:sz w:val="20"/>
          <w:szCs w:val="20"/>
          <w:color w:val="auto"/>
        </w:rPr>
      </w:pPr>
      <w:r>
        <w:rPr>
          <w:rFonts w:ascii="Arial" w:cs="Arial" w:eastAsia="Arial" w:hAnsi="Arial"/>
          <w:sz w:val="16"/>
          <w:szCs w:val="16"/>
          <w:b w:val="1"/>
          <w:bCs w:val="1"/>
          <w:color w:val="auto"/>
        </w:rPr>
        <w:t>Commercial update</w:t>
      </w:r>
    </w:p>
    <w:p>
      <w:pPr>
        <w:spacing w:after="0" w:line="239" w:lineRule="exact"/>
        <w:rPr>
          <w:sz w:val="20"/>
          <w:szCs w:val="20"/>
          <w:color w:val="auto"/>
        </w:rPr>
      </w:pPr>
    </w:p>
    <w:p>
      <w:pPr>
        <w:ind w:right="100" w:firstLine="383"/>
        <w:spacing w:after="0" w:line="293" w:lineRule="auto"/>
        <w:rPr>
          <w:sz w:val="20"/>
          <w:szCs w:val="20"/>
          <w:color w:val="auto"/>
        </w:rPr>
      </w:pPr>
      <w:r>
        <w:rPr>
          <w:rFonts w:ascii="Arial" w:cs="Arial" w:eastAsia="Arial" w:hAnsi="Arial"/>
          <w:sz w:val="16"/>
          <w:szCs w:val="16"/>
          <w:color w:val="auto"/>
        </w:rPr>
        <w:t>Given the continuing impact of COVID-19 on economic activity and energy demand, there is uncertainty regarding future LNG demand and, consequently, near-term LNG shipping requirements.</w:t>
      </w:r>
    </w:p>
    <w:p>
      <w:pPr>
        <w:spacing w:after="0" w:line="185" w:lineRule="exact"/>
        <w:rPr>
          <w:sz w:val="20"/>
          <w:szCs w:val="20"/>
          <w:color w:val="auto"/>
        </w:rPr>
      </w:pPr>
    </w:p>
    <w:p>
      <w:pPr>
        <w:ind w:left="660" w:right="20" w:hanging="328"/>
        <w:spacing w:after="0" w:line="250"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6"/>
          <w:szCs w:val="16"/>
          <w:color w:val="auto"/>
        </w:rPr>
        <w:t>To date, we have not experienced any disruption to the charter parties, including contracted revenues, for our term- or spot-chartered vessels, as a result of COVID-19;</w:t>
      </w:r>
    </w:p>
    <w:p>
      <w:pPr>
        <w:spacing w:after="0" w:line="10"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6"/>
          <w:szCs w:val="16"/>
          <w:color w:val="auto"/>
        </w:rPr>
        <w:t>Our vessels operating in the spot and short-term market are currently chartered through to at least June 2020; and</w:t>
      </w:r>
    </w:p>
    <w:p>
      <w:pPr>
        <w:spacing w:after="0" w:line="9" w:lineRule="exact"/>
        <w:rPr>
          <w:rFonts w:ascii="Arial" w:cs="Arial" w:eastAsia="Arial" w:hAnsi="Arial"/>
          <w:sz w:val="18"/>
          <w:szCs w:val="18"/>
          <w:color w:val="auto"/>
        </w:rPr>
      </w:pPr>
    </w:p>
    <w:p>
      <w:pPr>
        <w:ind w:left="660" w:right="280" w:hanging="328"/>
        <w:spacing w:after="0" w:line="263"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The combined impact of COVID-19 and normal seasonality may lead to greater volatility in spot rates and to lower utilization of vessels trading in the spot and short-term markets, in particular our steam turbine propulsion (“Steam”) vessels.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Financial update</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COVID-19 has had a significant impact on the global capital and bank credit markets, including access to and cost of liquidity.</w:t>
      </w:r>
    </w:p>
    <w:p>
      <w:pPr>
        <w:spacing w:after="0" w:line="248" w:lineRule="exact"/>
        <w:rPr>
          <w:sz w:val="20"/>
          <w:szCs w:val="20"/>
          <w:color w:val="auto"/>
        </w:rPr>
      </w:pPr>
    </w:p>
    <w:p>
      <w:pPr>
        <w:ind w:left="660" w:right="120" w:hanging="328"/>
        <w:spacing w:after="0" w:line="257"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recent fall in interest rates as a result of central bank measures to support economies affected by the COVID-19 pandemic has resulted in an increase in the mark-to-market derivative liabilities with respect to our derivative instruments with GasLog. In March 2020, following the execution of a Credit Support Annex between GasLog Partners and GasLog with a maximum cash collateral requirement of $15.0 million and a termination date of December 31, 2020, we posted the maximum cash collateral in the sum of $15.0 million with GasLog; and</w:t>
      </w:r>
    </w:p>
    <w:p>
      <w:pPr>
        <w:spacing w:after="0" w:line="10" w:lineRule="exact"/>
        <w:rPr>
          <w:rFonts w:ascii="Arial" w:cs="Arial" w:eastAsia="Arial" w:hAnsi="Arial"/>
          <w:sz w:val="18"/>
          <w:szCs w:val="18"/>
          <w:color w:val="auto"/>
        </w:rPr>
      </w:pPr>
    </w:p>
    <w:p>
      <w:pPr>
        <w:ind w:left="660" w:right="100" w:hanging="328"/>
        <w:spacing w:after="0" w:line="263"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There have been no other material impacts to date of the COVID-19 pandemic on our financial position and we are continuing the process of refinancing our bank loans maturing in April and July 2021.</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Distribution</w:t>
      </w:r>
    </w:p>
    <w:p>
      <w:pPr>
        <w:spacing w:after="0" w:line="239" w:lineRule="exact"/>
        <w:rPr>
          <w:sz w:val="20"/>
          <w:szCs w:val="20"/>
          <w:color w:val="auto"/>
        </w:rPr>
      </w:pPr>
    </w:p>
    <w:p>
      <w:pPr>
        <w:ind w:right="40" w:firstLine="383"/>
        <w:spacing w:after="0" w:line="278" w:lineRule="auto"/>
        <w:rPr>
          <w:sz w:val="20"/>
          <w:szCs w:val="20"/>
          <w:color w:val="auto"/>
        </w:rPr>
      </w:pPr>
      <w:r>
        <w:rPr>
          <w:rFonts w:ascii="Arial" w:cs="Arial" w:eastAsia="Arial" w:hAnsi="Arial"/>
          <w:sz w:val="16"/>
          <w:szCs w:val="16"/>
          <w:color w:val="auto"/>
        </w:rPr>
        <w:t>On May 6, 2020, the board of directors of GasLog Partners approved and declared a quarterly cash distribution of $0.125 per common unit for the quarter ended March 31, 2020. The cash distribution is payable on May 21, 2020 to all unitholders of record as of May 18, 2020. The aggregate amount of the declared distribution will be $6.0 million based on the number of units issued and outstanding on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right="120" w:firstLine="427"/>
        <w:spacing w:after="0" w:line="291" w:lineRule="auto"/>
        <w:rPr>
          <w:sz w:val="20"/>
          <w:szCs w:val="20"/>
          <w:color w:val="auto"/>
        </w:rPr>
      </w:pPr>
      <w:r>
        <w:rPr>
          <w:rFonts w:ascii="Arial" w:cs="Arial" w:eastAsia="Arial" w:hAnsi="Arial"/>
          <w:sz w:val="15"/>
          <w:szCs w:val="15"/>
          <w:color w:val="auto"/>
        </w:rPr>
        <w:t>Since our initial public offering (“IPO”) in May 2014, we have been a growth-oriented limited partnership focused on acquiring, owning and operating LNG carriers engaged in LNG transportation under multi-year charters, growing our fleet from three vessels at the time of our IPO to 15 today, of which ten have tri-fuel diesel electric (“TFDE”) propulsion technology and five are Steam vessels. However, our cost of equity capital has remained elevated for a prolonged period and has prohibited us from raising, on acceptable terms, the capital required to continue growing our assets and our cash flows. This, together with the additional uncertainty which the COVID-19 pandemic brings, requires us to focus our capital allocation on debt repayment, prioritizing balance sheet strength for 2020, in order to lower our cash break-evens and to reposition the Partnership for potential future growth if our cost of capital allows us to access debt and equity capital on acceptable terms.</w:t>
      </w:r>
    </w:p>
    <w:p>
      <w:pPr>
        <w:spacing w:after="0" w:line="176" w:lineRule="exact"/>
        <w:rPr>
          <w:sz w:val="20"/>
          <w:szCs w:val="20"/>
          <w:color w:val="auto"/>
        </w:rPr>
      </w:pPr>
    </w:p>
    <w:p>
      <w:pPr>
        <w:ind w:right="20" w:firstLine="427"/>
        <w:spacing w:after="0" w:line="293" w:lineRule="auto"/>
        <w:rPr>
          <w:sz w:val="20"/>
          <w:szCs w:val="20"/>
          <w:color w:val="auto"/>
        </w:rPr>
      </w:pPr>
      <w:r>
        <w:rPr>
          <w:rFonts w:ascii="Arial" w:cs="Arial" w:eastAsia="Arial" w:hAnsi="Arial"/>
          <w:sz w:val="15"/>
          <w:szCs w:val="15"/>
          <w:color w:val="auto"/>
        </w:rPr>
        <w:t>As of March 31, 2020, our fleet consisted of 15 LNG carriers, including ten vessels with TFDE propulsion and five modern Steam vessels. We also have options and other rights under which we may acquire additional LNG carriers from GasLog, as described below. We believe that such options and rights provide us with significant built-in growth opportunities. We may also acquire vessels or other LNG infrastructure assets from shipyards or other owners. However, we cannot assure you that we will make any particular acquisition or that, as a consequence, we will successfully grow our distributions per common unit. Among other things, our ability to acquire additional LNG carriers or other LNG infrastructure assets will be dependent upon our ability to raise additional equity and debt financing.</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Fleet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fleet currently consists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Cargo</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Capacity</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(cubic meters</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Charter</w:t>
            </w: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3"/>
        </w:trPr>
        <w:tc>
          <w:tcPr>
            <w:tcW w:w="24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Year Built</w:t>
            </w:r>
          </w:p>
        </w:tc>
        <w:tc>
          <w:tcPr>
            <w:tcW w:w="17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“cbm”)</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Propulsion</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Expiration</w:t>
            </w:r>
          </w:p>
        </w:tc>
        <w:tc>
          <w:tcPr>
            <w:tcW w:w="1440" w:type="dxa"/>
            <w:vAlign w:val="bottom"/>
            <w:gridSpan w:val="2"/>
          </w:tcPr>
          <w:p>
            <w:pPr>
              <w:jc w:val="right"/>
              <w:ind w:right="106"/>
              <w:spacing w:after="0"/>
              <w:rPr>
                <w:sz w:val="20"/>
                <w:szCs w:val="20"/>
                <w:color w:val="auto"/>
              </w:rPr>
            </w:pPr>
            <w:r>
              <w:rPr>
                <w:rFonts w:ascii="Arial" w:cs="Arial" w:eastAsia="Arial" w:hAnsi="Arial"/>
                <w:sz w:val="16"/>
                <w:szCs w:val="16"/>
                <w:b w:val="1"/>
                <w:bCs w:val="1"/>
                <w:color w:val="auto"/>
              </w:rPr>
              <w:t>Optional Period</w:t>
            </w:r>
          </w:p>
        </w:tc>
      </w:tr>
      <w:tr>
        <w:trPr>
          <w:trHeight w:val="199"/>
        </w:trPr>
        <w:tc>
          <w:tcPr>
            <w:tcW w:w="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w:t>
            </w:r>
          </w:p>
        </w:tc>
        <w:tc>
          <w:tcPr>
            <w:tcW w:w="1920" w:type="dxa"/>
            <w:vAlign w:val="bottom"/>
            <w:tcBorders>
              <w:top w:val="single" w:sz="8" w:color="auto"/>
            </w:tcBorders>
            <w:shd w:val="clear" w:color="auto" w:fill="E5FFFF"/>
          </w:tcPr>
          <w:p>
            <w:pPr>
              <w:ind w:left="60"/>
              <w:spacing w:after="0"/>
              <w:rPr>
                <w:sz w:val="20"/>
                <w:szCs w:val="20"/>
                <w:color w:val="auto"/>
              </w:rPr>
            </w:pPr>
            <w:r>
              <w:rPr>
                <w:rFonts w:ascii="Arial" w:cs="Arial" w:eastAsia="Arial" w:hAnsi="Arial"/>
                <w:sz w:val="16"/>
                <w:szCs w:val="16"/>
                <w:i w:val="1"/>
                <w:iCs w:val="1"/>
                <w:color w:val="auto"/>
              </w:rPr>
              <w:t>Methane Alison Victoria</w:t>
            </w:r>
          </w:p>
        </w:tc>
        <w:tc>
          <w:tcPr>
            <w:tcW w:w="14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2007</w:t>
            </w:r>
          </w:p>
        </w:tc>
        <w:tc>
          <w:tcPr>
            <w:tcW w:w="16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Spot Market</w:t>
            </w:r>
          </w:p>
        </w:tc>
        <w:tc>
          <w:tcPr>
            <w:tcW w:w="120" w:type="dxa"/>
            <w:vAlign w:val="bottom"/>
            <w:tcBorders>
              <w:top w:val="single" w:sz="8" w:color="E5FFFF"/>
            </w:tcBorders>
            <w:shd w:val="clear" w:color="auto" w:fill="E5FFFF"/>
          </w:tcPr>
          <w:p>
            <w:pPr>
              <w:spacing w:after="0"/>
              <w:rPr>
                <w:sz w:val="17"/>
                <w:szCs w:val="17"/>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6"/>
              </w:rPr>
              <w:t>Steam</w:t>
            </w:r>
          </w:p>
        </w:tc>
        <w:tc>
          <w:tcPr>
            <w:tcW w:w="12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center"/>
              <w:ind w:left="539"/>
              <w:spacing w:after="0"/>
              <w:rPr>
                <w:sz w:val="20"/>
                <w:szCs w:val="20"/>
                <w:color w:val="auto"/>
              </w:rPr>
            </w:pPr>
            <w:r>
              <w:rPr>
                <w:rFonts w:ascii="Arial" w:cs="Arial" w:eastAsia="Arial" w:hAnsi="Arial"/>
                <w:sz w:val="16"/>
                <w:szCs w:val="16"/>
                <w:color w:val="auto"/>
                <w:w w:val="99"/>
              </w:rPr>
              <w:t>—</w:t>
            </w:r>
          </w:p>
        </w:tc>
        <w:tc>
          <w:tcPr>
            <w:tcW w:w="620" w:type="dxa"/>
            <w:vAlign w:val="bottom"/>
            <w:tcBorders>
              <w:top w:val="single" w:sz="8" w:color="auto"/>
            </w:tcBorders>
            <w:shd w:val="clear" w:color="auto" w:fill="E5FFFF"/>
          </w:tcPr>
          <w:p>
            <w:pPr>
              <w:spacing w:after="0"/>
              <w:rPr>
                <w:sz w:val="17"/>
                <w:szCs w:val="17"/>
                <w:color w:val="auto"/>
              </w:rPr>
            </w:pPr>
          </w:p>
        </w:tc>
      </w:tr>
      <w:tr>
        <w:trPr>
          <w:trHeight w:val="203"/>
        </w:trPr>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2</w:t>
            </w:r>
          </w:p>
        </w:tc>
        <w:tc>
          <w:tcPr>
            <w:tcW w:w="2060" w:type="dxa"/>
            <w:vAlign w:val="bottom"/>
            <w:gridSpan w:val="2"/>
          </w:tcPr>
          <w:p>
            <w:pPr>
              <w:ind w:left="60"/>
              <w:spacing w:after="0"/>
              <w:rPr>
                <w:sz w:val="20"/>
                <w:szCs w:val="20"/>
                <w:color w:val="auto"/>
              </w:rPr>
            </w:pPr>
            <w:r>
              <w:rPr>
                <w:rFonts w:ascii="Arial" w:cs="Arial" w:eastAsia="Arial" w:hAnsi="Arial"/>
                <w:sz w:val="16"/>
                <w:szCs w:val="16"/>
                <w:i w:val="1"/>
                <w:iCs w:val="1"/>
                <w:color w:val="auto"/>
              </w:rPr>
              <w:t>Methane Rita Andrea</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2006</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Spot Market</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820" w:type="dxa"/>
            <w:vAlign w:val="bottom"/>
          </w:tcPr>
          <w:p>
            <w:pPr>
              <w:jc w:val="center"/>
              <w:ind w:left="539"/>
              <w:spacing w:after="0"/>
              <w:rPr>
                <w:sz w:val="20"/>
                <w:szCs w:val="20"/>
                <w:color w:val="auto"/>
              </w:rPr>
            </w:pPr>
            <w:r>
              <w:rPr>
                <w:rFonts w:ascii="Arial" w:cs="Arial" w:eastAsia="Arial" w:hAnsi="Arial"/>
                <w:sz w:val="16"/>
                <w:szCs w:val="16"/>
                <w:color w:val="auto"/>
                <w:w w:val="99"/>
              </w:rPr>
              <w:t>—</w:t>
            </w:r>
          </w:p>
        </w:tc>
        <w:tc>
          <w:tcPr>
            <w:tcW w:w="620" w:type="dxa"/>
            <w:vAlign w:val="bottom"/>
          </w:tcPr>
          <w:p>
            <w:pPr>
              <w:spacing w:after="0"/>
              <w:rPr>
                <w:sz w:val="17"/>
                <w:szCs w:val="17"/>
                <w:color w:val="auto"/>
              </w:rPr>
            </w:pPr>
          </w:p>
        </w:tc>
      </w:tr>
      <w:tr>
        <w:trPr>
          <w:trHeight w:val="193"/>
        </w:trPr>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3</w:t>
            </w:r>
          </w:p>
        </w:tc>
        <w:tc>
          <w:tcPr>
            <w:tcW w:w="20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Sydney</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2013</w:t>
            </w:r>
          </w:p>
        </w:tc>
        <w:tc>
          <w:tcPr>
            <w:tcW w:w="160" w:type="dxa"/>
            <w:vAlign w:val="bottom"/>
            <w:shd w:val="clear" w:color="auto" w:fill="E5FFFF"/>
          </w:tcPr>
          <w:p>
            <w:pPr>
              <w:spacing w:after="0"/>
              <w:rPr>
                <w:sz w:val="16"/>
                <w:szCs w:val="16"/>
                <w:color w:val="auto"/>
              </w:rPr>
            </w:pP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shd w:val="clear" w:color="auto" w:fill="E5FFFF"/>
          </w:tcPr>
          <w:p>
            <w:pPr>
              <w:spacing w:after="0"/>
              <w:rPr>
                <w:sz w:val="16"/>
                <w:szCs w:val="16"/>
                <w:color w:val="auto"/>
              </w:rPr>
            </w:pPr>
          </w:p>
        </w:tc>
        <w:tc>
          <w:tcPr>
            <w:tcW w:w="18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1"/>
              </w:rPr>
              <w:t>Cheniere Energy Inc.</w:t>
            </w:r>
          </w:p>
        </w:tc>
        <w:tc>
          <w:tcPr>
            <w:tcW w:w="10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6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2020</w:t>
            </w:r>
          </w:p>
        </w:tc>
        <w:tc>
          <w:tcPr>
            <w:tcW w:w="820" w:type="dxa"/>
            <w:vAlign w:val="bottom"/>
            <w:shd w:val="clear" w:color="auto" w:fill="E5FFFF"/>
          </w:tcPr>
          <w:p>
            <w:pPr>
              <w:jc w:val="center"/>
              <w:ind w:left="539"/>
              <w:spacing w:after="0"/>
              <w:rPr>
                <w:sz w:val="20"/>
                <w:szCs w:val="20"/>
                <w:color w:val="auto"/>
              </w:rPr>
            </w:pPr>
            <w:r>
              <w:rPr>
                <w:rFonts w:ascii="Arial" w:cs="Arial" w:eastAsia="Arial" w:hAnsi="Arial"/>
                <w:sz w:val="16"/>
                <w:szCs w:val="16"/>
                <w:color w:val="auto"/>
                <w:w w:val="99"/>
              </w:rPr>
              <w:t>—</w:t>
            </w:r>
          </w:p>
        </w:tc>
        <w:tc>
          <w:tcPr>
            <w:tcW w:w="620" w:type="dxa"/>
            <w:vAlign w:val="bottom"/>
            <w:shd w:val="clear" w:color="auto" w:fill="E5FFFF"/>
          </w:tcPr>
          <w:p>
            <w:pPr>
              <w:spacing w:after="0"/>
              <w:rPr>
                <w:sz w:val="16"/>
                <w:szCs w:val="16"/>
                <w:color w:val="auto"/>
              </w:rPr>
            </w:pPr>
          </w:p>
        </w:tc>
      </w:tr>
      <w:tr>
        <w:trPr>
          <w:trHeight w:val="212"/>
        </w:trPr>
        <w:tc>
          <w:tcPr>
            <w:tcW w:w="340" w:type="dxa"/>
            <w:vAlign w:val="bottom"/>
            <w:shd w:val="clear" w:color="auto" w:fill="E5FFFF"/>
          </w:tcPr>
          <w:p>
            <w:pPr>
              <w:spacing w:after="0"/>
              <w:rPr>
                <w:sz w:val="18"/>
                <w:szCs w:val="18"/>
                <w:color w:val="auto"/>
              </w:rPr>
            </w:pPr>
          </w:p>
        </w:tc>
        <w:tc>
          <w:tcPr>
            <w:tcW w:w="19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8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(“Cheniere”)</w:t>
            </w:r>
          </w:p>
        </w:tc>
        <w:tc>
          <w:tcPr>
            <w:tcW w:w="9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r>
      <w:tr>
        <w:trPr>
          <w:trHeight w:val="203"/>
        </w:trPr>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4</w:t>
            </w:r>
          </w:p>
        </w:tc>
        <w:tc>
          <w:tcPr>
            <w:tcW w:w="2060" w:type="dxa"/>
            <w:vAlign w:val="bottom"/>
            <w:gridSpan w:val="2"/>
          </w:tcPr>
          <w:p>
            <w:pPr>
              <w:ind w:left="60"/>
              <w:spacing w:after="0"/>
              <w:rPr>
                <w:sz w:val="20"/>
                <w:szCs w:val="20"/>
                <w:color w:val="auto"/>
              </w:rPr>
            </w:pPr>
            <w:r>
              <w:rPr>
                <w:rFonts w:ascii="Arial" w:cs="Arial" w:eastAsia="Arial" w:hAnsi="Arial"/>
                <w:sz w:val="16"/>
                <w:szCs w:val="16"/>
                <w:i w:val="1"/>
                <w:iCs w:val="1"/>
                <w:color w:val="auto"/>
              </w:rPr>
              <w:t>Methane Shirley Elisabeth</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2007</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2020</w:t>
            </w:r>
          </w:p>
        </w:tc>
        <w:tc>
          <w:tcPr>
            <w:tcW w:w="820" w:type="dxa"/>
            <w:vAlign w:val="bottom"/>
          </w:tcPr>
          <w:p>
            <w:pPr>
              <w:jc w:val="center"/>
              <w:ind w:left="539"/>
              <w:spacing w:after="0"/>
              <w:rPr>
                <w:sz w:val="20"/>
                <w:szCs w:val="20"/>
                <w:color w:val="auto"/>
              </w:rPr>
            </w:pPr>
            <w:r>
              <w:rPr>
                <w:rFonts w:ascii="Arial" w:cs="Arial" w:eastAsia="Arial" w:hAnsi="Arial"/>
                <w:sz w:val="16"/>
                <w:szCs w:val="16"/>
                <w:color w:val="auto"/>
                <w:w w:val="99"/>
              </w:rPr>
              <w:t>—</w:t>
            </w:r>
          </w:p>
        </w:tc>
        <w:tc>
          <w:tcPr>
            <w:tcW w:w="620" w:type="dxa"/>
            <w:vAlign w:val="bottom"/>
          </w:tcPr>
          <w:p>
            <w:pPr>
              <w:spacing w:after="0"/>
              <w:rPr>
                <w:sz w:val="17"/>
                <w:szCs w:val="17"/>
                <w:color w:val="auto"/>
              </w:rPr>
            </w:pPr>
          </w:p>
        </w:tc>
      </w:tr>
      <w:tr>
        <w:trPr>
          <w:trHeight w:val="202"/>
        </w:trPr>
        <w:tc>
          <w:tcPr>
            <w:tcW w:w="340" w:type="dxa"/>
            <w:vAlign w:val="bottom"/>
            <w:shd w:val="clear" w:color="auto" w:fill="E2FFFF"/>
          </w:tcPr>
          <w:p>
            <w:pPr>
              <w:jc w:val="center"/>
              <w:spacing w:after="0"/>
              <w:rPr>
                <w:sz w:val="20"/>
                <w:szCs w:val="20"/>
                <w:color w:val="auto"/>
              </w:rPr>
            </w:pPr>
            <w:r>
              <w:rPr>
                <w:rFonts w:ascii="Arial" w:cs="Arial" w:eastAsia="Arial" w:hAnsi="Arial"/>
                <w:sz w:val="16"/>
                <w:szCs w:val="16"/>
                <w:b w:val="1"/>
                <w:bCs w:val="1"/>
                <w:color w:val="auto"/>
                <w:w w:val="89"/>
              </w:rPr>
              <w:t>5</w:t>
            </w:r>
          </w:p>
        </w:tc>
        <w:tc>
          <w:tcPr>
            <w:tcW w:w="2060" w:type="dxa"/>
            <w:vAlign w:val="bottom"/>
            <w:gridSpan w:val="2"/>
            <w:shd w:val="clear" w:color="auto" w:fill="E2FFFF"/>
          </w:tcPr>
          <w:p>
            <w:pPr>
              <w:ind w:left="60"/>
              <w:spacing w:after="0"/>
              <w:rPr>
                <w:sz w:val="20"/>
                <w:szCs w:val="20"/>
                <w:color w:val="auto"/>
              </w:rPr>
            </w:pPr>
            <w:r>
              <w:rPr>
                <w:rFonts w:ascii="Arial" w:cs="Arial" w:eastAsia="Arial" w:hAnsi="Arial"/>
                <w:sz w:val="16"/>
                <w:szCs w:val="16"/>
                <w:i w:val="1"/>
                <w:iCs w:val="1"/>
                <w:color w:val="auto"/>
              </w:rPr>
              <w:t>Methane Jane Elizabeth</w:t>
            </w:r>
          </w:p>
        </w:tc>
        <w:tc>
          <w:tcPr>
            <w:tcW w:w="940" w:type="dxa"/>
            <w:vAlign w:val="bottom"/>
            <w:shd w:val="clear" w:color="auto" w:fill="E2FFFF"/>
          </w:tcPr>
          <w:p>
            <w:pPr>
              <w:jc w:val="center"/>
              <w:spacing w:after="0"/>
              <w:rPr>
                <w:sz w:val="20"/>
                <w:szCs w:val="20"/>
                <w:color w:val="auto"/>
              </w:rPr>
            </w:pPr>
            <w:r>
              <w:rPr>
                <w:rFonts w:ascii="Arial" w:cs="Arial" w:eastAsia="Arial" w:hAnsi="Arial"/>
                <w:sz w:val="16"/>
                <w:szCs w:val="16"/>
                <w:color w:val="auto"/>
                <w:w w:val="95"/>
              </w:rPr>
              <w:t>2006</w:t>
            </w:r>
          </w:p>
        </w:tc>
        <w:tc>
          <w:tcPr>
            <w:tcW w:w="160" w:type="dxa"/>
            <w:vAlign w:val="bottom"/>
            <w:shd w:val="clear" w:color="auto" w:fill="E2FFFF"/>
          </w:tcPr>
          <w:p>
            <w:pPr>
              <w:spacing w:after="0"/>
              <w:rPr>
                <w:sz w:val="17"/>
                <w:szCs w:val="17"/>
                <w:color w:val="auto"/>
              </w:rPr>
            </w:pPr>
          </w:p>
        </w:tc>
        <w:tc>
          <w:tcPr>
            <w:tcW w:w="1640" w:type="dxa"/>
            <w:vAlign w:val="bottom"/>
            <w:shd w:val="clear" w:color="auto" w:fill="E2FFFF"/>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shd w:val="clear" w:color="auto" w:fill="E2FFFF"/>
          </w:tcPr>
          <w:p>
            <w:pPr>
              <w:spacing w:after="0"/>
              <w:rPr>
                <w:sz w:val="17"/>
                <w:szCs w:val="17"/>
                <w:color w:val="auto"/>
              </w:rPr>
            </w:pPr>
          </w:p>
        </w:tc>
        <w:tc>
          <w:tcPr>
            <w:tcW w:w="1820" w:type="dxa"/>
            <w:vAlign w:val="bottom"/>
            <w:gridSpan w:val="2"/>
            <w:shd w:val="clear" w:color="auto" w:fill="E2FFFF"/>
          </w:tcPr>
          <w:p>
            <w:pPr>
              <w:jc w:val="center"/>
              <w:ind w:right="120"/>
              <w:spacing w:after="0" w:line="203" w:lineRule="exact"/>
              <w:rPr>
                <w:sz w:val="20"/>
                <w:szCs w:val="20"/>
                <w:color w:val="auto"/>
              </w:rPr>
            </w:pPr>
            <w:r>
              <w:rPr>
                <w:rFonts w:ascii="Arial" w:cs="Arial" w:eastAsia="Arial" w:hAnsi="Arial"/>
                <w:sz w:val="16"/>
                <w:szCs w:val="16"/>
                <w:color w:val="auto"/>
                <w:w w:val="91"/>
              </w:rPr>
              <w:t xml:space="preserve">Trafigura </w:t>
            </w:r>
            <w:r>
              <w:rPr>
                <w:rFonts w:ascii="Arial" w:cs="Arial" w:eastAsia="Arial" w:hAnsi="Arial"/>
                <w:sz w:val="21"/>
                <w:szCs w:val="21"/>
                <w:color w:val="auto"/>
                <w:w w:val="91"/>
                <w:vertAlign w:val="superscript"/>
              </w:rPr>
              <w:t>(1)</w:t>
            </w:r>
          </w:p>
        </w:tc>
        <w:tc>
          <w:tcPr>
            <w:tcW w:w="1080" w:type="dxa"/>
            <w:vAlign w:val="bottom"/>
            <w:gridSpan w:val="2"/>
            <w:shd w:val="clear" w:color="auto" w:fill="E2FFFF"/>
          </w:tcPr>
          <w:p>
            <w:pPr>
              <w:jc w:val="center"/>
              <w:ind w:right="120"/>
              <w:spacing w:after="0"/>
              <w:rPr>
                <w:sz w:val="20"/>
                <w:szCs w:val="20"/>
                <w:color w:val="auto"/>
              </w:rPr>
            </w:pPr>
            <w:r>
              <w:rPr>
                <w:rFonts w:ascii="Arial" w:cs="Arial" w:eastAsia="Arial" w:hAnsi="Arial"/>
                <w:sz w:val="16"/>
                <w:szCs w:val="16"/>
                <w:color w:val="auto"/>
                <w:w w:val="86"/>
              </w:rPr>
              <w:t>Steam</w:t>
            </w:r>
          </w:p>
        </w:tc>
        <w:tc>
          <w:tcPr>
            <w:tcW w:w="1620" w:type="dxa"/>
            <w:vAlign w:val="bottom"/>
            <w:gridSpan w:val="2"/>
            <w:shd w:val="clear" w:color="auto" w:fill="E2FFFF"/>
          </w:tcPr>
          <w:p>
            <w:pPr>
              <w:jc w:val="center"/>
              <w:ind w:right="100"/>
              <w:spacing w:after="0" w:line="203" w:lineRule="exact"/>
              <w:rPr>
                <w:sz w:val="20"/>
                <w:szCs w:val="20"/>
                <w:color w:val="auto"/>
              </w:rPr>
            </w:pPr>
            <w:r>
              <w:rPr>
                <w:rFonts w:ascii="Arial" w:cs="Arial" w:eastAsia="Arial" w:hAnsi="Arial"/>
                <w:sz w:val="16"/>
                <w:szCs w:val="16"/>
                <w:color w:val="auto"/>
                <w:w w:val="88"/>
              </w:rPr>
              <w:t xml:space="preserve">November 2020 </w:t>
            </w:r>
            <w:r>
              <w:rPr>
                <w:rFonts w:ascii="Arial" w:cs="Arial" w:eastAsia="Arial" w:hAnsi="Arial"/>
                <w:sz w:val="21"/>
                <w:szCs w:val="21"/>
                <w:color w:val="auto"/>
                <w:w w:val="88"/>
                <w:vertAlign w:val="superscript"/>
              </w:rPr>
              <w:t>(2)</w:t>
            </w:r>
          </w:p>
        </w:tc>
        <w:tc>
          <w:tcPr>
            <w:tcW w:w="1440" w:type="dxa"/>
            <w:vAlign w:val="bottom"/>
            <w:gridSpan w:val="2"/>
            <w:shd w:val="clear" w:color="auto" w:fill="E2FFFF"/>
          </w:tcPr>
          <w:p>
            <w:pPr>
              <w:jc w:val="center"/>
              <w:spacing w:after="0" w:line="203" w:lineRule="exact"/>
              <w:rPr>
                <w:sz w:val="20"/>
                <w:szCs w:val="20"/>
                <w:color w:val="auto"/>
              </w:rPr>
            </w:pPr>
            <w:r>
              <w:rPr>
                <w:rFonts w:ascii="Arial" w:cs="Arial" w:eastAsia="Arial" w:hAnsi="Arial"/>
                <w:sz w:val="16"/>
                <w:szCs w:val="16"/>
                <w:color w:val="auto"/>
                <w:w w:val="90"/>
              </w:rPr>
              <w:t xml:space="preserve">2021—2024 </w:t>
            </w:r>
            <w:r>
              <w:rPr>
                <w:rFonts w:ascii="Arial" w:cs="Arial" w:eastAsia="Arial" w:hAnsi="Arial"/>
                <w:sz w:val="21"/>
                <w:szCs w:val="21"/>
                <w:color w:val="auto"/>
                <w:w w:val="90"/>
                <w:vertAlign w:val="superscript"/>
              </w:rPr>
              <w:t>(2)</w:t>
            </w:r>
          </w:p>
        </w:tc>
      </w:tr>
      <w:tr>
        <w:trPr>
          <w:trHeight w:val="203"/>
        </w:trPr>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6</w:t>
            </w:r>
          </w:p>
        </w:tc>
        <w:tc>
          <w:tcPr>
            <w:tcW w:w="2060" w:type="dxa"/>
            <w:vAlign w:val="bottom"/>
            <w:gridSpan w:val="2"/>
          </w:tcPr>
          <w:p>
            <w:pPr>
              <w:ind w:left="60"/>
              <w:spacing w:after="0"/>
              <w:rPr>
                <w:sz w:val="20"/>
                <w:szCs w:val="20"/>
                <w:color w:val="auto"/>
              </w:rPr>
            </w:pPr>
            <w:r>
              <w:rPr>
                <w:rFonts w:ascii="Arial" w:cs="Arial" w:eastAsia="Arial" w:hAnsi="Arial"/>
                <w:sz w:val="16"/>
                <w:szCs w:val="16"/>
                <w:i w:val="1"/>
                <w:iCs w:val="1"/>
                <w:color w:val="auto"/>
              </w:rPr>
              <w:t>Methane Heather Sally</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2007</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2020</w:t>
            </w:r>
          </w:p>
        </w:tc>
        <w:tc>
          <w:tcPr>
            <w:tcW w:w="820" w:type="dxa"/>
            <w:vAlign w:val="bottom"/>
          </w:tcPr>
          <w:p>
            <w:pPr>
              <w:jc w:val="center"/>
              <w:ind w:left="539"/>
              <w:spacing w:after="0"/>
              <w:rPr>
                <w:sz w:val="20"/>
                <w:szCs w:val="20"/>
                <w:color w:val="auto"/>
              </w:rPr>
            </w:pPr>
            <w:r>
              <w:rPr>
                <w:rFonts w:ascii="Arial" w:cs="Arial" w:eastAsia="Arial" w:hAnsi="Arial"/>
                <w:sz w:val="16"/>
                <w:szCs w:val="16"/>
                <w:color w:val="auto"/>
                <w:w w:val="99"/>
              </w:rPr>
              <w:t>—</w:t>
            </w:r>
          </w:p>
        </w:tc>
        <w:tc>
          <w:tcPr>
            <w:tcW w:w="620" w:type="dxa"/>
            <w:vAlign w:val="bottom"/>
          </w:tcPr>
          <w:p>
            <w:pPr>
              <w:spacing w:after="0"/>
              <w:rPr>
                <w:sz w:val="17"/>
                <w:szCs w:val="17"/>
                <w:color w:val="auto"/>
              </w:rPr>
            </w:pPr>
          </w:p>
        </w:tc>
      </w:tr>
      <w:tr>
        <w:trPr>
          <w:trHeight w:val="203"/>
        </w:trPr>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7</w:t>
            </w:r>
          </w:p>
        </w:tc>
        <w:tc>
          <w:tcPr>
            <w:tcW w:w="20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Seattle</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2013</w:t>
            </w:r>
          </w:p>
        </w:tc>
        <w:tc>
          <w:tcPr>
            <w:tcW w:w="160" w:type="dxa"/>
            <w:vAlign w:val="bottom"/>
            <w:shd w:val="clear" w:color="auto" w:fill="E5FFFF"/>
          </w:tcPr>
          <w:p>
            <w:pPr>
              <w:spacing w:after="0"/>
              <w:rPr>
                <w:sz w:val="17"/>
                <w:szCs w:val="17"/>
                <w:color w:val="auto"/>
              </w:rPr>
            </w:pP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0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6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2021</w:t>
            </w:r>
          </w:p>
        </w:tc>
        <w:tc>
          <w:tcPr>
            <w:tcW w:w="820" w:type="dxa"/>
            <w:vAlign w:val="bottom"/>
            <w:shd w:val="clear" w:color="auto" w:fill="E5FFFF"/>
          </w:tcPr>
          <w:p>
            <w:pPr>
              <w:jc w:val="center"/>
              <w:ind w:left="539"/>
              <w:spacing w:after="0"/>
              <w:rPr>
                <w:sz w:val="20"/>
                <w:szCs w:val="20"/>
                <w:color w:val="auto"/>
              </w:rPr>
            </w:pPr>
            <w:r>
              <w:rPr>
                <w:rFonts w:ascii="Arial" w:cs="Arial" w:eastAsia="Arial" w:hAnsi="Arial"/>
                <w:sz w:val="16"/>
                <w:szCs w:val="16"/>
                <w:color w:val="auto"/>
                <w:w w:val="99"/>
              </w:rPr>
              <w:t>—</w:t>
            </w:r>
          </w:p>
        </w:tc>
        <w:tc>
          <w:tcPr>
            <w:tcW w:w="620" w:type="dxa"/>
            <w:vAlign w:val="bottom"/>
            <w:shd w:val="clear" w:color="auto" w:fill="E5FFFF"/>
          </w:tcPr>
          <w:p>
            <w:pPr>
              <w:spacing w:after="0"/>
              <w:rPr>
                <w:sz w:val="17"/>
                <w:szCs w:val="17"/>
                <w:color w:val="auto"/>
              </w:rPr>
            </w:pPr>
          </w:p>
        </w:tc>
      </w:tr>
      <w:tr>
        <w:trPr>
          <w:trHeight w:val="203"/>
        </w:trPr>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8</w:t>
            </w:r>
          </w:p>
        </w:tc>
        <w:tc>
          <w:tcPr>
            <w:tcW w:w="2060" w:type="dxa"/>
            <w:vAlign w:val="bottom"/>
            <w:gridSpan w:val="2"/>
          </w:tcPr>
          <w:p>
            <w:pPr>
              <w:ind w:left="60"/>
              <w:spacing w:after="0"/>
              <w:rPr>
                <w:sz w:val="20"/>
                <w:szCs w:val="20"/>
                <w:color w:val="auto"/>
              </w:rPr>
            </w:pPr>
            <w:r>
              <w:rPr>
                <w:rFonts w:ascii="Arial" w:cs="Arial" w:eastAsia="Arial" w:hAnsi="Arial"/>
                <w:sz w:val="16"/>
                <w:szCs w:val="16"/>
                <w:i w:val="1"/>
                <w:iCs w:val="1"/>
                <w:color w:val="auto"/>
              </w:rPr>
              <w:t>Solaris</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2021</w:t>
            </w:r>
          </w:p>
        </w:tc>
        <w:tc>
          <w:tcPr>
            <w:tcW w:w="820" w:type="dxa"/>
            <w:vAlign w:val="bottom"/>
          </w:tcPr>
          <w:p>
            <w:pPr>
              <w:jc w:val="center"/>
              <w:ind w:left="539"/>
              <w:spacing w:after="0"/>
              <w:rPr>
                <w:sz w:val="20"/>
                <w:szCs w:val="20"/>
                <w:color w:val="auto"/>
              </w:rPr>
            </w:pPr>
            <w:r>
              <w:rPr>
                <w:rFonts w:ascii="Arial" w:cs="Arial" w:eastAsia="Arial" w:hAnsi="Arial"/>
                <w:sz w:val="16"/>
                <w:szCs w:val="16"/>
                <w:color w:val="auto"/>
                <w:w w:val="99"/>
              </w:rPr>
              <w:t>—</w:t>
            </w:r>
          </w:p>
        </w:tc>
        <w:tc>
          <w:tcPr>
            <w:tcW w:w="620" w:type="dxa"/>
            <w:vAlign w:val="bottom"/>
          </w:tcPr>
          <w:p>
            <w:pPr>
              <w:spacing w:after="0"/>
              <w:rPr>
                <w:sz w:val="17"/>
                <w:szCs w:val="17"/>
                <w:color w:val="auto"/>
              </w:rPr>
            </w:pPr>
          </w:p>
        </w:tc>
      </w:tr>
      <w:tr>
        <w:trPr>
          <w:trHeight w:val="203"/>
        </w:trPr>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9</w:t>
            </w:r>
          </w:p>
        </w:tc>
        <w:tc>
          <w:tcPr>
            <w:tcW w:w="20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Santiago</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2013</w:t>
            </w:r>
          </w:p>
        </w:tc>
        <w:tc>
          <w:tcPr>
            <w:tcW w:w="160" w:type="dxa"/>
            <w:vAlign w:val="bottom"/>
            <w:shd w:val="clear" w:color="auto" w:fill="E5FFFF"/>
          </w:tcPr>
          <w:p>
            <w:pPr>
              <w:spacing w:after="0"/>
              <w:rPr>
                <w:sz w:val="17"/>
                <w:szCs w:val="17"/>
                <w:color w:val="auto"/>
              </w:rPr>
            </w:pP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6"/>
              </w:rPr>
              <w:t>Trafigura</w:t>
            </w:r>
          </w:p>
        </w:tc>
        <w:tc>
          <w:tcPr>
            <w:tcW w:w="10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6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1"/>
              </w:rPr>
              <w:t>December 2021</w:t>
            </w:r>
          </w:p>
        </w:tc>
        <w:tc>
          <w:tcPr>
            <w:tcW w:w="144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 xml:space="preserve">2022-2028 </w:t>
            </w:r>
            <w:r>
              <w:rPr>
                <w:rFonts w:ascii="Arial" w:cs="Arial" w:eastAsia="Arial" w:hAnsi="Arial"/>
                <w:sz w:val="21"/>
                <w:szCs w:val="21"/>
                <w:color w:val="auto"/>
                <w:w w:val="87"/>
                <w:vertAlign w:val="superscript"/>
              </w:rPr>
              <w:t>(3)</w:t>
            </w:r>
          </w:p>
        </w:tc>
      </w:tr>
      <w:tr>
        <w:trPr>
          <w:trHeight w:val="203"/>
        </w:trPr>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10</w:t>
            </w:r>
          </w:p>
        </w:tc>
        <w:tc>
          <w:tcPr>
            <w:tcW w:w="2060" w:type="dxa"/>
            <w:vAlign w:val="bottom"/>
            <w:gridSpan w:val="2"/>
          </w:tcPr>
          <w:p>
            <w:pPr>
              <w:ind w:left="60"/>
              <w:spacing w:after="0"/>
              <w:rPr>
                <w:sz w:val="20"/>
                <w:szCs w:val="20"/>
                <w:color w:val="auto"/>
              </w:rPr>
            </w:pPr>
            <w:r>
              <w:rPr>
                <w:rFonts w:ascii="Arial" w:cs="Arial" w:eastAsia="Arial" w:hAnsi="Arial"/>
                <w:sz w:val="16"/>
                <w:szCs w:val="16"/>
                <w:i w:val="1"/>
                <w:iCs w:val="1"/>
                <w:color w:val="auto"/>
              </w:rPr>
              <w:t>GasLog Shanghai</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2013</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tcPr>
          <w:p>
            <w:pPr>
              <w:spacing w:after="0"/>
              <w:rPr>
                <w:sz w:val="17"/>
                <w:szCs w:val="17"/>
                <w:color w:val="auto"/>
              </w:rPr>
            </w:pPr>
          </w:p>
        </w:tc>
        <w:tc>
          <w:tcPr>
            <w:tcW w:w="182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89"/>
              </w:rPr>
              <w:t xml:space="preserve">Gunvor </w:t>
            </w:r>
            <w:r>
              <w:rPr>
                <w:rFonts w:ascii="Arial" w:cs="Arial" w:eastAsia="Arial" w:hAnsi="Arial"/>
                <w:sz w:val="21"/>
                <w:szCs w:val="21"/>
                <w:color w:val="auto"/>
                <w:w w:val="89"/>
                <w:vertAlign w:val="superscript"/>
              </w:rPr>
              <w:t>(4)</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November 2022</w:t>
            </w:r>
          </w:p>
        </w:tc>
        <w:tc>
          <w:tcPr>
            <w:tcW w:w="820" w:type="dxa"/>
            <w:vAlign w:val="bottom"/>
          </w:tcPr>
          <w:p>
            <w:pPr>
              <w:jc w:val="center"/>
              <w:ind w:left="539"/>
              <w:spacing w:after="0"/>
              <w:rPr>
                <w:sz w:val="20"/>
                <w:szCs w:val="20"/>
                <w:color w:val="auto"/>
              </w:rPr>
            </w:pPr>
            <w:r>
              <w:rPr>
                <w:rFonts w:ascii="Arial" w:cs="Arial" w:eastAsia="Arial" w:hAnsi="Arial"/>
                <w:sz w:val="16"/>
                <w:szCs w:val="16"/>
                <w:color w:val="auto"/>
                <w:w w:val="99"/>
              </w:rPr>
              <w:t>—</w:t>
            </w:r>
          </w:p>
        </w:tc>
        <w:tc>
          <w:tcPr>
            <w:tcW w:w="620" w:type="dxa"/>
            <w:vAlign w:val="bottom"/>
          </w:tcPr>
          <w:p>
            <w:pPr>
              <w:spacing w:after="0"/>
              <w:rPr>
                <w:sz w:val="17"/>
                <w:szCs w:val="17"/>
                <w:color w:val="auto"/>
              </w:rPr>
            </w:pPr>
          </w:p>
        </w:tc>
      </w:tr>
      <w:tr>
        <w:trPr>
          <w:trHeight w:val="203"/>
        </w:trPr>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11</w:t>
            </w:r>
          </w:p>
        </w:tc>
        <w:tc>
          <w:tcPr>
            <w:tcW w:w="20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Geneva</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2016</w:t>
            </w:r>
          </w:p>
        </w:tc>
        <w:tc>
          <w:tcPr>
            <w:tcW w:w="160" w:type="dxa"/>
            <w:vAlign w:val="bottom"/>
            <w:shd w:val="clear" w:color="auto" w:fill="E5FFFF"/>
          </w:tcPr>
          <w:p>
            <w:pPr>
              <w:spacing w:after="0"/>
              <w:rPr>
                <w:sz w:val="17"/>
                <w:szCs w:val="17"/>
                <w:color w:val="auto"/>
              </w:rPr>
            </w:pP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0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62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9"/>
              </w:rPr>
              <w:t>September 2023</w:t>
            </w:r>
          </w:p>
        </w:tc>
        <w:tc>
          <w:tcPr>
            <w:tcW w:w="144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90"/>
              </w:rPr>
              <w:t xml:space="preserve">2028—2031 </w:t>
            </w:r>
            <w:r>
              <w:rPr>
                <w:rFonts w:ascii="Arial" w:cs="Arial" w:eastAsia="Arial" w:hAnsi="Arial"/>
                <w:sz w:val="21"/>
                <w:szCs w:val="21"/>
                <w:color w:val="auto"/>
                <w:w w:val="90"/>
                <w:vertAlign w:val="superscript"/>
              </w:rPr>
              <w:t>(5)</w:t>
            </w:r>
          </w:p>
        </w:tc>
      </w:tr>
      <w:tr>
        <w:trPr>
          <w:trHeight w:val="203"/>
        </w:trPr>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12</w:t>
            </w:r>
          </w:p>
        </w:tc>
        <w:tc>
          <w:tcPr>
            <w:tcW w:w="2060" w:type="dxa"/>
            <w:vAlign w:val="bottom"/>
            <w:gridSpan w:val="2"/>
          </w:tcPr>
          <w:p>
            <w:pPr>
              <w:ind w:left="60"/>
              <w:spacing w:after="0"/>
              <w:rPr>
                <w:sz w:val="20"/>
                <w:szCs w:val="20"/>
                <w:color w:val="auto"/>
              </w:rPr>
            </w:pPr>
            <w:r>
              <w:rPr>
                <w:rFonts w:ascii="Arial" w:cs="Arial" w:eastAsia="Arial" w:hAnsi="Arial"/>
                <w:sz w:val="16"/>
                <w:szCs w:val="16"/>
                <w:i w:val="1"/>
                <w:iCs w:val="1"/>
                <w:color w:val="auto"/>
              </w:rPr>
              <w:t>GasLog Gibraltar</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62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October 2023</w:t>
            </w:r>
          </w:p>
        </w:tc>
        <w:tc>
          <w:tcPr>
            <w:tcW w:w="1440" w:type="dxa"/>
            <w:vAlign w:val="bottom"/>
            <w:gridSpan w:val="2"/>
          </w:tcPr>
          <w:p>
            <w:pPr>
              <w:jc w:val="center"/>
              <w:spacing w:after="0" w:line="203" w:lineRule="exact"/>
              <w:rPr>
                <w:sz w:val="20"/>
                <w:szCs w:val="20"/>
                <w:color w:val="auto"/>
              </w:rPr>
            </w:pPr>
            <w:r>
              <w:rPr>
                <w:rFonts w:ascii="Arial" w:cs="Arial" w:eastAsia="Arial" w:hAnsi="Arial"/>
                <w:sz w:val="16"/>
                <w:szCs w:val="16"/>
                <w:color w:val="auto"/>
                <w:w w:val="90"/>
              </w:rPr>
              <w:t xml:space="preserve">2028—2031 </w:t>
            </w:r>
            <w:r>
              <w:rPr>
                <w:rFonts w:ascii="Arial" w:cs="Arial" w:eastAsia="Arial" w:hAnsi="Arial"/>
                <w:sz w:val="21"/>
                <w:szCs w:val="21"/>
                <w:color w:val="auto"/>
                <w:w w:val="90"/>
                <w:vertAlign w:val="superscript"/>
              </w:rPr>
              <w:t>(5)</w:t>
            </w:r>
          </w:p>
        </w:tc>
      </w:tr>
      <w:tr>
        <w:trPr>
          <w:trHeight w:val="203"/>
        </w:trPr>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13</w:t>
            </w:r>
          </w:p>
        </w:tc>
        <w:tc>
          <w:tcPr>
            <w:tcW w:w="20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Methane Becki Anne</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2010</w:t>
            </w:r>
          </w:p>
        </w:tc>
        <w:tc>
          <w:tcPr>
            <w:tcW w:w="160" w:type="dxa"/>
            <w:vAlign w:val="bottom"/>
            <w:shd w:val="clear" w:color="auto" w:fill="E5FFFF"/>
          </w:tcPr>
          <w:p>
            <w:pPr>
              <w:spacing w:after="0"/>
              <w:rPr>
                <w:sz w:val="17"/>
                <w:szCs w:val="17"/>
                <w:color w:val="auto"/>
              </w:rPr>
            </w:pP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14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0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6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March 2024</w:t>
            </w:r>
          </w:p>
        </w:tc>
        <w:tc>
          <w:tcPr>
            <w:tcW w:w="1440" w:type="dxa"/>
            <w:vAlign w:val="bottom"/>
            <w:gridSpan w:val="2"/>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 xml:space="preserve">2027-2029 </w:t>
            </w:r>
            <w:r>
              <w:rPr>
                <w:rFonts w:ascii="Arial" w:cs="Arial" w:eastAsia="Arial" w:hAnsi="Arial"/>
                <w:sz w:val="21"/>
                <w:szCs w:val="21"/>
                <w:color w:val="auto"/>
                <w:w w:val="87"/>
                <w:vertAlign w:val="superscript"/>
              </w:rPr>
              <w:t>(6)</w:t>
            </w:r>
          </w:p>
        </w:tc>
      </w:tr>
      <w:tr>
        <w:trPr>
          <w:trHeight w:val="203"/>
        </w:trPr>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9"/>
              </w:rPr>
              <w:t>14</w:t>
            </w:r>
          </w:p>
        </w:tc>
        <w:tc>
          <w:tcPr>
            <w:tcW w:w="2060" w:type="dxa"/>
            <w:vAlign w:val="bottom"/>
            <w:gridSpan w:val="2"/>
          </w:tcPr>
          <w:p>
            <w:pPr>
              <w:ind w:left="60"/>
              <w:spacing w:after="0"/>
              <w:rPr>
                <w:sz w:val="20"/>
                <w:szCs w:val="20"/>
                <w:color w:val="auto"/>
              </w:rPr>
            </w:pPr>
            <w:r>
              <w:rPr>
                <w:rFonts w:ascii="Arial" w:cs="Arial" w:eastAsia="Arial" w:hAnsi="Arial"/>
                <w:sz w:val="16"/>
                <w:szCs w:val="16"/>
                <w:i w:val="1"/>
                <w:iCs w:val="1"/>
                <w:color w:val="auto"/>
              </w:rPr>
              <w:t>GasLog Greece</w:t>
            </w:r>
          </w:p>
        </w:tc>
        <w:tc>
          <w:tcPr>
            <w:tcW w:w="94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March 2026</w:t>
            </w:r>
          </w:p>
        </w:tc>
        <w:tc>
          <w:tcPr>
            <w:tcW w:w="820" w:type="dxa"/>
            <w:vAlign w:val="bottom"/>
          </w:tcPr>
          <w:p>
            <w:pPr>
              <w:jc w:val="right"/>
              <w:spacing w:after="0"/>
              <w:rPr>
                <w:sz w:val="20"/>
                <w:szCs w:val="20"/>
                <w:color w:val="auto"/>
              </w:rPr>
            </w:pPr>
            <w:r>
              <w:rPr>
                <w:rFonts w:ascii="Arial" w:cs="Arial" w:eastAsia="Arial" w:hAnsi="Arial"/>
                <w:sz w:val="16"/>
                <w:szCs w:val="16"/>
                <w:color w:val="auto"/>
              </w:rPr>
              <w:t>2031</w:t>
            </w:r>
          </w:p>
        </w:tc>
        <w:tc>
          <w:tcPr>
            <w:tcW w:w="620" w:type="dxa"/>
            <w:vAlign w:val="bottom"/>
          </w:tcPr>
          <w:p>
            <w:pPr>
              <w:jc w:val="right"/>
              <w:ind w:right="426"/>
              <w:spacing w:after="0"/>
              <w:rPr>
                <w:sz w:val="20"/>
                <w:szCs w:val="20"/>
                <w:color w:val="auto"/>
              </w:rPr>
            </w:pPr>
            <w:r>
              <w:rPr>
                <w:rFonts w:ascii="Arial" w:cs="Arial" w:eastAsia="Arial" w:hAnsi="Arial"/>
                <w:sz w:val="11"/>
                <w:szCs w:val="11"/>
                <w:color w:val="auto"/>
                <w:w w:val="88"/>
              </w:rPr>
              <w:t>(7)</w:t>
            </w:r>
          </w:p>
        </w:tc>
      </w:tr>
      <w:tr>
        <w:trPr>
          <w:trHeight w:val="202"/>
        </w:trPr>
        <w:tc>
          <w:tcPr>
            <w:tcW w:w="340" w:type="dxa"/>
            <w:vAlign w:val="bottom"/>
            <w:shd w:val="clear" w:color="auto" w:fill="E5FFFF"/>
          </w:tcPr>
          <w:p>
            <w:pPr>
              <w:jc w:val="center"/>
              <w:spacing w:after="0"/>
              <w:rPr>
                <w:sz w:val="20"/>
                <w:szCs w:val="20"/>
                <w:color w:val="auto"/>
              </w:rPr>
            </w:pPr>
            <w:r>
              <w:rPr>
                <w:rFonts w:ascii="Arial" w:cs="Arial" w:eastAsia="Arial" w:hAnsi="Arial"/>
                <w:sz w:val="16"/>
                <w:szCs w:val="16"/>
                <w:b w:val="1"/>
                <w:bCs w:val="1"/>
                <w:color w:val="auto"/>
                <w:w w:val="89"/>
              </w:rPr>
              <w:t>15</w:t>
            </w:r>
          </w:p>
        </w:tc>
        <w:tc>
          <w:tcPr>
            <w:tcW w:w="2060" w:type="dxa"/>
            <w:vAlign w:val="bottom"/>
            <w:gridSpan w:val="2"/>
            <w:shd w:val="clear" w:color="auto" w:fill="E5FFFF"/>
          </w:tcPr>
          <w:p>
            <w:pPr>
              <w:ind w:left="60"/>
              <w:spacing w:after="0"/>
              <w:rPr>
                <w:sz w:val="20"/>
                <w:szCs w:val="20"/>
                <w:color w:val="auto"/>
              </w:rPr>
            </w:pPr>
            <w:r>
              <w:rPr>
                <w:rFonts w:ascii="Arial" w:cs="Arial" w:eastAsia="Arial" w:hAnsi="Arial"/>
                <w:sz w:val="16"/>
                <w:szCs w:val="16"/>
                <w:i w:val="1"/>
                <w:iCs w:val="1"/>
                <w:color w:val="auto"/>
              </w:rPr>
              <w:t>GasLog Glasgow</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2016</w:t>
            </w:r>
          </w:p>
        </w:tc>
        <w:tc>
          <w:tcPr>
            <w:tcW w:w="160" w:type="dxa"/>
            <w:vAlign w:val="bottom"/>
            <w:shd w:val="clear" w:color="auto" w:fill="E5FFFF"/>
          </w:tcPr>
          <w:p>
            <w:pPr>
              <w:spacing w:after="0"/>
              <w:rPr>
                <w:sz w:val="17"/>
                <w:szCs w:val="17"/>
                <w:color w:val="auto"/>
              </w:rPr>
            </w:pP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shd w:val="clear" w:color="auto" w:fill="E5FFFF"/>
          </w:tcPr>
          <w:p>
            <w:pPr>
              <w:spacing w:after="0"/>
              <w:rPr>
                <w:sz w:val="17"/>
                <w:szCs w:val="17"/>
                <w:color w:val="auto"/>
              </w:rPr>
            </w:pPr>
          </w:p>
        </w:tc>
        <w:tc>
          <w:tcPr>
            <w:tcW w:w="18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0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6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2026</w:t>
            </w: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2031</w:t>
            </w:r>
          </w:p>
        </w:tc>
        <w:tc>
          <w:tcPr>
            <w:tcW w:w="620" w:type="dxa"/>
            <w:vAlign w:val="bottom"/>
            <w:shd w:val="clear" w:color="auto" w:fill="E5FFFF"/>
          </w:tcPr>
          <w:p>
            <w:pPr>
              <w:jc w:val="right"/>
              <w:ind w:right="426"/>
              <w:spacing w:after="0"/>
              <w:rPr>
                <w:sz w:val="20"/>
                <w:szCs w:val="20"/>
                <w:color w:val="auto"/>
              </w:rPr>
            </w:pPr>
            <w:r>
              <w:rPr>
                <w:rFonts w:ascii="Arial" w:cs="Arial" w:eastAsia="Arial" w:hAnsi="Arial"/>
                <w:sz w:val="11"/>
                <w:szCs w:val="11"/>
                <w:color w:val="auto"/>
                <w:w w:val="88"/>
              </w:rPr>
              <w:t>(7)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956" w:gutter="0" w:footer="0" w:header="0"/>
        </w:sectPr>
      </w:pPr>
    </w:p>
    <w:bookmarkStart w:id="22" w:name="page23"/>
    <w:bookmarkEnd w:id="22"/>
    <w:p>
      <w:pPr>
        <w:ind w:left="340"/>
        <w:spacing w:after="0"/>
        <w:rPr>
          <w:sz w:val="20"/>
          <w:szCs w:val="20"/>
          <w:color w:val="auto"/>
        </w:rPr>
      </w:pPr>
      <w:r>
        <w:rPr>
          <w:rFonts w:ascii="Arial" w:cs="Arial" w:eastAsia="Arial" w:hAnsi="Arial"/>
          <w:sz w:val="18"/>
          <w:szCs w:val="18"/>
          <w:color w:val="auto"/>
        </w:rPr>
        <w:t>______________</w:t>
      </w:r>
    </w:p>
    <w:p>
      <w:pPr>
        <w:spacing w:after="0" w:line="221" w:lineRule="exact"/>
        <w:rPr>
          <w:sz w:val="20"/>
          <w:szCs w:val="20"/>
          <w:color w:val="auto"/>
        </w:rPr>
      </w:pPr>
    </w:p>
    <w:p>
      <w:pPr>
        <w:ind w:left="340" w:right="260" w:hanging="332"/>
        <w:spacing w:after="0" w:line="201" w:lineRule="auto"/>
        <w:tabs>
          <w:tab w:leader="none" w:pos="337"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 xml:space="preserve">In March 2018, GasLog Partners secured a one-year charter with Trafigura Maritime Logistics PTE Ltd. (“Trafigura”) for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(as nominated by the Partnership), which commenced in November 2019.</w:t>
      </w:r>
    </w:p>
    <w:p>
      <w:pPr>
        <w:ind w:left="340" w:right="140" w:hanging="332"/>
        <w:spacing w:after="0" w:line="193" w:lineRule="auto"/>
        <w:tabs>
          <w:tab w:leader="none" w:pos="337"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four years,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right="40" w:hanging="332"/>
        <w:spacing w:after="0" w:line="193" w:lineRule="auto"/>
        <w:tabs>
          <w:tab w:leader="none" w:pos="337"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82" w:lineRule="auto"/>
        <w:tabs>
          <w:tab w:leader="none" w:pos="320"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The vessel is chartered to Clearlake Shipping Pte. Ltd., a subsidiary of Gunvor Group Ltd. (“Gunvor”).</w:t>
      </w:r>
    </w:p>
    <w:p>
      <w:pPr>
        <w:ind w:left="340" w:right="300" w:hanging="332"/>
        <w:spacing w:after="0" w:line="193" w:lineRule="auto"/>
        <w:tabs>
          <w:tab w:leader="none" w:pos="337"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40" w:right="440" w:hanging="332"/>
        <w:spacing w:after="0" w:line="193" w:lineRule="auto"/>
        <w:tabs>
          <w:tab w:leader="none" w:pos="337"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spacing w:after="0" w:line="1" w:lineRule="exact"/>
        <w:rPr>
          <w:rFonts w:ascii="Arial" w:cs="Arial" w:eastAsia="Arial" w:hAnsi="Arial"/>
          <w:sz w:val="18"/>
          <w:szCs w:val="18"/>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ind w:firstLine="427"/>
        <w:spacing w:after="0" w:line="293"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Heather Sally</w:t>
      </w:r>
      <w:r>
        <w:rPr>
          <w:rFonts w:ascii="Arial" w:cs="Arial" w:eastAsia="Arial" w:hAnsi="Arial"/>
          <w:sz w:val="15"/>
          <w:szCs w:val="15"/>
          <w:color w:val="auto"/>
        </w:rPr>
        <w:t xml:space="preserve"> are due to come off charter in May 2020, June 2020, November 2020 and December 2020, respectively, while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are currently trading in the spot market. GasLog Partners continues to pursue opportunities for new term charters with third parties and, on an interim basis, will trade the vessels in the spot market, pursuing the most advantageous redeployment depending on evolving market conditions. Given the current lack of liquidity in the term charter market for Steam vessels in particular, the utilization and earnings of our vessels trading in the spot market are likely to be materially lower than their earnings under their multi-year charters with Shell.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Vessels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Five-Year Vessel Business Opportunities</w:t>
      </w:r>
    </w:p>
    <w:p>
      <w:pPr>
        <w:spacing w:after="0" w:line="235" w:lineRule="exact"/>
        <w:rPr>
          <w:sz w:val="20"/>
          <w:szCs w:val="20"/>
          <w:color w:val="auto"/>
        </w:rPr>
      </w:pPr>
    </w:p>
    <w:p>
      <w:pPr>
        <w:ind w:firstLine="383"/>
        <w:spacing w:after="0" w:line="289" w:lineRule="auto"/>
        <w:rPr>
          <w:sz w:val="20"/>
          <w:szCs w:val="20"/>
          <w:color w:val="auto"/>
        </w:rPr>
      </w:pPr>
      <w:r>
        <w:rPr>
          <w:rFonts w:ascii="Arial" w:cs="Arial" w:eastAsia="Arial" w:hAnsi="Arial"/>
          <w:sz w:val="15"/>
          <w:szCs w:val="15"/>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six newbuildings and three on-the-water vessels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Cargo</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8"/>
              </w:rPr>
              <w:t>Charter</w:t>
            </w:r>
          </w:p>
        </w:tc>
      </w:tr>
      <w:tr>
        <w:trPr>
          <w:trHeight w:val="213"/>
        </w:trPr>
        <w:tc>
          <w:tcPr>
            <w:tcW w:w="28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Year Built</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(cbm)</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Propulsion</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r>
      <w:tr>
        <w:trPr>
          <w:trHeight w:val="199"/>
        </w:trPr>
        <w:tc>
          <w:tcPr>
            <w:tcW w:w="280" w:type="dxa"/>
            <w:vAlign w:val="bottom"/>
            <w:tcBorders>
              <w:top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b w:val="1"/>
                <w:bCs w:val="1"/>
                <w:color w:val="auto"/>
              </w:rPr>
              <w:t>1</w:t>
            </w:r>
          </w:p>
        </w:tc>
        <w:tc>
          <w:tcPr>
            <w:tcW w:w="24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i w:val="1"/>
                <w:iCs w:val="1"/>
                <w:color w:val="auto"/>
              </w:rPr>
              <w:t>GasLog Singapore</w:t>
            </w:r>
          </w:p>
        </w:tc>
        <w:tc>
          <w:tcPr>
            <w:tcW w:w="12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2010</w:t>
            </w:r>
          </w:p>
        </w:tc>
        <w:tc>
          <w:tcPr>
            <w:tcW w:w="12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155,000</w:t>
            </w:r>
          </w:p>
        </w:tc>
        <w:tc>
          <w:tcPr>
            <w:tcW w:w="1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center"/>
              <w:spacing w:after="0" w:line="199" w:lineRule="exact"/>
              <w:rPr>
                <w:sz w:val="20"/>
                <w:szCs w:val="20"/>
                <w:color w:val="auto"/>
              </w:rPr>
            </w:pPr>
            <w:r>
              <w:rPr>
                <w:rFonts w:ascii="Arial" w:cs="Arial" w:eastAsia="Arial" w:hAnsi="Arial"/>
                <w:sz w:val="16"/>
                <w:szCs w:val="16"/>
                <w:color w:val="auto"/>
                <w:w w:val="92"/>
              </w:rPr>
              <w:t xml:space="preserve">Sinolam LNG </w:t>
            </w:r>
            <w:r>
              <w:rPr>
                <w:rFonts w:ascii="Arial" w:cs="Arial" w:eastAsia="Arial" w:hAnsi="Arial"/>
                <w:sz w:val="21"/>
                <w:szCs w:val="21"/>
                <w:color w:val="auto"/>
                <w:w w:val="92"/>
                <w:vertAlign w:val="superscript"/>
              </w:rPr>
              <w:t>(1)</w:t>
            </w:r>
          </w:p>
        </w:tc>
        <w:tc>
          <w:tcPr>
            <w:tcW w:w="120" w:type="dxa"/>
            <w:vAlign w:val="bottom"/>
            <w:tcBorders>
              <w:top w:val="single" w:sz="8" w:color="E5FFFF"/>
            </w:tcBorders>
            <w:shd w:val="clear" w:color="auto" w:fill="E5FFFF"/>
          </w:tcPr>
          <w:p>
            <w:pPr>
              <w:spacing w:after="0"/>
              <w:rPr>
                <w:sz w:val="17"/>
                <w:szCs w:val="17"/>
                <w:color w:val="auto"/>
              </w:rPr>
            </w:pPr>
          </w:p>
        </w:tc>
        <w:tc>
          <w:tcPr>
            <w:tcW w:w="11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TFDE</w:t>
            </w:r>
          </w:p>
        </w:tc>
        <w:tc>
          <w:tcPr>
            <w:tcW w:w="12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2030</w:t>
            </w:r>
          </w:p>
        </w:tc>
      </w:tr>
      <w:tr>
        <w:trPr>
          <w:trHeight w:val="203"/>
        </w:trPr>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2</w:t>
            </w:r>
          </w:p>
        </w:tc>
        <w:tc>
          <w:tcPr>
            <w:tcW w:w="2580" w:type="dxa"/>
            <w:vAlign w:val="bottom"/>
            <w:gridSpan w:val="2"/>
          </w:tcPr>
          <w:p>
            <w:pPr>
              <w:spacing w:after="0"/>
              <w:rPr>
                <w:sz w:val="20"/>
                <w:szCs w:val="20"/>
                <w:color w:val="auto"/>
              </w:rPr>
            </w:pPr>
            <w:r>
              <w:rPr>
                <w:rFonts w:ascii="Arial" w:cs="Arial" w:eastAsia="Arial" w:hAnsi="Arial"/>
                <w:sz w:val="16"/>
                <w:szCs w:val="16"/>
                <w:i w:val="1"/>
                <w:iCs w:val="1"/>
                <w:color w:val="auto"/>
              </w:rPr>
              <w:t>GasLog Warsaw</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180,000</w:t>
            </w:r>
          </w:p>
        </w:tc>
        <w:tc>
          <w:tcPr>
            <w:tcW w:w="120" w:type="dxa"/>
            <w:vAlign w:val="bottom"/>
          </w:tcPr>
          <w:p>
            <w:pPr>
              <w:spacing w:after="0"/>
              <w:rPr>
                <w:sz w:val="17"/>
                <w:szCs w:val="17"/>
                <w:color w:val="auto"/>
              </w:rPr>
            </w:pPr>
          </w:p>
        </w:tc>
        <w:tc>
          <w:tcPr>
            <w:tcW w:w="142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81"/>
              </w:rPr>
              <w:t xml:space="preserve">Endesa </w:t>
            </w:r>
            <w:r>
              <w:rPr>
                <w:rFonts w:ascii="Arial" w:cs="Arial" w:eastAsia="Arial" w:hAnsi="Arial"/>
                <w:sz w:val="21"/>
                <w:szCs w:val="21"/>
                <w:color w:val="auto"/>
                <w:w w:val="81"/>
                <w:vertAlign w:val="superscript"/>
              </w:rPr>
              <w:t>(2)</w:t>
            </w:r>
          </w:p>
        </w:tc>
        <w:tc>
          <w:tcPr>
            <w:tcW w:w="122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2029</w:t>
            </w:r>
          </w:p>
        </w:tc>
      </w:tr>
      <w:tr>
        <w:trPr>
          <w:trHeight w:val="203"/>
        </w:trPr>
        <w:tc>
          <w:tcPr>
            <w:tcW w:w="280" w:type="dxa"/>
            <w:vAlign w:val="bottom"/>
            <w:shd w:val="clear" w:color="auto" w:fill="E2FFFF"/>
          </w:tcPr>
          <w:p>
            <w:pPr>
              <w:jc w:val="right"/>
              <w:ind w:right="19"/>
              <w:spacing w:after="0"/>
              <w:rPr>
                <w:sz w:val="20"/>
                <w:szCs w:val="20"/>
                <w:color w:val="auto"/>
              </w:rPr>
            </w:pPr>
            <w:r>
              <w:rPr>
                <w:rFonts w:ascii="Arial" w:cs="Arial" w:eastAsia="Arial" w:hAnsi="Arial"/>
                <w:sz w:val="16"/>
                <w:szCs w:val="16"/>
                <w:b w:val="1"/>
                <w:bCs w:val="1"/>
                <w:color w:val="auto"/>
              </w:rPr>
              <w:t>3</w:t>
            </w:r>
          </w:p>
        </w:tc>
        <w:tc>
          <w:tcPr>
            <w:tcW w:w="2580" w:type="dxa"/>
            <w:vAlign w:val="bottom"/>
            <w:gridSpan w:val="2"/>
            <w:shd w:val="clear" w:color="auto" w:fill="E5FFFF"/>
          </w:tcPr>
          <w:p>
            <w:pPr>
              <w:spacing w:after="0"/>
              <w:rPr>
                <w:sz w:val="20"/>
                <w:szCs w:val="20"/>
                <w:color w:val="auto"/>
              </w:rPr>
            </w:pPr>
            <w:r>
              <w:rPr>
                <w:rFonts w:ascii="Arial" w:cs="Arial" w:eastAsia="Arial" w:hAnsi="Arial"/>
                <w:sz w:val="16"/>
                <w:szCs w:val="16"/>
                <w:i w:val="1"/>
                <w:iCs w:val="1"/>
                <w:color w:val="auto"/>
              </w:rPr>
              <w:t>GasLog Windsor</w:t>
            </w:r>
          </w:p>
        </w:tc>
        <w:tc>
          <w:tcPr>
            <w:tcW w:w="11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2020</w:t>
            </w:r>
          </w:p>
        </w:tc>
        <w:tc>
          <w:tcPr>
            <w:tcW w:w="120" w:type="dxa"/>
            <w:vAlign w:val="bottom"/>
            <w:shd w:val="clear" w:color="auto" w:fill="E5FFFF"/>
          </w:tcPr>
          <w:p>
            <w:pPr>
              <w:spacing w:after="0"/>
              <w:rPr>
                <w:sz w:val="17"/>
                <w:szCs w:val="17"/>
                <w:color w:val="auto"/>
              </w:rPr>
            </w:pPr>
          </w:p>
        </w:tc>
        <w:tc>
          <w:tcPr>
            <w:tcW w:w="8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c>
          <w:tcPr>
            <w:tcW w:w="12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(4)</w:t>
            </w:r>
          </w:p>
        </w:tc>
        <w:tc>
          <w:tcPr>
            <w:tcW w:w="122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7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2580" w:type="dxa"/>
            <w:vAlign w:val="bottom"/>
            <w:gridSpan w:val="2"/>
          </w:tcPr>
          <w:p>
            <w:pPr>
              <w:spacing w:after="0"/>
              <w:rPr>
                <w:sz w:val="20"/>
                <w:szCs w:val="20"/>
                <w:color w:val="auto"/>
              </w:rPr>
            </w:pPr>
            <w:r>
              <w:rPr>
                <w:rFonts w:ascii="Arial" w:cs="Arial" w:eastAsia="Arial" w:hAnsi="Arial"/>
                <w:sz w:val="16"/>
                <w:szCs w:val="16"/>
                <w:i w:val="1"/>
                <w:iCs w:val="1"/>
                <w:color w:val="auto"/>
              </w:rPr>
              <w:t>GasLog Wales</w:t>
            </w:r>
          </w:p>
        </w:tc>
        <w:tc>
          <w:tcPr>
            <w:tcW w:w="122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86"/>
              </w:rPr>
              <w:t xml:space="preserve">Q2 2020 </w:t>
            </w:r>
            <w:r>
              <w:rPr>
                <w:rFonts w:ascii="Arial" w:cs="Arial" w:eastAsia="Arial" w:hAnsi="Arial"/>
                <w:sz w:val="21"/>
                <w:szCs w:val="21"/>
                <w:color w:val="auto"/>
                <w:w w:val="86"/>
                <w:vertAlign w:val="superscript"/>
              </w:rPr>
              <w:t>(5)</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180,000</w:t>
            </w:r>
          </w:p>
        </w:tc>
        <w:tc>
          <w:tcPr>
            <w:tcW w:w="120" w:type="dxa"/>
            <w:vAlign w:val="bottom"/>
          </w:tcPr>
          <w:p>
            <w:pPr>
              <w:spacing w:after="0"/>
              <w:rPr>
                <w:sz w:val="17"/>
                <w:szCs w:val="17"/>
                <w:color w:val="auto"/>
              </w:rPr>
            </w:pPr>
          </w:p>
        </w:tc>
        <w:tc>
          <w:tcPr>
            <w:tcW w:w="142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86"/>
              </w:rPr>
              <w:t xml:space="preserve">JERA </w:t>
            </w:r>
            <w:r>
              <w:rPr>
                <w:rFonts w:ascii="Arial" w:cs="Arial" w:eastAsia="Arial" w:hAnsi="Arial"/>
                <w:sz w:val="21"/>
                <w:szCs w:val="21"/>
                <w:color w:val="auto"/>
                <w:w w:val="86"/>
                <w:vertAlign w:val="superscript"/>
              </w:rPr>
              <w:t>(7)</w:t>
            </w:r>
          </w:p>
        </w:tc>
        <w:tc>
          <w:tcPr>
            <w:tcW w:w="122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740" w:type="dxa"/>
            <w:vAlign w:val="bottom"/>
          </w:tcPr>
          <w:p>
            <w:pPr>
              <w:jc w:val="center"/>
              <w:spacing w:after="0" w:line="203" w:lineRule="exact"/>
              <w:rPr>
                <w:sz w:val="20"/>
                <w:szCs w:val="20"/>
                <w:color w:val="auto"/>
              </w:rPr>
            </w:pPr>
            <w:r>
              <w:rPr>
                <w:rFonts w:ascii="Arial" w:cs="Arial" w:eastAsia="Arial" w:hAnsi="Arial"/>
                <w:sz w:val="16"/>
                <w:szCs w:val="16"/>
                <w:color w:val="auto"/>
                <w:w w:val="87"/>
              </w:rPr>
              <w:t xml:space="preserve">2032 </w:t>
            </w:r>
            <w:r>
              <w:rPr>
                <w:rFonts w:ascii="Arial" w:cs="Arial" w:eastAsia="Arial" w:hAnsi="Arial"/>
                <w:sz w:val="21"/>
                <w:szCs w:val="21"/>
                <w:color w:val="auto"/>
                <w:w w:val="87"/>
                <w:vertAlign w:val="superscript"/>
              </w:rPr>
              <w:t>(6)</w:t>
            </w:r>
          </w:p>
        </w:tc>
      </w:tr>
      <w:tr>
        <w:trPr>
          <w:trHeight w:val="203"/>
        </w:trPr>
        <w:tc>
          <w:tcPr>
            <w:tcW w:w="280" w:type="dxa"/>
            <w:vAlign w:val="bottom"/>
            <w:shd w:val="clear" w:color="auto" w:fill="E2FFFF"/>
          </w:tcPr>
          <w:p>
            <w:pPr>
              <w:jc w:val="right"/>
              <w:ind w:right="19"/>
              <w:spacing w:after="0"/>
              <w:rPr>
                <w:sz w:val="20"/>
                <w:szCs w:val="20"/>
                <w:color w:val="auto"/>
              </w:rPr>
            </w:pPr>
            <w:r>
              <w:rPr>
                <w:rFonts w:ascii="Arial" w:cs="Arial" w:eastAsia="Arial" w:hAnsi="Arial"/>
                <w:sz w:val="16"/>
                <w:szCs w:val="16"/>
                <w:b w:val="1"/>
                <w:bCs w:val="1"/>
                <w:color w:val="auto"/>
              </w:rPr>
              <w:t>5</w:t>
            </w:r>
          </w:p>
        </w:tc>
        <w:tc>
          <w:tcPr>
            <w:tcW w:w="25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2262</w:t>
            </w:r>
          </w:p>
        </w:tc>
        <w:tc>
          <w:tcPr>
            <w:tcW w:w="1220" w:type="dxa"/>
            <w:vAlign w:val="bottom"/>
            <w:gridSpan w:val="2"/>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86"/>
              </w:rPr>
              <w:t xml:space="preserve">Q3 2020 </w:t>
            </w:r>
            <w:r>
              <w:rPr>
                <w:rFonts w:ascii="Arial" w:cs="Arial" w:eastAsia="Arial" w:hAnsi="Arial"/>
                <w:sz w:val="21"/>
                <w:szCs w:val="21"/>
                <w:color w:val="auto"/>
                <w:w w:val="86"/>
                <w:vertAlign w:val="superscript"/>
              </w:rPr>
              <w:t>(5)</w:t>
            </w:r>
          </w:p>
        </w:tc>
        <w:tc>
          <w:tcPr>
            <w:tcW w:w="8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c>
          <w:tcPr>
            <w:tcW w:w="12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1"/>
                <w:szCs w:val="21"/>
                <w:color w:val="auto"/>
                <w:w w:val="86"/>
                <w:vertAlign w:val="superscript"/>
              </w:rPr>
              <w:t>(4)</w:t>
            </w:r>
          </w:p>
        </w:tc>
        <w:tc>
          <w:tcPr>
            <w:tcW w:w="122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740" w:type="dxa"/>
            <w:vAlign w:val="bottom"/>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 xml:space="preserve">2027 </w:t>
            </w:r>
            <w:r>
              <w:rPr>
                <w:rFonts w:ascii="Arial" w:cs="Arial" w:eastAsia="Arial" w:hAnsi="Arial"/>
                <w:sz w:val="21"/>
                <w:szCs w:val="21"/>
                <w:color w:val="auto"/>
                <w:w w:val="87"/>
                <w:vertAlign w:val="superscript"/>
              </w:rPr>
              <w:t>(6)</w:t>
            </w:r>
          </w:p>
        </w:tc>
      </w:tr>
      <w:tr>
        <w:trPr>
          <w:trHeight w:val="203"/>
        </w:trPr>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6</w:t>
            </w:r>
          </w:p>
        </w:tc>
        <w:tc>
          <w:tcPr>
            <w:tcW w:w="2580" w:type="dxa"/>
            <w:vAlign w:val="bottom"/>
            <w:gridSpan w:val="2"/>
          </w:tcPr>
          <w:p>
            <w:pPr>
              <w:spacing w:after="0"/>
              <w:rPr>
                <w:sz w:val="20"/>
                <w:szCs w:val="20"/>
                <w:color w:val="auto"/>
              </w:rPr>
            </w:pPr>
            <w:r>
              <w:rPr>
                <w:rFonts w:ascii="Arial" w:cs="Arial" w:eastAsia="Arial" w:hAnsi="Arial"/>
                <w:sz w:val="16"/>
                <w:szCs w:val="16"/>
                <w:color w:val="auto"/>
              </w:rPr>
              <w:t>Hull No. 2300</w:t>
            </w:r>
          </w:p>
        </w:tc>
        <w:tc>
          <w:tcPr>
            <w:tcW w:w="122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86"/>
              </w:rPr>
              <w:t xml:space="preserve">Q4 2020 </w:t>
            </w:r>
            <w:r>
              <w:rPr>
                <w:rFonts w:ascii="Arial" w:cs="Arial" w:eastAsia="Arial" w:hAnsi="Arial"/>
                <w:sz w:val="21"/>
                <w:szCs w:val="21"/>
                <w:color w:val="auto"/>
                <w:w w:val="86"/>
                <w:vertAlign w:val="superscript"/>
              </w:rPr>
              <w:t>(5)</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Cheniere</w:t>
            </w:r>
          </w:p>
        </w:tc>
        <w:tc>
          <w:tcPr>
            <w:tcW w:w="122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740" w:type="dxa"/>
            <w:vAlign w:val="bottom"/>
          </w:tcPr>
          <w:p>
            <w:pPr>
              <w:jc w:val="center"/>
              <w:spacing w:after="0" w:line="203" w:lineRule="exact"/>
              <w:rPr>
                <w:sz w:val="20"/>
                <w:szCs w:val="20"/>
                <w:color w:val="auto"/>
              </w:rPr>
            </w:pPr>
            <w:r>
              <w:rPr>
                <w:rFonts w:ascii="Arial" w:cs="Arial" w:eastAsia="Arial" w:hAnsi="Arial"/>
                <w:sz w:val="16"/>
                <w:szCs w:val="16"/>
                <w:color w:val="auto"/>
                <w:w w:val="87"/>
              </w:rPr>
              <w:t xml:space="preserve">2027 </w:t>
            </w:r>
            <w:r>
              <w:rPr>
                <w:rFonts w:ascii="Arial" w:cs="Arial" w:eastAsia="Arial" w:hAnsi="Arial"/>
                <w:sz w:val="21"/>
                <w:szCs w:val="21"/>
                <w:color w:val="auto"/>
                <w:w w:val="87"/>
                <w:vertAlign w:val="superscript"/>
              </w:rPr>
              <w:t>(6)</w:t>
            </w:r>
          </w:p>
        </w:tc>
      </w:tr>
      <w:tr>
        <w:trPr>
          <w:trHeight w:val="203"/>
        </w:trPr>
        <w:tc>
          <w:tcPr>
            <w:tcW w:w="280" w:type="dxa"/>
            <w:vAlign w:val="bottom"/>
            <w:shd w:val="clear" w:color="auto" w:fill="E2FFFF"/>
          </w:tcPr>
          <w:p>
            <w:pPr>
              <w:jc w:val="right"/>
              <w:ind w:right="19"/>
              <w:spacing w:after="0"/>
              <w:rPr>
                <w:sz w:val="20"/>
                <w:szCs w:val="20"/>
                <w:color w:val="auto"/>
              </w:rPr>
            </w:pPr>
            <w:r>
              <w:rPr>
                <w:rFonts w:ascii="Arial" w:cs="Arial" w:eastAsia="Arial" w:hAnsi="Arial"/>
                <w:sz w:val="16"/>
                <w:szCs w:val="16"/>
                <w:b w:val="1"/>
                <w:bCs w:val="1"/>
                <w:color w:val="auto"/>
              </w:rPr>
              <w:t>7</w:t>
            </w:r>
          </w:p>
        </w:tc>
        <w:tc>
          <w:tcPr>
            <w:tcW w:w="25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2301</w:t>
            </w:r>
          </w:p>
        </w:tc>
        <w:tc>
          <w:tcPr>
            <w:tcW w:w="1220" w:type="dxa"/>
            <w:vAlign w:val="bottom"/>
            <w:gridSpan w:val="2"/>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86"/>
              </w:rPr>
              <w:t xml:space="preserve">Q1 2021 </w:t>
            </w:r>
            <w:r>
              <w:rPr>
                <w:rFonts w:ascii="Arial" w:cs="Arial" w:eastAsia="Arial" w:hAnsi="Arial"/>
                <w:sz w:val="21"/>
                <w:szCs w:val="21"/>
                <w:color w:val="auto"/>
                <w:w w:val="86"/>
                <w:vertAlign w:val="superscript"/>
              </w:rPr>
              <w:t>(5)</w:t>
            </w:r>
          </w:p>
        </w:tc>
        <w:tc>
          <w:tcPr>
            <w:tcW w:w="8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12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9"/>
              </w:rPr>
              <w:t>Cheniere</w:t>
            </w:r>
          </w:p>
        </w:tc>
        <w:tc>
          <w:tcPr>
            <w:tcW w:w="122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740" w:type="dxa"/>
            <w:vAlign w:val="bottom"/>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 xml:space="preserve">2028 </w:t>
            </w:r>
            <w:r>
              <w:rPr>
                <w:rFonts w:ascii="Arial" w:cs="Arial" w:eastAsia="Arial" w:hAnsi="Arial"/>
                <w:sz w:val="21"/>
                <w:szCs w:val="21"/>
                <w:color w:val="auto"/>
                <w:w w:val="87"/>
                <w:vertAlign w:val="superscript"/>
              </w:rPr>
              <w:t>(6)</w:t>
            </w:r>
          </w:p>
        </w:tc>
      </w:tr>
      <w:tr>
        <w:trPr>
          <w:trHeight w:val="203"/>
        </w:trPr>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8</w:t>
            </w:r>
          </w:p>
        </w:tc>
        <w:tc>
          <w:tcPr>
            <w:tcW w:w="2580" w:type="dxa"/>
            <w:vAlign w:val="bottom"/>
            <w:gridSpan w:val="2"/>
          </w:tcPr>
          <w:p>
            <w:pPr>
              <w:spacing w:after="0"/>
              <w:rPr>
                <w:sz w:val="20"/>
                <w:szCs w:val="20"/>
                <w:color w:val="auto"/>
              </w:rPr>
            </w:pPr>
            <w:r>
              <w:rPr>
                <w:rFonts w:ascii="Arial" w:cs="Arial" w:eastAsia="Arial" w:hAnsi="Arial"/>
                <w:sz w:val="16"/>
                <w:szCs w:val="16"/>
                <w:color w:val="auto"/>
              </w:rPr>
              <w:t>Hull No. 2311</w:t>
            </w:r>
          </w:p>
        </w:tc>
        <w:tc>
          <w:tcPr>
            <w:tcW w:w="122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86"/>
              </w:rPr>
              <w:t xml:space="preserve">Q2 2021 </w:t>
            </w:r>
            <w:r>
              <w:rPr>
                <w:rFonts w:ascii="Arial" w:cs="Arial" w:eastAsia="Arial" w:hAnsi="Arial"/>
                <w:sz w:val="21"/>
                <w:szCs w:val="21"/>
                <w:color w:val="auto"/>
                <w:w w:val="86"/>
                <w:vertAlign w:val="superscript"/>
              </w:rPr>
              <w:t>(5)</w:t>
            </w:r>
          </w:p>
        </w:tc>
        <w:tc>
          <w:tcPr>
            <w:tcW w:w="860" w:type="dxa"/>
            <w:vAlign w:val="bottom"/>
          </w:tcPr>
          <w:p>
            <w:pPr>
              <w:jc w:val="center"/>
              <w:spacing w:after="0"/>
              <w:rPr>
                <w:sz w:val="20"/>
                <w:szCs w:val="20"/>
                <w:color w:val="auto"/>
              </w:rPr>
            </w:pPr>
            <w:r>
              <w:rPr>
                <w:rFonts w:ascii="Arial" w:cs="Arial" w:eastAsia="Arial" w:hAnsi="Arial"/>
                <w:sz w:val="16"/>
                <w:szCs w:val="16"/>
                <w:color w:val="auto"/>
                <w:w w:val="93"/>
              </w:rPr>
              <w:t>180,000</w:t>
            </w:r>
          </w:p>
        </w:tc>
        <w:tc>
          <w:tcPr>
            <w:tcW w:w="12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Cheniere</w:t>
            </w:r>
          </w:p>
        </w:tc>
        <w:tc>
          <w:tcPr>
            <w:tcW w:w="122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740" w:type="dxa"/>
            <w:vAlign w:val="bottom"/>
          </w:tcPr>
          <w:p>
            <w:pPr>
              <w:jc w:val="center"/>
              <w:spacing w:after="0" w:line="203" w:lineRule="exact"/>
              <w:rPr>
                <w:sz w:val="20"/>
                <w:szCs w:val="20"/>
                <w:color w:val="auto"/>
              </w:rPr>
            </w:pPr>
            <w:r>
              <w:rPr>
                <w:rFonts w:ascii="Arial" w:cs="Arial" w:eastAsia="Arial" w:hAnsi="Arial"/>
                <w:sz w:val="16"/>
                <w:szCs w:val="16"/>
                <w:color w:val="auto"/>
                <w:w w:val="87"/>
              </w:rPr>
              <w:t xml:space="preserve">2028 </w:t>
            </w:r>
            <w:r>
              <w:rPr>
                <w:rFonts w:ascii="Arial" w:cs="Arial" w:eastAsia="Arial" w:hAnsi="Arial"/>
                <w:sz w:val="21"/>
                <w:szCs w:val="21"/>
                <w:color w:val="auto"/>
                <w:w w:val="87"/>
                <w:vertAlign w:val="superscript"/>
              </w:rPr>
              <w:t>(6)</w:t>
            </w:r>
          </w:p>
        </w:tc>
      </w:tr>
      <w:tr>
        <w:trPr>
          <w:trHeight w:val="203"/>
        </w:trPr>
        <w:tc>
          <w:tcPr>
            <w:tcW w:w="280" w:type="dxa"/>
            <w:vAlign w:val="bottom"/>
            <w:shd w:val="clear" w:color="auto" w:fill="E2FFFF"/>
          </w:tcPr>
          <w:p>
            <w:pPr>
              <w:jc w:val="right"/>
              <w:ind w:right="19"/>
              <w:spacing w:after="0"/>
              <w:rPr>
                <w:sz w:val="20"/>
                <w:szCs w:val="20"/>
                <w:color w:val="auto"/>
              </w:rPr>
            </w:pPr>
            <w:r>
              <w:rPr>
                <w:rFonts w:ascii="Arial" w:cs="Arial" w:eastAsia="Arial" w:hAnsi="Arial"/>
                <w:sz w:val="16"/>
                <w:szCs w:val="16"/>
                <w:b w:val="1"/>
                <w:bCs w:val="1"/>
                <w:color w:val="auto"/>
              </w:rPr>
              <w:t>9</w:t>
            </w:r>
          </w:p>
        </w:tc>
        <w:tc>
          <w:tcPr>
            <w:tcW w:w="25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2312</w:t>
            </w:r>
          </w:p>
        </w:tc>
        <w:tc>
          <w:tcPr>
            <w:tcW w:w="1220" w:type="dxa"/>
            <w:vAlign w:val="bottom"/>
            <w:gridSpan w:val="2"/>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86"/>
              </w:rPr>
              <w:t xml:space="preserve">Q3 2021 </w:t>
            </w:r>
            <w:r>
              <w:rPr>
                <w:rFonts w:ascii="Arial" w:cs="Arial" w:eastAsia="Arial" w:hAnsi="Arial"/>
                <w:sz w:val="21"/>
                <w:szCs w:val="21"/>
                <w:color w:val="auto"/>
                <w:w w:val="86"/>
                <w:vertAlign w:val="superscript"/>
              </w:rPr>
              <w:t>(5)</w:t>
            </w:r>
          </w:p>
        </w:tc>
        <w:tc>
          <w:tcPr>
            <w:tcW w:w="8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180,000</w:t>
            </w:r>
          </w:p>
        </w:tc>
        <w:tc>
          <w:tcPr>
            <w:tcW w:w="120" w:type="dxa"/>
            <w:vAlign w:val="bottom"/>
            <w:shd w:val="clear" w:color="auto" w:fill="E5FFFF"/>
          </w:tcPr>
          <w:p>
            <w:pPr>
              <w:spacing w:after="0"/>
              <w:rPr>
                <w:sz w:val="17"/>
                <w:szCs w:val="17"/>
                <w:color w:val="auto"/>
              </w:rPr>
            </w:pPr>
          </w:p>
        </w:tc>
        <w:tc>
          <w:tcPr>
            <w:tcW w:w="142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9"/>
              </w:rPr>
              <w:t>Cheniere</w:t>
            </w:r>
          </w:p>
        </w:tc>
        <w:tc>
          <w:tcPr>
            <w:tcW w:w="122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91"/>
              </w:rPr>
              <w:t xml:space="preserve">X-DF </w:t>
            </w:r>
            <w:r>
              <w:rPr>
                <w:rFonts w:ascii="Arial" w:cs="Arial" w:eastAsia="Arial" w:hAnsi="Arial"/>
                <w:sz w:val="21"/>
                <w:szCs w:val="21"/>
                <w:color w:val="auto"/>
                <w:w w:val="91"/>
                <w:vertAlign w:val="superscript"/>
              </w:rPr>
              <w:t>(3)</w:t>
            </w:r>
          </w:p>
        </w:tc>
        <w:tc>
          <w:tcPr>
            <w:tcW w:w="1740" w:type="dxa"/>
            <w:vAlign w:val="bottom"/>
            <w:shd w:val="clear" w:color="auto" w:fill="E5FFFF"/>
          </w:tcPr>
          <w:p>
            <w:pPr>
              <w:jc w:val="center"/>
              <w:spacing w:after="0" w:line="203" w:lineRule="exact"/>
              <w:rPr>
                <w:sz w:val="20"/>
                <w:szCs w:val="20"/>
                <w:color w:val="auto"/>
              </w:rPr>
            </w:pPr>
            <w:r>
              <w:rPr>
                <w:rFonts w:ascii="Arial" w:cs="Arial" w:eastAsia="Arial" w:hAnsi="Arial"/>
                <w:sz w:val="16"/>
                <w:szCs w:val="16"/>
                <w:color w:val="auto"/>
                <w:w w:val="87"/>
              </w:rPr>
              <w:t xml:space="preserve">2028 </w:t>
            </w:r>
            <w:r>
              <w:rPr>
                <w:rFonts w:ascii="Arial" w:cs="Arial" w:eastAsia="Arial" w:hAnsi="Arial"/>
                <w:sz w:val="21"/>
                <w:szCs w:val="21"/>
                <w:color w:val="auto"/>
                <w:w w:val="87"/>
                <w:vertAlign w:val="superscript"/>
              </w:rPr>
              <w:t>(6)</w:t>
            </w: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__________________</w:t>
      </w:r>
    </w:p>
    <w:p>
      <w:pPr>
        <w:spacing w:after="0" w:line="221" w:lineRule="exact"/>
        <w:rPr>
          <w:sz w:val="20"/>
          <w:szCs w:val="20"/>
          <w:color w:val="auto"/>
        </w:rPr>
      </w:pPr>
    </w:p>
    <w:p>
      <w:pPr>
        <w:ind w:left="260" w:right="220" w:hanging="252"/>
        <w:spacing w:after="0" w:line="201" w:lineRule="auto"/>
        <w:tabs>
          <w:tab w:leader="none" w:pos="257"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vessel is currently trading in the spot market and has been chartered to Sinolam LNG Terminal, S.A. (“Sinolam LNG”) for the provision of an LNG floating storage unit (“FSU”). The charter is expected to commence in November 2020, after the dry-docking and conversion of the vessel to an FSU.</w:t>
      </w:r>
    </w:p>
    <w:p>
      <w:pPr>
        <w:ind w:left="240" w:hanging="232"/>
        <w:spacing w:after="0" w:line="182" w:lineRule="auto"/>
        <w:tabs>
          <w:tab w:leader="none" w:pos="24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The vessel is chartered to a wholly owned subsidiary of Endesa, S.A. (“Endesa”). The charter is expected to commence in May 2021.</w:t>
      </w:r>
    </w:p>
    <w:p>
      <w:pPr>
        <w:ind w:left="240" w:hanging="232"/>
        <w:spacing w:after="0" w:line="182" w:lineRule="auto"/>
        <w:tabs>
          <w:tab w:leader="none" w:pos="24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Reference to “X-DF” refers to low pressure dual-fuel two-stroke engine propulsion manufactured by Winterthur Gas &amp; Diesel.</w:t>
      </w:r>
    </w:p>
    <w:p>
      <w:pPr>
        <w:ind w:left="240" w:hanging="232"/>
        <w:spacing w:after="0" w:line="182" w:lineRule="auto"/>
        <w:tabs>
          <w:tab w:leader="none" w:pos="24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The vessel is chartered to Pioneer Shipping Limited, a wholly owned subsidiary of Centrica plc (“Centrica”).</w:t>
      </w:r>
    </w:p>
    <w:p>
      <w:pPr>
        <w:ind w:left="240" w:hanging="232"/>
        <w:spacing w:after="0" w:line="182" w:lineRule="auto"/>
        <w:tabs>
          <w:tab w:leader="none" w:pos="24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Expected delivery quarters are presented.</w:t>
      </w:r>
    </w:p>
    <w:p>
      <w:pPr>
        <w:ind w:left="240" w:hanging="232"/>
        <w:spacing w:after="0" w:line="182" w:lineRule="auto"/>
        <w:tabs>
          <w:tab w:leader="none" w:pos="240"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Charter expiration to be determined based upon actual date of delivery.</w:t>
      </w:r>
    </w:p>
    <w:p>
      <w:pPr>
        <w:ind w:left="240" w:hanging="232"/>
        <w:spacing w:after="0" w:line="197" w:lineRule="auto"/>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LNG Marine Transport Limited, the principal LNG shipping entity of Japan’s JERA Co., Inc (“JERA”).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ind w:right="120" w:firstLine="383"/>
        <w:spacing w:after="0" w:line="271" w:lineRule="auto"/>
        <w:rPr>
          <w:sz w:val="20"/>
          <w:szCs w:val="20"/>
          <w:color w:val="auto"/>
        </w:rPr>
      </w:pPr>
      <w:r>
        <w:rPr>
          <w:rFonts w:ascii="Arial" w:cs="Arial" w:eastAsia="Arial" w:hAnsi="Arial"/>
          <w:sz w:val="16"/>
          <w:szCs w:val="16"/>
          <w:color w:val="auto"/>
        </w:rPr>
        <w:t xml:space="preserve">Our results set forth below are derived from the unaudited condensed consolidated financial statements of the Partnership. The transfer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from GasLog to the Partnership on April 1, 2019 was accounted for as a reorganization of entities under common control under IFRS. The unaudited condensed consolidated financial statements include the accounts of the Partnership and its subsidiaries assuming that they are consolidated from the dates of their incorporation by GasLog as they were under the common control of GasLog. The Partnership’s historical results were retroactively restated to reflect the historical results of the acquired entity during the period it was owned by GasLog.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40" w:type="dxa"/>
            <w:vAlign w:val="bottom"/>
            <w:gridSpan w:val="6"/>
          </w:tcPr>
          <w:p>
            <w:pPr>
              <w:ind w:left="2080"/>
              <w:spacing w:after="0"/>
              <w:rPr>
                <w:sz w:val="20"/>
                <w:szCs w:val="20"/>
                <w:color w:val="auto"/>
              </w:rPr>
            </w:pPr>
            <w:r>
              <w:rPr>
                <w:rFonts w:ascii="Arial" w:cs="Arial" w:eastAsia="Arial" w:hAnsi="Arial"/>
                <w:sz w:val="16"/>
                <w:szCs w:val="16"/>
                <w:b w:val="1"/>
                <w:bCs w:val="1"/>
                <w:color w:val="auto"/>
                <w:w w:val="96"/>
              </w:rPr>
              <w:t>Three-month period ended March 31, 2019 compared to the three-month period ended March 31, 2020</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4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4100" w:type="dxa"/>
            <w:vAlign w:val="bottom"/>
            <w:gridSpan w:val="5"/>
          </w:tcPr>
          <w:p>
            <w:pPr>
              <w:jc w:val="center"/>
              <w:ind w:left="1039"/>
              <w:spacing w:after="0"/>
              <w:rPr>
                <w:sz w:val="20"/>
                <w:szCs w:val="20"/>
                <w:color w:val="auto"/>
              </w:rPr>
            </w:pPr>
            <w:r>
              <w:rPr>
                <w:rFonts w:ascii="Arial" w:cs="Arial" w:eastAsia="Arial" w:hAnsi="Arial"/>
                <w:sz w:val="16"/>
                <w:szCs w:val="16"/>
                <w:b w:val="1"/>
                <w:bCs w:val="1"/>
                <w:color w:val="auto"/>
                <w:w w:val="92"/>
              </w:rPr>
              <w:t>IFRS Reported Common Control Results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440" w:type="dxa"/>
            <w:vAlign w:val="bottom"/>
          </w:tcPr>
          <w:p>
            <w:pPr>
              <w:spacing w:after="0"/>
              <w:rPr>
                <w:sz w:val="18"/>
                <w:szCs w:val="18"/>
                <w:color w:val="auto"/>
              </w:rPr>
            </w:pPr>
          </w:p>
        </w:tc>
        <w:tc>
          <w:tcPr>
            <w:tcW w:w="18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March 31, 2019</w:t>
            </w:r>
          </w:p>
        </w:tc>
        <w:tc>
          <w:tcPr>
            <w:tcW w:w="2280" w:type="dxa"/>
            <w:vAlign w:val="bottom"/>
            <w:gridSpan w:val="3"/>
          </w:tcPr>
          <w:p>
            <w:pPr>
              <w:jc w:val="center"/>
              <w:ind w:right="720"/>
              <w:spacing w:after="0"/>
              <w:rPr>
                <w:sz w:val="20"/>
                <w:szCs w:val="20"/>
                <w:color w:val="auto"/>
              </w:rPr>
            </w:pPr>
            <w:r>
              <w:rPr>
                <w:rFonts w:ascii="Arial" w:cs="Arial" w:eastAsia="Arial" w:hAnsi="Arial"/>
                <w:sz w:val="16"/>
                <w:szCs w:val="16"/>
                <w:b w:val="1"/>
                <w:bCs w:val="1"/>
                <w:color w:val="auto"/>
                <w:w w:val="94"/>
              </w:rPr>
              <w:t>March 31, 2020</w:t>
            </w:r>
          </w:p>
        </w:tc>
        <w:tc>
          <w:tcPr>
            <w:tcW w:w="124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199"/>
        </w:trPr>
        <w:tc>
          <w:tcPr>
            <w:tcW w:w="5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5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93,885</w:t>
            </w:r>
          </w:p>
        </w:tc>
        <w:tc>
          <w:tcPr>
            <w:tcW w:w="28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91,353</w:t>
            </w:r>
          </w:p>
        </w:tc>
        <w:tc>
          <w:tcPr>
            <w:tcW w:w="28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(2,532)</w:t>
            </w:r>
          </w:p>
        </w:tc>
        <w:tc>
          <w:tcPr>
            <w:tcW w:w="120" w:type="dxa"/>
            <w:vAlign w:val="bottom"/>
            <w:tcBorders>
              <w:top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Net pool allocation</w:t>
            </w:r>
          </w:p>
        </w:tc>
        <w:tc>
          <w:tcPr>
            <w:tcW w:w="154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7"/>
                <w:szCs w:val="17"/>
                <w:color w:val="auto"/>
              </w:rPr>
            </w:pPr>
          </w:p>
        </w:tc>
        <w:tc>
          <w:tcPr>
            <w:tcW w:w="228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544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8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(1,837)</w:t>
            </w:r>
          </w:p>
        </w:tc>
        <w:tc>
          <w:tcPr>
            <w:tcW w:w="18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(3,888)</w:t>
            </w:r>
          </w:p>
        </w:tc>
        <w:tc>
          <w:tcPr>
            <w:tcW w:w="440" w:type="dxa"/>
            <w:vAlign w:val="bottom"/>
            <w:shd w:val="clear" w:color="auto" w:fill="E5FFFF"/>
          </w:tcPr>
          <w:p>
            <w:pPr>
              <w:spacing w:after="0"/>
              <w:rPr>
                <w:sz w:val="17"/>
                <w:szCs w:val="17"/>
                <w:color w:val="auto"/>
              </w:rPr>
            </w:pPr>
          </w:p>
        </w:tc>
        <w:tc>
          <w:tcPr>
            <w:tcW w:w="12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(18,631)</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(19,093)</w:t>
            </w:r>
          </w:p>
        </w:tc>
        <w:tc>
          <w:tcPr>
            <w:tcW w:w="440" w:type="dxa"/>
            <w:vAlign w:val="bottom"/>
          </w:tcPr>
          <w:p>
            <w:pPr>
              <w:spacing w:after="0"/>
              <w:rPr>
                <w:sz w:val="17"/>
                <w:szCs w:val="17"/>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3"/>
        </w:trPr>
        <w:tc>
          <w:tcPr>
            <w:tcW w:w="544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8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(21,870)</w:t>
            </w:r>
          </w:p>
        </w:tc>
        <w:tc>
          <w:tcPr>
            <w:tcW w:w="18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(20,598)</w:t>
            </w:r>
          </w:p>
        </w:tc>
        <w:tc>
          <w:tcPr>
            <w:tcW w:w="44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1,272</w:t>
            </w: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(4,694)</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(4,171)</w:t>
            </w: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46,887</w:t>
            </w:r>
          </w:p>
        </w:tc>
        <w:tc>
          <w:tcPr>
            <w:tcW w:w="28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43,603</w:t>
            </w:r>
          </w:p>
        </w:tc>
        <w:tc>
          <w:tcPr>
            <w:tcW w:w="28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bottom w:val="single" w:sz="8" w:color="auto"/>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(3,284)</w:t>
            </w:r>
          </w:p>
        </w:tc>
        <w:tc>
          <w:tcPr>
            <w:tcW w:w="120" w:type="dxa"/>
            <w:vAlign w:val="bottom"/>
            <w:tcBorders>
              <w:top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20"/>
                <w:szCs w:val="20"/>
                <w:color w:val="auto"/>
              </w:rPr>
            </w:pPr>
            <w:r>
              <w:rPr>
                <w:rFonts w:ascii="Arial" w:cs="Arial" w:eastAsia="Arial" w:hAnsi="Arial"/>
                <w:sz w:val="16"/>
                <w:szCs w:val="16"/>
                <w:color w:val="auto"/>
              </w:rPr>
              <w:t>Financial costs</w:t>
            </w:r>
          </w:p>
        </w:tc>
        <w:tc>
          <w:tcPr>
            <w:tcW w:w="1540" w:type="dxa"/>
            <w:vAlign w:val="bottom"/>
          </w:tcPr>
          <w:p>
            <w:pPr>
              <w:jc w:val="right"/>
              <w:spacing w:after="0"/>
              <w:rPr>
                <w:sz w:val="20"/>
                <w:szCs w:val="20"/>
                <w:color w:val="auto"/>
              </w:rPr>
            </w:pPr>
            <w:r>
              <w:rPr>
                <w:rFonts w:ascii="Arial" w:cs="Arial" w:eastAsia="Arial" w:hAnsi="Arial"/>
                <w:sz w:val="16"/>
                <w:szCs w:val="16"/>
                <w:color w:val="auto"/>
              </w:rPr>
              <w:t>(19,632)</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(15,513)</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638</w:t>
            </w:r>
          </w:p>
        </w:tc>
        <w:tc>
          <w:tcPr>
            <w:tcW w:w="28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199</w:t>
            </w:r>
          </w:p>
        </w:tc>
        <w:tc>
          <w:tcPr>
            <w:tcW w:w="28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4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Loss on derivatives</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(4,877)</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(14,120)</w:t>
            </w:r>
          </w:p>
        </w:tc>
        <w:tc>
          <w:tcPr>
            <w:tcW w:w="440" w:type="dxa"/>
            <w:vAlign w:val="bottom"/>
          </w:tcPr>
          <w:p>
            <w:pPr>
              <w:spacing w:after="0"/>
              <w:rPr>
                <w:sz w:val="17"/>
                <w:szCs w:val="17"/>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(9,243)</w:t>
            </w:r>
          </w:p>
        </w:tc>
        <w:tc>
          <w:tcPr>
            <w:tcW w:w="0" w:type="dxa"/>
            <w:vAlign w:val="bottom"/>
          </w:tcPr>
          <w:p>
            <w:pPr>
              <w:spacing w:after="0"/>
              <w:rPr>
                <w:sz w:val="1"/>
                <w:szCs w:val="1"/>
                <w:color w:val="auto"/>
              </w:rPr>
            </w:pPr>
          </w:p>
        </w:tc>
      </w:tr>
      <w:tr>
        <w:trPr>
          <w:trHeight w:val="196"/>
        </w:trPr>
        <w:tc>
          <w:tcPr>
            <w:tcW w:w="5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23,016</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440" w:type="dxa"/>
            <w:vAlign w:val="bottom"/>
            <w:tcBorders>
              <w:top w:val="single" w:sz="8" w:color="auto"/>
              <w:bottom w:val="single" w:sz="8" w:color="auto"/>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(8,847)</w:t>
            </w:r>
          </w:p>
        </w:tc>
        <w:tc>
          <w:tcPr>
            <w:tcW w:w="120" w:type="dxa"/>
            <w:vAlign w:val="bottom"/>
            <w:tcBorders>
              <w:top w:val="single" w:sz="8" w:color="E5FFFF"/>
              <w:bottom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6"/>
                <w:szCs w:val="16"/>
                <w:b w:val="1"/>
                <w:bCs w:val="1"/>
                <w:color w:val="auto"/>
              </w:rPr>
              <w:t>Profit attributable to Partnership’s operations</w:t>
            </w: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83"/>
        </w:trPr>
        <w:tc>
          <w:tcPr>
            <w:tcW w:w="5440" w:type="dxa"/>
            <w:vAlign w:val="bottom"/>
            <w:vMerge w:val="continue"/>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20,366</w:t>
            </w: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14,169</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(6,197</w:t>
            </w:r>
          </w:p>
        </w:tc>
        <w:tc>
          <w:tcPr>
            <w:tcW w:w="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80" w:firstLine="405"/>
        <w:spacing w:after="0" w:line="328" w:lineRule="auto"/>
        <w:rPr>
          <w:sz w:val="20"/>
          <w:szCs w:val="20"/>
          <w:color w:val="auto"/>
        </w:rPr>
      </w:pPr>
      <w:r>
        <w:rPr>
          <w:rFonts w:ascii="Arial" w:cs="Arial" w:eastAsia="Arial" w:hAnsi="Arial"/>
          <w:sz w:val="15"/>
          <w:szCs w:val="15"/>
          <w:color w:val="auto"/>
        </w:rPr>
        <w:t>For the three-month period ended March 31, 2019, we had an average of 15.0 vessels operating in our owned fleet having 1,344 revenue operating days, while during the three-month period ended March 31, 2020, we had an average of 15.0 vessels operating in our owned fleet having 1,273 revenue operating days.</w:t>
      </w:r>
    </w:p>
    <w:p>
      <w:pPr>
        <w:spacing w:after="0" w:line="150" w:lineRule="exact"/>
        <w:rPr>
          <w:sz w:val="20"/>
          <w:szCs w:val="20"/>
          <w:color w:val="auto"/>
        </w:rPr>
      </w:pPr>
    </w:p>
    <w:p>
      <w:pPr>
        <w:ind w:right="20" w:firstLine="427"/>
        <w:spacing w:after="0" w:line="291" w:lineRule="auto"/>
        <w:rPr>
          <w:sz w:val="20"/>
          <w:szCs w:val="20"/>
          <w:color w:val="auto"/>
        </w:rPr>
      </w:pPr>
      <w:r>
        <w:rPr>
          <w:rFonts w:ascii="Arial" w:cs="Arial" w:eastAsia="Arial" w:hAnsi="Arial"/>
          <w:sz w:val="15"/>
          <w:szCs w:val="15"/>
          <w:b w:val="1"/>
          <w:bCs w:val="1"/>
          <w:i w:val="1"/>
          <w:iCs w:val="1"/>
          <w:color w:val="auto"/>
        </w:rPr>
        <w:t xml:space="preserve">Revenues: </w:t>
      </w:r>
      <w:r>
        <w:rPr>
          <w:rFonts w:ascii="Arial" w:cs="Arial" w:eastAsia="Arial" w:hAnsi="Arial"/>
          <w:sz w:val="15"/>
          <w:szCs w:val="15"/>
          <w:color w:val="auto"/>
        </w:rPr>
        <w:t>Revenues decreased by $2.5 million, or 2.7%, from $93.9 million for the three-month period ended March 31, 2019 to $91.4 million for the same period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2020. The decrease in revenues is mainly attributable to the expirations of the initial time charters of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in October 2019 and January 2020, respectively. Following the expirations of their initial charters,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was rechartered to Trafigura in November 2019, while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has been trading in the spot market. This decrease in revenues was partially offset by the improved performance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as result of its rechartering to Gunvor in June 2019 under a time charter with a variable, market-linked rate of hire. The average daily hire rate increased from $69,855 for the three-month period ended March 31, 2019 to $71,762 for the three-month period ended March 31, 2020.</w:t>
      </w:r>
    </w:p>
    <w:p>
      <w:pPr>
        <w:spacing w:after="0" w:line="176" w:lineRule="exact"/>
        <w:rPr>
          <w:sz w:val="20"/>
          <w:szCs w:val="20"/>
          <w:color w:val="auto"/>
        </w:rPr>
      </w:pPr>
    </w:p>
    <w:p>
      <w:pPr>
        <w:ind w:firstLine="427"/>
        <w:spacing w:after="0" w:line="271" w:lineRule="auto"/>
        <w:rPr>
          <w:sz w:val="20"/>
          <w:szCs w:val="20"/>
          <w:color w:val="auto"/>
        </w:rPr>
      </w:pPr>
      <w:r>
        <w:rPr>
          <w:rFonts w:ascii="Arial" w:cs="Arial" w:eastAsia="Arial" w:hAnsi="Arial"/>
          <w:sz w:val="16"/>
          <w:szCs w:val="16"/>
          <w:b w:val="1"/>
          <w:bCs w:val="1"/>
          <w:i w:val="1"/>
          <w:iCs w:val="1"/>
          <w:color w:val="auto"/>
        </w:rPr>
        <w:t xml:space="preserve">Net Pool Allocation: </w:t>
      </w:r>
      <w:r>
        <w:rPr>
          <w:rFonts w:ascii="Arial" w:cs="Arial" w:eastAsia="Arial" w:hAnsi="Arial"/>
          <w:sz w:val="16"/>
          <w:szCs w:val="16"/>
          <w:color w:val="auto"/>
        </w:rPr>
        <w:t>Net pool allocation was $0.03 million in the three months ended March 31, 2019 and $0.0 million in the three months ended March 31,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following the removal in June 2019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from the Cool Pool, an LNG carrier pooling arrangement operated by GasLog and Golar LNG Ltd. (the “Cool Pool”) to market their vessels operating in the LNG shipping spot market. The $0.03 million of net pool allocation in the three months ended March 31, 2019 represented the adjustment of the net results generated by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in accordance with the pool distribution formula before exiting the Cool Pool. GasLog Partners’ total net pool performance is presented below:</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3500" w:type="dxa"/>
            <w:vAlign w:val="bottom"/>
            <w:gridSpan w:val="4"/>
          </w:tcPr>
          <w:p>
            <w:pPr>
              <w:ind w:left="720"/>
              <w:spacing w:after="0"/>
              <w:rPr>
                <w:sz w:val="20"/>
                <w:szCs w:val="20"/>
                <w:color w:val="auto"/>
              </w:rPr>
            </w:pPr>
            <w:r>
              <w:rPr>
                <w:rFonts w:ascii="Arial" w:cs="Arial" w:eastAsia="Arial" w:hAnsi="Arial"/>
                <w:sz w:val="16"/>
                <w:szCs w:val="16"/>
                <w:b w:val="1"/>
                <w:bCs w:val="1"/>
                <w:color w:val="auto"/>
              </w:rPr>
              <w:t>For the three months ended</w:t>
            </w:r>
          </w:p>
        </w:tc>
      </w:tr>
      <w:tr>
        <w:trPr>
          <w:trHeight w:val="171"/>
        </w:trPr>
        <w:tc>
          <w:tcPr>
            <w:tcW w:w="7280" w:type="dxa"/>
            <w:vAlign w:val="bottom"/>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2019</w:t>
            </w:r>
          </w:p>
        </w:tc>
        <w:tc>
          <w:tcPr>
            <w:tcW w:w="1680" w:type="dxa"/>
            <w:vAlign w:val="bottom"/>
            <w:gridSpan w:val="2"/>
          </w:tcPr>
          <w:p>
            <w:pPr>
              <w:ind w:left="300"/>
              <w:spacing w:after="0"/>
              <w:rPr>
                <w:sz w:val="20"/>
                <w:szCs w:val="20"/>
                <w:color w:val="auto"/>
              </w:rPr>
            </w:pPr>
            <w:r>
              <w:rPr>
                <w:rFonts w:ascii="Arial" w:cs="Arial" w:eastAsia="Arial" w:hAnsi="Arial"/>
                <w:sz w:val="14"/>
                <w:szCs w:val="14"/>
                <w:b w:val="1"/>
                <w:bCs w:val="1"/>
                <w:color w:val="auto"/>
              </w:rPr>
              <w:t>March 31, 2020</w:t>
            </w:r>
          </w:p>
        </w:tc>
      </w:tr>
      <w:tr>
        <w:trPr>
          <w:trHeight w:val="196"/>
        </w:trPr>
        <w:tc>
          <w:tcPr>
            <w:tcW w:w="72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5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3,698</w:t>
            </w:r>
          </w:p>
        </w:tc>
        <w:tc>
          <w:tcPr>
            <w:tcW w:w="28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tcBorders>
            <w:shd w:val="clear" w:color="auto" w:fill="E5FFFF"/>
          </w:tcPr>
          <w:p>
            <w:pPr>
              <w:ind w:left="1400"/>
              <w:spacing w:after="0"/>
              <w:rPr>
                <w:sz w:val="20"/>
                <w:szCs w:val="20"/>
                <w:color w:val="auto"/>
              </w:rPr>
            </w:pPr>
            <w:r>
              <w:rPr>
                <w:rFonts w:ascii="Arial" w:cs="Arial" w:eastAsia="Arial" w:hAnsi="Arial"/>
                <w:sz w:val="16"/>
                <w:szCs w:val="16"/>
                <w:color w:val="auto"/>
                <w:w w:val="87"/>
              </w:rPr>
              <w:t>—</w:t>
            </w:r>
          </w:p>
        </w:tc>
        <w:tc>
          <w:tcPr>
            <w:tcW w:w="120" w:type="dxa"/>
            <w:vAlign w:val="bottom"/>
            <w:tcBorders>
              <w:top w:val="single" w:sz="8" w:color="E5FFFF"/>
            </w:tcBorders>
            <w:shd w:val="clear" w:color="auto" w:fill="E5FFFF"/>
          </w:tcPr>
          <w:p>
            <w:pPr>
              <w:spacing w:after="0"/>
              <w:rPr>
                <w:sz w:val="17"/>
                <w:szCs w:val="17"/>
                <w:color w:val="auto"/>
              </w:rPr>
            </w:pPr>
          </w:p>
        </w:tc>
      </w:tr>
      <w:tr>
        <w:trPr>
          <w:trHeight w:val="203"/>
        </w:trPr>
        <w:tc>
          <w:tcPr>
            <w:tcW w:w="728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(290)</w:t>
            </w:r>
          </w:p>
        </w:tc>
        <w:tc>
          <w:tcPr>
            <w:tcW w:w="1680" w:type="dxa"/>
            <w:vAlign w:val="bottom"/>
            <w:gridSpan w:val="2"/>
          </w:tcPr>
          <w:p>
            <w:pPr>
              <w:ind w:left="1400"/>
              <w:spacing w:after="0"/>
              <w:rPr>
                <w:sz w:val="20"/>
                <w:szCs w:val="20"/>
                <w:color w:val="auto"/>
              </w:rPr>
            </w:pPr>
            <w:r>
              <w:rPr>
                <w:rFonts w:ascii="Arial" w:cs="Arial" w:eastAsia="Arial" w:hAnsi="Arial"/>
                <w:sz w:val="16"/>
                <w:szCs w:val="16"/>
                <w:color w:val="auto"/>
              </w:rPr>
              <w:t>—</w:t>
            </w:r>
          </w:p>
        </w:tc>
      </w:tr>
      <w:tr>
        <w:trPr>
          <w:trHeight w:val="203"/>
        </w:trPr>
        <w:tc>
          <w:tcPr>
            <w:tcW w:w="7280" w:type="dxa"/>
            <w:vAlign w:val="bottom"/>
            <w:shd w:val="clear" w:color="auto" w:fill="E5FFFF"/>
          </w:tcPr>
          <w:p>
            <w:pPr>
              <w:spacing w:after="0"/>
              <w:rPr>
                <w:sz w:val="20"/>
                <w:szCs w:val="20"/>
                <w:color w:val="auto"/>
              </w:rPr>
            </w:pPr>
            <w:r>
              <w:rPr>
                <w:rFonts w:ascii="Arial" w:cs="Arial" w:eastAsia="Arial" w:hAnsi="Arial"/>
                <w:sz w:val="16"/>
                <w:szCs w:val="16"/>
                <w:color w:val="auto"/>
              </w:rPr>
              <w:t>GasLog Partners’ adjustment for net pool allocation (Net pool allocation)</w:t>
            </w:r>
          </w:p>
        </w:tc>
        <w:tc>
          <w:tcPr>
            <w:tcW w:w="15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ind w:left="1400"/>
              <w:spacing w:after="0"/>
              <w:rPr>
                <w:sz w:val="20"/>
                <w:szCs w:val="20"/>
                <w:color w:val="auto"/>
              </w:rPr>
            </w:pPr>
            <w:r>
              <w:rPr>
                <w:rFonts w:ascii="Arial" w:cs="Arial" w:eastAsia="Arial" w:hAnsi="Arial"/>
                <w:sz w:val="16"/>
                <w:szCs w:val="16"/>
                <w:color w:val="auto"/>
              </w:rPr>
              <w:t>—</w:t>
            </w:r>
          </w:p>
        </w:tc>
      </w:tr>
      <w:tr>
        <w:trPr>
          <w:trHeight w:val="196"/>
        </w:trPr>
        <w:tc>
          <w:tcPr>
            <w:tcW w:w="7280" w:type="dxa"/>
            <w:vAlign w:val="bottom"/>
          </w:tcPr>
          <w:p>
            <w:pPr>
              <w:spacing w:after="0"/>
              <w:rPr>
                <w:sz w:val="20"/>
                <w:szCs w:val="20"/>
                <w:color w:val="auto"/>
              </w:rPr>
            </w:pPr>
            <w:r>
              <w:rPr>
                <w:rFonts w:ascii="Arial" w:cs="Arial" w:eastAsia="Arial" w:hAnsi="Arial"/>
                <w:sz w:val="16"/>
                <w:szCs w:val="16"/>
                <w:b w:val="1"/>
                <w:bCs w:val="1"/>
                <w:color w:val="auto"/>
              </w:rPr>
              <w:t>GasLog Partners’ total net pool performance</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3,442</w:t>
            </w:r>
          </w:p>
        </w:tc>
        <w:tc>
          <w:tcPr>
            <w:tcW w:w="280" w:type="dxa"/>
            <w:vAlign w:val="bottom"/>
          </w:tcPr>
          <w:p>
            <w:pPr>
              <w:spacing w:after="0"/>
              <w:rPr>
                <w:sz w:val="17"/>
                <w:szCs w:val="17"/>
                <w:color w:val="auto"/>
              </w:rPr>
            </w:pPr>
          </w:p>
        </w:tc>
        <w:tc>
          <w:tcPr>
            <w:tcW w:w="156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r>
    </w:tbl>
    <w:p>
      <w:pPr>
        <w:spacing w:after="0" w:line="206" w:lineRule="exact"/>
        <w:rPr>
          <w:sz w:val="20"/>
          <w:szCs w:val="20"/>
          <w:color w:val="auto"/>
        </w:rPr>
      </w:pPr>
    </w:p>
    <w:p>
      <w:pPr>
        <w:ind w:right="40" w:firstLine="427"/>
        <w:spacing w:after="0" w:line="278" w:lineRule="auto"/>
        <w:rPr>
          <w:sz w:val="20"/>
          <w:szCs w:val="20"/>
          <w:color w:val="auto"/>
        </w:rPr>
      </w:pPr>
      <w:r>
        <w:rPr>
          <w:rFonts w:ascii="Arial" w:cs="Arial" w:eastAsia="Arial" w:hAnsi="Arial"/>
          <w:sz w:val="16"/>
          <w:szCs w:val="16"/>
          <w:b w:val="1"/>
          <w:bCs w:val="1"/>
          <w:i w:val="1"/>
          <w:iCs w:val="1"/>
          <w:color w:val="auto"/>
        </w:rPr>
        <w:t xml:space="preserve">Voyage Expenses and Commissions: </w:t>
      </w:r>
      <w:r>
        <w:rPr>
          <w:rFonts w:ascii="Arial" w:cs="Arial" w:eastAsia="Arial" w:hAnsi="Arial"/>
          <w:sz w:val="16"/>
          <w:szCs w:val="16"/>
          <w:color w:val="auto"/>
        </w:rPr>
        <w:t>Voyage expenses and commissions increased by $2.1 million, from $1.8 million in the three months ended March 31, 2019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$3.9 million in the three months ended March 31, 2020. The increase in voyage expenses and commissions is mainly attributable to an increase in bunker consumption costs due to the operation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in the spot market in the first three months of 2020.</w:t>
      </w:r>
    </w:p>
    <w:p>
      <w:pPr>
        <w:spacing w:after="0" w:line="184" w:lineRule="exact"/>
        <w:rPr>
          <w:sz w:val="20"/>
          <w:szCs w:val="20"/>
          <w:color w:val="auto"/>
        </w:rPr>
      </w:pPr>
    </w:p>
    <w:p>
      <w:pPr>
        <w:ind w:right="240" w:firstLine="427"/>
        <w:spacing w:after="0" w:line="271" w:lineRule="auto"/>
        <w:rPr>
          <w:sz w:val="20"/>
          <w:szCs w:val="20"/>
          <w:color w:val="auto"/>
        </w:rPr>
      </w:pPr>
      <w:r>
        <w:rPr>
          <w:rFonts w:ascii="Arial" w:cs="Arial" w:eastAsia="Arial" w:hAnsi="Arial"/>
          <w:sz w:val="16"/>
          <w:szCs w:val="16"/>
          <w:b w:val="1"/>
          <w:bCs w:val="1"/>
          <w:i w:val="1"/>
          <w:iCs w:val="1"/>
          <w:color w:val="auto"/>
        </w:rPr>
        <w:t xml:space="preserve">Vessel Operating Costs: </w:t>
      </w:r>
      <w:r>
        <w:rPr>
          <w:rFonts w:ascii="Arial" w:cs="Arial" w:eastAsia="Arial" w:hAnsi="Arial"/>
          <w:sz w:val="16"/>
          <w:szCs w:val="16"/>
          <w:color w:val="auto"/>
        </w:rPr>
        <w:t>Vessel operating costs increased by $0.5 million, or 2.7%, from $18.6 million for the three-month period ended March 31, 2019 to $19.1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million for the same period in 2020. The increase in vessel operating costs is the net result of an increase of $1.0 million in technical maintenance expenses (mainly attributable to the dry-docking of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in the first three months of 2020), partially offset by a decrease of $0.5 million in crew wages and other operating expenses. As a result,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6"/>
          <w:szCs w:val="16"/>
          <w:color w:val="auto"/>
        </w:rPr>
        <w:t>) increased from $14,786 per day for the three-month period ended March 31, 2019 to $14,987 per day for the three-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month period ended March 31, 2020.</w:t>
      </w:r>
    </w:p>
    <w:p>
      <w:pPr>
        <w:spacing w:after="0" w:line="221" w:lineRule="exact"/>
        <w:rPr>
          <w:sz w:val="20"/>
          <w:szCs w:val="20"/>
          <w:color w:val="auto"/>
        </w:rPr>
      </w:pPr>
    </w:p>
    <w:p>
      <w:pPr>
        <w:ind w:firstLine="427"/>
        <w:spacing w:after="0" w:line="273"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decreased by $0.5 million, or 10.6%, from $4.7 million for the three-month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2019 to $4.2 million for the same period in 2020. The decrease in general and administrative expenses is mainly attributable to a decrease of $0.4 million in other general and administrative expenses (mainly foreign exchange differences) and decreased administrative services fees of $0.2 million, mainly due to the decrease of the annual fee payable to GasLog in 2020 by almost $0.1 million per vessel per year.</w:t>
      </w:r>
    </w:p>
    <w:p>
      <w:pPr>
        <w:spacing w:after="0" w:line="175" w:lineRule="exact"/>
        <w:rPr>
          <w:sz w:val="20"/>
          <w:szCs w:val="20"/>
          <w:color w:val="auto"/>
        </w:rPr>
      </w:pPr>
    </w:p>
    <w:p>
      <w:pPr>
        <w:ind w:right="180" w:firstLine="427"/>
        <w:spacing w:after="0" w:line="269" w:lineRule="auto"/>
        <w:rPr>
          <w:sz w:val="20"/>
          <w:szCs w:val="20"/>
          <w:color w:val="auto"/>
        </w:rPr>
      </w:pPr>
      <w:r>
        <w:rPr>
          <w:rFonts w:ascii="Arial" w:cs="Arial" w:eastAsia="Arial" w:hAnsi="Arial"/>
          <w:sz w:val="16"/>
          <w:szCs w:val="16"/>
          <w:b w:val="1"/>
          <w:bCs w:val="1"/>
          <w:i w:val="1"/>
          <w:iCs w:val="1"/>
          <w:color w:val="auto"/>
        </w:rPr>
        <w:t xml:space="preserve">Financial Costs: </w:t>
      </w:r>
      <w:r>
        <w:rPr>
          <w:rFonts w:ascii="Arial" w:cs="Arial" w:eastAsia="Arial" w:hAnsi="Arial"/>
          <w:sz w:val="16"/>
          <w:szCs w:val="16"/>
          <w:color w:val="auto"/>
        </w:rPr>
        <w:t>Financial costs decreased by $4.1 million, or 20.9%, from $19.6 million for the three-month period ended March 31, 2019 to $15.5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2020. The decrease in financial costs is attributable to a decrease of $3.2 million in interest expense on loans, primarily due to the lower London Interbank Offered Rate (“LIBOR”) rates in the first three months of 2020 as compared to the same period in 2019, and a decrease of $1.0 million in amortization of deferred loan issuance costs. During the three-month period ended March 31, 2019, we had an average of $1,374.4 million of outstanding indebtedness with a weighted average interest rate of 4.8%, compared to an average of $1,352.2 million of outstanding indebtedness with a weighted average interest rate of 3.9% during the three-month period ended March 31, 2020.</w:t>
      </w:r>
    </w:p>
    <w:p>
      <w:pPr>
        <w:spacing w:after="0" w:line="180" w:lineRule="exact"/>
        <w:rPr>
          <w:sz w:val="20"/>
          <w:szCs w:val="20"/>
          <w:color w:val="auto"/>
        </w:rPr>
      </w:pPr>
    </w:p>
    <w:p>
      <w:pPr>
        <w:ind w:right="40" w:firstLine="427"/>
        <w:spacing w:after="0" w:line="273" w:lineRule="auto"/>
        <w:rPr>
          <w:sz w:val="20"/>
          <w:szCs w:val="20"/>
          <w:color w:val="auto"/>
        </w:rPr>
      </w:pPr>
      <w:r>
        <w:rPr>
          <w:rFonts w:ascii="Arial" w:cs="Arial" w:eastAsia="Arial" w:hAnsi="Arial"/>
          <w:sz w:val="16"/>
          <w:szCs w:val="16"/>
          <w:b w:val="1"/>
          <w:bCs w:val="1"/>
          <w:i w:val="1"/>
          <w:iCs w:val="1"/>
          <w:color w:val="auto"/>
        </w:rPr>
        <w:t xml:space="preserve">Loss on Derivatives: </w:t>
      </w:r>
      <w:r>
        <w:rPr>
          <w:rFonts w:ascii="Arial" w:cs="Arial" w:eastAsia="Arial" w:hAnsi="Arial"/>
          <w:sz w:val="16"/>
          <w:szCs w:val="16"/>
          <w:color w:val="auto"/>
        </w:rPr>
        <w:t>Loss on derivatives increased by $9.2 million, from $4.9 million for the three-month period ended March 31, 2019 to $14.1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2020. The increase is attributable to a $8.0 million increase in unrealized loss from the mark-to-market valuation of derivatives held for trading which were carried at fair value through profit or loss and an increase of $1.2 million in realized loss on derivatives held for trading, which reflected a net gain of $0.7 million in the three months ended March 31, 2019 as compared to a loss of $0.5 million in the three months ended March 31, 2020.</w:t>
      </w:r>
    </w:p>
    <w:p>
      <w:pPr>
        <w:spacing w:after="0" w:line="175" w:lineRule="exact"/>
        <w:rPr>
          <w:sz w:val="20"/>
          <w:szCs w:val="20"/>
          <w:color w:val="auto"/>
        </w:rPr>
      </w:pPr>
    </w:p>
    <w:p>
      <w:pPr>
        <w:ind w:right="40" w:firstLine="427"/>
        <w:spacing w:after="0" w:line="293" w:lineRule="auto"/>
        <w:rPr>
          <w:sz w:val="20"/>
          <w:szCs w:val="20"/>
          <w:color w:val="auto"/>
        </w:rPr>
      </w:pPr>
      <w:r>
        <w:rPr>
          <w:rFonts w:ascii="Arial" w:cs="Arial" w:eastAsia="Arial" w:hAnsi="Arial"/>
          <w:sz w:val="16"/>
          <w:szCs w:val="16"/>
          <w:b w:val="1"/>
          <w:bCs w:val="1"/>
          <w:i w:val="1"/>
          <w:iCs w:val="1"/>
          <w:color w:val="auto"/>
        </w:rPr>
        <w:t xml:space="preserve">Profit for the Period: </w:t>
      </w:r>
      <w:r>
        <w:rPr>
          <w:rFonts w:ascii="Arial" w:cs="Arial" w:eastAsia="Arial" w:hAnsi="Arial"/>
          <w:sz w:val="16"/>
          <w:szCs w:val="16"/>
          <w:color w:val="auto"/>
        </w:rPr>
        <w:t>Profit for the period decreased by $8.8 million, or 38.3%, from $23.0 million for the three-month period ended March 31, 2019 to $14.2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2020, as a result of the aforementioned factors.</w:t>
      </w:r>
    </w:p>
    <w:p>
      <w:pPr>
        <w:spacing w:after="0" w:line="158" w:lineRule="exact"/>
        <w:rPr>
          <w:sz w:val="20"/>
          <w:szCs w:val="20"/>
          <w:color w:val="auto"/>
        </w:rPr>
      </w:pPr>
    </w:p>
    <w:p>
      <w:pPr>
        <w:ind w:right="20" w:firstLine="427"/>
        <w:spacing w:after="0" w:line="273" w:lineRule="auto"/>
        <w:rPr>
          <w:sz w:val="20"/>
          <w:szCs w:val="20"/>
          <w:color w:val="auto"/>
        </w:rPr>
      </w:pPr>
      <w:r>
        <w:rPr>
          <w:rFonts w:ascii="Arial" w:cs="Arial" w:eastAsia="Arial" w:hAnsi="Arial"/>
          <w:sz w:val="16"/>
          <w:szCs w:val="16"/>
          <w:b w:val="1"/>
          <w:bCs w:val="1"/>
          <w:i w:val="1"/>
          <w:iCs w:val="1"/>
          <w:color w:val="auto"/>
        </w:rPr>
        <w:t xml:space="preserve">Profit attributable to the Partnership: </w:t>
      </w:r>
      <w:r>
        <w:rPr>
          <w:rFonts w:ascii="Arial" w:cs="Arial" w:eastAsia="Arial" w:hAnsi="Arial"/>
          <w:sz w:val="16"/>
          <w:szCs w:val="16"/>
          <w:color w:val="auto"/>
        </w:rPr>
        <w:t>Profit attributable to the Partnership decreased by $6.2 million, or 30.4%, from $20.4 million for the three-month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March 31, 2019 to $14.2 million for the three-month period ended March 31, 2020. The decrease is mainly attributable to a $8.0 million increase in loss from the mark-to-market valuation of the derivatives attributable to the Partnership, which were carried at fair value through profit or loss, partially offset by the profits from the acquisition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on April 1, 2019.</w:t>
      </w:r>
    </w:p>
    <w:p>
      <w:pPr>
        <w:spacing w:after="0" w:line="175" w:lineRule="exact"/>
        <w:rPr>
          <w:sz w:val="20"/>
          <w:szCs w:val="20"/>
          <w:color w:val="auto"/>
        </w:rPr>
      </w:pPr>
    </w:p>
    <w:p>
      <w:pPr>
        <w:ind w:right="320" w:firstLine="427"/>
        <w:spacing w:after="0" w:line="269" w:lineRule="auto"/>
        <w:rPr>
          <w:sz w:val="20"/>
          <w:szCs w:val="20"/>
          <w:color w:val="auto"/>
        </w:rPr>
      </w:pPr>
      <w:r>
        <w:rPr>
          <w:rFonts w:ascii="Arial" w:cs="Arial" w:eastAsia="Arial" w:hAnsi="Arial"/>
          <w:sz w:val="16"/>
          <w:szCs w:val="16"/>
          <w:color w:val="auto"/>
        </w:rPr>
        <w:t xml:space="preserve">Specifically, the profit attributable to the Partnership was mainly affected by (a) an increase in revenues of $5.0 million ($7.6 million contributed by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Glasgow </w:t>
      </w:r>
      <w:r>
        <w:rPr>
          <w:rFonts w:ascii="Arial" w:cs="Arial" w:eastAsia="Arial" w:hAnsi="Arial"/>
          <w:sz w:val="16"/>
          <w:szCs w:val="16"/>
          <w:color w:val="auto"/>
        </w:rPr>
        <w:t>after its drop-down to the Partnership, partially offset by a decrease in revenues of $2.6 million mainly due to the expirations of the initial time charters of the</w:t>
      </w:r>
      <w:r>
        <w:rPr>
          <w:rFonts w:ascii="Arial" w:cs="Arial" w:eastAsia="Arial" w:hAnsi="Arial"/>
          <w:sz w:val="16"/>
          <w:szCs w:val="16"/>
          <w:i w:val="1"/>
          <w:iCs w:val="1"/>
          <w:color w:val="auto"/>
        </w:rPr>
        <w:t xml:space="preserve"> Methane Jane Elizabeth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in October 2019 and early January 2020, respectively), (b) an increase in voyage expenses and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attributable to the Partnership of $2.1 million, mainly due to the operation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in the spot market in the first three months of 2020, and (c) an increase in operating expenses attributable to the Partnership of $2.0 million, mainly attributable to the operating expenses of the </w:t>
      </w:r>
      <w:r>
        <w:rPr>
          <w:rFonts w:ascii="Arial" w:cs="Arial" w:eastAsia="Arial" w:hAnsi="Arial"/>
          <w:sz w:val="16"/>
          <w:szCs w:val="16"/>
          <w:i w:val="1"/>
          <w:iCs w:val="1"/>
          <w:color w:val="auto"/>
        </w:rPr>
        <w:t>GasLog Glasgow</w:t>
      </w:r>
      <w:r>
        <w:rPr>
          <w:rFonts w:ascii="Arial" w:cs="Arial" w:eastAsia="Arial" w:hAnsi="Arial"/>
          <w:sz w:val="16"/>
          <w:szCs w:val="16"/>
          <w:color w:val="auto"/>
        </w:rPr>
        <w:t>, acquired on April 1, 2019.</w:t>
      </w:r>
    </w:p>
    <w:p>
      <w:pPr>
        <w:spacing w:after="0" w:line="180" w:lineRule="exact"/>
        <w:rPr>
          <w:sz w:val="20"/>
          <w:szCs w:val="20"/>
          <w:color w:val="auto"/>
        </w:rPr>
      </w:pPr>
    </w:p>
    <w:p>
      <w:pPr>
        <w:ind w:right="180" w:firstLine="427"/>
        <w:spacing w:after="0" w:line="293" w:lineRule="auto"/>
        <w:rPr>
          <w:sz w:val="20"/>
          <w:szCs w:val="20"/>
          <w:color w:val="auto"/>
        </w:rPr>
      </w:pPr>
      <w:r>
        <w:rPr>
          <w:rFonts w:ascii="Arial" w:cs="Arial" w:eastAsia="Arial" w:hAnsi="Arial"/>
          <w:sz w:val="16"/>
          <w:szCs w:val="16"/>
          <w:color w:val="auto"/>
        </w:rPr>
        <w:t>In addition, the profit attributable to the Partnership was further affected by (a) a decrease in financial costs attributable to the Partnership of $2.4 million and (b) an increase of $9.2 million in loss on derivatives attributable to the Partnership.</w:t>
      </w:r>
    </w:p>
    <w:p>
      <w:pPr>
        <w:spacing w:after="0" w:line="158" w:lineRule="exact"/>
        <w:rPr>
          <w:sz w:val="20"/>
          <w:szCs w:val="20"/>
          <w:color w:val="auto"/>
        </w:rPr>
      </w:pPr>
    </w:p>
    <w:p>
      <w:pPr>
        <w:ind w:right="120" w:firstLine="427"/>
        <w:spacing w:after="0" w:line="273" w:lineRule="auto"/>
        <w:rPr>
          <w:sz w:val="20"/>
          <w:szCs w:val="20"/>
          <w:color w:val="auto"/>
        </w:rPr>
      </w:pPr>
      <w:r>
        <w:rPr>
          <w:rFonts w:ascii="Arial" w:cs="Arial" w:eastAsia="Arial" w:hAnsi="Arial"/>
          <w:sz w:val="16"/>
          <w:szCs w:val="16"/>
          <w:color w:val="auto"/>
        </w:rPr>
        <w:t>The above discussion of revenues, operating expenses, depreciation expense, financial costs and loss on derivatives in relation to the Profit attributable to the Partnership for the three-month period ended March 31, 2019 are non-GAAP measures that exclude amounts related to vessels currently owned by the Partnership for the periods prior to their respective transfers to GasLog Partners from GasLog. For a reconciliation of the results attributable to the Partnership to the most directly comparable IFRS reported results, refer to Appendix A included elsewhere in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ind w:right="120" w:firstLine="510"/>
        <w:spacing w:after="0" w:line="293" w:lineRule="auto"/>
        <w:rPr>
          <w:sz w:val="20"/>
          <w:szCs w:val="20"/>
          <w:color w:val="auto"/>
        </w:rPr>
      </w:pPr>
      <w:r>
        <w:rPr>
          <w:rFonts w:ascii="Arial" w:cs="Arial" w:eastAsia="Arial" w:hAnsi="Arial"/>
          <w:sz w:val="15"/>
          <w:szCs w:val="15"/>
          <w:color w:val="auto"/>
        </w:rPr>
        <w:t>We operate in a capital-intensive industry and we expect to finance the purchase of additional vessels and other capital expenditures through a combination of borrowings from commercial banks, cash generated from operations and debt and equity financings, if any. In addition to paying distributions and potentially repurchasing common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62" w:lineRule="exact"/>
        <w:rPr>
          <w:sz w:val="20"/>
          <w:szCs w:val="20"/>
          <w:color w:val="auto"/>
        </w:rPr>
      </w:pPr>
    </w:p>
    <w:p>
      <w:pPr>
        <w:ind w:right="200" w:firstLine="510"/>
        <w:spacing w:after="0" w:line="273" w:lineRule="auto"/>
        <w:rPr>
          <w:sz w:val="20"/>
          <w:szCs w:val="20"/>
          <w:color w:val="auto"/>
        </w:rPr>
      </w:pPr>
      <w:r>
        <w:rPr>
          <w:rFonts w:ascii="Arial" w:cs="Arial" w:eastAsia="Arial" w:hAnsi="Arial"/>
          <w:sz w:val="16"/>
          <w:szCs w:val="16"/>
          <w:color w:val="auto"/>
        </w:rPr>
        <w:t>As of March 31, 2020, we had $61.4 million of cash and cash equivalents, of which $28.4 million was held in current accounts and $33.0 million was held in time deposits with an original duration of less than three months. As of March 31, 2020, an amount of $15.0 million was held as cash collateral with respect to our derivative instruments with GasLog, pursuant to a Credit Support Annex entered into between GasLog Partners and GasLog in March 2020, which has a maximum cash collateral requirement of $15.0 million and a termination date of December 31, 2020.</w:t>
      </w:r>
    </w:p>
    <w:p>
      <w:pPr>
        <w:spacing w:after="0" w:line="175"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In the three months ended March 31, 2020, GasLog Partners repurchased and cancelled 191,490 common units at a weighted average price of $5.18 under its unit repurchase programme authorized in January 2019, for a total amount of $1.0 million, including commissions.</w:t>
      </w:r>
    </w:p>
    <w:p>
      <w:pPr>
        <w:spacing w:after="0" w:line="158"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As of March 31, 2020, we had an aggregate of $1,340.8 million of borrowings outstanding under our credit facilities, of which $109.9 million is repayable within one year. In addition, as of March 31, 2020, we had unused availability under our revolving credit facilities of $32.0 million.</w:t>
      </w:r>
    </w:p>
    <w:p>
      <w:pPr>
        <w:spacing w:after="0" w:line="15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Partnership has entered into six interest rate swap agreements with GasLog at a notional value of $625.0 million in aggregate, maturing between 2020 and 2024. As a result of its hedging agreements, the Partnership has hedged 46.0% of its floating interest rate exposure on its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outstanding debt as of March 31, 2020, at a weighted average interest rate of approximately 2.1% (excluding margin).</w:t>
      </w:r>
    </w:p>
    <w:p>
      <w:pPr>
        <w:spacing w:after="0" w:line="221"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Furthermore, the Partnership has in place 12 forward foreign exchange contracts with GasLog with a notional value of €15.9 million and 6 forward foreign exchange contracts with GasLog with a notional value of Singapore $1.5 million, with staggered maturities within 2020, to mitigate its foreign exchange transaction exposure in its 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25" w:lineRule="exact"/>
        <w:rPr>
          <w:sz w:val="20"/>
          <w:szCs w:val="20"/>
          <w:color w:val="auto"/>
        </w:rPr>
      </w:pPr>
    </w:p>
    <w:p>
      <w:pPr>
        <w:ind w:right="180" w:firstLine="396"/>
        <w:spacing w:after="0" w:line="293" w:lineRule="auto"/>
        <w:rPr>
          <w:sz w:val="20"/>
          <w:szCs w:val="20"/>
          <w:color w:val="auto"/>
        </w:rPr>
      </w:pPr>
      <w:r>
        <w:rPr>
          <w:rFonts w:ascii="Arial" w:cs="Arial" w:eastAsia="Arial" w:hAnsi="Arial"/>
          <w:sz w:val="16"/>
          <w:szCs w:val="16"/>
          <w:color w:val="auto"/>
        </w:rPr>
        <w:t>As of March 31, 2020, our current assets totaled $93.2 million and current liabilities totaled $175.6 million, resulting in a negative working capital position of $82.4 million.</w:t>
      </w:r>
    </w:p>
    <w:p>
      <w:pPr>
        <w:spacing w:after="0" w:line="158" w:lineRule="exact"/>
        <w:rPr>
          <w:sz w:val="20"/>
          <w:szCs w:val="20"/>
          <w:color w:val="auto"/>
        </w:rPr>
      </w:pPr>
    </w:p>
    <w:p>
      <w:pPr>
        <w:ind w:right="20" w:firstLine="486"/>
        <w:spacing w:after="0" w:line="269" w:lineRule="auto"/>
        <w:rPr>
          <w:sz w:val="20"/>
          <w:szCs w:val="20"/>
          <w:color w:val="auto"/>
        </w:rPr>
      </w:pPr>
      <w:r>
        <w:rPr>
          <w:rFonts w:ascii="Arial" w:cs="Arial" w:eastAsia="Arial" w:hAnsi="Arial"/>
          <w:sz w:val="16"/>
          <w:szCs w:val="16"/>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current and expected volatile market conditions, we anticipate that our primary sources of funds over the next 12 months will be available cash, cash from operations and bank borrowings under existing, refinanced or new debt facilities, as well as public equity or debt instruments, subject to a significant recovery in capital market conditions. We are continuing the process of refinancing our bank loans maturing in April and July 2021. We believe that these anticipated sources of funds will be sufficient to meet our liquidity needs and to comply with our banking covenants for at least 12 months from the end of the reporting period, although there can be no assurance that we will be able to obtain such debt or equity financing on terms acceptable to us.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00" w:lineRule="exact"/>
        <w:rPr>
          <w:sz w:val="20"/>
          <w:szCs w:val="20"/>
          <w:color w:val="auto"/>
        </w:rPr>
      </w:pPr>
    </w:p>
    <w:p>
      <w:pPr>
        <w:spacing w:after="0" w:line="224" w:lineRule="exact"/>
        <w:rPr>
          <w:sz w:val="20"/>
          <w:szCs w:val="20"/>
          <w:color w:val="auto"/>
        </w:rPr>
      </w:pPr>
    </w:p>
    <w:p>
      <w:pPr>
        <w:ind w:left="2080"/>
        <w:spacing w:after="0"/>
        <w:rPr>
          <w:sz w:val="20"/>
          <w:szCs w:val="20"/>
          <w:color w:val="auto"/>
        </w:rPr>
      </w:pPr>
      <w:r>
        <w:rPr>
          <w:rFonts w:ascii="Arial" w:cs="Arial" w:eastAsia="Arial" w:hAnsi="Arial"/>
          <w:sz w:val="16"/>
          <w:szCs w:val="16"/>
          <w:b w:val="1"/>
          <w:bCs w:val="1"/>
          <w:color w:val="auto"/>
        </w:rPr>
        <w:t>Three-month period ended March 31, 2019 compared to the three-month period ended March 31,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17" w:lineRule="exact"/>
        <w:rPr>
          <w:sz w:val="20"/>
          <w:szCs w:val="20"/>
          <w:color w:val="auto"/>
        </w:rPr>
      </w:pPr>
    </w:p>
    <w:p>
      <w:pPr>
        <w:spacing w:after="0"/>
        <w:tabs>
          <w:tab w:leader="none" w:pos="6980" w:val="left"/>
        </w:tabs>
        <w:rPr>
          <w:sz w:val="20"/>
          <w:szCs w:val="20"/>
          <w:color w:val="auto"/>
        </w:rPr>
      </w:pPr>
      <w:r>
        <w:rPr>
          <w:rFonts w:ascii="Arial" w:cs="Arial" w:eastAsia="Arial" w:hAnsi="Arial"/>
          <w:sz w:val="16"/>
          <w:szCs w:val="16"/>
          <w:b w:val="1"/>
          <w:bCs w:val="1"/>
          <w:i w:val="1"/>
          <w:iCs w:val="1"/>
          <w:color w:val="auto"/>
        </w:rPr>
        <w:t>(in thousands of U.S. dollars)</w:t>
      </w:r>
      <w:r>
        <w:rPr>
          <w:sz w:val="20"/>
          <w:szCs w:val="20"/>
          <w:color w:val="auto"/>
        </w:rPr>
        <w:tab/>
      </w:r>
      <w:r>
        <w:rPr>
          <w:rFonts w:ascii="Arial" w:cs="Arial" w:eastAsia="Arial" w:hAnsi="Arial"/>
          <w:sz w:val="14"/>
          <w:szCs w:val="14"/>
          <w:b w:val="1"/>
          <w:bCs w:val="1"/>
          <w:color w:val="auto"/>
        </w:rPr>
        <w:t>Three months ended</w:t>
      </w:r>
    </w:p>
    <w:p>
      <w:pPr>
        <w:spacing w:after="0" w:line="26" w:lineRule="exact"/>
        <w:rPr>
          <w:sz w:val="20"/>
          <w:szCs w:val="20"/>
          <w:color w:val="auto"/>
        </w:rPr>
      </w:pPr>
    </w:p>
    <w:p>
      <w:pPr>
        <w:ind w:left="6320"/>
        <w:spacing w:after="0"/>
        <w:tabs>
          <w:tab w:leader="none" w:pos="8000" w:val="left"/>
          <w:tab w:leader="none" w:pos="9940" w:val="left"/>
        </w:tabs>
        <w:rPr>
          <w:sz w:val="20"/>
          <w:szCs w:val="20"/>
          <w:color w:val="auto"/>
        </w:rPr>
      </w:pPr>
      <w:r>
        <w:rPr>
          <w:rFonts w:ascii="Arial" w:cs="Arial" w:eastAsia="Arial" w:hAnsi="Arial"/>
          <w:sz w:val="16"/>
          <w:szCs w:val="16"/>
          <w:b w:val="1"/>
          <w:bCs w:val="1"/>
          <w:color w:val="auto"/>
        </w:rPr>
        <w:t>March 31, 2019</w:t>
      </w:r>
      <w:r>
        <w:rPr>
          <w:sz w:val="20"/>
          <w:szCs w:val="20"/>
          <w:color w:val="auto"/>
        </w:rPr>
        <w:tab/>
      </w:r>
      <w:r>
        <w:rPr>
          <w:rFonts w:ascii="Arial" w:cs="Arial" w:eastAsia="Arial" w:hAnsi="Arial"/>
          <w:sz w:val="16"/>
          <w:szCs w:val="16"/>
          <w:b w:val="1"/>
          <w:bCs w:val="1"/>
          <w:color w:val="auto"/>
        </w:rPr>
        <w:t>March 31, 2020</w:t>
      </w:r>
      <w:r>
        <w:rPr>
          <w:sz w:val="20"/>
          <w:szCs w:val="20"/>
          <w:color w:val="auto"/>
        </w:rPr>
        <w:tab/>
      </w:r>
      <w:r>
        <w:rPr>
          <w:rFonts w:ascii="Arial" w:cs="Arial" w:eastAsia="Arial" w:hAnsi="Arial"/>
          <w:sz w:val="14"/>
          <w:szCs w:val="14"/>
          <w:b w:val="1"/>
          <w:bCs w:val="1"/>
          <w:color w:val="auto"/>
        </w:rPr>
        <w:t>Change</w:t>
      </w:r>
    </w:p>
    <w:p>
      <w:pPr>
        <w:sectPr>
          <w:pgSz w:w="11900" w:h="16838" w:orient="portrait"/>
          <w:cols w:equalWidth="0" w:num="1">
            <w:col w:w="11220"/>
          </w:cols>
          <w:pgMar w:left="320" w:top="332" w:right="35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w:t>
      </w:r>
    </w:p>
    <w:p>
      <w:pPr>
        <w:spacing w:after="0" w:line="28" w:lineRule="exact"/>
        <w:rPr>
          <w:sz w:val="20"/>
          <w:szCs w:val="20"/>
          <w:color w:val="auto"/>
        </w:rPr>
      </w:pPr>
    </w:p>
    <w:p>
      <w:pPr>
        <w:ind w:right="2220"/>
        <w:spacing w:after="0" w:line="310" w:lineRule="auto"/>
        <w:rPr>
          <w:sz w:val="20"/>
          <w:szCs w:val="20"/>
          <w:color w:val="auto"/>
        </w:rPr>
      </w:pPr>
      <w:r>
        <w:rPr>
          <w:rFonts w:ascii="Arial" w:cs="Arial" w:eastAsia="Arial" w:hAnsi="Arial"/>
          <w:sz w:val="16"/>
          <w:szCs w:val="16"/>
          <w:color w:val="auto"/>
        </w:rPr>
        <w:t>Net cash provided/(used in) by investing activities Net cash used in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43,416</w:t>
            </w:r>
          </w:p>
        </w:tc>
        <w:tc>
          <w:tcPr>
            <w:tcW w:w="340" w:type="dxa"/>
            <w:vAlign w:val="bottom"/>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12,057</w:t>
            </w:r>
          </w:p>
        </w:tc>
        <w:tc>
          <w:tcPr>
            <w:tcW w:w="340" w:type="dxa"/>
            <w:vAlign w:val="bottom"/>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(31,359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0"/>
        </w:trPr>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7,352</w:t>
            </w:r>
          </w:p>
        </w:tc>
        <w:tc>
          <w:tcPr>
            <w:tcW w:w="1680" w:type="dxa"/>
            <w:vAlign w:val="bottom"/>
            <w:gridSpan w:val="2"/>
          </w:tcPr>
          <w:p>
            <w:pPr>
              <w:jc w:val="right"/>
              <w:ind w:right="280"/>
              <w:spacing w:after="0"/>
              <w:rPr>
                <w:sz w:val="20"/>
                <w:szCs w:val="20"/>
                <w:color w:val="auto"/>
              </w:rPr>
            </w:pPr>
            <w:r>
              <w:rPr>
                <w:rFonts w:ascii="Arial" w:cs="Arial" w:eastAsia="Arial" w:hAnsi="Arial"/>
                <w:sz w:val="16"/>
                <w:szCs w:val="16"/>
                <w:color w:val="auto"/>
              </w:rPr>
              <w:t>(5,249)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(12,601</w:t>
            </w:r>
            <w:r>
              <w:rPr>
                <w:rFonts w:ascii="Arial" w:cs="Arial" w:eastAsia="Arial" w:hAnsi="Arial"/>
                <w:sz w:val="17"/>
                <w:szCs w:val="17"/>
                <w:color w:val="auto"/>
              </w:rPr>
              <w:t>)</w:t>
            </w:r>
          </w:p>
        </w:tc>
      </w:tr>
      <w:tr>
        <w:trPr>
          <w:trHeight w:val="206"/>
        </w:trPr>
        <w:tc>
          <w:tcPr>
            <w:tcW w:w="1680" w:type="dxa"/>
            <w:vAlign w:val="bottom"/>
            <w:gridSpan w:val="2"/>
          </w:tcPr>
          <w:p>
            <w:pPr>
              <w:jc w:val="right"/>
              <w:ind w:right="280"/>
              <w:spacing w:after="0"/>
              <w:rPr>
                <w:sz w:val="20"/>
                <w:szCs w:val="20"/>
                <w:color w:val="auto"/>
              </w:rPr>
            </w:pPr>
            <w:r>
              <w:rPr>
                <w:rFonts w:ascii="Arial" w:cs="Arial" w:eastAsia="Arial" w:hAnsi="Arial"/>
                <w:sz w:val="16"/>
                <w:szCs w:val="16"/>
                <w:color w:val="auto"/>
              </w:rPr>
              <w:t>(66,130)</w:t>
            </w:r>
          </w:p>
        </w:tc>
        <w:tc>
          <w:tcPr>
            <w:tcW w:w="1680" w:type="dxa"/>
            <w:vAlign w:val="bottom"/>
            <w:gridSpan w:val="2"/>
          </w:tcPr>
          <w:p>
            <w:pPr>
              <w:jc w:val="right"/>
              <w:ind w:right="280"/>
              <w:spacing w:after="0"/>
              <w:rPr>
                <w:sz w:val="20"/>
                <w:szCs w:val="20"/>
                <w:color w:val="auto"/>
              </w:rPr>
            </w:pPr>
            <w:r>
              <w:rPr>
                <w:rFonts w:ascii="Arial" w:cs="Arial" w:eastAsia="Arial" w:hAnsi="Arial"/>
                <w:sz w:val="16"/>
                <w:szCs w:val="16"/>
                <w:color w:val="auto"/>
              </w:rPr>
              <w:t>(42,330)</w:t>
            </w:r>
          </w:p>
        </w:tc>
        <w:tc>
          <w:tcPr>
            <w:tcW w:w="1340" w:type="dxa"/>
            <w:vAlign w:val="bottom"/>
          </w:tcPr>
          <w:p>
            <w:pPr>
              <w:jc w:val="right"/>
              <w:spacing w:after="0"/>
              <w:rPr>
                <w:sz w:val="20"/>
                <w:szCs w:val="20"/>
                <w:color w:val="auto"/>
              </w:rPr>
            </w:pPr>
            <w:r>
              <w:rPr>
                <w:rFonts w:ascii="Arial" w:cs="Arial" w:eastAsia="Arial" w:hAnsi="Arial"/>
                <w:sz w:val="16"/>
                <w:szCs w:val="16"/>
                <w:color w:val="auto"/>
              </w:rPr>
              <w:t>23,800</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-398780</wp:posOffset>
            </wp:positionV>
            <wp:extent cx="69176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-123825</wp:posOffset>
            </wp:positionV>
            <wp:extent cx="691769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17690" cy="12827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480" w:space="720"/>
            <w:col w:w="5020"/>
          </w:cols>
          <w:pgMar w:left="320" w:top="332" w:right="35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221" w:lineRule="exact"/>
        <w:rPr>
          <w:sz w:val="20"/>
          <w:szCs w:val="20"/>
          <w:color w:val="auto"/>
        </w:rPr>
      </w:pPr>
    </w:p>
    <w:p>
      <w:pPr>
        <w:ind w:right="40" w:firstLine="427"/>
        <w:spacing w:after="0" w:line="291" w:lineRule="auto"/>
        <w:rPr>
          <w:sz w:val="20"/>
          <w:szCs w:val="20"/>
          <w:color w:val="auto"/>
        </w:rPr>
      </w:pPr>
      <w:r>
        <w:rPr>
          <w:rFonts w:ascii="Arial" w:cs="Arial" w:eastAsia="Arial" w:hAnsi="Arial"/>
          <w:sz w:val="15"/>
          <w:szCs w:val="15"/>
          <w:color w:val="auto"/>
        </w:rPr>
        <w:t>Net cash provided by operating activities decreased by $31.3 million, from $43.4 million in the three-month period ended March 31, 2019 to $12.1 million in the three-month period ended March 31, 2020. The decrease of $31.3 million is mainly attributable to a $29.1 million movement in working capital accounts (mainly driven by the $15.0 million of cash collateral deposited with GasLog and a decrease of $14.4 million in movements of balances with related parties, due to the collection of balances due from GasLog Carriers Ltd., the parent company of GAS-twelve Ltd. prior to its acquisition by the Partnership on April 1, 2019, and from the Cool Pool), a decrease of $2.6 million in revenues, an increase of $2.1 million in vessel operating costs, voyage expenses and commissions and general and administrative expenses and a decrease of $1.2 million in realized gain on derivatives held for trading, partially offset by a decrease of $3.4 million in cash paid for interest.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provided/(used in) by Investing Activities:</w:t>
      </w:r>
    </w:p>
    <w:p>
      <w:pPr>
        <w:spacing w:after="0" w:line="221" w:lineRule="exact"/>
        <w:rPr>
          <w:sz w:val="20"/>
          <w:szCs w:val="20"/>
          <w:color w:val="auto"/>
        </w:rPr>
      </w:pPr>
    </w:p>
    <w:p>
      <w:pPr>
        <w:ind w:firstLine="427"/>
        <w:spacing w:after="0" w:line="273" w:lineRule="auto"/>
        <w:rPr>
          <w:sz w:val="20"/>
          <w:szCs w:val="20"/>
          <w:color w:val="auto"/>
        </w:rPr>
      </w:pPr>
      <w:r>
        <w:rPr>
          <w:rFonts w:ascii="Arial" w:cs="Arial" w:eastAsia="Arial" w:hAnsi="Arial"/>
          <w:sz w:val="16"/>
          <w:szCs w:val="16"/>
          <w:color w:val="auto"/>
        </w:rPr>
        <w:t>Net cash provided by investing activities decreased by $12.6 million, from net cash provided by investing activities of $7.4 million in the three-month period ended March 31, 2019 to net cash used in investing activities of $5.2 million in the three-month period ended March 31, 2020. The decrease of $12.6 million is mainly attributable to an increase of net cash used in payments for vessels of $7.3 million (mainly related to dry-dockings and BWTS) and a decrease in net cash from short-term investments of $5.0 million.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21" w:lineRule="exact"/>
        <w:rPr>
          <w:sz w:val="20"/>
          <w:szCs w:val="20"/>
          <w:color w:val="auto"/>
        </w:rPr>
      </w:pPr>
    </w:p>
    <w:p>
      <w:pPr>
        <w:ind w:right="240" w:firstLine="427"/>
        <w:spacing w:after="0" w:line="297" w:lineRule="auto"/>
        <w:rPr>
          <w:sz w:val="20"/>
          <w:szCs w:val="20"/>
          <w:color w:val="auto"/>
        </w:rPr>
      </w:pPr>
      <w:r>
        <w:rPr>
          <w:rFonts w:ascii="Arial" w:cs="Arial" w:eastAsia="Arial" w:hAnsi="Arial"/>
          <w:sz w:val="15"/>
          <w:szCs w:val="15"/>
          <w:color w:val="auto"/>
        </w:rPr>
        <w:t>Net cash used in financing activities decreased by $23.8 million, from $66.1 million in the three-month period ended March 31, 2019 to $42.3 million in the three-month period ended March 31, 2020. The decrease of $23.8 million is attributable to a decrease of $352.6 million in bank loan repayments, a decrease of $4.6 million in payments of loan issuance costs, a decrease of $0.9 million in distributions paid and a decrease in payments of equity offering costs of $0.8 million, partially offset by a decrease in bank loan drawdowns of $334.1 million and cash used for repurchases of common units of $1.0 million.</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Contracted Charter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GasLog Partners’ contracted charter revenues and vessel utilization after March 31, 2020:</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3480" w:type="dxa"/>
            <w:vAlign w:val="bottom"/>
          </w:tcPr>
          <w:p>
            <w:pPr>
              <w:spacing w:after="0"/>
              <w:rPr>
                <w:sz w:val="17"/>
                <w:szCs w:val="17"/>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After</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3480" w:type="dxa"/>
            <w:vAlign w:val="bottom"/>
          </w:tcPr>
          <w:p>
            <w:pPr>
              <w:spacing w:after="0"/>
              <w:rPr>
                <w:sz w:val="18"/>
                <w:szCs w:val="18"/>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March 31,</w:t>
            </w:r>
          </w:p>
        </w:tc>
        <w:tc>
          <w:tcPr>
            <w:tcW w:w="10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For the years ending December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80" w:type="dxa"/>
            <w:vAlign w:val="bottom"/>
          </w:tcPr>
          <w:p>
            <w:pPr>
              <w:spacing w:after="0"/>
              <w:rPr>
                <w:sz w:val="17"/>
                <w:szCs w:val="17"/>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4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2024-2026</w:t>
            </w: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0" w:type="dxa"/>
            <w:vAlign w:val="bottom"/>
            <w:gridSpan w:val="4"/>
          </w:tcPr>
          <w:p>
            <w:pPr>
              <w:jc w:val="right"/>
              <w:ind w:right="219"/>
              <w:spacing w:after="0"/>
              <w:rPr>
                <w:sz w:val="20"/>
                <w:szCs w:val="20"/>
                <w:color w:val="auto"/>
              </w:rPr>
            </w:pPr>
            <w:r>
              <w:rPr>
                <w:rFonts w:ascii="Arial" w:cs="Arial" w:eastAsia="Arial" w:hAnsi="Arial"/>
                <w:sz w:val="16"/>
                <w:szCs w:val="16"/>
                <w:b w:val="1"/>
                <w:bCs w:val="1"/>
                <w:i w:val="1"/>
                <w:iCs w:val="1"/>
                <w:color w:val="auto"/>
                <w:w w:val="89"/>
              </w:rPr>
              <w:t>(in millions of U.S. dollars, except days and percentages)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8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(1)(2)(3)(4)(5)</w:t>
            </w:r>
          </w:p>
        </w:tc>
        <w:tc>
          <w:tcPr>
            <w:tcW w:w="124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$209.0</w:t>
            </w:r>
          </w:p>
        </w:tc>
        <w:tc>
          <w:tcPr>
            <w:tcW w:w="10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$197.1</w:t>
            </w:r>
          </w:p>
        </w:tc>
        <w:tc>
          <w:tcPr>
            <w:tcW w:w="9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$162.0</w:t>
            </w:r>
          </w:p>
        </w:tc>
        <w:tc>
          <w:tcPr>
            <w:tcW w:w="9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$139.6</w:t>
            </w:r>
          </w:p>
        </w:tc>
        <w:tc>
          <w:tcPr>
            <w:tcW w:w="140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$151.2</w:t>
            </w: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$858.9</w:t>
            </w:r>
          </w:p>
        </w:tc>
        <w:tc>
          <w:tcPr>
            <w:tcW w:w="100" w:type="dxa"/>
            <w:vAlign w:val="bottom"/>
            <w:shd w:val="clear" w:color="auto" w:fill="E5FFFF"/>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3,133</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2,772</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2,159</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1,672</w:t>
            </w: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1,763</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11,499</w:t>
            </w:r>
          </w:p>
        </w:tc>
        <w:tc>
          <w:tcPr>
            <w:tcW w:w="100" w:type="dxa"/>
            <w:vAlign w:val="bottom"/>
          </w:tcPr>
          <w:p>
            <w:pPr>
              <w:spacing w:after="0"/>
              <w:rPr>
                <w:sz w:val="17"/>
                <w:szCs w:val="17"/>
                <w:color w:val="auto"/>
              </w:rPr>
            </w:pPr>
          </w:p>
        </w:tc>
      </w:tr>
      <w:tr>
        <w:trPr>
          <w:trHeight w:val="203"/>
        </w:trPr>
        <w:tc>
          <w:tcPr>
            <w:tcW w:w="348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(6)</w:t>
            </w:r>
          </w:p>
        </w:tc>
        <w:tc>
          <w:tcPr>
            <w:tcW w:w="124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4,035</w:t>
            </w:r>
          </w:p>
        </w:tc>
        <w:tc>
          <w:tcPr>
            <w:tcW w:w="10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5,325</w:t>
            </w:r>
          </w:p>
        </w:tc>
        <w:tc>
          <w:tcPr>
            <w:tcW w:w="9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5,475</w:t>
            </w:r>
          </w:p>
        </w:tc>
        <w:tc>
          <w:tcPr>
            <w:tcW w:w="9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5,355</w:t>
            </w:r>
          </w:p>
        </w:tc>
        <w:tc>
          <w:tcPr>
            <w:tcW w:w="140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16,110</w:t>
            </w: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36,300</w:t>
            </w:r>
          </w:p>
        </w:tc>
        <w:tc>
          <w:tcPr>
            <w:tcW w:w="100" w:type="dxa"/>
            <w:vAlign w:val="bottom"/>
            <w:shd w:val="clear" w:color="auto" w:fill="E5FFFF"/>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902</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2,553</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3,316</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3,683</w:t>
            </w:r>
          </w:p>
        </w:tc>
        <w:tc>
          <w:tcPr>
            <w:tcW w:w="1400" w:type="dxa"/>
            <w:vAlign w:val="bottom"/>
          </w:tcPr>
          <w:p>
            <w:pPr>
              <w:jc w:val="right"/>
              <w:ind w:right="199"/>
              <w:spacing w:after="0"/>
              <w:rPr>
                <w:sz w:val="20"/>
                <w:szCs w:val="20"/>
                <w:color w:val="auto"/>
              </w:rPr>
            </w:pPr>
            <w:r>
              <w:rPr>
                <w:rFonts w:ascii="Arial" w:cs="Arial" w:eastAsia="Arial" w:hAnsi="Arial"/>
                <w:sz w:val="16"/>
                <w:szCs w:val="16"/>
                <w:color w:val="auto"/>
              </w:rPr>
              <w:t>14,347</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24,801</w:t>
            </w:r>
          </w:p>
        </w:tc>
        <w:tc>
          <w:tcPr>
            <w:tcW w:w="100" w:type="dxa"/>
            <w:vAlign w:val="bottom"/>
          </w:tcPr>
          <w:p>
            <w:pPr>
              <w:spacing w:after="0"/>
              <w:rPr>
                <w:sz w:val="17"/>
                <w:szCs w:val="17"/>
                <w:color w:val="auto"/>
              </w:rPr>
            </w:pPr>
          </w:p>
        </w:tc>
      </w:tr>
      <w:tr>
        <w:trPr>
          <w:trHeight w:val="193"/>
        </w:trPr>
        <w:tc>
          <w:tcPr>
            <w:tcW w:w="3480" w:type="dxa"/>
            <w:vAlign w:val="bottom"/>
            <w:shd w:val="clear" w:color="auto" w:fill="E5FFFF"/>
          </w:tcPr>
          <w:p>
            <w:pPr>
              <w:spacing w:after="0"/>
              <w:rPr>
                <w:sz w:val="20"/>
                <w:szCs w:val="20"/>
                <w:color w:val="auto"/>
              </w:rPr>
            </w:pPr>
            <w:r>
              <w:rPr>
                <w:rFonts w:ascii="Arial" w:cs="Arial" w:eastAsia="Arial" w:hAnsi="Arial"/>
                <w:sz w:val="16"/>
                <w:szCs w:val="16"/>
                <w:color w:val="auto"/>
                <w:w w:val="97"/>
              </w:rPr>
              <w:t>Percentage of total contracted days/total available</w:t>
            </w:r>
          </w:p>
        </w:tc>
        <w:tc>
          <w:tcPr>
            <w:tcW w:w="1240" w:type="dxa"/>
            <w:vAlign w:val="bottom"/>
            <w:shd w:val="clear" w:color="auto" w:fill="E5FFFF"/>
          </w:tcPr>
          <w:p>
            <w:pPr>
              <w:spacing w:after="0"/>
              <w:rPr>
                <w:sz w:val="16"/>
                <w:szCs w:val="16"/>
                <w:color w:val="auto"/>
              </w:rPr>
            </w:pPr>
          </w:p>
        </w:tc>
        <w:tc>
          <w:tcPr>
            <w:tcW w:w="100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1400" w:type="dxa"/>
            <w:vAlign w:val="bottom"/>
            <w:shd w:val="clear" w:color="auto" w:fill="E5FFFF"/>
          </w:tcPr>
          <w:p>
            <w:pPr>
              <w:spacing w:after="0"/>
              <w:rPr>
                <w:sz w:val="16"/>
                <w:szCs w:val="16"/>
                <w:color w:val="auto"/>
              </w:rPr>
            </w:pPr>
          </w:p>
        </w:tc>
        <w:tc>
          <w:tcPr>
            <w:tcW w:w="10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34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days</w:t>
            </w:r>
          </w:p>
        </w:tc>
        <w:tc>
          <w:tcPr>
            <w:tcW w:w="124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77.6%</w:t>
            </w:r>
          </w:p>
        </w:tc>
        <w:tc>
          <w:tcPr>
            <w:tcW w:w="10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52.1%</w:t>
            </w:r>
          </w:p>
        </w:tc>
        <w:tc>
          <w:tcPr>
            <w:tcW w:w="90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39.4%</w:t>
            </w:r>
          </w:p>
        </w:tc>
        <w:tc>
          <w:tcPr>
            <w:tcW w:w="900" w:type="dxa"/>
            <w:vAlign w:val="bottom"/>
            <w:shd w:val="clear" w:color="auto" w:fill="E5FFFF"/>
          </w:tcPr>
          <w:p>
            <w:pPr>
              <w:jc w:val="right"/>
              <w:ind w:right="139"/>
              <w:spacing w:after="0"/>
              <w:rPr>
                <w:sz w:val="20"/>
                <w:szCs w:val="20"/>
                <w:color w:val="auto"/>
              </w:rPr>
            </w:pPr>
            <w:r>
              <w:rPr>
                <w:rFonts w:ascii="Arial" w:cs="Arial" w:eastAsia="Arial" w:hAnsi="Arial"/>
                <w:sz w:val="16"/>
                <w:szCs w:val="16"/>
                <w:color w:val="auto"/>
              </w:rPr>
              <w:t>31.2%</w:t>
            </w:r>
          </w:p>
        </w:tc>
        <w:tc>
          <w:tcPr>
            <w:tcW w:w="140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10.9%</w:t>
            </w: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31.7%</w:t>
            </w:r>
          </w:p>
        </w:tc>
        <w:tc>
          <w:tcPr>
            <w:tcW w:w="100" w:type="dxa"/>
            <w:vAlign w:val="bottom"/>
            <w:shd w:val="clear" w:color="auto" w:fill="E5FFFF"/>
          </w:tcPr>
          <w:p>
            <w:pPr>
              <w:spacing w:after="0"/>
              <w:rPr>
                <w:sz w:val="18"/>
                <w:szCs w:val="18"/>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type w:val="continuous"/>
        </w:sectPr>
      </w:pPr>
    </w:p>
    <w:bookmarkStart w:id="26" w:name="page27"/>
    <w:bookmarkEnd w:id="26"/>
    <w:p>
      <w:pPr>
        <w:ind w:left="200" w:hanging="192"/>
        <w:spacing w:after="0"/>
        <w:tabs>
          <w:tab w:leader="none" w:pos="20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Reflects time charter revenues and contracted days for the 15 LNG carriers in our fleet as of March 31, 2020.</w:t>
      </w:r>
    </w:p>
    <w:p>
      <w:pPr>
        <w:ind w:left="200" w:right="240" w:hanging="192"/>
        <w:spacing w:after="0" w:line="202" w:lineRule="auto"/>
        <w:tabs>
          <w:tab w:leader="none" w:pos="191"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ind w:left="200" w:right="120" w:hanging="192"/>
        <w:spacing w:after="0" w:line="202" w:lineRule="auto"/>
        <w:tabs>
          <w:tab w:leader="none" w:pos="191"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For time charters that include a fixed operating cost component, subject to annual escalation, revenue calculations include that fixed annual escalation. Revenue calculations for such charters include an estimate of the amount of the operating cost component and the management fee component.</w:t>
      </w:r>
    </w:p>
    <w:p>
      <w:pPr>
        <w:ind w:left="200" w:right="340" w:hanging="192"/>
        <w:spacing w:after="0" w:line="202" w:lineRule="auto"/>
        <w:tabs>
          <w:tab w:leader="none" w:pos="191"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For time charters that include a variable rate of hire within an agreed range during the charter period, revenue calculations are based on the agreed minimum rate of hire for the respective period.</w:t>
      </w:r>
    </w:p>
    <w:p>
      <w:pPr>
        <w:ind w:left="200" w:hanging="192"/>
        <w:spacing w:after="0" w:line="187" w:lineRule="auto"/>
        <w:tabs>
          <w:tab w:leader="none" w:pos="20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Revenue calculations assume no exercise of any option to extend the terms of the charters.</w:t>
      </w:r>
    </w:p>
    <w:p>
      <w:pPr>
        <w:ind w:left="200" w:hanging="192"/>
        <w:spacing w:after="0" w:line="187" w:lineRule="auto"/>
        <w:tabs>
          <w:tab w:leader="none" w:pos="20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w:t>
      </w:r>
    </w:p>
    <w:p>
      <w:pPr>
        <w:ind w:left="200" w:hanging="192"/>
        <w:spacing w:after="0" w:line="197" w:lineRule="auto"/>
        <w:tabs>
          <w:tab w:leader="none" w:pos="20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-1011555</wp:posOffset>
            </wp:positionV>
            <wp:extent cx="711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8" w:lineRule="exact"/>
        <w:rPr>
          <w:sz w:val="20"/>
          <w:szCs w:val="20"/>
          <w:color w:val="auto"/>
        </w:rPr>
      </w:pPr>
    </w:p>
    <w:p>
      <w:pPr>
        <w:ind w:firstLine="243"/>
        <w:spacing w:after="0" w:line="284" w:lineRule="auto"/>
        <w:rPr>
          <w:sz w:val="20"/>
          <w:szCs w:val="20"/>
          <w:color w:val="auto"/>
        </w:rPr>
      </w:pPr>
      <w:r>
        <w:rPr>
          <w:rFonts w:ascii="Arial" w:cs="Arial" w:eastAsia="Arial" w:hAnsi="Arial"/>
          <w:sz w:val="15"/>
          <w:szCs w:val="15"/>
          <w:color w:val="auto"/>
        </w:rPr>
        <w:t>The table above provides information about our contracted charter revenues and ship utilization based on contracts in effect for the 15 LNG carriers in our fleet as of March 31, 2020.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3, 2020.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5860" w:type="dxa"/>
            <w:vAlign w:val="bottom"/>
            <w:gridSpan w:val="5"/>
          </w:tcPr>
          <w:p>
            <w:pPr>
              <w:ind w:left="320"/>
              <w:spacing w:after="0"/>
              <w:rPr>
                <w:sz w:val="20"/>
                <w:szCs w:val="20"/>
                <w:color w:val="auto"/>
              </w:rPr>
            </w:pPr>
            <w:r>
              <w:rPr>
                <w:rFonts w:ascii="Arial" w:cs="Arial" w:eastAsia="Arial" w:hAnsi="Arial"/>
                <w:sz w:val="16"/>
                <w:szCs w:val="16"/>
                <w:b w:val="1"/>
                <w:bCs w:val="1"/>
                <w:color w:val="auto"/>
              </w:rPr>
              <w:t>GASLOG PARTNERS LP</w:t>
            </w:r>
          </w:p>
        </w:tc>
        <w:tc>
          <w:tcPr>
            <w:tcW w:w="1000" w:type="dxa"/>
            <w:vAlign w:val="bottom"/>
          </w:tcPr>
          <w:p>
            <w:pPr>
              <w:spacing w:after="0"/>
              <w:rPr>
                <w:sz w:val="18"/>
                <w:szCs w:val="18"/>
                <w:color w:val="auto"/>
              </w:rPr>
            </w:pPr>
          </w:p>
        </w:tc>
      </w:tr>
      <w:tr>
        <w:trPr>
          <w:trHeight w:val="418"/>
        </w:trPr>
        <w:tc>
          <w:tcPr>
            <w:tcW w:w="10240" w:type="dxa"/>
            <w:vAlign w:val="bottom"/>
            <w:gridSpan w:val="6"/>
          </w:tcPr>
          <w:p>
            <w:pPr>
              <w:ind w:left="3300"/>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1000" w:type="dxa"/>
            <w:vAlign w:val="bottom"/>
          </w:tcPr>
          <w:p>
            <w:pPr>
              <w:spacing w:after="0"/>
              <w:rPr>
                <w:sz w:val="24"/>
                <w:szCs w:val="24"/>
                <w:color w:val="auto"/>
              </w:rPr>
            </w:pPr>
          </w:p>
        </w:tc>
      </w:tr>
      <w:tr>
        <w:trPr>
          <w:trHeight w:val="419"/>
        </w:trPr>
        <w:tc>
          <w:tcPr>
            <w:tcW w:w="4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ind w:left="580"/>
              <w:spacing w:after="0"/>
              <w:rPr>
                <w:sz w:val="20"/>
                <w:szCs w:val="20"/>
                <w:color w:val="auto"/>
              </w:rPr>
            </w:pPr>
            <w:r>
              <w:rPr>
                <w:rFonts w:ascii="Arial" w:cs="Arial" w:eastAsia="Arial" w:hAnsi="Arial"/>
                <w:sz w:val="16"/>
                <w:szCs w:val="16"/>
                <w:b w:val="1"/>
                <w:bCs w:val="1"/>
                <w:color w:val="auto"/>
              </w:rPr>
              <w:t>Page</w:t>
            </w:r>
          </w:p>
        </w:tc>
      </w:tr>
      <w:tr>
        <w:trPr>
          <w:trHeight w:val="235"/>
        </w:trPr>
        <w:tc>
          <w:tcPr>
            <w:tcW w:w="10240" w:type="dxa"/>
            <w:vAlign w:val="bottom"/>
            <w:gridSpan w:val="6"/>
          </w:tcPr>
          <w:p>
            <w:pPr>
              <w:spacing w:after="0"/>
              <w:rPr>
                <w:sz w:val="20"/>
                <w:szCs w:val="20"/>
                <w:color w:val="auto"/>
              </w:rPr>
            </w:pPr>
            <w:r>
              <w:rPr>
                <w:rFonts w:ascii="Arial" w:cs="Arial" w:eastAsia="Arial" w:hAnsi="Arial"/>
                <w:sz w:val="16"/>
                <w:szCs w:val="16"/>
                <w:color w:val="0000FF"/>
              </w:rPr>
              <w:t>Unaudited condensed consolidated statements of financial position as of December 31, 2019 and March 31, 2020</w:t>
            </w:r>
          </w:p>
        </w:tc>
        <w:tc>
          <w:tcPr>
            <w:tcW w:w="1000" w:type="dxa"/>
            <w:vAlign w:val="bottom"/>
          </w:tcPr>
          <w:p>
            <w:pPr>
              <w:ind w:left="780"/>
              <w:spacing w:after="0"/>
              <w:rPr>
                <w:sz w:val="20"/>
                <w:szCs w:val="20"/>
                <w:color w:val="auto"/>
              </w:rPr>
            </w:pPr>
            <w:r>
              <w:rPr>
                <w:rFonts w:ascii="Arial" w:cs="Arial" w:eastAsia="Arial" w:hAnsi="Arial"/>
                <w:sz w:val="16"/>
                <w:szCs w:val="16"/>
                <w:color w:val="auto"/>
                <w:w w:val="83"/>
              </w:rPr>
              <w:t>F-2</w:t>
            </w:r>
          </w:p>
        </w:tc>
      </w:tr>
      <w:tr>
        <w:trPr>
          <w:trHeight w:val="20"/>
        </w:trPr>
        <w:tc>
          <w:tcPr>
            <w:tcW w:w="438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10240" w:type="dxa"/>
            <w:vAlign w:val="bottom"/>
            <w:gridSpan w:val="6"/>
          </w:tcPr>
          <w:p>
            <w:pPr>
              <w:spacing w:after="0" w:line="183" w:lineRule="exact"/>
              <w:rPr>
                <w:sz w:val="20"/>
                <w:szCs w:val="20"/>
                <w:color w:val="auto"/>
              </w:rPr>
            </w:pPr>
            <w:r>
              <w:rPr>
                <w:rFonts w:ascii="Arial" w:cs="Arial" w:eastAsia="Arial" w:hAnsi="Arial"/>
                <w:sz w:val="16"/>
                <w:szCs w:val="16"/>
                <w:color w:val="0000FF"/>
                <w:w w:val="96"/>
              </w:rPr>
              <w:t>Unaudited condensed consolidated statements of profit or loss and total comprehensive income for the three months ended March 31, 2019 and 2020</w:t>
            </w:r>
          </w:p>
        </w:tc>
        <w:tc>
          <w:tcPr>
            <w:tcW w:w="1000" w:type="dxa"/>
            <w:vAlign w:val="bottom"/>
          </w:tcPr>
          <w:p>
            <w:pPr>
              <w:ind w:left="780"/>
              <w:spacing w:after="0" w:line="183" w:lineRule="exact"/>
              <w:rPr>
                <w:sz w:val="20"/>
                <w:szCs w:val="20"/>
                <w:color w:val="auto"/>
              </w:rPr>
            </w:pPr>
            <w:r>
              <w:rPr>
                <w:rFonts w:ascii="Arial" w:cs="Arial" w:eastAsia="Arial" w:hAnsi="Arial"/>
                <w:sz w:val="16"/>
                <w:szCs w:val="16"/>
                <w:color w:val="auto"/>
                <w:w w:val="83"/>
              </w:rPr>
              <w:t>F-3</w:t>
            </w:r>
          </w:p>
        </w:tc>
      </w:tr>
      <w:tr>
        <w:trPr>
          <w:trHeight w:val="263"/>
        </w:trPr>
        <w:tc>
          <w:tcPr>
            <w:tcW w:w="966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w w:val="97"/>
              </w:rPr>
              <w:t>Unaudited condensed consolidated statements of changes in owners’/partners’ equity for the three months ended March 31, 2019 and 2020</w:t>
            </w:r>
          </w:p>
        </w:tc>
        <w:tc>
          <w:tcPr>
            <w:tcW w:w="580" w:type="dxa"/>
            <w:vAlign w:val="bottom"/>
          </w:tcPr>
          <w:p>
            <w:pPr>
              <w:spacing w:after="0"/>
              <w:rPr>
                <w:sz w:val="22"/>
                <w:szCs w:val="22"/>
                <w:color w:val="auto"/>
              </w:rPr>
            </w:pPr>
          </w:p>
        </w:tc>
        <w:tc>
          <w:tcPr>
            <w:tcW w:w="1000" w:type="dxa"/>
            <w:vAlign w:val="bottom"/>
          </w:tcPr>
          <w:p>
            <w:pPr>
              <w:ind w:left="780"/>
              <w:spacing w:after="0"/>
              <w:rPr>
                <w:sz w:val="20"/>
                <w:szCs w:val="20"/>
                <w:color w:val="auto"/>
              </w:rPr>
            </w:pPr>
            <w:r>
              <w:rPr>
                <w:rFonts w:ascii="Arial" w:cs="Arial" w:eastAsia="Arial" w:hAnsi="Arial"/>
                <w:sz w:val="16"/>
                <w:szCs w:val="16"/>
                <w:color w:val="auto"/>
                <w:w w:val="83"/>
              </w:rPr>
              <w:t>F-4</w:t>
            </w:r>
          </w:p>
        </w:tc>
      </w:tr>
      <w:tr>
        <w:trPr>
          <w:trHeight w:val="264"/>
        </w:trPr>
        <w:tc>
          <w:tcPr>
            <w:tcW w:w="900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rPr>
              <w:t>Unaudited condensed consolidated statements of cash flows for the three months ended March 31, 2019 and 2020</w:t>
            </w:r>
          </w:p>
        </w:tc>
        <w:tc>
          <w:tcPr>
            <w:tcW w:w="1240" w:type="dxa"/>
            <w:vAlign w:val="bottom"/>
            <w:gridSpan w:val="2"/>
          </w:tcPr>
          <w:p>
            <w:pPr>
              <w:spacing w:after="0"/>
              <w:rPr>
                <w:sz w:val="22"/>
                <w:szCs w:val="22"/>
                <w:color w:val="auto"/>
              </w:rPr>
            </w:pPr>
          </w:p>
        </w:tc>
        <w:tc>
          <w:tcPr>
            <w:tcW w:w="1000" w:type="dxa"/>
            <w:vAlign w:val="bottom"/>
          </w:tcPr>
          <w:p>
            <w:pPr>
              <w:ind w:left="780"/>
              <w:spacing w:after="0"/>
              <w:rPr>
                <w:sz w:val="20"/>
                <w:szCs w:val="20"/>
                <w:color w:val="auto"/>
              </w:rPr>
            </w:pPr>
            <w:r>
              <w:rPr>
                <w:rFonts w:ascii="Arial" w:cs="Arial" w:eastAsia="Arial" w:hAnsi="Arial"/>
                <w:sz w:val="16"/>
                <w:szCs w:val="16"/>
                <w:color w:val="auto"/>
                <w:w w:val="83"/>
              </w:rPr>
              <w:t>F-5</w:t>
            </w:r>
          </w:p>
        </w:tc>
      </w:tr>
      <w:tr>
        <w:trPr>
          <w:trHeight w:val="263"/>
        </w:trPr>
        <w:tc>
          <w:tcPr>
            <w:tcW w:w="738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Notes to the unaudited condensed consolidated financial statements</w:t>
            </w:r>
          </w:p>
        </w:tc>
        <w:tc>
          <w:tcPr>
            <w:tcW w:w="2860" w:type="dxa"/>
            <w:vAlign w:val="bottom"/>
            <w:gridSpan w:val="3"/>
          </w:tcPr>
          <w:p>
            <w:pPr>
              <w:spacing w:after="0"/>
              <w:rPr>
                <w:sz w:val="22"/>
                <w:szCs w:val="22"/>
                <w:color w:val="auto"/>
              </w:rPr>
            </w:pPr>
          </w:p>
        </w:tc>
        <w:tc>
          <w:tcPr>
            <w:tcW w:w="1000" w:type="dxa"/>
            <w:vAlign w:val="bottom"/>
          </w:tcPr>
          <w:p>
            <w:pPr>
              <w:ind w:left="780"/>
              <w:spacing w:after="0"/>
              <w:rPr>
                <w:sz w:val="20"/>
                <w:szCs w:val="20"/>
                <w:color w:val="auto"/>
              </w:rPr>
            </w:pPr>
            <w:r>
              <w:rPr>
                <w:rFonts w:ascii="Arial" w:cs="Arial" w:eastAsia="Arial" w:hAnsi="Arial"/>
                <w:sz w:val="16"/>
                <w:szCs w:val="16"/>
                <w:color w:val="auto"/>
                <w:w w:val="83"/>
              </w:rPr>
              <w:t>F-6</w:t>
            </w:r>
          </w:p>
        </w:tc>
      </w:tr>
      <w:tr>
        <w:trPr>
          <w:trHeight w:val="20"/>
        </w:trPr>
        <w:tc>
          <w:tcPr>
            <w:tcW w:w="438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43"/>
        </w:trPr>
        <w:tc>
          <w:tcPr>
            <w:tcW w:w="76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b w:val="1"/>
                <w:bCs w:val="1"/>
                <w:color w:val="auto"/>
              </w:rPr>
              <w:t>As of December 31, 2019 and March 31, 2020</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766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11"/>
        </w:trPr>
        <w:tc>
          <w:tcPr>
            <w:tcW w:w="7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766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6"/>
                <w:szCs w:val="16"/>
                <w:b w:val="1"/>
                <w:bCs w:val="1"/>
                <w:color w:val="auto"/>
              </w:rPr>
              <w:t>Note</w:t>
            </w: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85"/>
        </w:trPr>
        <w:tc>
          <w:tcPr>
            <w:tcW w:w="7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46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1320" w:type="dxa"/>
            <w:vAlign w:val="bottom"/>
            <w:tcBorders>
              <w:top w:val="single" w:sz="8" w:color="auto"/>
            </w:tcBorders>
            <w:shd w:val="clear" w:color="auto" w:fill="E5FFFF"/>
          </w:tcPr>
          <w:p>
            <w:pPr>
              <w:spacing w:after="0"/>
              <w:rPr>
                <w:sz w:val="16"/>
                <w:szCs w:val="16"/>
                <w:color w:val="auto"/>
              </w:rPr>
            </w:pPr>
          </w:p>
        </w:tc>
        <w:tc>
          <w:tcPr>
            <w:tcW w:w="22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766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128</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97</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Vessels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2,286,430</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2,272,392</w:t>
            </w:r>
          </w:p>
        </w:tc>
      </w:tr>
      <w:tr>
        <w:trPr>
          <w:trHeight w:val="203"/>
        </w:trPr>
        <w:tc>
          <w:tcPr>
            <w:tcW w:w="7660" w:type="dxa"/>
            <w:vAlign w:val="bottom"/>
            <w:shd w:val="clear" w:color="auto" w:fill="E5FFFF"/>
          </w:tcPr>
          <w:p>
            <w:pPr>
              <w:spacing w:after="0"/>
              <w:rPr>
                <w:sz w:val="20"/>
                <w:szCs w:val="20"/>
                <w:color w:val="auto"/>
              </w:rPr>
            </w:pPr>
            <w:r>
              <w:rPr>
                <w:rFonts w:ascii="Arial" w:cs="Arial" w:eastAsia="Arial" w:hAnsi="Arial"/>
                <w:sz w:val="16"/>
                <w:szCs w:val="16"/>
                <w:color w:val="auto"/>
              </w:rPr>
              <w:t>Right-of-use assets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1,033</w:t>
            </w:r>
          </w:p>
        </w:tc>
        <w:tc>
          <w:tcPr>
            <w:tcW w:w="2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896</w:t>
            </w:r>
          </w:p>
        </w:tc>
      </w:tr>
      <w:tr>
        <w:trPr>
          <w:trHeight w:val="196"/>
        </w:trPr>
        <w:tc>
          <w:tcPr>
            <w:tcW w:w="76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46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2,287,591</w:t>
            </w:r>
          </w:p>
        </w:tc>
        <w:tc>
          <w:tcPr>
            <w:tcW w:w="2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2,273,385</w:t>
            </w:r>
          </w:p>
        </w:tc>
      </w:tr>
      <w:tr>
        <w:trPr>
          <w:trHeight w:val="183"/>
        </w:trPr>
        <w:tc>
          <w:tcPr>
            <w:tcW w:w="76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4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340" w:type="dxa"/>
            <w:vAlign w:val="bottom"/>
            <w:shd w:val="clear" w:color="auto" w:fill="E5FFFF"/>
          </w:tcPr>
          <w:p>
            <w:pPr>
              <w:spacing w:after="0"/>
              <w:rPr>
                <w:sz w:val="15"/>
                <w:szCs w:val="15"/>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7,147</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11,866</w:t>
            </w:r>
          </w:p>
        </w:tc>
      </w:tr>
      <w:tr>
        <w:trPr>
          <w:trHeight w:val="203"/>
        </w:trPr>
        <w:tc>
          <w:tcPr>
            <w:tcW w:w="7660" w:type="dxa"/>
            <w:vAlign w:val="bottom"/>
            <w:shd w:val="clear" w:color="auto" w:fill="E5FFFF"/>
          </w:tcPr>
          <w:p>
            <w:pPr>
              <w:spacing w:after="0"/>
              <w:rPr>
                <w:sz w:val="20"/>
                <w:szCs w:val="20"/>
                <w:color w:val="auto"/>
              </w:rPr>
            </w:pPr>
            <w:r>
              <w:rPr>
                <w:rFonts w:ascii="Arial" w:cs="Arial" w:eastAsia="Arial" w:hAnsi="Arial"/>
                <w:sz w:val="16"/>
                <w:szCs w:val="16"/>
                <w:color w:val="auto"/>
              </w:rPr>
              <w:t>Inventories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3,353</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3,240</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1,597</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16,721</w:t>
            </w:r>
          </w:p>
        </w:tc>
      </w:tr>
      <w:tr>
        <w:trPr>
          <w:trHeight w:val="203"/>
        </w:trPr>
        <w:tc>
          <w:tcPr>
            <w:tcW w:w="76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13</w:t>
            </w:r>
          </w:p>
        </w:tc>
        <w:tc>
          <w:tcPr>
            <w:tcW w:w="2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372</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66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w:t>
            </w:r>
          </w:p>
        </w:tc>
        <w:tc>
          <w:tcPr>
            <w:tcW w:w="46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96,884</w:t>
            </w:r>
          </w:p>
        </w:tc>
        <w:tc>
          <w:tcPr>
            <w:tcW w:w="2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61,362</w:t>
            </w:r>
          </w:p>
        </w:tc>
      </w:tr>
      <w:tr>
        <w:trPr>
          <w:trHeight w:val="196"/>
        </w:trPr>
        <w:tc>
          <w:tcPr>
            <w:tcW w:w="76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current assets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109,353</w:t>
            </w:r>
          </w:p>
        </w:tc>
        <w:tc>
          <w:tcPr>
            <w:tcW w:w="2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93,189</w:t>
            </w:r>
          </w:p>
        </w:tc>
      </w:tr>
      <w:tr>
        <w:trPr>
          <w:trHeight w:val="236"/>
        </w:trPr>
        <w:tc>
          <w:tcPr>
            <w:tcW w:w="76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assets</w:t>
            </w:r>
          </w:p>
        </w:tc>
        <w:tc>
          <w:tcPr>
            <w:tcW w:w="460" w:type="dxa"/>
            <w:vAlign w:val="bottom"/>
            <w:tcBorders>
              <w:bottom w:val="single" w:sz="8" w:color="E5FFFF"/>
            </w:tcBorders>
          </w:tcPr>
          <w:p>
            <w:pPr>
              <w:spacing w:after="0"/>
              <w:rPr>
                <w:sz w:val="20"/>
                <w:szCs w:val="20"/>
                <w:color w:val="auto"/>
              </w:rPr>
            </w:pPr>
          </w:p>
        </w:tc>
        <w:tc>
          <w:tcPr>
            <w:tcW w:w="240" w:type="dxa"/>
            <w:vAlign w:val="bottom"/>
            <w:tcBorders>
              <w:bottom w:val="single" w:sz="8" w:color="E5FF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2,396,944</w:t>
            </w:r>
          </w:p>
        </w:tc>
        <w:tc>
          <w:tcPr>
            <w:tcW w:w="22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2,366,574</w:t>
            </w:r>
          </w:p>
        </w:tc>
      </w:tr>
      <w:tr>
        <w:trPr>
          <w:trHeight w:val="156"/>
        </w:trPr>
        <w:tc>
          <w:tcPr>
            <w:tcW w:w="7660" w:type="dxa"/>
            <w:vAlign w:val="bottom"/>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Partners’ equity and liabilities</w:t>
            </w:r>
          </w:p>
        </w:tc>
        <w:tc>
          <w:tcPr>
            <w:tcW w:w="46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13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340" w:type="dxa"/>
            <w:vAlign w:val="bottom"/>
            <w:shd w:val="clear" w:color="auto" w:fill="E5FFFF"/>
          </w:tcPr>
          <w:p>
            <w:pPr>
              <w:spacing w:after="0"/>
              <w:rPr>
                <w:sz w:val="13"/>
                <w:szCs w:val="13"/>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b w:val="1"/>
                <w:bCs w:val="1"/>
                <w:color w:val="auto"/>
              </w:rPr>
              <w:t>Partners’ equity</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3"/>
        </w:trPr>
        <w:tc>
          <w:tcPr>
            <w:tcW w:w="7660" w:type="dxa"/>
            <w:vAlign w:val="bottom"/>
            <w:shd w:val="clear" w:color="auto" w:fill="E5FFFF"/>
          </w:tcPr>
          <w:p>
            <w:pPr>
              <w:spacing w:after="0"/>
              <w:rPr>
                <w:sz w:val="20"/>
                <w:szCs w:val="20"/>
                <w:color w:val="auto"/>
              </w:rPr>
            </w:pPr>
            <w:r>
              <w:rPr>
                <w:rFonts w:ascii="Arial" w:cs="Arial" w:eastAsia="Arial" w:hAnsi="Arial"/>
                <w:sz w:val="16"/>
                <w:szCs w:val="16"/>
                <w:color w:val="auto"/>
                <w:w w:val="97"/>
              </w:rPr>
              <w:t>Common unitholders (46,860,182 units issued and outstanding as of December 31, 2019 and 46,668,692 units</w:t>
            </w:r>
          </w:p>
        </w:tc>
        <w:tc>
          <w:tcPr>
            <w:tcW w:w="4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r>
      <w:tr>
        <w:trPr>
          <w:trHeight w:val="212"/>
        </w:trPr>
        <w:tc>
          <w:tcPr>
            <w:tcW w:w="76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issued and outstanding as of March 31, 2020)</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7</w:t>
            </w:r>
          </w:p>
        </w:tc>
        <w:tc>
          <w:tcPr>
            <w:tcW w:w="24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606,811</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586,240</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General partner (1,021,336 units issued and outstanding as of December 31, 2019 and March 31, 2020)</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4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11,271</w:t>
            </w:r>
          </w:p>
        </w:tc>
        <w:tc>
          <w:tcPr>
            <w:tcW w:w="1340" w:type="dxa"/>
            <w:vAlign w:val="bottom"/>
          </w:tcPr>
          <w:p>
            <w:pPr>
              <w:jc w:val="right"/>
              <w:spacing w:after="0"/>
              <w:rPr>
                <w:sz w:val="20"/>
                <w:szCs w:val="20"/>
                <w:color w:val="auto"/>
              </w:rPr>
            </w:pPr>
            <w:r>
              <w:rPr>
                <w:rFonts w:ascii="Arial" w:cs="Arial" w:eastAsia="Arial" w:hAnsi="Arial"/>
                <w:sz w:val="16"/>
                <w:szCs w:val="16"/>
                <w:color w:val="auto"/>
              </w:rPr>
              <w:t>10,843</w:t>
            </w:r>
          </w:p>
        </w:tc>
      </w:tr>
      <w:tr>
        <w:trPr>
          <w:trHeight w:val="193"/>
        </w:trPr>
        <w:tc>
          <w:tcPr>
            <w:tcW w:w="7660" w:type="dxa"/>
            <w:vAlign w:val="bottom"/>
            <w:shd w:val="clear" w:color="auto" w:fill="E5FFFF"/>
          </w:tcPr>
          <w:p>
            <w:pPr>
              <w:spacing w:after="0"/>
              <w:rPr>
                <w:sz w:val="20"/>
                <w:szCs w:val="20"/>
                <w:color w:val="auto"/>
              </w:rPr>
            </w:pPr>
            <w:r>
              <w:rPr>
                <w:rFonts w:ascii="Arial" w:cs="Arial" w:eastAsia="Arial" w:hAnsi="Arial"/>
                <w:sz w:val="16"/>
                <w:szCs w:val="16"/>
                <w:color w:val="auto"/>
                <w:w w:val="94"/>
              </w:rPr>
              <w:t>Preference unitholders (5,750,000 Series A Preference Units, 4,600,000 Series B Preference Units and 4,000,000</w:t>
            </w:r>
          </w:p>
        </w:tc>
        <w:tc>
          <w:tcPr>
            <w:tcW w:w="4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r>
      <w:tr>
        <w:trPr>
          <w:trHeight w:val="212"/>
        </w:trPr>
        <w:tc>
          <w:tcPr>
            <w:tcW w:w="76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Series C Preference Units issued and outstanding as of December 31, 2019 and March 31, 2020)</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7</w:t>
            </w:r>
          </w:p>
        </w:tc>
        <w:tc>
          <w:tcPr>
            <w:tcW w:w="240" w:type="dxa"/>
            <w:vAlign w:val="bottom"/>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347,889</w:t>
            </w:r>
          </w:p>
        </w:tc>
        <w:tc>
          <w:tcPr>
            <w:tcW w:w="220" w:type="dxa"/>
            <w:vAlign w:val="bottom"/>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347,889</w:t>
            </w:r>
          </w:p>
        </w:tc>
      </w:tr>
      <w:tr>
        <w:trPr>
          <w:trHeight w:val="196"/>
        </w:trPr>
        <w:tc>
          <w:tcPr>
            <w:tcW w:w="76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partners’ equity</w:t>
            </w:r>
          </w:p>
        </w:tc>
        <w:tc>
          <w:tcPr>
            <w:tcW w:w="46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965,971</w:t>
            </w:r>
          </w:p>
        </w:tc>
        <w:tc>
          <w:tcPr>
            <w:tcW w:w="2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944,972</w:t>
            </w:r>
          </w:p>
        </w:tc>
      </w:tr>
      <w:tr>
        <w:trPr>
          <w:trHeight w:val="183"/>
        </w:trPr>
        <w:tc>
          <w:tcPr>
            <w:tcW w:w="76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4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340" w:type="dxa"/>
            <w:vAlign w:val="bottom"/>
            <w:shd w:val="clear" w:color="auto" w:fill="E5FFFF"/>
          </w:tcPr>
          <w:p>
            <w:pPr>
              <w:spacing w:after="0"/>
              <w:rPr>
                <w:sz w:val="15"/>
                <w:szCs w:val="15"/>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Trade accounts payable</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16,630</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22,232</w:t>
            </w:r>
          </w:p>
        </w:tc>
      </w:tr>
      <w:tr>
        <w:trPr>
          <w:trHeight w:val="203"/>
        </w:trPr>
        <w:tc>
          <w:tcPr>
            <w:tcW w:w="7660" w:type="dxa"/>
            <w:vAlign w:val="bottom"/>
            <w:shd w:val="clear" w:color="auto" w:fill="E5FFFF"/>
          </w:tcPr>
          <w:p>
            <w:pPr>
              <w:spacing w:after="0"/>
              <w:rPr>
                <w:sz w:val="20"/>
                <w:szCs w:val="20"/>
                <w:color w:val="auto"/>
              </w:rPr>
            </w:pPr>
            <w:r>
              <w:rPr>
                <w:rFonts w:ascii="Arial" w:cs="Arial" w:eastAsia="Arial" w:hAnsi="Arial"/>
                <w:sz w:val="16"/>
                <w:szCs w:val="16"/>
                <w:color w:val="auto"/>
              </w:rPr>
              <w:t>Due to related parties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2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5,642</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2,587</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2,607</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8,308</w:t>
            </w:r>
          </w:p>
        </w:tc>
      </w:tr>
      <w:tr>
        <w:trPr>
          <w:trHeight w:val="203"/>
        </w:trPr>
        <w:tc>
          <w:tcPr>
            <w:tcW w:w="766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2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51,570</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32,051</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Borrowings—current portion</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109,822</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109,920</w:t>
            </w:r>
          </w:p>
        </w:tc>
      </w:tr>
      <w:tr>
        <w:trPr>
          <w:trHeight w:val="203"/>
        </w:trPr>
        <w:tc>
          <w:tcPr>
            <w:tcW w:w="766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liabilities—current portion</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472</w:t>
            </w:r>
          </w:p>
        </w:tc>
        <w:tc>
          <w:tcPr>
            <w:tcW w:w="2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469</w:t>
            </w:r>
          </w:p>
        </w:tc>
      </w:tr>
      <w:tr>
        <w:trPr>
          <w:trHeight w:val="196"/>
        </w:trPr>
        <w:tc>
          <w:tcPr>
            <w:tcW w:w="76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46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186,743</w:t>
            </w:r>
          </w:p>
        </w:tc>
        <w:tc>
          <w:tcPr>
            <w:tcW w:w="2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175,567</w:t>
            </w:r>
          </w:p>
        </w:tc>
      </w:tr>
      <w:tr>
        <w:trPr>
          <w:trHeight w:val="183"/>
        </w:trPr>
        <w:tc>
          <w:tcPr>
            <w:tcW w:w="76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4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340" w:type="dxa"/>
            <w:vAlign w:val="bottom"/>
            <w:shd w:val="clear" w:color="auto" w:fill="E5FFFF"/>
          </w:tcPr>
          <w:p>
            <w:pPr>
              <w:spacing w:after="0"/>
              <w:rPr>
                <w:sz w:val="15"/>
                <w:szCs w:val="15"/>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6,688</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14,267</w:t>
            </w:r>
          </w:p>
        </w:tc>
      </w:tr>
      <w:tr>
        <w:trPr>
          <w:trHeight w:val="203"/>
        </w:trPr>
        <w:tc>
          <w:tcPr>
            <w:tcW w:w="766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8</w:t>
            </w:r>
          </w:p>
        </w:tc>
        <w:tc>
          <w:tcPr>
            <w:tcW w:w="2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1,236,202</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1,230,841</w:t>
            </w:r>
          </w:p>
        </w:tc>
      </w:tr>
      <w:tr>
        <w:trPr>
          <w:trHeight w:val="203"/>
        </w:trPr>
        <w:tc>
          <w:tcPr>
            <w:tcW w:w="766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414</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03"/>
        </w:trPr>
        <w:tc>
          <w:tcPr>
            <w:tcW w:w="766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4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926</w:t>
            </w:r>
          </w:p>
        </w:tc>
        <w:tc>
          <w:tcPr>
            <w:tcW w:w="22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627</w:t>
            </w:r>
          </w:p>
        </w:tc>
      </w:tr>
      <w:tr>
        <w:trPr>
          <w:trHeight w:val="196"/>
        </w:trPr>
        <w:tc>
          <w:tcPr>
            <w:tcW w:w="76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46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1,244,230</w:t>
            </w:r>
          </w:p>
        </w:tc>
        <w:tc>
          <w:tcPr>
            <w:tcW w:w="2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1,246,035</w:t>
            </w:r>
          </w:p>
        </w:tc>
      </w:tr>
      <w:tr>
        <w:trPr>
          <w:trHeight w:val="196"/>
        </w:trPr>
        <w:tc>
          <w:tcPr>
            <w:tcW w:w="76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4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2,396,944</w:t>
            </w:r>
          </w:p>
        </w:tc>
        <w:tc>
          <w:tcPr>
            <w:tcW w:w="22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2,366,574</w:t>
            </w:r>
          </w:p>
        </w:tc>
      </w:tr>
      <w:tr>
        <w:trPr>
          <w:trHeight w:val="20"/>
        </w:trPr>
        <w:tc>
          <w:tcPr>
            <w:tcW w:w="7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43"/>
        </w:trPr>
        <w:tc>
          <w:tcPr>
            <w:tcW w:w="77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profit or loss and total comprehensive income</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b w:val="1"/>
                <w:bCs w:val="1"/>
                <w:color w:val="auto"/>
              </w:rPr>
              <w:t>For the three months ended March 31, 2019 and 2020</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1"/>
        </w:trPr>
        <w:tc>
          <w:tcPr>
            <w:tcW w:w="7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4"/>
          </w:tcPr>
          <w:p>
            <w:pPr>
              <w:ind w:left="46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772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Arial" w:cs="Arial" w:eastAsia="Arial" w:hAnsi="Arial"/>
                <w:sz w:val="16"/>
                <w:szCs w:val="16"/>
                <w:b w:val="1"/>
                <w:bCs w:val="1"/>
                <w:color w:val="auto"/>
              </w:rPr>
              <w:t>Note</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March 31, 2019</w:t>
            </w:r>
          </w:p>
        </w:tc>
        <w:tc>
          <w:tcPr>
            <w:tcW w:w="1400" w:type="dxa"/>
            <w:vAlign w:val="bottom"/>
            <w:gridSpan w:val="2"/>
          </w:tcPr>
          <w:p>
            <w:pPr>
              <w:ind w:left="280"/>
              <w:spacing w:after="0"/>
              <w:rPr>
                <w:sz w:val="20"/>
                <w:szCs w:val="20"/>
                <w:color w:val="auto"/>
              </w:rPr>
            </w:pPr>
            <w:r>
              <w:rPr>
                <w:rFonts w:ascii="Arial" w:cs="Arial" w:eastAsia="Arial" w:hAnsi="Arial"/>
                <w:sz w:val="16"/>
                <w:szCs w:val="16"/>
                <w:b w:val="1"/>
                <w:bCs w:val="1"/>
                <w:color w:val="auto"/>
                <w:w w:val="96"/>
              </w:rPr>
              <w:t>March 31, 2020</w:t>
            </w:r>
          </w:p>
        </w:tc>
      </w:tr>
      <w:tr>
        <w:trPr>
          <w:trHeight w:val="145"/>
        </w:trPr>
        <w:tc>
          <w:tcPr>
            <w:tcW w:w="7720" w:type="dxa"/>
            <w:vAlign w:val="bottom"/>
            <w:tcBorders>
              <w:top w:val="single" w:sz="8" w:color="E5FFFF"/>
            </w:tcBorders>
            <w:shd w:val="clear" w:color="auto" w:fill="E5FFFF"/>
          </w:tcPr>
          <w:p>
            <w:pPr>
              <w:spacing w:after="0"/>
              <w:rPr>
                <w:sz w:val="12"/>
                <w:szCs w:val="12"/>
                <w:color w:val="auto"/>
              </w:rPr>
            </w:pPr>
          </w:p>
        </w:tc>
        <w:tc>
          <w:tcPr>
            <w:tcW w:w="460" w:type="dxa"/>
            <w:vAlign w:val="bottom"/>
            <w:tcBorders>
              <w:top w:val="single" w:sz="8" w:color="auto"/>
            </w:tcBorders>
            <w:shd w:val="clear" w:color="auto" w:fill="E5FFFF"/>
          </w:tcPr>
          <w:p>
            <w:pPr>
              <w:spacing w:after="0"/>
              <w:rPr>
                <w:sz w:val="12"/>
                <w:szCs w:val="12"/>
                <w:color w:val="auto"/>
              </w:rPr>
            </w:pPr>
          </w:p>
        </w:tc>
        <w:tc>
          <w:tcPr>
            <w:tcW w:w="180" w:type="dxa"/>
            <w:vAlign w:val="bottom"/>
            <w:tcBorders>
              <w:top w:val="single" w:sz="8" w:color="E5FFFF"/>
            </w:tcBorders>
            <w:shd w:val="clear" w:color="auto" w:fill="E5FFFF"/>
          </w:tcPr>
          <w:p>
            <w:pPr>
              <w:spacing w:after="0"/>
              <w:rPr>
                <w:sz w:val="12"/>
                <w:szCs w:val="12"/>
                <w:color w:val="auto"/>
              </w:rPr>
            </w:pPr>
          </w:p>
        </w:tc>
        <w:tc>
          <w:tcPr>
            <w:tcW w:w="1320" w:type="dxa"/>
            <w:vAlign w:val="bottom"/>
            <w:tcBorders>
              <w:top w:val="single" w:sz="8" w:color="auto"/>
            </w:tcBorders>
            <w:shd w:val="clear" w:color="auto" w:fill="E5FFFF"/>
          </w:tcPr>
          <w:p>
            <w:pPr>
              <w:jc w:val="right"/>
              <w:ind w:right="260"/>
              <w:spacing w:after="0" w:line="145" w:lineRule="exact"/>
              <w:rPr>
                <w:sz w:val="20"/>
                <w:szCs w:val="20"/>
                <w:color w:val="auto"/>
              </w:rPr>
            </w:pPr>
            <w:r>
              <w:rPr>
                <w:rFonts w:ascii="Arial" w:cs="Arial" w:eastAsia="Arial" w:hAnsi="Arial"/>
                <w:sz w:val="14"/>
                <w:szCs w:val="14"/>
                <w:i w:val="1"/>
                <w:iCs w:val="1"/>
                <w:color w:val="auto"/>
              </w:rPr>
              <w:t>(restated)</w:t>
            </w:r>
            <w:r>
              <w:rPr>
                <w:rFonts w:ascii="Arial" w:cs="Arial" w:eastAsia="Arial" w:hAnsi="Arial"/>
                <w:sz w:val="16"/>
                <w:szCs w:val="16"/>
                <w:color w:val="auto"/>
                <w:vertAlign w:val="superscript"/>
              </w:rPr>
              <w:t>(1)</w:t>
            </w:r>
          </w:p>
        </w:tc>
        <w:tc>
          <w:tcPr>
            <w:tcW w:w="160" w:type="dxa"/>
            <w:vAlign w:val="bottom"/>
            <w:tcBorders>
              <w:top w:val="single" w:sz="8" w:color="E5FFFF"/>
            </w:tcBorders>
            <w:shd w:val="clear" w:color="auto" w:fill="E5FFFF"/>
          </w:tcPr>
          <w:p>
            <w:pPr>
              <w:spacing w:after="0"/>
              <w:rPr>
                <w:sz w:val="12"/>
                <w:szCs w:val="12"/>
                <w:color w:val="auto"/>
              </w:rPr>
            </w:pPr>
          </w:p>
        </w:tc>
        <w:tc>
          <w:tcPr>
            <w:tcW w:w="1340" w:type="dxa"/>
            <w:vAlign w:val="bottom"/>
            <w:tcBorders>
              <w:top w:val="single" w:sz="8" w:color="auto"/>
            </w:tcBorders>
            <w:shd w:val="clear" w:color="auto" w:fill="E5FFFF"/>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Revenues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93,885</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91,353</w:t>
            </w:r>
          </w:p>
        </w:tc>
        <w:tc>
          <w:tcPr>
            <w:tcW w:w="60" w:type="dxa"/>
            <w:vAlign w:val="bottom"/>
          </w:tcPr>
          <w:p>
            <w:pPr>
              <w:spacing w:after="0"/>
              <w:rPr>
                <w:sz w:val="17"/>
                <w:szCs w:val="17"/>
                <w:color w:val="auto"/>
              </w:rPr>
            </w:pPr>
          </w:p>
        </w:tc>
      </w:tr>
      <w:tr>
        <w:trPr>
          <w:trHeight w:val="203"/>
        </w:trPr>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Net pool allocation</w:t>
            </w:r>
          </w:p>
        </w:tc>
        <w:tc>
          <w:tcPr>
            <w:tcW w:w="4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w:t>
            </w:r>
          </w:p>
        </w:tc>
        <w:tc>
          <w:tcPr>
            <w:tcW w:w="16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(1,837)</w:t>
            </w:r>
          </w:p>
        </w:tc>
        <w:tc>
          <w:tcPr>
            <w:tcW w:w="1340" w:type="dxa"/>
            <w:vAlign w:val="bottom"/>
          </w:tcPr>
          <w:p>
            <w:pPr>
              <w:jc w:val="right"/>
              <w:spacing w:after="0"/>
              <w:rPr>
                <w:sz w:val="20"/>
                <w:szCs w:val="20"/>
                <w:color w:val="auto"/>
              </w:rPr>
            </w:pPr>
            <w:r>
              <w:rPr>
                <w:rFonts w:ascii="Arial" w:cs="Arial" w:eastAsia="Arial" w:hAnsi="Arial"/>
                <w:sz w:val="16"/>
                <w:szCs w:val="16"/>
                <w:color w:val="auto"/>
              </w:rPr>
              <w:t>(3,888)</w:t>
            </w:r>
          </w:p>
        </w:tc>
        <w:tc>
          <w:tcPr>
            <w:tcW w:w="60" w:type="dxa"/>
            <w:vAlign w:val="bottom"/>
          </w:tcPr>
          <w:p>
            <w:pPr>
              <w:spacing w:after="0"/>
              <w:rPr>
                <w:sz w:val="17"/>
                <w:szCs w:val="17"/>
                <w:color w:val="auto"/>
              </w:rPr>
            </w:pPr>
          </w:p>
        </w:tc>
      </w:tr>
      <w:tr>
        <w:trPr>
          <w:trHeight w:val="203"/>
        </w:trPr>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12</w:t>
            </w:r>
          </w:p>
        </w:tc>
        <w:tc>
          <w:tcPr>
            <w:tcW w:w="1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(18,631)</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(19,093)</w:t>
            </w:r>
          </w:p>
        </w:tc>
        <w:tc>
          <w:tcPr>
            <w:tcW w:w="60" w:type="dxa"/>
            <w:vAlign w:val="bottom"/>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Depreciation</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(21,870)</w:t>
            </w:r>
          </w:p>
        </w:tc>
        <w:tc>
          <w:tcPr>
            <w:tcW w:w="1340" w:type="dxa"/>
            <w:vAlign w:val="bottom"/>
          </w:tcPr>
          <w:p>
            <w:pPr>
              <w:jc w:val="right"/>
              <w:spacing w:after="0"/>
              <w:rPr>
                <w:sz w:val="20"/>
                <w:szCs w:val="20"/>
                <w:color w:val="auto"/>
              </w:rPr>
            </w:pPr>
            <w:r>
              <w:rPr>
                <w:rFonts w:ascii="Arial" w:cs="Arial" w:eastAsia="Arial" w:hAnsi="Arial"/>
                <w:sz w:val="16"/>
                <w:szCs w:val="16"/>
                <w:color w:val="auto"/>
              </w:rPr>
              <w:t>(20,598)</w:t>
            </w:r>
          </w:p>
        </w:tc>
        <w:tc>
          <w:tcPr>
            <w:tcW w:w="60" w:type="dxa"/>
            <w:vAlign w:val="bottom"/>
          </w:tcPr>
          <w:p>
            <w:pPr>
              <w:spacing w:after="0"/>
              <w:rPr>
                <w:sz w:val="17"/>
                <w:szCs w:val="17"/>
                <w:color w:val="auto"/>
              </w:rPr>
            </w:pPr>
          </w:p>
        </w:tc>
      </w:tr>
      <w:tr>
        <w:trPr>
          <w:trHeight w:val="203"/>
        </w:trPr>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w:t>
            </w:r>
          </w:p>
        </w:tc>
        <w:tc>
          <w:tcPr>
            <w:tcW w:w="1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(4,694)</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(4,171)</w:t>
            </w:r>
          </w:p>
        </w:tc>
        <w:tc>
          <w:tcPr>
            <w:tcW w:w="60" w:type="dxa"/>
            <w:vAlign w:val="bottom"/>
          </w:tcPr>
          <w:p>
            <w:pPr>
              <w:spacing w:after="0"/>
              <w:rPr>
                <w:sz w:val="17"/>
                <w:szCs w:val="17"/>
                <w:color w:val="auto"/>
              </w:rPr>
            </w:pPr>
          </w:p>
        </w:tc>
      </w:tr>
      <w:tr>
        <w:trPr>
          <w:trHeight w:val="196"/>
        </w:trPr>
        <w:tc>
          <w:tcPr>
            <w:tcW w:w="77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46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46,887</w:t>
            </w:r>
          </w:p>
        </w:tc>
        <w:tc>
          <w:tcPr>
            <w:tcW w:w="16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43,603</w:t>
            </w:r>
          </w:p>
        </w:tc>
        <w:tc>
          <w:tcPr>
            <w:tcW w:w="60" w:type="dxa"/>
            <w:vAlign w:val="bottom"/>
          </w:tcPr>
          <w:p>
            <w:pPr>
              <w:spacing w:after="0"/>
              <w:rPr>
                <w:sz w:val="17"/>
                <w:szCs w:val="17"/>
                <w:color w:val="auto"/>
              </w:rPr>
            </w:pPr>
          </w:p>
        </w:tc>
      </w:tr>
      <w:tr>
        <w:trPr>
          <w:trHeight w:val="196"/>
        </w:trPr>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w:t>
            </w: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(19,632)</w:t>
            </w:r>
          </w:p>
        </w:tc>
        <w:tc>
          <w:tcPr>
            <w:tcW w:w="16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(15,513)</w:t>
            </w:r>
          </w:p>
        </w:tc>
        <w:tc>
          <w:tcPr>
            <w:tcW w:w="60" w:type="dxa"/>
            <w:vAlign w:val="bottom"/>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Financial income</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638</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199</w:t>
            </w:r>
          </w:p>
        </w:tc>
        <w:tc>
          <w:tcPr>
            <w:tcW w:w="60" w:type="dxa"/>
            <w:vAlign w:val="bottom"/>
          </w:tcPr>
          <w:p>
            <w:pPr>
              <w:spacing w:after="0"/>
              <w:rPr>
                <w:sz w:val="17"/>
                <w:szCs w:val="17"/>
                <w:color w:val="auto"/>
              </w:rPr>
            </w:pPr>
          </w:p>
        </w:tc>
      </w:tr>
      <w:tr>
        <w:trPr>
          <w:trHeight w:val="203"/>
        </w:trPr>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Loss on derivatives</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w:t>
            </w:r>
          </w:p>
        </w:tc>
        <w:tc>
          <w:tcPr>
            <w:tcW w:w="1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(4,877)</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(14,120)</w:t>
            </w:r>
          </w:p>
        </w:tc>
        <w:tc>
          <w:tcPr>
            <w:tcW w:w="60" w:type="dxa"/>
            <w:vAlign w:val="bottom"/>
          </w:tcPr>
          <w:p>
            <w:pPr>
              <w:spacing w:after="0"/>
              <w:rPr>
                <w:sz w:val="17"/>
                <w:szCs w:val="17"/>
                <w:color w:val="auto"/>
              </w:rPr>
            </w:pPr>
          </w:p>
        </w:tc>
      </w:tr>
      <w:tr>
        <w:trPr>
          <w:trHeight w:val="196"/>
        </w:trPr>
        <w:tc>
          <w:tcPr>
            <w:tcW w:w="77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460" w:type="dxa"/>
            <w:vAlign w:val="bottom"/>
            <w:tcBorders>
              <w:bottom w:val="single" w:sz="8" w:color="E5FFFF"/>
            </w:tcBorders>
          </w:tcPr>
          <w:p>
            <w:pPr>
              <w:spacing w:after="0"/>
              <w:rPr>
                <w:sz w:val="17"/>
                <w:szCs w:val="17"/>
                <w:color w:val="auto"/>
              </w:rPr>
            </w:pPr>
          </w:p>
        </w:tc>
        <w:tc>
          <w:tcPr>
            <w:tcW w:w="1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(23,871)</w:t>
            </w:r>
          </w:p>
        </w:tc>
        <w:tc>
          <w:tcPr>
            <w:tcW w:w="16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60" w:type="dxa"/>
            <w:vAlign w:val="bottom"/>
          </w:tcPr>
          <w:p>
            <w:pPr>
              <w:spacing w:after="0"/>
              <w:rPr>
                <w:sz w:val="17"/>
                <w:szCs w:val="17"/>
                <w:color w:val="auto"/>
              </w:rPr>
            </w:pPr>
          </w:p>
        </w:tc>
      </w:tr>
      <w:tr>
        <w:trPr>
          <w:trHeight w:val="203"/>
        </w:trPr>
        <w:tc>
          <w:tcPr>
            <w:tcW w:w="77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and total comprehensive income for the period</w:t>
            </w:r>
          </w:p>
        </w:tc>
        <w:tc>
          <w:tcPr>
            <w:tcW w:w="46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23,016</w:t>
            </w:r>
          </w:p>
        </w:tc>
        <w:tc>
          <w:tcPr>
            <w:tcW w:w="16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60" w:type="dxa"/>
            <w:vAlign w:val="bottom"/>
          </w:tcPr>
          <w:p>
            <w:pPr>
              <w:spacing w:after="0"/>
              <w:rPr>
                <w:sz w:val="17"/>
                <w:szCs w:val="17"/>
                <w:color w:val="auto"/>
              </w:rPr>
            </w:pPr>
          </w:p>
        </w:tc>
      </w:tr>
      <w:tr>
        <w:trPr>
          <w:trHeight w:val="216"/>
        </w:trPr>
        <w:tc>
          <w:tcPr>
            <w:tcW w:w="7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77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unit attributable to the Partnership, basic and diluted:</w:t>
            </w:r>
          </w:p>
        </w:tc>
        <w:tc>
          <w:tcPr>
            <w:tcW w:w="4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w:t>
            </w: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Common unit, basic</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0.28</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0.14</w:t>
            </w:r>
          </w:p>
        </w:tc>
        <w:tc>
          <w:tcPr>
            <w:tcW w:w="60" w:type="dxa"/>
            <w:vAlign w:val="bottom"/>
          </w:tcPr>
          <w:p>
            <w:pPr>
              <w:spacing w:after="0"/>
              <w:rPr>
                <w:sz w:val="17"/>
                <w:szCs w:val="17"/>
                <w:color w:val="auto"/>
              </w:rPr>
            </w:pPr>
          </w:p>
        </w:tc>
      </w:tr>
      <w:tr>
        <w:trPr>
          <w:trHeight w:val="203"/>
        </w:trPr>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Common unit, diluted</w:t>
            </w:r>
          </w:p>
        </w:tc>
        <w:tc>
          <w:tcPr>
            <w:tcW w:w="4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0.28</w:t>
            </w:r>
          </w:p>
        </w:tc>
        <w:tc>
          <w:tcPr>
            <w:tcW w:w="16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0.13</w:t>
            </w:r>
          </w:p>
        </w:tc>
        <w:tc>
          <w:tcPr>
            <w:tcW w:w="60" w:type="dxa"/>
            <w:vAlign w:val="bottom"/>
          </w:tcPr>
          <w:p>
            <w:pPr>
              <w:spacing w:after="0"/>
              <w:rPr>
                <w:sz w:val="17"/>
                <w:szCs w:val="17"/>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General partner unit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0.28</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0.14</w:t>
            </w:r>
          </w:p>
        </w:tc>
        <w:tc>
          <w:tcPr>
            <w:tcW w:w="6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ind w:left="320" w:hanging="312"/>
        <w:spacing w:after="0" w:line="216" w:lineRule="auto"/>
        <w:tabs>
          <w:tab w:leader="none" w:pos="3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GAS-twelve Ltd. acquired on April 1, 2019, from GasLog Ltd. (“GasLog”) (Note 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GasLog Partners LP</w:t>
      </w:r>
    </w:p>
    <w:p>
      <w:pPr>
        <w:spacing w:after="0" w:line="167" w:lineRule="exact"/>
        <w:rPr>
          <w:sz w:val="20"/>
          <w:szCs w:val="20"/>
          <w:color w:val="auto"/>
        </w:rPr>
      </w:pPr>
    </w:p>
    <w:p>
      <w:pPr>
        <w:ind w:right="5360"/>
        <w:spacing w:after="0" w:line="287" w:lineRule="auto"/>
        <w:rPr>
          <w:sz w:val="20"/>
          <w:szCs w:val="20"/>
          <w:color w:val="auto"/>
        </w:rPr>
      </w:pPr>
      <w:r>
        <w:rPr>
          <w:rFonts w:ascii="Arial" w:cs="Arial" w:eastAsia="Arial" w:hAnsi="Arial"/>
          <w:sz w:val="15"/>
          <w:szCs w:val="15"/>
          <w:b w:val="1"/>
          <w:bCs w:val="1"/>
          <w:color w:val="auto"/>
        </w:rPr>
        <w:t>Unaudited condensed consolidated statements of changes in owners’/partners’ equity For the three months ended March 31, 2019 and 2020</w:t>
      </w: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Incentive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distribution</w:t>
            </w:r>
          </w:p>
        </w:tc>
        <w:tc>
          <w:tcPr>
            <w:tcW w:w="166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Preference</w:t>
            </w:r>
          </w:p>
        </w:tc>
        <w:tc>
          <w:tcPr>
            <w:tcW w:w="88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Owners’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72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General partner</w:t>
            </w:r>
          </w:p>
        </w:tc>
        <w:tc>
          <w:tcPr>
            <w:tcW w:w="17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Common unitholders</w:t>
            </w: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rights</w:t>
            </w:r>
          </w:p>
        </w:tc>
        <w:tc>
          <w:tcPr>
            <w:tcW w:w="1660" w:type="dxa"/>
            <w:vAlign w:val="bottom"/>
            <w:gridSpan w:val="4"/>
            <w:vMerge w:val="continue"/>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Partners’</w:t>
            </w:r>
          </w:p>
        </w:tc>
        <w:tc>
          <w:tcPr>
            <w:tcW w:w="84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unitholders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(“IDRs”)</w:t>
            </w:r>
          </w:p>
        </w:tc>
        <w:tc>
          <w:tcPr>
            <w:tcW w:w="16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unitholders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equity</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92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Units</w:t>
            </w: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Units</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Units</w:t>
            </w: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9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927,532</w:t>
            </w:r>
          </w:p>
        </w:tc>
        <w:tc>
          <w:tcPr>
            <w:tcW w:w="8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13,289</w:t>
            </w:r>
          </w:p>
        </w:tc>
        <w:tc>
          <w:tcPr>
            <w:tcW w:w="9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45,448,993</w:t>
            </w:r>
          </w:p>
        </w:tc>
        <w:tc>
          <w:tcPr>
            <w:tcW w:w="84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812,863</w:t>
            </w:r>
          </w:p>
        </w:tc>
        <w:tc>
          <w:tcPr>
            <w:tcW w:w="7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9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5,176</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14,350,000</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348,331</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1,179,659</w:t>
            </w:r>
          </w:p>
        </w:tc>
        <w:tc>
          <w:tcPr>
            <w:tcW w:w="84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73,134</w:t>
            </w:r>
          </w:p>
        </w:tc>
        <w:tc>
          <w:tcPr>
            <w:tcW w:w="7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1,252,793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60" w:type="dxa"/>
            <w:vAlign w:val="bottom"/>
            <w:shd w:val="clear" w:color="auto" w:fill="E5FFFF"/>
          </w:tcPr>
          <w:p>
            <w:pPr>
              <w:ind w:left="180"/>
              <w:spacing w:after="0"/>
              <w:rPr>
                <w:sz w:val="20"/>
                <w:szCs w:val="20"/>
                <w:color w:val="auto"/>
              </w:rPr>
            </w:pPr>
            <w:r>
              <w:rPr>
                <w:rFonts w:ascii="Arial" w:cs="Arial" w:eastAsia="Arial" w:hAnsi="Arial"/>
                <w:sz w:val="14"/>
                <w:szCs w:val="14"/>
                <w:b w:val="1"/>
                <w:bCs w:val="1"/>
                <w:color w:val="auto"/>
              </w:rPr>
              <w:t>December 31, 2018</w:t>
            </w:r>
          </w:p>
        </w:tc>
        <w:tc>
          <w:tcPr>
            <w:tcW w:w="920" w:type="dxa"/>
            <w:vAlign w:val="bottom"/>
            <w:gridSpan w:val="2"/>
            <w:vMerge w:val="continue"/>
            <w:shd w:val="clear" w:color="auto" w:fill="E5FFFF"/>
          </w:tcPr>
          <w:p>
            <w:pPr>
              <w:spacing w:after="0"/>
              <w:rPr>
                <w:sz w:val="14"/>
                <w:szCs w:val="14"/>
                <w:color w:val="auto"/>
              </w:rPr>
            </w:pPr>
          </w:p>
        </w:tc>
        <w:tc>
          <w:tcPr>
            <w:tcW w:w="800" w:type="dxa"/>
            <w:vAlign w:val="bottom"/>
            <w:gridSpan w:val="2"/>
            <w:vMerge w:val="continue"/>
            <w:shd w:val="clear" w:color="auto" w:fill="E5FFFF"/>
          </w:tcPr>
          <w:p>
            <w:pPr>
              <w:spacing w:after="0"/>
              <w:rPr>
                <w:sz w:val="14"/>
                <w:szCs w:val="14"/>
                <w:color w:val="auto"/>
              </w:rPr>
            </w:pPr>
          </w:p>
        </w:tc>
        <w:tc>
          <w:tcPr>
            <w:tcW w:w="920" w:type="dxa"/>
            <w:vAlign w:val="bottom"/>
            <w:gridSpan w:val="2"/>
            <w:vMerge w:val="continue"/>
            <w:shd w:val="clear" w:color="auto" w:fill="E5FFFF"/>
          </w:tcPr>
          <w:p>
            <w:pPr>
              <w:spacing w:after="0"/>
              <w:rPr>
                <w:sz w:val="14"/>
                <w:szCs w:val="14"/>
                <w:color w:val="auto"/>
              </w:rPr>
            </w:pPr>
          </w:p>
        </w:tc>
        <w:tc>
          <w:tcPr>
            <w:tcW w:w="840" w:type="dxa"/>
            <w:vAlign w:val="bottom"/>
            <w:gridSpan w:val="2"/>
            <w:vMerge w:val="continue"/>
            <w:shd w:val="clear" w:color="auto" w:fill="E5FFFF"/>
          </w:tcPr>
          <w:p>
            <w:pPr>
              <w:spacing w:after="0"/>
              <w:rPr>
                <w:sz w:val="14"/>
                <w:szCs w:val="14"/>
                <w:color w:val="auto"/>
              </w:rPr>
            </w:pPr>
          </w:p>
        </w:tc>
        <w:tc>
          <w:tcPr>
            <w:tcW w:w="8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vMerge w:val="continue"/>
            <w:shd w:val="clear" w:color="auto" w:fill="E5FFFF"/>
          </w:tcPr>
          <w:p>
            <w:pPr>
              <w:spacing w:after="0"/>
              <w:rPr>
                <w:sz w:val="14"/>
                <w:szCs w:val="14"/>
                <w:color w:val="auto"/>
              </w:rPr>
            </w:pPr>
          </w:p>
        </w:tc>
        <w:tc>
          <w:tcPr>
            <w:tcW w:w="88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880" w:type="dxa"/>
            <w:vAlign w:val="bottom"/>
            <w:gridSpan w:val="2"/>
            <w:vMerge w:val="continue"/>
            <w:shd w:val="clear" w:color="auto" w:fill="E5FFFF"/>
          </w:tcPr>
          <w:p>
            <w:pPr>
              <w:spacing w:after="0"/>
              <w:rPr>
                <w:sz w:val="14"/>
                <w:szCs w:val="14"/>
                <w:color w:val="auto"/>
              </w:rPr>
            </w:pPr>
          </w:p>
        </w:tc>
        <w:tc>
          <w:tcPr>
            <w:tcW w:w="840" w:type="dxa"/>
            <w:vAlign w:val="bottom"/>
            <w:gridSpan w:val="2"/>
            <w:vMerge w:val="continue"/>
            <w:shd w:val="clear" w:color="auto" w:fill="E5FFFF"/>
          </w:tcPr>
          <w:p>
            <w:pPr>
              <w:spacing w:after="0"/>
              <w:rPr>
                <w:sz w:val="14"/>
                <w:szCs w:val="14"/>
                <w:color w:val="auto"/>
              </w:rPr>
            </w:pPr>
          </w:p>
        </w:tc>
        <w:tc>
          <w:tcPr>
            <w:tcW w:w="780" w:type="dxa"/>
            <w:vAlign w:val="bottom"/>
            <w:vMerge w:val="continue"/>
            <w:shd w:val="clear" w:color="auto" w:fill="E5FF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IFRS 16 adjustment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177</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Balance as of January 1,</w:t>
            </w:r>
          </w:p>
        </w:tc>
        <w:tc>
          <w:tcPr>
            <w:tcW w:w="9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927,532</w:t>
            </w:r>
          </w:p>
        </w:tc>
        <w:tc>
          <w:tcPr>
            <w:tcW w:w="8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13,293</w:t>
            </w:r>
          </w:p>
        </w:tc>
        <w:tc>
          <w:tcPr>
            <w:tcW w:w="9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45,448,993</w:t>
            </w:r>
          </w:p>
        </w:tc>
        <w:tc>
          <w:tcPr>
            <w:tcW w:w="84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813,036</w:t>
            </w:r>
          </w:p>
        </w:tc>
        <w:tc>
          <w:tcPr>
            <w:tcW w:w="7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9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5,176</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14,350,000</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348,331</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1,179,836</w:t>
            </w:r>
          </w:p>
        </w:tc>
        <w:tc>
          <w:tcPr>
            <w:tcW w:w="84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73,149</w:t>
            </w:r>
          </w:p>
        </w:tc>
        <w:tc>
          <w:tcPr>
            <w:tcW w:w="7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1,252,985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60" w:type="dxa"/>
            <w:vAlign w:val="bottom"/>
            <w:shd w:val="clear" w:color="auto" w:fill="E5FFFF"/>
          </w:tcPr>
          <w:p>
            <w:pPr>
              <w:ind w:left="180"/>
              <w:spacing w:after="0" w:line="172" w:lineRule="exact"/>
              <w:rPr>
                <w:sz w:val="20"/>
                <w:szCs w:val="20"/>
                <w:color w:val="auto"/>
              </w:rPr>
            </w:pPr>
            <w:r>
              <w:rPr>
                <w:rFonts w:ascii="Arial" w:cs="Arial" w:eastAsia="Arial" w:hAnsi="Arial"/>
                <w:sz w:val="14"/>
                <w:szCs w:val="14"/>
                <w:b w:val="1"/>
                <w:bCs w:val="1"/>
                <w:color w:val="auto"/>
              </w:rPr>
              <w:t>2019 (as restated</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w:t>
            </w:r>
          </w:p>
        </w:tc>
        <w:tc>
          <w:tcPr>
            <w:tcW w:w="920" w:type="dxa"/>
            <w:vAlign w:val="bottom"/>
            <w:gridSpan w:val="2"/>
            <w:vMerge w:val="continue"/>
            <w:shd w:val="clear" w:color="auto" w:fill="E5FFFF"/>
          </w:tcPr>
          <w:p>
            <w:pPr>
              <w:spacing w:after="0"/>
              <w:rPr>
                <w:sz w:val="14"/>
                <w:szCs w:val="14"/>
                <w:color w:val="auto"/>
              </w:rPr>
            </w:pPr>
          </w:p>
        </w:tc>
        <w:tc>
          <w:tcPr>
            <w:tcW w:w="800" w:type="dxa"/>
            <w:vAlign w:val="bottom"/>
            <w:gridSpan w:val="2"/>
            <w:vMerge w:val="continue"/>
            <w:shd w:val="clear" w:color="auto" w:fill="E5FFFF"/>
          </w:tcPr>
          <w:p>
            <w:pPr>
              <w:spacing w:after="0"/>
              <w:rPr>
                <w:sz w:val="14"/>
                <w:szCs w:val="14"/>
                <w:color w:val="auto"/>
              </w:rPr>
            </w:pPr>
          </w:p>
        </w:tc>
        <w:tc>
          <w:tcPr>
            <w:tcW w:w="920" w:type="dxa"/>
            <w:vAlign w:val="bottom"/>
            <w:gridSpan w:val="2"/>
            <w:vMerge w:val="continue"/>
            <w:shd w:val="clear" w:color="auto" w:fill="E5FFFF"/>
          </w:tcPr>
          <w:p>
            <w:pPr>
              <w:spacing w:after="0"/>
              <w:rPr>
                <w:sz w:val="14"/>
                <w:szCs w:val="14"/>
                <w:color w:val="auto"/>
              </w:rPr>
            </w:pPr>
          </w:p>
        </w:tc>
        <w:tc>
          <w:tcPr>
            <w:tcW w:w="840" w:type="dxa"/>
            <w:vAlign w:val="bottom"/>
            <w:gridSpan w:val="2"/>
            <w:vMerge w:val="continue"/>
            <w:shd w:val="clear" w:color="auto" w:fill="E5FFFF"/>
          </w:tcPr>
          <w:p>
            <w:pPr>
              <w:spacing w:after="0"/>
              <w:rPr>
                <w:sz w:val="14"/>
                <w:szCs w:val="14"/>
                <w:color w:val="auto"/>
              </w:rPr>
            </w:pPr>
          </w:p>
        </w:tc>
        <w:tc>
          <w:tcPr>
            <w:tcW w:w="8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vMerge w:val="continue"/>
            <w:shd w:val="clear" w:color="auto" w:fill="E5FFFF"/>
          </w:tcPr>
          <w:p>
            <w:pPr>
              <w:spacing w:after="0"/>
              <w:rPr>
                <w:sz w:val="14"/>
                <w:szCs w:val="14"/>
                <w:color w:val="auto"/>
              </w:rPr>
            </w:pPr>
          </w:p>
        </w:tc>
        <w:tc>
          <w:tcPr>
            <w:tcW w:w="88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880" w:type="dxa"/>
            <w:vAlign w:val="bottom"/>
            <w:gridSpan w:val="2"/>
            <w:vMerge w:val="continue"/>
            <w:shd w:val="clear" w:color="auto" w:fill="E5FFFF"/>
          </w:tcPr>
          <w:p>
            <w:pPr>
              <w:spacing w:after="0"/>
              <w:rPr>
                <w:sz w:val="14"/>
                <w:szCs w:val="14"/>
                <w:color w:val="auto"/>
              </w:rPr>
            </w:pPr>
          </w:p>
        </w:tc>
        <w:tc>
          <w:tcPr>
            <w:tcW w:w="840" w:type="dxa"/>
            <w:vAlign w:val="bottom"/>
            <w:gridSpan w:val="2"/>
            <w:vMerge w:val="continue"/>
            <w:shd w:val="clear" w:color="auto" w:fill="E5FFFF"/>
          </w:tcPr>
          <w:p>
            <w:pPr>
              <w:spacing w:after="0"/>
              <w:rPr>
                <w:sz w:val="14"/>
                <w:szCs w:val="14"/>
                <w:color w:val="auto"/>
              </w:rPr>
            </w:pPr>
          </w:p>
        </w:tc>
        <w:tc>
          <w:tcPr>
            <w:tcW w:w="780" w:type="dxa"/>
            <w:vAlign w:val="bottom"/>
            <w:vMerge w:val="continue"/>
            <w:shd w:val="clear" w:color="auto" w:fill="E5FF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Profit and total</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180"/>
              <w:spacing w:after="0" w:line="149" w:lineRule="exact"/>
              <w:rPr>
                <w:sz w:val="20"/>
                <w:szCs w:val="20"/>
                <w:color w:val="auto"/>
              </w:rPr>
            </w:pPr>
            <w:r>
              <w:rPr>
                <w:rFonts w:ascii="Arial" w:cs="Arial" w:eastAsia="Arial" w:hAnsi="Arial"/>
                <w:sz w:val="14"/>
                <w:szCs w:val="14"/>
                <w:color w:val="auto"/>
              </w:rPr>
              <w:t>comprehensive income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180"/>
              <w:spacing w:after="0" w:line="149" w:lineRule="exact"/>
              <w:rPr>
                <w:sz w:val="20"/>
                <w:szCs w:val="20"/>
                <w:color w:val="auto"/>
              </w:rPr>
            </w:pPr>
            <w:r>
              <w:rPr>
                <w:rFonts w:ascii="Arial" w:cs="Arial" w:eastAsia="Arial" w:hAnsi="Arial"/>
                <w:sz w:val="14"/>
                <w:szCs w:val="14"/>
                <w:color w:val="auto"/>
              </w:rPr>
              <w:t>attributable to GasLog’s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180"/>
              <w:spacing w:after="0"/>
              <w:rPr>
                <w:sz w:val="20"/>
                <w:szCs w:val="20"/>
                <w:color w:val="auto"/>
              </w:rPr>
            </w:pPr>
            <w:r>
              <w:rPr>
                <w:rFonts w:ascii="Arial" w:cs="Arial" w:eastAsia="Arial" w:hAnsi="Arial"/>
                <w:sz w:val="14"/>
                <w:szCs w:val="14"/>
                <w:color w:val="auto"/>
              </w:rPr>
              <w:t>operations (Note 17)</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2,650</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148"/>
        </w:trPr>
        <w:tc>
          <w:tcPr>
            <w:tcW w:w="17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Equity offering costs</w:t>
            </w:r>
          </w:p>
        </w:tc>
        <w:tc>
          <w:tcPr>
            <w:tcW w:w="92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60"/>
              <w:spacing w:after="0" w:line="149" w:lineRule="exact"/>
              <w:rPr>
                <w:sz w:val="20"/>
                <w:szCs w:val="20"/>
                <w:color w:val="auto"/>
              </w:rPr>
            </w:pPr>
            <w:r>
              <w:rPr>
                <w:rFonts w:ascii="Arial" w:cs="Arial" w:eastAsia="Arial" w:hAnsi="Arial"/>
                <w:sz w:val="14"/>
                <w:szCs w:val="14"/>
                <w:color w:val="auto"/>
              </w:rPr>
              <w:t>(63)</w:t>
            </w:r>
          </w:p>
        </w:tc>
        <w:tc>
          <w:tcPr>
            <w:tcW w:w="8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8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84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line="149" w:lineRule="exact"/>
              <w:rPr>
                <w:sz w:val="20"/>
                <w:szCs w:val="20"/>
                <w:color w:val="auto"/>
              </w:rPr>
            </w:pPr>
            <w:r>
              <w:rPr>
                <w:rFonts w:ascii="Arial" w:cs="Arial" w:eastAsia="Arial" w:hAnsi="Arial"/>
                <w:sz w:val="14"/>
                <w:szCs w:val="14"/>
                <w:color w:val="auto"/>
              </w:rPr>
              <w:t>Distributions declared</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(539)</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(24,997)</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(1,393)</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(8,290)</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(35,219)</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(35,219)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w w:val="99"/>
              </w:rPr>
              <w:t>Share-based compensation,</w:t>
            </w: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E5FFFF"/>
          </w:tcPr>
          <w:p>
            <w:pPr>
              <w:ind w:left="180"/>
              <w:spacing w:after="0" w:line="149" w:lineRule="exact"/>
              <w:rPr>
                <w:sz w:val="20"/>
                <w:szCs w:val="20"/>
                <w:color w:val="auto"/>
              </w:rPr>
            </w:pPr>
            <w:r>
              <w:rPr>
                <w:rFonts w:ascii="Arial" w:cs="Arial" w:eastAsia="Arial" w:hAnsi="Arial"/>
                <w:sz w:val="14"/>
                <w:szCs w:val="14"/>
                <w:color w:val="auto"/>
              </w:rPr>
              <w:t>net of accrued</w:t>
            </w: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E5FFFF"/>
          </w:tcPr>
          <w:p>
            <w:pPr>
              <w:ind w:left="180"/>
              <w:spacing w:after="0"/>
              <w:rPr>
                <w:sz w:val="20"/>
                <w:szCs w:val="20"/>
                <w:color w:val="auto"/>
              </w:rPr>
            </w:pPr>
            <w:r>
              <w:rPr>
                <w:rFonts w:ascii="Arial" w:cs="Arial" w:eastAsia="Arial" w:hAnsi="Arial"/>
                <w:sz w:val="14"/>
                <w:szCs w:val="14"/>
                <w:color w:val="auto"/>
              </w:rPr>
              <w:t>distribution</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4</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176</w:t>
            </w:r>
          </w:p>
        </w:tc>
        <w:tc>
          <w:tcPr>
            <w:tcW w:w="8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180</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Partnership’s profit and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180"/>
              <w:spacing w:after="0" w:line="149" w:lineRule="exact"/>
              <w:rPr>
                <w:sz w:val="20"/>
                <w:szCs w:val="20"/>
                <w:color w:val="auto"/>
              </w:rPr>
            </w:pPr>
            <w:r>
              <w:rPr>
                <w:rFonts w:ascii="Arial" w:cs="Arial" w:eastAsia="Arial" w:hAnsi="Arial"/>
                <w:sz w:val="14"/>
                <w:szCs w:val="14"/>
                <w:color w:val="auto"/>
              </w:rPr>
              <w:t>total comprehensive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180"/>
              <w:spacing w:after="0"/>
              <w:rPr>
                <w:sz w:val="20"/>
                <w:szCs w:val="20"/>
                <w:color w:val="auto"/>
              </w:rPr>
            </w:pPr>
            <w:r>
              <w:rPr>
                <w:rFonts w:ascii="Arial" w:cs="Arial" w:eastAsia="Arial" w:hAnsi="Arial"/>
                <w:sz w:val="14"/>
                <w:szCs w:val="14"/>
                <w:color w:val="auto"/>
              </w:rPr>
              <w:t>income (Note 17)</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12,529</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7,582</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20,366</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20,366</w:t>
            </w:r>
          </w:p>
        </w:tc>
        <w:tc>
          <w:tcPr>
            <w:tcW w:w="0" w:type="dxa"/>
            <w:vAlign w:val="bottom"/>
          </w:tcPr>
          <w:p>
            <w:pPr>
              <w:spacing w:after="0"/>
              <w:rPr>
                <w:sz w:val="1"/>
                <w:szCs w:val="1"/>
                <w:color w:val="auto"/>
              </w:rPr>
            </w:pPr>
          </w:p>
        </w:tc>
      </w:tr>
      <w:tr>
        <w:trPr>
          <w:trHeight w:val="20"/>
        </w:trPr>
        <w:tc>
          <w:tcPr>
            <w:tcW w:w="1760" w:type="dxa"/>
            <w:vAlign w:val="bottom"/>
            <w:vMerge w:val="restart"/>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Balance as of March 31,</w:t>
            </w: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760" w:type="dxa"/>
            <w:vAlign w:val="bottom"/>
            <w:vMerge w:val="continue"/>
            <w:shd w:val="clear" w:color="auto" w:fill="E5FFFF"/>
          </w:tcPr>
          <w:p>
            <w:pPr>
              <w:spacing w:after="0"/>
              <w:rPr>
                <w:sz w:val="9"/>
                <w:szCs w:val="9"/>
                <w:color w:val="auto"/>
              </w:rPr>
            </w:pP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927,532</w:t>
            </w:r>
          </w:p>
        </w:tc>
        <w:tc>
          <w:tcPr>
            <w:tcW w:w="120" w:type="dxa"/>
            <w:vAlign w:val="bottom"/>
            <w:vMerge w:val="restart"/>
            <w:shd w:val="clear" w:color="auto" w:fill="E5FFFF"/>
          </w:tcPr>
          <w:p>
            <w:pPr>
              <w:spacing w:after="0"/>
              <w:rPr>
                <w:sz w:val="9"/>
                <w:szCs w:val="9"/>
                <w:color w:val="auto"/>
              </w:rPr>
            </w:pPr>
          </w:p>
        </w:tc>
        <w:tc>
          <w:tcPr>
            <w:tcW w:w="6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13,013</w:t>
            </w:r>
          </w:p>
        </w:tc>
        <w:tc>
          <w:tcPr>
            <w:tcW w:w="120" w:type="dxa"/>
            <w:vAlign w:val="bottom"/>
            <w:vMerge w:val="restart"/>
            <w:shd w:val="clear" w:color="auto" w:fill="E5FFFF"/>
          </w:tcPr>
          <w:p>
            <w:pPr>
              <w:spacing w:after="0"/>
              <w:rPr>
                <w:sz w:val="9"/>
                <w:szCs w:val="9"/>
                <w:color w:val="auto"/>
              </w:rPr>
            </w:pP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45,448,993</w:t>
            </w:r>
          </w:p>
        </w:tc>
        <w:tc>
          <w:tcPr>
            <w:tcW w:w="120" w:type="dxa"/>
            <w:vAlign w:val="bottom"/>
            <w:vMerge w:val="restart"/>
            <w:shd w:val="clear" w:color="auto" w:fill="E5FFFF"/>
          </w:tcPr>
          <w:p>
            <w:pPr>
              <w:spacing w:after="0"/>
              <w:rPr>
                <w:sz w:val="9"/>
                <w:szCs w:val="9"/>
                <w:color w:val="auto"/>
              </w:rPr>
            </w:pPr>
          </w:p>
        </w:tc>
        <w:tc>
          <w:tcPr>
            <w:tcW w:w="84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800,681</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3,783</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14,350,000</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347,839</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1,165,316</w:t>
            </w:r>
          </w:p>
        </w:tc>
        <w:tc>
          <w:tcPr>
            <w:tcW w:w="84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75,799</w:t>
            </w:r>
          </w:p>
        </w:tc>
        <w:tc>
          <w:tcPr>
            <w:tcW w:w="7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1,241,115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760" w:type="dxa"/>
            <w:vAlign w:val="bottom"/>
            <w:shd w:val="clear" w:color="auto" w:fill="E5FFFF"/>
          </w:tcPr>
          <w:p>
            <w:pPr>
              <w:ind w:left="180"/>
              <w:spacing w:after="0" w:line="158" w:lineRule="exact"/>
              <w:rPr>
                <w:sz w:val="20"/>
                <w:szCs w:val="20"/>
                <w:color w:val="auto"/>
              </w:rPr>
            </w:pPr>
            <w:r>
              <w:rPr>
                <w:rFonts w:ascii="Arial" w:cs="Arial" w:eastAsia="Arial" w:hAnsi="Arial"/>
                <w:sz w:val="14"/>
                <w:szCs w:val="14"/>
                <w:b w:val="1"/>
                <w:bCs w:val="1"/>
                <w:color w:val="auto"/>
              </w:rPr>
              <w:t>2019 (as restated</w:t>
            </w:r>
            <w:r>
              <w:rPr>
                <w:rFonts w:ascii="Arial" w:cs="Arial" w:eastAsia="Arial" w:hAnsi="Arial"/>
                <w:sz w:val="17"/>
                <w:szCs w:val="17"/>
                <w:b w:val="1"/>
                <w:bCs w:val="1"/>
                <w:color w:val="auto"/>
                <w:vertAlign w:val="superscript"/>
              </w:rPr>
              <w:t>(2)</w:t>
            </w:r>
            <w:r>
              <w:rPr>
                <w:rFonts w:ascii="Arial" w:cs="Arial" w:eastAsia="Arial" w:hAnsi="Arial"/>
                <w:sz w:val="14"/>
                <w:szCs w:val="14"/>
                <w:b w:val="1"/>
                <w:bCs w:val="1"/>
                <w:color w:val="auto"/>
              </w:rPr>
              <w:t>)</w:t>
            </w:r>
          </w:p>
        </w:tc>
        <w:tc>
          <w:tcPr>
            <w:tcW w:w="800" w:type="dxa"/>
            <w:vAlign w:val="bottom"/>
            <w:vMerge w:val="continue"/>
            <w:shd w:val="clear" w:color="auto" w:fill="E5FFFF"/>
          </w:tcPr>
          <w:p>
            <w:pPr>
              <w:spacing w:after="0"/>
              <w:rPr>
                <w:sz w:val="13"/>
                <w:szCs w:val="13"/>
                <w:color w:val="auto"/>
              </w:rPr>
            </w:pPr>
          </w:p>
        </w:tc>
        <w:tc>
          <w:tcPr>
            <w:tcW w:w="120" w:type="dxa"/>
            <w:vAlign w:val="bottom"/>
            <w:vMerge w:val="continue"/>
            <w:shd w:val="clear" w:color="auto" w:fill="E5FFFF"/>
          </w:tcPr>
          <w:p>
            <w:pPr>
              <w:spacing w:after="0"/>
              <w:rPr>
                <w:sz w:val="13"/>
                <w:szCs w:val="13"/>
                <w:color w:val="auto"/>
              </w:rPr>
            </w:pPr>
          </w:p>
        </w:tc>
        <w:tc>
          <w:tcPr>
            <w:tcW w:w="680" w:type="dxa"/>
            <w:vAlign w:val="bottom"/>
            <w:vMerge w:val="continue"/>
            <w:shd w:val="clear" w:color="auto" w:fill="E5FFFF"/>
          </w:tcPr>
          <w:p>
            <w:pPr>
              <w:spacing w:after="0"/>
              <w:rPr>
                <w:sz w:val="13"/>
                <w:szCs w:val="13"/>
                <w:color w:val="auto"/>
              </w:rPr>
            </w:pPr>
          </w:p>
        </w:tc>
        <w:tc>
          <w:tcPr>
            <w:tcW w:w="120" w:type="dxa"/>
            <w:vAlign w:val="bottom"/>
            <w:vMerge w:val="continue"/>
            <w:shd w:val="clear" w:color="auto" w:fill="E5FFFF"/>
          </w:tcPr>
          <w:p>
            <w:pPr>
              <w:spacing w:after="0"/>
              <w:rPr>
                <w:sz w:val="13"/>
                <w:szCs w:val="13"/>
                <w:color w:val="auto"/>
              </w:rPr>
            </w:pPr>
          </w:p>
        </w:tc>
        <w:tc>
          <w:tcPr>
            <w:tcW w:w="800" w:type="dxa"/>
            <w:vAlign w:val="bottom"/>
            <w:vMerge w:val="continue"/>
            <w:shd w:val="clear" w:color="auto" w:fill="E5FFFF"/>
          </w:tcPr>
          <w:p>
            <w:pPr>
              <w:spacing w:after="0"/>
              <w:rPr>
                <w:sz w:val="13"/>
                <w:szCs w:val="13"/>
                <w:color w:val="auto"/>
              </w:rPr>
            </w:pPr>
          </w:p>
        </w:tc>
        <w:tc>
          <w:tcPr>
            <w:tcW w:w="120" w:type="dxa"/>
            <w:vAlign w:val="bottom"/>
            <w:vMerge w:val="continue"/>
            <w:shd w:val="clear" w:color="auto" w:fill="E5FFFF"/>
          </w:tcPr>
          <w:p>
            <w:pPr>
              <w:spacing w:after="0"/>
              <w:rPr>
                <w:sz w:val="13"/>
                <w:szCs w:val="13"/>
                <w:color w:val="auto"/>
              </w:rPr>
            </w:pPr>
          </w:p>
        </w:tc>
        <w:tc>
          <w:tcPr>
            <w:tcW w:w="840" w:type="dxa"/>
            <w:vAlign w:val="bottom"/>
            <w:gridSpan w:val="2"/>
            <w:vMerge w:val="continue"/>
            <w:shd w:val="clear" w:color="auto" w:fill="E5FFFF"/>
          </w:tcPr>
          <w:p>
            <w:pPr>
              <w:spacing w:after="0"/>
              <w:rPr>
                <w:sz w:val="13"/>
                <w:szCs w:val="13"/>
                <w:color w:val="auto"/>
              </w:rPr>
            </w:pPr>
          </w:p>
        </w:tc>
        <w:tc>
          <w:tcPr>
            <w:tcW w:w="880" w:type="dxa"/>
            <w:vAlign w:val="bottom"/>
            <w:gridSpan w:val="2"/>
            <w:vMerge w:val="continue"/>
            <w:shd w:val="clear" w:color="auto" w:fill="E5FFFF"/>
          </w:tcPr>
          <w:p>
            <w:pPr>
              <w:spacing w:after="0"/>
              <w:rPr>
                <w:sz w:val="13"/>
                <w:szCs w:val="13"/>
                <w:color w:val="auto"/>
              </w:rPr>
            </w:pPr>
          </w:p>
        </w:tc>
        <w:tc>
          <w:tcPr>
            <w:tcW w:w="900" w:type="dxa"/>
            <w:vAlign w:val="bottom"/>
            <w:gridSpan w:val="2"/>
            <w:vMerge w:val="continue"/>
            <w:shd w:val="clear" w:color="auto" w:fill="E5FFFF"/>
          </w:tcPr>
          <w:p>
            <w:pPr>
              <w:spacing w:after="0"/>
              <w:rPr>
                <w:sz w:val="13"/>
                <w:szCs w:val="13"/>
                <w:color w:val="auto"/>
              </w:rPr>
            </w:pPr>
          </w:p>
        </w:tc>
        <w:tc>
          <w:tcPr>
            <w:tcW w:w="880" w:type="dxa"/>
            <w:vAlign w:val="bottom"/>
            <w:gridSpan w:val="2"/>
            <w:vMerge w:val="continue"/>
            <w:shd w:val="clear" w:color="auto" w:fill="E5FFFF"/>
          </w:tcPr>
          <w:p>
            <w:pPr>
              <w:spacing w:after="0"/>
              <w:rPr>
                <w:sz w:val="13"/>
                <w:szCs w:val="13"/>
                <w:color w:val="auto"/>
              </w:rPr>
            </w:pPr>
          </w:p>
        </w:tc>
        <w:tc>
          <w:tcPr>
            <w:tcW w:w="780" w:type="dxa"/>
            <w:vAlign w:val="bottom"/>
            <w:gridSpan w:val="2"/>
            <w:vMerge w:val="continue"/>
            <w:shd w:val="clear" w:color="auto" w:fill="E5FFFF"/>
          </w:tcPr>
          <w:p>
            <w:pPr>
              <w:spacing w:after="0"/>
              <w:rPr>
                <w:sz w:val="13"/>
                <w:szCs w:val="13"/>
                <w:color w:val="auto"/>
              </w:rPr>
            </w:pPr>
          </w:p>
        </w:tc>
        <w:tc>
          <w:tcPr>
            <w:tcW w:w="880" w:type="dxa"/>
            <w:vAlign w:val="bottom"/>
            <w:gridSpan w:val="2"/>
            <w:vMerge w:val="continue"/>
            <w:shd w:val="clear" w:color="auto" w:fill="E5FFFF"/>
          </w:tcPr>
          <w:p>
            <w:pPr>
              <w:spacing w:after="0"/>
              <w:rPr>
                <w:sz w:val="13"/>
                <w:szCs w:val="13"/>
                <w:color w:val="auto"/>
              </w:rPr>
            </w:pPr>
          </w:p>
        </w:tc>
        <w:tc>
          <w:tcPr>
            <w:tcW w:w="840" w:type="dxa"/>
            <w:vAlign w:val="bottom"/>
            <w:gridSpan w:val="2"/>
            <w:vMerge w:val="continue"/>
            <w:shd w:val="clear" w:color="auto" w:fill="E5FFFF"/>
          </w:tcPr>
          <w:p>
            <w:pPr>
              <w:spacing w:after="0"/>
              <w:rPr>
                <w:sz w:val="13"/>
                <w:szCs w:val="13"/>
                <w:color w:val="auto"/>
              </w:rPr>
            </w:pPr>
          </w:p>
        </w:tc>
        <w:tc>
          <w:tcPr>
            <w:tcW w:w="780" w:type="dxa"/>
            <w:vAlign w:val="bottom"/>
            <w:vMerge w:val="continue"/>
            <w:shd w:val="clear" w:color="auto" w:fill="E5FF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60" w:type="dxa"/>
            <w:vAlign w:val="bottom"/>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Balance at January 1,</w:t>
            </w:r>
          </w:p>
        </w:tc>
        <w:tc>
          <w:tcPr>
            <w:tcW w:w="9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1,021,336</w:t>
            </w:r>
          </w:p>
        </w:tc>
        <w:tc>
          <w:tcPr>
            <w:tcW w:w="8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11,271</w:t>
            </w:r>
          </w:p>
        </w:tc>
        <w:tc>
          <w:tcPr>
            <w:tcW w:w="9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46,860,182</w:t>
            </w:r>
          </w:p>
        </w:tc>
        <w:tc>
          <w:tcPr>
            <w:tcW w:w="84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606,811</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2,490,000</w:t>
            </w:r>
          </w:p>
        </w:tc>
        <w:tc>
          <w:tcPr>
            <w:tcW w:w="78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14,350,000</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347,889</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965,971</w:t>
            </w:r>
          </w:p>
        </w:tc>
        <w:tc>
          <w:tcPr>
            <w:tcW w:w="84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965,971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60" w:type="dxa"/>
            <w:vAlign w:val="bottom"/>
            <w:shd w:val="clear" w:color="auto" w:fill="E5FFFF"/>
          </w:tcPr>
          <w:p>
            <w:pPr>
              <w:ind w:left="180"/>
              <w:spacing w:after="0"/>
              <w:rPr>
                <w:sz w:val="20"/>
                <w:szCs w:val="20"/>
                <w:color w:val="auto"/>
              </w:rPr>
            </w:pPr>
            <w:r>
              <w:rPr>
                <w:rFonts w:ascii="Arial" w:cs="Arial" w:eastAsia="Arial" w:hAnsi="Arial"/>
                <w:sz w:val="14"/>
                <w:szCs w:val="14"/>
                <w:b w:val="1"/>
                <w:bCs w:val="1"/>
                <w:color w:val="auto"/>
              </w:rPr>
              <w:t>2020</w:t>
            </w:r>
          </w:p>
        </w:tc>
        <w:tc>
          <w:tcPr>
            <w:tcW w:w="920" w:type="dxa"/>
            <w:vAlign w:val="bottom"/>
            <w:gridSpan w:val="2"/>
            <w:vMerge w:val="continue"/>
            <w:shd w:val="clear" w:color="auto" w:fill="E5FFFF"/>
          </w:tcPr>
          <w:p>
            <w:pPr>
              <w:spacing w:after="0"/>
              <w:rPr>
                <w:sz w:val="14"/>
                <w:szCs w:val="14"/>
                <w:color w:val="auto"/>
              </w:rPr>
            </w:pPr>
          </w:p>
        </w:tc>
        <w:tc>
          <w:tcPr>
            <w:tcW w:w="800" w:type="dxa"/>
            <w:vAlign w:val="bottom"/>
            <w:gridSpan w:val="2"/>
            <w:vMerge w:val="continue"/>
            <w:shd w:val="clear" w:color="auto" w:fill="E5FFFF"/>
          </w:tcPr>
          <w:p>
            <w:pPr>
              <w:spacing w:after="0"/>
              <w:rPr>
                <w:sz w:val="14"/>
                <w:szCs w:val="14"/>
                <w:color w:val="auto"/>
              </w:rPr>
            </w:pPr>
          </w:p>
        </w:tc>
        <w:tc>
          <w:tcPr>
            <w:tcW w:w="920" w:type="dxa"/>
            <w:vAlign w:val="bottom"/>
            <w:gridSpan w:val="2"/>
            <w:vMerge w:val="continue"/>
            <w:shd w:val="clear" w:color="auto" w:fill="E5FFFF"/>
          </w:tcPr>
          <w:p>
            <w:pPr>
              <w:spacing w:after="0"/>
              <w:rPr>
                <w:sz w:val="14"/>
                <w:szCs w:val="14"/>
                <w:color w:val="auto"/>
              </w:rPr>
            </w:pPr>
          </w:p>
        </w:tc>
        <w:tc>
          <w:tcPr>
            <w:tcW w:w="840" w:type="dxa"/>
            <w:vAlign w:val="bottom"/>
            <w:gridSpan w:val="2"/>
            <w:vMerge w:val="continue"/>
            <w:shd w:val="clear" w:color="auto" w:fill="E5FFFF"/>
          </w:tcPr>
          <w:p>
            <w:pPr>
              <w:spacing w:after="0"/>
              <w:rPr>
                <w:sz w:val="14"/>
                <w:szCs w:val="14"/>
                <w:color w:val="auto"/>
              </w:rPr>
            </w:pPr>
          </w:p>
        </w:tc>
        <w:tc>
          <w:tcPr>
            <w:tcW w:w="880" w:type="dxa"/>
            <w:vAlign w:val="bottom"/>
            <w:gridSpan w:val="2"/>
            <w:vMerge w:val="continue"/>
            <w:shd w:val="clear" w:color="auto" w:fill="E5FFFF"/>
          </w:tcPr>
          <w:p>
            <w:pPr>
              <w:spacing w:after="0"/>
              <w:rPr>
                <w:sz w:val="14"/>
                <w:szCs w:val="14"/>
                <w:color w:val="auto"/>
              </w:rPr>
            </w:pP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vMerge w:val="continue"/>
            <w:shd w:val="clear" w:color="auto" w:fill="E5FFFF"/>
          </w:tcPr>
          <w:p>
            <w:pPr>
              <w:spacing w:after="0"/>
              <w:rPr>
                <w:sz w:val="14"/>
                <w:szCs w:val="14"/>
                <w:color w:val="auto"/>
              </w:rPr>
            </w:pPr>
          </w:p>
        </w:tc>
        <w:tc>
          <w:tcPr>
            <w:tcW w:w="780" w:type="dxa"/>
            <w:vAlign w:val="bottom"/>
            <w:gridSpan w:val="2"/>
            <w:vMerge w:val="continue"/>
            <w:shd w:val="clear" w:color="auto" w:fill="E5FFFF"/>
          </w:tcPr>
          <w:p>
            <w:pPr>
              <w:spacing w:after="0"/>
              <w:rPr>
                <w:sz w:val="14"/>
                <w:szCs w:val="14"/>
                <w:color w:val="auto"/>
              </w:rPr>
            </w:pPr>
          </w:p>
        </w:tc>
        <w:tc>
          <w:tcPr>
            <w:tcW w:w="880" w:type="dxa"/>
            <w:vAlign w:val="bottom"/>
            <w:gridSpan w:val="2"/>
            <w:vMerge w:val="continue"/>
            <w:shd w:val="clear" w:color="auto" w:fill="E5FFFF"/>
          </w:tcPr>
          <w:p>
            <w:pPr>
              <w:spacing w:after="0"/>
              <w:rPr>
                <w:sz w:val="14"/>
                <w:szCs w:val="14"/>
                <w:color w:val="auto"/>
              </w:rPr>
            </w:pPr>
          </w:p>
        </w:tc>
        <w:tc>
          <w:tcPr>
            <w:tcW w:w="840" w:type="dxa"/>
            <w:vAlign w:val="bottom"/>
            <w:gridSpan w:val="2"/>
            <w:vMerge w:val="continue"/>
            <w:shd w:val="clear" w:color="auto" w:fill="E5FFFF"/>
          </w:tcPr>
          <w:p>
            <w:pPr>
              <w:spacing w:after="0"/>
              <w:rPr>
                <w:sz w:val="14"/>
                <w:szCs w:val="14"/>
                <w:color w:val="auto"/>
              </w:rPr>
            </w:pPr>
          </w:p>
        </w:tc>
        <w:tc>
          <w:tcPr>
            <w:tcW w:w="780" w:type="dxa"/>
            <w:vAlign w:val="bottom"/>
            <w:vMerge w:val="continue"/>
            <w:shd w:val="clear" w:color="auto" w:fill="E5FF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line="149" w:lineRule="exact"/>
              <w:rPr>
                <w:sz w:val="20"/>
                <w:szCs w:val="20"/>
                <w:color w:val="auto"/>
              </w:rPr>
            </w:pPr>
            <w:r>
              <w:rPr>
                <w:rFonts w:ascii="Arial" w:cs="Arial" w:eastAsia="Arial" w:hAnsi="Arial"/>
                <w:sz w:val="14"/>
                <w:szCs w:val="14"/>
                <w:color w:val="auto"/>
              </w:rPr>
              <w:t>Equity offering costs</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176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Repurchases of common</w:t>
            </w:r>
          </w:p>
        </w:tc>
        <w:tc>
          <w:tcPr>
            <w:tcW w:w="92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E5FFFF"/>
          </w:tcPr>
          <w:p>
            <w:pPr>
              <w:ind w:left="180"/>
              <w:spacing w:after="0"/>
              <w:rPr>
                <w:sz w:val="20"/>
                <w:szCs w:val="20"/>
                <w:color w:val="auto"/>
              </w:rPr>
            </w:pPr>
            <w:r>
              <w:rPr>
                <w:rFonts w:ascii="Arial" w:cs="Arial" w:eastAsia="Arial" w:hAnsi="Arial"/>
                <w:sz w:val="14"/>
                <w:szCs w:val="14"/>
                <w:color w:val="auto"/>
              </w:rPr>
              <w:t>units (Note 7)</w:t>
            </w:r>
          </w:p>
        </w:tc>
        <w:tc>
          <w:tcPr>
            <w:tcW w:w="920" w:type="dxa"/>
            <w:vAlign w:val="bottom"/>
            <w:gridSpan w:val="2"/>
            <w:vMerge w:val="continue"/>
            <w:shd w:val="clear" w:color="auto" w:fill="E5FFFF"/>
          </w:tcPr>
          <w:p>
            <w:pPr>
              <w:spacing w:after="0"/>
              <w:rPr>
                <w:sz w:val="14"/>
                <w:szCs w:val="14"/>
                <w:color w:val="auto"/>
              </w:rPr>
            </w:pPr>
          </w:p>
        </w:tc>
        <w:tc>
          <w:tcPr>
            <w:tcW w:w="800" w:type="dxa"/>
            <w:vAlign w:val="bottom"/>
            <w:gridSpan w:val="2"/>
            <w:vMerge w:val="continue"/>
            <w:shd w:val="clear" w:color="auto" w:fill="E5FFFF"/>
          </w:tcPr>
          <w:p>
            <w:pPr>
              <w:spacing w:after="0"/>
              <w:rPr>
                <w:sz w:val="14"/>
                <w:szCs w:val="14"/>
                <w:color w:val="auto"/>
              </w:rPr>
            </w:pPr>
          </w:p>
        </w:tc>
        <w:tc>
          <w:tcPr>
            <w:tcW w:w="920" w:type="dxa"/>
            <w:vAlign w:val="bottom"/>
            <w:gridSpan w:val="2"/>
            <w:shd w:val="clear" w:color="auto" w:fill="E5FFFF"/>
          </w:tcPr>
          <w:p>
            <w:pPr>
              <w:jc w:val="right"/>
              <w:ind w:right="80"/>
              <w:spacing w:after="0"/>
              <w:rPr>
                <w:sz w:val="20"/>
                <w:szCs w:val="20"/>
                <w:color w:val="auto"/>
              </w:rPr>
            </w:pPr>
            <w:r>
              <w:rPr>
                <w:rFonts w:ascii="Arial" w:cs="Arial" w:eastAsia="Arial" w:hAnsi="Arial"/>
                <w:sz w:val="14"/>
                <w:szCs w:val="14"/>
                <w:color w:val="auto"/>
              </w:rPr>
              <w:t>(191,490)</w:t>
            </w:r>
          </w:p>
        </w:tc>
        <w:tc>
          <w:tcPr>
            <w:tcW w:w="84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(996)</w:t>
            </w:r>
          </w:p>
        </w:tc>
        <w:tc>
          <w:tcPr>
            <w:tcW w:w="8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5FFFF"/>
          </w:tcPr>
          <w:p>
            <w:pPr>
              <w:jc w:val="right"/>
              <w:ind w:right="60"/>
              <w:spacing w:after="0"/>
              <w:rPr>
                <w:sz w:val="20"/>
                <w:szCs w:val="20"/>
                <w:color w:val="auto"/>
              </w:rPr>
            </w:pPr>
            <w:r>
              <w:rPr>
                <w:rFonts w:ascii="Arial" w:cs="Arial" w:eastAsia="Arial" w:hAnsi="Arial"/>
                <w:sz w:val="14"/>
                <w:szCs w:val="14"/>
                <w:color w:val="auto"/>
              </w:rPr>
              <w:t>(996)</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(996)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Distributions declared</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180"/>
              <w:spacing w:after="0"/>
              <w:rPr>
                <w:sz w:val="20"/>
                <w:szCs w:val="20"/>
                <w:color w:val="auto"/>
              </w:rPr>
            </w:pPr>
            <w:r>
              <w:rPr>
                <w:rFonts w:ascii="Arial" w:cs="Arial" w:eastAsia="Arial" w:hAnsi="Arial"/>
                <w:sz w:val="14"/>
                <w:szCs w:val="14"/>
                <w:color w:val="auto"/>
              </w:rPr>
              <w:t>(Note 16)</w:t>
            </w:r>
          </w:p>
        </w:tc>
        <w:tc>
          <w:tcPr>
            <w:tcW w:w="920" w:type="dxa"/>
            <w:vAlign w:val="bottom"/>
            <w:gridSpan w:val="2"/>
            <w:vMerge w:val="continue"/>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(573)</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(26,181)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vMerge w:val="continue"/>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(7,582)</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(34,336)</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(34,336)</w:t>
            </w:r>
          </w:p>
        </w:tc>
        <w:tc>
          <w:tcPr>
            <w:tcW w:w="0" w:type="dxa"/>
            <w:vAlign w:val="bottom"/>
          </w:tcPr>
          <w:p>
            <w:pPr>
              <w:spacing w:after="0"/>
              <w:rPr>
                <w:sz w:val="1"/>
                <w:szCs w:val="1"/>
                <w:color w:val="auto"/>
              </w:rPr>
            </w:pPr>
          </w:p>
        </w:tc>
      </w:tr>
      <w:tr>
        <w:trPr>
          <w:trHeight w:val="130"/>
        </w:trPr>
        <w:tc>
          <w:tcPr>
            <w:tcW w:w="176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w w:val="99"/>
              </w:rPr>
              <w:t>Share-based compensation,</w:t>
            </w: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80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E5FFFF"/>
          </w:tcPr>
          <w:p>
            <w:pPr>
              <w:ind w:left="180"/>
              <w:spacing w:after="0" w:line="149" w:lineRule="exact"/>
              <w:rPr>
                <w:sz w:val="20"/>
                <w:szCs w:val="20"/>
                <w:color w:val="auto"/>
              </w:rPr>
            </w:pPr>
            <w:r>
              <w:rPr>
                <w:rFonts w:ascii="Arial" w:cs="Arial" w:eastAsia="Arial" w:hAnsi="Arial"/>
                <w:sz w:val="14"/>
                <w:szCs w:val="14"/>
                <w:color w:val="auto"/>
              </w:rPr>
              <w:t>net of accrued</w:t>
            </w: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8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E5FFFF"/>
          </w:tcPr>
          <w:p>
            <w:pPr>
              <w:ind w:left="180"/>
              <w:spacing w:after="0"/>
              <w:rPr>
                <w:sz w:val="20"/>
                <w:szCs w:val="20"/>
                <w:color w:val="auto"/>
              </w:rPr>
            </w:pPr>
            <w:r>
              <w:rPr>
                <w:rFonts w:ascii="Arial" w:cs="Arial" w:eastAsia="Arial" w:hAnsi="Arial"/>
                <w:sz w:val="14"/>
                <w:szCs w:val="14"/>
                <w:color w:val="auto"/>
              </w:rPr>
              <w:t>distribution</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4</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165</w:t>
            </w:r>
          </w:p>
        </w:tc>
        <w:tc>
          <w:tcPr>
            <w:tcW w:w="8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5FF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169</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Partnership’s profit and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tcPr>
          <w:p>
            <w:pPr>
              <w:ind w:left="180"/>
              <w:spacing w:after="0" w:line="149" w:lineRule="exact"/>
              <w:rPr>
                <w:sz w:val="20"/>
                <w:szCs w:val="20"/>
                <w:color w:val="auto"/>
              </w:rPr>
            </w:pPr>
            <w:r>
              <w:rPr>
                <w:rFonts w:ascii="Arial" w:cs="Arial" w:eastAsia="Arial" w:hAnsi="Arial"/>
                <w:sz w:val="14"/>
                <w:szCs w:val="14"/>
                <w:color w:val="auto"/>
              </w:rPr>
              <w:t>total comprehensive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180"/>
              <w:spacing w:after="0"/>
              <w:rPr>
                <w:sz w:val="20"/>
                <w:szCs w:val="20"/>
                <w:color w:val="auto"/>
              </w:rPr>
            </w:pPr>
            <w:r>
              <w:rPr>
                <w:rFonts w:ascii="Arial" w:cs="Arial" w:eastAsia="Arial" w:hAnsi="Arial"/>
                <w:sz w:val="14"/>
                <w:szCs w:val="14"/>
                <w:color w:val="auto"/>
              </w:rPr>
              <w:t>income (Note 17)</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6,446</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7,582</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14,169</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14,169</w:t>
            </w:r>
          </w:p>
        </w:tc>
        <w:tc>
          <w:tcPr>
            <w:tcW w:w="0" w:type="dxa"/>
            <w:vAlign w:val="bottom"/>
          </w:tcPr>
          <w:p>
            <w:pPr>
              <w:spacing w:after="0"/>
              <w:rPr>
                <w:sz w:val="1"/>
                <w:szCs w:val="1"/>
                <w:color w:val="auto"/>
              </w:rPr>
            </w:pPr>
          </w:p>
        </w:tc>
      </w:tr>
      <w:tr>
        <w:trPr>
          <w:trHeight w:val="20"/>
        </w:trPr>
        <w:tc>
          <w:tcPr>
            <w:tcW w:w="1760" w:type="dxa"/>
            <w:vAlign w:val="bottom"/>
            <w:vMerge w:val="restart"/>
            <w:shd w:val="clear" w:color="auto" w:fill="E5FFFF"/>
          </w:tcPr>
          <w:p>
            <w:pPr>
              <w:spacing w:after="0" w:line="126" w:lineRule="exact"/>
              <w:rPr>
                <w:sz w:val="20"/>
                <w:szCs w:val="20"/>
                <w:color w:val="auto"/>
              </w:rPr>
            </w:pPr>
            <w:r>
              <w:rPr>
                <w:rFonts w:ascii="Arial" w:cs="Arial" w:eastAsia="Arial" w:hAnsi="Arial"/>
                <w:sz w:val="14"/>
                <w:szCs w:val="14"/>
                <w:b w:val="1"/>
                <w:bCs w:val="1"/>
                <w:color w:val="auto"/>
              </w:rPr>
              <w:t>Balance as of March 31,</w:t>
            </w: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760" w:type="dxa"/>
            <w:vAlign w:val="bottom"/>
            <w:vMerge w:val="continue"/>
            <w:shd w:val="clear" w:color="auto" w:fill="E5FFFF"/>
          </w:tcPr>
          <w:p>
            <w:pPr>
              <w:spacing w:after="0"/>
              <w:rPr>
                <w:sz w:val="9"/>
                <w:szCs w:val="9"/>
                <w:color w:val="auto"/>
              </w:rPr>
            </w:pP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1,021,336</w:t>
            </w:r>
          </w:p>
        </w:tc>
        <w:tc>
          <w:tcPr>
            <w:tcW w:w="120" w:type="dxa"/>
            <w:vAlign w:val="bottom"/>
            <w:vMerge w:val="restart"/>
            <w:shd w:val="clear" w:color="auto" w:fill="E5FFFF"/>
          </w:tcPr>
          <w:p>
            <w:pPr>
              <w:spacing w:after="0"/>
              <w:rPr>
                <w:sz w:val="9"/>
                <w:szCs w:val="9"/>
                <w:color w:val="auto"/>
              </w:rPr>
            </w:pPr>
          </w:p>
        </w:tc>
        <w:tc>
          <w:tcPr>
            <w:tcW w:w="6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10,843</w:t>
            </w:r>
          </w:p>
        </w:tc>
        <w:tc>
          <w:tcPr>
            <w:tcW w:w="120" w:type="dxa"/>
            <w:vAlign w:val="bottom"/>
            <w:vMerge w:val="restart"/>
            <w:shd w:val="clear" w:color="auto" w:fill="E5FFFF"/>
          </w:tcPr>
          <w:p>
            <w:pPr>
              <w:spacing w:after="0"/>
              <w:rPr>
                <w:sz w:val="9"/>
                <w:szCs w:val="9"/>
                <w:color w:val="auto"/>
              </w:rPr>
            </w:pPr>
          </w:p>
        </w:tc>
        <w:tc>
          <w:tcPr>
            <w:tcW w:w="80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46,668,692</w:t>
            </w:r>
          </w:p>
        </w:tc>
        <w:tc>
          <w:tcPr>
            <w:tcW w:w="120" w:type="dxa"/>
            <w:vAlign w:val="bottom"/>
            <w:vMerge w:val="restart"/>
            <w:shd w:val="clear" w:color="auto" w:fill="E5FFFF"/>
          </w:tcPr>
          <w:p>
            <w:pPr>
              <w:spacing w:after="0"/>
              <w:rPr>
                <w:sz w:val="9"/>
                <w:szCs w:val="9"/>
                <w:color w:val="auto"/>
              </w:rPr>
            </w:pPr>
          </w:p>
        </w:tc>
        <w:tc>
          <w:tcPr>
            <w:tcW w:w="84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586,240</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2,490,000</w:t>
            </w:r>
          </w:p>
        </w:tc>
        <w:tc>
          <w:tcPr>
            <w:tcW w:w="90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14,350,000</w:t>
            </w:r>
          </w:p>
        </w:tc>
        <w:tc>
          <w:tcPr>
            <w:tcW w:w="780" w:type="dxa"/>
            <w:vAlign w:val="bottom"/>
            <w:gridSpan w:val="2"/>
            <w:vMerge w:val="restart"/>
            <w:shd w:val="clear" w:color="auto" w:fill="E5FFFF"/>
          </w:tcPr>
          <w:p>
            <w:pPr>
              <w:jc w:val="right"/>
              <w:ind w:right="120"/>
              <w:spacing w:after="0"/>
              <w:rPr>
                <w:sz w:val="20"/>
                <w:szCs w:val="20"/>
                <w:color w:val="auto"/>
              </w:rPr>
            </w:pPr>
            <w:r>
              <w:rPr>
                <w:rFonts w:ascii="Arial" w:cs="Arial" w:eastAsia="Arial" w:hAnsi="Arial"/>
                <w:sz w:val="14"/>
                <w:szCs w:val="14"/>
                <w:b w:val="1"/>
                <w:bCs w:val="1"/>
                <w:color w:val="auto"/>
              </w:rPr>
              <w:t>347,889</w:t>
            </w:r>
          </w:p>
        </w:tc>
        <w:tc>
          <w:tcPr>
            <w:tcW w:w="88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944,972</w:t>
            </w:r>
          </w:p>
        </w:tc>
        <w:tc>
          <w:tcPr>
            <w:tcW w:w="840" w:type="dxa"/>
            <w:vAlign w:val="bottom"/>
            <w:gridSpan w:val="2"/>
            <w:vMerge w:val="restart"/>
            <w:shd w:val="clear" w:color="auto" w:fill="E5FFFF"/>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E5FFFF"/>
          </w:tcPr>
          <w:p>
            <w:pPr>
              <w:jc w:val="right"/>
              <w:spacing w:after="0"/>
              <w:rPr>
                <w:sz w:val="20"/>
                <w:szCs w:val="20"/>
                <w:color w:val="auto"/>
              </w:rPr>
            </w:pPr>
            <w:r>
              <w:rPr>
                <w:rFonts w:ascii="Arial" w:cs="Arial" w:eastAsia="Arial" w:hAnsi="Arial"/>
                <w:sz w:val="14"/>
                <w:szCs w:val="14"/>
                <w:b w:val="1"/>
                <w:bCs w:val="1"/>
                <w:color w:val="auto"/>
              </w:rPr>
              <w:t>944,972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760" w:type="dxa"/>
            <w:vAlign w:val="bottom"/>
            <w:shd w:val="clear" w:color="auto" w:fill="E5FFFF"/>
          </w:tcPr>
          <w:p>
            <w:pPr>
              <w:ind w:left="180"/>
              <w:spacing w:after="0" w:line="158" w:lineRule="exact"/>
              <w:rPr>
                <w:sz w:val="20"/>
                <w:szCs w:val="20"/>
                <w:color w:val="auto"/>
              </w:rPr>
            </w:pPr>
            <w:r>
              <w:rPr>
                <w:rFonts w:ascii="Arial" w:cs="Arial" w:eastAsia="Arial" w:hAnsi="Arial"/>
                <w:sz w:val="14"/>
                <w:szCs w:val="14"/>
                <w:b w:val="1"/>
                <w:bCs w:val="1"/>
                <w:color w:val="auto"/>
              </w:rPr>
              <w:t>2020</w:t>
            </w:r>
          </w:p>
        </w:tc>
        <w:tc>
          <w:tcPr>
            <w:tcW w:w="800" w:type="dxa"/>
            <w:vAlign w:val="bottom"/>
            <w:vMerge w:val="continue"/>
            <w:shd w:val="clear" w:color="auto" w:fill="E5FFFF"/>
          </w:tcPr>
          <w:p>
            <w:pPr>
              <w:spacing w:after="0"/>
              <w:rPr>
                <w:sz w:val="13"/>
                <w:szCs w:val="13"/>
                <w:color w:val="auto"/>
              </w:rPr>
            </w:pPr>
          </w:p>
        </w:tc>
        <w:tc>
          <w:tcPr>
            <w:tcW w:w="120" w:type="dxa"/>
            <w:vAlign w:val="bottom"/>
            <w:vMerge w:val="continue"/>
            <w:shd w:val="clear" w:color="auto" w:fill="E5FFFF"/>
          </w:tcPr>
          <w:p>
            <w:pPr>
              <w:spacing w:after="0"/>
              <w:rPr>
                <w:sz w:val="13"/>
                <w:szCs w:val="13"/>
                <w:color w:val="auto"/>
              </w:rPr>
            </w:pPr>
          </w:p>
        </w:tc>
        <w:tc>
          <w:tcPr>
            <w:tcW w:w="680" w:type="dxa"/>
            <w:vAlign w:val="bottom"/>
            <w:vMerge w:val="continue"/>
            <w:shd w:val="clear" w:color="auto" w:fill="E5FFFF"/>
          </w:tcPr>
          <w:p>
            <w:pPr>
              <w:spacing w:after="0"/>
              <w:rPr>
                <w:sz w:val="13"/>
                <w:szCs w:val="13"/>
                <w:color w:val="auto"/>
              </w:rPr>
            </w:pPr>
          </w:p>
        </w:tc>
        <w:tc>
          <w:tcPr>
            <w:tcW w:w="120" w:type="dxa"/>
            <w:vAlign w:val="bottom"/>
            <w:vMerge w:val="continue"/>
            <w:shd w:val="clear" w:color="auto" w:fill="E5FFFF"/>
          </w:tcPr>
          <w:p>
            <w:pPr>
              <w:spacing w:after="0"/>
              <w:rPr>
                <w:sz w:val="13"/>
                <w:szCs w:val="13"/>
                <w:color w:val="auto"/>
              </w:rPr>
            </w:pPr>
          </w:p>
        </w:tc>
        <w:tc>
          <w:tcPr>
            <w:tcW w:w="800" w:type="dxa"/>
            <w:vAlign w:val="bottom"/>
            <w:vMerge w:val="continue"/>
            <w:shd w:val="clear" w:color="auto" w:fill="E5FFFF"/>
          </w:tcPr>
          <w:p>
            <w:pPr>
              <w:spacing w:after="0"/>
              <w:rPr>
                <w:sz w:val="13"/>
                <w:szCs w:val="13"/>
                <w:color w:val="auto"/>
              </w:rPr>
            </w:pPr>
          </w:p>
        </w:tc>
        <w:tc>
          <w:tcPr>
            <w:tcW w:w="120" w:type="dxa"/>
            <w:vAlign w:val="bottom"/>
            <w:vMerge w:val="continue"/>
            <w:shd w:val="clear" w:color="auto" w:fill="E5FFFF"/>
          </w:tcPr>
          <w:p>
            <w:pPr>
              <w:spacing w:after="0"/>
              <w:rPr>
                <w:sz w:val="13"/>
                <w:szCs w:val="13"/>
                <w:color w:val="auto"/>
              </w:rPr>
            </w:pPr>
          </w:p>
        </w:tc>
        <w:tc>
          <w:tcPr>
            <w:tcW w:w="840" w:type="dxa"/>
            <w:vAlign w:val="bottom"/>
            <w:gridSpan w:val="2"/>
            <w:vMerge w:val="continue"/>
            <w:shd w:val="clear" w:color="auto" w:fill="E5FFFF"/>
          </w:tcPr>
          <w:p>
            <w:pPr>
              <w:spacing w:after="0"/>
              <w:rPr>
                <w:sz w:val="13"/>
                <w:szCs w:val="13"/>
                <w:color w:val="auto"/>
              </w:rPr>
            </w:pPr>
          </w:p>
        </w:tc>
        <w:tc>
          <w:tcPr>
            <w:tcW w:w="880" w:type="dxa"/>
            <w:vAlign w:val="bottom"/>
            <w:gridSpan w:val="2"/>
            <w:vMerge w:val="continue"/>
            <w:shd w:val="clear" w:color="auto" w:fill="E5FFFF"/>
          </w:tcPr>
          <w:p>
            <w:pPr>
              <w:spacing w:after="0"/>
              <w:rPr>
                <w:sz w:val="13"/>
                <w:szCs w:val="13"/>
                <w:color w:val="auto"/>
              </w:rPr>
            </w:pPr>
          </w:p>
        </w:tc>
        <w:tc>
          <w:tcPr>
            <w:tcW w:w="900" w:type="dxa"/>
            <w:vAlign w:val="bottom"/>
            <w:gridSpan w:val="2"/>
            <w:vMerge w:val="continue"/>
            <w:shd w:val="clear" w:color="auto" w:fill="E5FFFF"/>
          </w:tcPr>
          <w:p>
            <w:pPr>
              <w:spacing w:after="0"/>
              <w:rPr>
                <w:sz w:val="13"/>
                <w:szCs w:val="13"/>
                <w:color w:val="auto"/>
              </w:rPr>
            </w:pPr>
          </w:p>
        </w:tc>
        <w:tc>
          <w:tcPr>
            <w:tcW w:w="880" w:type="dxa"/>
            <w:vAlign w:val="bottom"/>
            <w:gridSpan w:val="2"/>
            <w:vMerge w:val="continue"/>
            <w:shd w:val="clear" w:color="auto" w:fill="E5FFFF"/>
          </w:tcPr>
          <w:p>
            <w:pPr>
              <w:spacing w:after="0"/>
              <w:rPr>
                <w:sz w:val="13"/>
                <w:szCs w:val="13"/>
                <w:color w:val="auto"/>
              </w:rPr>
            </w:pPr>
          </w:p>
        </w:tc>
        <w:tc>
          <w:tcPr>
            <w:tcW w:w="780" w:type="dxa"/>
            <w:vAlign w:val="bottom"/>
            <w:gridSpan w:val="2"/>
            <w:vMerge w:val="continue"/>
            <w:shd w:val="clear" w:color="auto" w:fill="E5FFFF"/>
          </w:tcPr>
          <w:p>
            <w:pPr>
              <w:spacing w:after="0"/>
              <w:rPr>
                <w:sz w:val="13"/>
                <w:szCs w:val="13"/>
                <w:color w:val="auto"/>
              </w:rPr>
            </w:pPr>
          </w:p>
        </w:tc>
        <w:tc>
          <w:tcPr>
            <w:tcW w:w="880" w:type="dxa"/>
            <w:vAlign w:val="bottom"/>
            <w:gridSpan w:val="2"/>
            <w:vMerge w:val="continue"/>
            <w:shd w:val="clear" w:color="auto" w:fill="E5FFFF"/>
          </w:tcPr>
          <w:p>
            <w:pPr>
              <w:spacing w:after="0"/>
              <w:rPr>
                <w:sz w:val="13"/>
                <w:szCs w:val="13"/>
                <w:color w:val="auto"/>
              </w:rPr>
            </w:pPr>
          </w:p>
        </w:tc>
        <w:tc>
          <w:tcPr>
            <w:tcW w:w="840" w:type="dxa"/>
            <w:vAlign w:val="bottom"/>
            <w:gridSpan w:val="2"/>
            <w:vMerge w:val="continue"/>
            <w:shd w:val="clear" w:color="auto" w:fill="E5FFFF"/>
          </w:tcPr>
          <w:p>
            <w:pPr>
              <w:spacing w:after="0"/>
              <w:rPr>
                <w:sz w:val="13"/>
                <w:szCs w:val="13"/>
                <w:color w:val="auto"/>
              </w:rPr>
            </w:pPr>
          </w:p>
        </w:tc>
        <w:tc>
          <w:tcPr>
            <w:tcW w:w="780" w:type="dxa"/>
            <w:vAlign w:val="bottom"/>
            <w:vMerge w:val="continue"/>
            <w:shd w:val="clear" w:color="auto" w:fill="E5FF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ind w:left="320" w:hanging="312"/>
        <w:spacing w:after="0" w:line="191" w:lineRule="auto"/>
        <w:tabs>
          <w:tab w:leader="none" w:pos="3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 xml:space="preserve">Restated so as to reflect an adjustment introduced due to the adoption of International Financial Reporting Standard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 (Note 2).</w:t>
      </w:r>
    </w:p>
    <w:p>
      <w:pPr>
        <w:ind w:left="320" w:hanging="312"/>
        <w:spacing w:after="0" w:line="197" w:lineRule="auto"/>
        <w:tabs>
          <w:tab w:leader="none" w:pos="3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GAS-twelve Ltd. acquired on April 1, 2019 from GasLog (Note 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43"/>
        </w:trPr>
        <w:tc>
          <w:tcPr>
            <w:tcW w:w="718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b w:val="1"/>
                <w:bCs w:val="1"/>
                <w:color w:val="auto"/>
              </w:rPr>
              <w:t>For the three months ended March 31, 2019 and 2020</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718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1"/>
        </w:trPr>
        <w:tc>
          <w:tcPr>
            <w:tcW w:w="7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7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March 31,</w:t>
            </w:r>
          </w:p>
        </w:tc>
        <w:tc>
          <w:tcPr>
            <w:tcW w:w="14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71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440" w:type="dxa"/>
            <w:vAlign w:val="bottom"/>
          </w:tcPr>
          <w:p>
            <w:pPr>
              <w:spacing w:after="0"/>
              <w:rPr>
                <w:sz w:val="18"/>
                <w:szCs w:val="18"/>
                <w:color w:val="auto"/>
              </w:rPr>
            </w:pPr>
          </w:p>
        </w:tc>
        <w:tc>
          <w:tcPr>
            <w:tcW w:w="1340" w:type="dxa"/>
            <w:vAlign w:val="bottom"/>
          </w:tcPr>
          <w:p>
            <w:pPr>
              <w:jc w:val="right"/>
              <w:ind w:right="42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r>
      <w:tr>
        <w:trPr>
          <w:trHeight w:val="145"/>
        </w:trPr>
        <w:tc>
          <w:tcPr>
            <w:tcW w:w="7180" w:type="dxa"/>
            <w:vAlign w:val="bottom"/>
            <w:tcBorders>
              <w:top w:val="single" w:sz="8" w:color="E5FFFF"/>
            </w:tcBorders>
            <w:shd w:val="clear" w:color="auto" w:fill="E5FFFF"/>
          </w:tcPr>
          <w:p>
            <w:pPr>
              <w:spacing w:after="0"/>
              <w:rPr>
                <w:sz w:val="12"/>
                <w:szCs w:val="12"/>
                <w:color w:val="auto"/>
              </w:rPr>
            </w:pPr>
          </w:p>
        </w:tc>
        <w:tc>
          <w:tcPr>
            <w:tcW w:w="440" w:type="dxa"/>
            <w:vAlign w:val="bottom"/>
            <w:tcBorders>
              <w:top w:val="single" w:sz="8" w:color="auto"/>
            </w:tcBorders>
            <w:shd w:val="clear" w:color="auto" w:fill="E5FFFF"/>
          </w:tcPr>
          <w:p>
            <w:pPr>
              <w:spacing w:after="0"/>
              <w:rPr>
                <w:sz w:val="12"/>
                <w:szCs w:val="12"/>
                <w:color w:val="auto"/>
              </w:rPr>
            </w:pPr>
          </w:p>
        </w:tc>
        <w:tc>
          <w:tcPr>
            <w:tcW w:w="440" w:type="dxa"/>
            <w:vAlign w:val="bottom"/>
            <w:tcBorders>
              <w:top w:val="single" w:sz="8" w:color="E5FFFF"/>
            </w:tcBorders>
            <w:shd w:val="clear" w:color="auto" w:fill="E5FFFF"/>
          </w:tcPr>
          <w:p>
            <w:pPr>
              <w:spacing w:after="0"/>
              <w:rPr>
                <w:sz w:val="12"/>
                <w:szCs w:val="12"/>
                <w:color w:val="auto"/>
              </w:rPr>
            </w:pPr>
          </w:p>
        </w:tc>
        <w:tc>
          <w:tcPr>
            <w:tcW w:w="1340" w:type="dxa"/>
            <w:vAlign w:val="bottom"/>
            <w:tcBorders>
              <w:top w:val="single" w:sz="8" w:color="auto"/>
            </w:tcBorders>
            <w:shd w:val="clear" w:color="auto" w:fill="E5FFFF"/>
          </w:tcPr>
          <w:p>
            <w:pPr>
              <w:jc w:val="center"/>
              <w:spacing w:after="0" w:line="145" w:lineRule="exact"/>
              <w:rPr>
                <w:sz w:val="20"/>
                <w:szCs w:val="20"/>
                <w:color w:val="auto"/>
              </w:rPr>
            </w:pPr>
            <w:r>
              <w:rPr>
                <w:rFonts w:ascii="Arial" w:cs="Arial" w:eastAsia="Arial" w:hAnsi="Arial"/>
                <w:sz w:val="14"/>
                <w:szCs w:val="14"/>
                <w:i w:val="1"/>
                <w:iCs w:val="1"/>
                <w:color w:val="auto"/>
                <w:w w:val="90"/>
              </w:rPr>
              <w:t>(restated)</w:t>
            </w:r>
            <w:r>
              <w:rPr>
                <w:rFonts w:ascii="Arial" w:cs="Arial" w:eastAsia="Arial" w:hAnsi="Arial"/>
                <w:sz w:val="16"/>
                <w:szCs w:val="16"/>
                <w:color w:val="auto"/>
                <w:w w:val="90"/>
                <w:vertAlign w:val="superscript"/>
              </w:rPr>
              <w:t>(1)</w:t>
            </w:r>
          </w:p>
        </w:tc>
        <w:tc>
          <w:tcPr>
            <w:tcW w:w="440" w:type="dxa"/>
            <w:vAlign w:val="bottom"/>
            <w:tcBorders>
              <w:top w:val="single" w:sz="8" w:color="E5FFFF"/>
            </w:tcBorders>
            <w:shd w:val="clear" w:color="auto" w:fill="E5FFFF"/>
          </w:tcPr>
          <w:p>
            <w:pPr>
              <w:spacing w:after="0"/>
              <w:rPr>
                <w:sz w:val="12"/>
                <w:szCs w:val="12"/>
                <w:color w:val="auto"/>
              </w:rPr>
            </w:pPr>
          </w:p>
        </w:tc>
        <w:tc>
          <w:tcPr>
            <w:tcW w:w="1340" w:type="dxa"/>
            <w:vAlign w:val="bottom"/>
            <w:tcBorders>
              <w:top w:val="single" w:sz="8" w:color="auto"/>
            </w:tcBorders>
            <w:shd w:val="clear" w:color="auto" w:fill="E5FFFF"/>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6"/>
                <w:szCs w:val="16"/>
                <w:color w:val="auto"/>
              </w:rPr>
              <w:t>23,016</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14,169</w:t>
            </w:r>
          </w:p>
        </w:tc>
        <w:tc>
          <w:tcPr>
            <w:tcW w:w="60" w:type="dxa"/>
            <w:vAlign w:val="bottom"/>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Adjustments for:</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4, 5</w:t>
            </w: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6"/>
                <w:szCs w:val="16"/>
                <w:color w:val="auto"/>
              </w:rPr>
              <w:t>21,870</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20,598</w:t>
            </w:r>
          </w:p>
        </w:tc>
        <w:tc>
          <w:tcPr>
            <w:tcW w:w="60" w:type="dxa"/>
            <w:vAlign w:val="bottom"/>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Financial costs</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440" w:type="dxa"/>
            <w:vAlign w:val="bottom"/>
          </w:tcPr>
          <w:p>
            <w:pPr>
              <w:spacing w:after="0"/>
              <w:rPr>
                <w:sz w:val="17"/>
                <w:szCs w:val="17"/>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6"/>
                <w:szCs w:val="16"/>
                <w:color w:val="auto"/>
              </w:rPr>
              <w:t>19,632</w:t>
            </w:r>
          </w:p>
        </w:tc>
        <w:tc>
          <w:tcPr>
            <w:tcW w:w="1340" w:type="dxa"/>
            <w:vAlign w:val="bottom"/>
          </w:tcPr>
          <w:p>
            <w:pPr>
              <w:jc w:val="right"/>
              <w:spacing w:after="0"/>
              <w:rPr>
                <w:sz w:val="20"/>
                <w:szCs w:val="20"/>
                <w:color w:val="auto"/>
              </w:rPr>
            </w:pPr>
            <w:r>
              <w:rPr>
                <w:rFonts w:ascii="Arial" w:cs="Arial" w:eastAsia="Arial" w:hAnsi="Arial"/>
                <w:sz w:val="16"/>
                <w:szCs w:val="16"/>
                <w:color w:val="auto"/>
              </w:rPr>
              <w:t>15,513</w:t>
            </w: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(638)</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(199)</w:t>
            </w:r>
          </w:p>
        </w:tc>
        <w:tc>
          <w:tcPr>
            <w:tcW w:w="60" w:type="dxa"/>
            <w:vAlign w:val="bottom"/>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Unrealized loss on derivatives held for trading</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440" w:type="dxa"/>
            <w:vAlign w:val="bottom"/>
          </w:tcPr>
          <w:p>
            <w:pPr>
              <w:spacing w:after="0"/>
              <w:rPr>
                <w:sz w:val="17"/>
                <w:szCs w:val="17"/>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6"/>
                <w:szCs w:val="16"/>
                <w:color w:val="auto"/>
              </w:rPr>
              <w:t>5,607</w:t>
            </w:r>
          </w:p>
        </w:tc>
        <w:tc>
          <w:tcPr>
            <w:tcW w:w="1340" w:type="dxa"/>
            <w:vAlign w:val="bottom"/>
          </w:tcPr>
          <w:p>
            <w:pPr>
              <w:jc w:val="right"/>
              <w:spacing w:after="0"/>
              <w:rPr>
                <w:sz w:val="20"/>
                <w:szCs w:val="20"/>
                <w:color w:val="auto"/>
              </w:rPr>
            </w:pPr>
            <w:r>
              <w:rPr>
                <w:rFonts w:ascii="Arial" w:cs="Arial" w:eastAsia="Arial" w:hAnsi="Arial"/>
                <w:sz w:val="16"/>
                <w:szCs w:val="16"/>
                <w:color w:val="auto"/>
              </w:rPr>
              <w:t>13,652</w:t>
            </w: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11</w:t>
            </w: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6"/>
                <w:szCs w:val="16"/>
                <w:color w:val="auto"/>
              </w:rPr>
              <w:t>262</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297</w:t>
            </w:r>
          </w:p>
        </w:tc>
        <w:tc>
          <w:tcPr>
            <w:tcW w:w="60" w:type="dxa"/>
            <w:vAlign w:val="bottom"/>
          </w:tcPr>
          <w:p>
            <w:pPr>
              <w:spacing w:after="0"/>
              <w:rPr>
                <w:sz w:val="17"/>
                <w:szCs w:val="17"/>
                <w:color w:val="auto"/>
              </w:rPr>
            </w:pPr>
          </w:p>
        </w:tc>
      </w:tr>
      <w:tr>
        <w:trPr>
          <w:trHeight w:val="196"/>
        </w:trPr>
        <w:tc>
          <w:tcPr>
            <w:tcW w:w="7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69,749</w:t>
            </w:r>
          </w:p>
        </w:tc>
        <w:tc>
          <w:tcPr>
            <w:tcW w:w="4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64,030</w:t>
            </w: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(5,711)</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(34,770)</w:t>
            </w:r>
          </w:p>
        </w:tc>
        <w:tc>
          <w:tcPr>
            <w:tcW w:w="60" w:type="dxa"/>
            <w:vAlign w:val="bottom"/>
          </w:tcPr>
          <w:p>
            <w:pPr>
              <w:spacing w:after="0"/>
              <w:rPr>
                <w:sz w:val="17"/>
                <w:szCs w:val="17"/>
                <w:color w:val="auto"/>
              </w:rPr>
            </w:pPr>
          </w:p>
        </w:tc>
      </w:tr>
      <w:tr>
        <w:trPr>
          <w:trHeight w:val="196"/>
        </w:trPr>
        <w:tc>
          <w:tcPr>
            <w:tcW w:w="71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provided by operations</w:t>
            </w:r>
          </w:p>
        </w:tc>
        <w:tc>
          <w:tcPr>
            <w:tcW w:w="440" w:type="dxa"/>
            <w:vAlign w:val="bottom"/>
            <w:tcBorders>
              <w:bottom w:val="single" w:sz="8" w:color="E5FFFF"/>
            </w:tcBorders>
          </w:tcPr>
          <w:p>
            <w:pPr>
              <w:spacing w:after="0"/>
              <w:rPr>
                <w:sz w:val="17"/>
                <w:szCs w:val="17"/>
                <w:color w:val="auto"/>
              </w:rPr>
            </w:pPr>
          </w:p>
        </w:tc>
        <w:tc>
          <w:tcPr>
            <w:tcW w:w="4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64,038</w:t>
            </w:r>
          </w:p>
        </w:tc>
        <w:tc>
          <w:tcPr>
            <w:tcW w:w="4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29,260</w:t>
            </w:r>
          </w:p>
        </w:tc>
        <w:tc>
          <w:tcPr>
            <w:tcW w:w="60" w:type="dxa"/>
            <w:vAlign w:val="bottom"/>
          </w:tcPr>
          <w:p>
            <w:pPr>
              <w:spacing w:after="0"/>
              <w:rPr>
                <w:sz w:val="17"/>
                <w:szCs w:val="17"/>
                <w:color w:val="auto"/>
              </w:rPr>
            </w:pPr>
          </w:p>
        </w:tc>
      </w:tr>
      <w:tr>
        <w:trPr>
          <w:trHeight w:val="196"/>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(20,622)</w:t>
            </w:r>
          </w:p>
        </w:tc>
        <w:tc>
          <w:tcPr>
            <w:tcW w:w="44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(17,203)</w:t>
            </w:r>
          </w:p>
        </w:tc>
        <w:tc>
          <w:tcPr>
            <w:tcW w:w="60" w:type="dxa"/>
            <w:vAlign w:val="bottom"/>
          </w:tcPr>
          <w:p>
            <w:pPr>
              <w:spacing w:after="0"/>
              <w:rPr>
                <w:sz w:val="17"/>
                <w:szCs w:val="17"/>
                <w:color w:val="auto"/>
              </w:rPr>
            </w:pPr>
          </w:p>
        </w:tc>
      </w:tr>
      <w:tr>
        <w:trPr>
          <w:trHeight w:val="196"/>
        </w:trPr>
        <w:tc>
          <w:tcPr>
            <w:tcW w:w="71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440" w:type="dxa"/>
            <w:vAlign w:val="bottom"/>
            <w:tcBorders>
              <w:bottom w:val="single" w:sz="8" w:color="E5FFFF"/>
            </w:tcBorders>
          </w:tcPr>
          <w:p>
            <w:pPr>
              <w:spacing w:after="0"/>
              <w:rPr>
                <w:sz w:val="17"/>
                <w:szCs w:val="17"/>
                <w:color w:val="auto"/>
              </w:rPr>
            </w:pPr>
          </w:p>
        </w:tc>
        <w:tc>
          <w:tcPr>
            <w:tcW w:w="44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43,416</w:t>
            </w:r>
          </w:p>
        </w:tc>
        <w:tc>
          <w:tcPr>
            <w:tcW w:w="44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12,057</w:t>
            </w:r>
          </w:p>
        </w:tc>
        <w:tc>
          <w:tcPr>
            <w:tcW w:w="60" w:type="dxa"/>
            <w:vAlign w:val="bottom"/>
          </w:tcPr>
          <w:p>
            <w:pPr>
              <w:spacing w:after="0"/>
              <w:rPr>
                <w:sz w:val="17"/>
                <w:szCs w:val="17"/>
                <w:color w:val="auto"/>
              </w:rPr>
            </w:pPr>
          </w:p>
        </w:tc>
      </w:tr>
      <w:tr>
        <w:trPr>
          <w:trHeight w:val="183"/>
        </w:trPr>
        <w:tc>
          <w:tcPr>
            <w:tcW w:w="718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440" w:type="dxa"/>
            <w:vAlign w:val="bottom"/>
            <w:shd w:val="clear" w:color="auto" w:fill="E5FFFF"/>
          </w:tcPr>
          <w:p>
            <w:pPr>
              <w:spacing w:after="0"/>
              <w:rPr>
                <w:sz w:val="15"/>
                <w:szCs w:val="15"/>
                <w:color w:val="auto"/>
              </w:rPr>
            </w:pPr>
          </w:p>
        </w:tc>
        <w:tc>
          <w:tcPr>
            <w:tcW w:w="440" w:type="dxa"/>
            <w:vAlign w:val="bottom"/>
            <w:shd w:val="clear" w:color="auto" w:fill="E5FFFF"/>
          </w:tcPr>
          <w:p>
            <w:pPr>
              <w:spacing w:after="0"/>
              <w:rPr>
                <w:sz w:val="15"/>
                <w:szCs w:val="15"/>
                <w:color w:val="auto"/>
              </w:rPr>
            </w:pPr>
          </w:p>
        </w:tc>
        <w:tc>
          <w:tcPr>
            <w:tcW w:w="1340" w:type="dxa"/>
            <w:vAlign w:val="bottom"/>
            <w:shd w:val="clear" w:color="auto" w:fill="E5FFFF"/>
          </w:tcPr>
          <w:p>
            <w:pPr>
              <w:spacing w:after="0"/>
              <w:rPr>
                <w:sz w:val="15"/>
                <w:szCs w:val="15"/>
                <w:color w:val="auto"/>
              </w:rPr>
            </w:pPr>
          </w:p>
        </w:tc>
        <w:tc>
          <w:tcPr>
            <w:tcW w:w="440" w:type="dxa"/>
            <w:vAlign w:val="bottom"/>
            <w:shd w:val="clear" w:color="auto" w:fill="E5FFFF"/>
          </w:tcPr>
          <w:p>
            <w:pPr>
              <w:spacing w:after="0"/>
              <w:rPr>
                <w:sz w:val="15"/>
                <w:szCs w:val="15"/>
                <w:color w:val="auto"/>
              </w:rPr>
            </w:pPr>
          </w:p>
        </w:tc>
        <w:tc>
          <w:tcPr>
            <w:tcW w:w="134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Payments for vessels’ additions</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440" w:type="dxa"/>
            <w:vAlign w:val="bottom"/>
          </w:tcPr>
          <w:p>
            <w:pPr>
              <w:spacing w:after="0"/>
              <w:rPr>
                <w:sz w:val="17"/>
                <w:szCs w:val="17"/>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6"/>
                <w:szCs w:val="16"/>
                <w:color w:val="auto"/>
              </w:rPr>
              <w:t>(2,216)</w:t>
            </w:r>
          </w:p>
        </w:tc>
        <w:tc>
          <w:tcPr>
            <w:tcW w:w="1340" w:type="dxa"/>
            <w:vAlign w:val="bottom"/>
          </w:tcPr>
          <w:p>
            <w:pPr>
              <w:jc w:val="right"/>
              <w:spacing w:after="0"/>
              <w:rPr>
                <w:sz w:val="20"/>
                <w:szCs w:val="20"/>
                <w:color w:val="auto"/>
              </w:rPr>
            </w:pPr>
            <w:r>
              <w:rPr>
                <w:rFonts w:ascii="Arial" w:cs="Arial" w:eastAsia="Arial" w:hAnsi="Arial"/>
                <w:sz w:val="16"/>
                <w:szCs w:val="16"/>
                <w:color w:val="auto"/>
              </w:rPr>
              <w:t>(5,466)</w:t>
            </w: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Return of capital expenditures</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6"/>
                <w:szCs w:val="16"/>
                <w:color w:val="auto"/>
              </w:rPr>
              <w:t>4,021</w:t>
            </w:r>
          </w:p>
        </w:tc>
        <w:tc>
          <w:tcPr>
            <w:tcW w:w="13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6"/>
                <w:szCs w:val="16"/>
                <w:color w:val="auto"/>
              </w:rPr>
              <w:t>547</w:t>
            </w:r>
          </w:p>
        </w:tc>
        <w:tc>
          <w:tcPr>
            <w:tcW w:w="1340" w:type="dxa"/>
            <w:vAlign w:val="bottom"/>
          </w:tcPr>
          <w:p>
            <w:pPr>
              <w:jc w:val="right"/>
              <w:spacing w:after="0"/>
              <w:rPr>
                <w:sz w:val="20"/>
                <w:szCs w:val="20"/>
                <w:color w:val="auto"/>
              </w:rPr>
            </w:pPr>
            <w:r>
              <w:rPr>
                <w:rFonts w:ascii="Arial" w:cs="Arial" w:eastAsia="Arial" w:hAnsi="Arial"/>
                <w:sz w:val="16"/>
                <w:szCs w:val="16"/>
                <w:color w:val="auto"/>
              </w:rPr>
              <w:t>217</w:t>
            </w: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6"/>
                <w:szCs w:val="16"/>
                <w:color w:val="auto"/>
              </w:rPr>
              <w:t>10,000</w:t>
            </w:r>
          </w:p>
        </w:tc>
        <w:tc>
          <w:tcPr>
            <w:tcW w:w="13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6"/>
                <w:szCs w:val="16"/>
                <w:color w:val="auto"/>
              </w:rPr>
              <w:t>(5,000)</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6"/>
        </w:trPr>
        <w:tc>
          <w:tcPr>
            <w:tcW w:w="71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by/(used in) investing activities</w:t>
            </w:r>
          </w:p>
        </w:tc>
        <w:tc>
          <w:tcPr>
            <w:tcW w:w="44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7,352</w:t>
            </w:r>
          </w:p>
        </w:tc>
        <w:tc>
          <w:tcPr>
            <w:tcW w:w="4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(5,249)</w:t>
            </w:r>
          </w:p>
        </w:tc>
        <w:tc>
          <w:tcPr>
            <w:tcW w:w="60" w:type="dxa"/>
            <w:vAlign w:val="bottom"/>
          </w:tcPr>
          <w:p>
            <w:pPr>
              <w:spacing w:after="0"/>
              <w:rPr>
                <w:sz w:val="17"/>
                <w:szCs w:val="17"/>
                <w:color w:val="auto"/>
              </w:rPr>
            </w:pPr>
          </w:p>
        </w:tc>
      </w:tr>
      <w:tr>
        <w:trPr>
          <w:trHeight w:val="183"/>
        </w:trPr>
        <w:tc>
          <w:tcPr>
            <w:tcW w:w="718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Borrowings drawdowns</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6"/>
                <w:szCs w:val="16"/>
                <w:color w:val="auto"/>
              </w:rPr>
              <w:t>360,000</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25,940</w:t>
            </w:r>
          </w:p>
        </w:tc>
        <w:tc>
          <w:tcPr>
            <w:tcW w:w="60" w:type="dxa"/>
            <w:vAlign w:val="bottom"/>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Borrowings repayments</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440" w:type="dxa"/>
            <w:vAlign w:val="bottom"/>
          </w:tcPr>
          <w:p>
            <w:pPr>
              <w:spacing w:after="0"/>
              <w:rPr>
                <w:sz w:val="17"/>
                <w:szCs w:val="17"/>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6"/>
                <w:szCs w:val="16"/>
                <w:color w:val="auto"/>
              </w:rPr>
              <w:t>(385,319)</w:t>
            </w:r>
          </w:p>
        </w:tc>
        <w:tc>
          <w:tcPr>
            <w:tcW w:w="1340" w:type="dxa"/>
            <w:vAlign w:val="bottom"/>
          </w:tcPr>
          <w:p>
            <w:pPr>
              <w:jc w:val="right"/>
              <w:spacing w:after="0"/>
              <w:rPr>
                <w:sz w:val="20"/>
                <w:szCs w:val="20"/>
                <w:color w:val="auto"/>
              </w:rPr>
            </w:pPr>
            <w:r>
              <w:rPr>
                <w:rFonts w:ascii="Arial" w:cs="Arial" w:eastAsia="Arial" w:hAnsi="Arial"/>
                <w:sz w:val="16"/>
                <w:szCs w:val="16"/>
                <w:color w:val="auto"/>
              </w:rPr>
              <w:t>(32,675)</w:t>
            </w: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issuance costs</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(4,800)</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(156)</w:t>
            </w:r>
          </w:p>
        </w:tc>
        <w:tc>
          <w:tcPr>
            <w:tcW w:w="60" w:type="dxa"/>
            <w:vAlign w:val="bottom"/>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Repurchases of common units</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440" w:type="dxa"/>
            <w:vAlign w:val="bottom"/>
          </w:tcPr>
          <w:p>
            <w:pPr>
              <w:spacing w:after="0"/>
              <w:rPr>
                <w:sz w:val="17"/>
                <w:szCs w:val="17"/>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(996)</w:t>
            </w: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Payment of offering costs</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(667)</w:t>
            </w:r>
          </w:p>
        </w:tc>
        <w:tc>
          <w:tcPr>
            <w:tcW w:w="1340" w:type="dxa"/>
            <w:vAlign w:val="bottom"/>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Distributions paid</w:t>
            </w: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440" w:type="dxa"/>
            <w:vAlign w:val="bottom"/>
          </w:tcPr>
          <w:p>
            <w:pPr>
              <w:spacing w:after="0"/>
              <w:rPr>
                <w:sz w:val="17"/>
                <w:szCs w:val="17"/>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6"/>
                <w:szCs w:val="16"/>
                <w:color w:val="auto"/>
              </w:rPr>
              <w:t>(35,219)</w:t>
            </w:r>
          </w:p>
        </w:tc>
        <w:tc>
          <w:tcPr>
            <w:tcW w:w="1340" w:type="dxa"/>
            <w:vAlign w:val="bottom"/>
          </w:tcPr>
          <w:p>
            <w:pPr>
              <w:jc w:val="right"/>
              <w:spacing w:after="0"/>
              <w:rPr>
                <w:sz w:val="20"/>
                <w:szCs w:val="20"/>
                <w:color w:val="auto"/>
              </w:rPr>
            </w:pPr>
            <w:r>
              <w:rPr>
                <w:rFonts w:ascii="Arial" w:cs="Arial" w:eastAsia="Arial" w:hAnsi="Arial"/>
                <w:sz w:val="16"/>
                <w:szCs w:val="16"/>
                <w:color w:val="auto"/>
              </w:rPr>
              <w:t>(34,336)</w:t>
            </w: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liabilities</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380"/>
              <w:spacing w:after="0"/>
              <w:rPr>
                <w:sz w:val="20"/>
                <w:szCs w:val="20"/>
                <w:color w:val="auto"/>
              </w:rPr>
            </w:pPr>
            <w:r>
              <w:rPr>
                <w:rFonts w:ascii="Arial" w:cs="Arial" w:eastAsia="Arial" w:hAnsi="Arial"/>
                <w:sz w:val="16"/>
                <w:szCs w:val="16"/>
                <w:color w:val="auto"/>
              </w:rPr>
              <w:t>(125)</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w:t>
            </w:r>
          </w:p>
        </w:tc>
        <w:tc>
          <w:tcPr>
            <w:tcW w:w="60" w:type="dxa"/>
            <w:vAlign w:val="bottom"/>
          </w:tcPr>
          <w:p>
            <w:pPr>
              <w:spacing w:after="0"/>
              <w:rPr>
                <w:sz w:val="17"/>
                <w:szCs w:val="17"/>
                <w:color w:val="auto"/>
              </w:rPr>
            </w:pPr>
          </w:p>
        </w:tc>
      </w:tr>
      <w:tr>
        <w:trPr>
          <w:trHeight w:val="196"/>
        </w:trPr>
        <w:tc>
          <w:tcPr>
            <w:tcW w:w="71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440" w:type="dxa"/>
            <w:vAlign w:val="bottom"/>
            <w:tcBorders>
              <w:bottom w:val="single" w:sz="8" w:color="E5FFFF"/>
            </w:tcBorders>
          </w:tcPr>
          <w:p>
            <w:pPr>
              <w:spacing w:after="0"/>
              <w:rPr>
                <w:sz w:val="17"/>
                <w:szCs w:val="17"/>
                <w:color w:val="auto"/>
              </w:rPr>
            </w:pPr>
          </w:p>
        </w:tc>
        <w:tc>
          <w:tcPr>
            <w:tcW w:w="4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(66,130)</w:t>
            </w:r>
          </w:p>
        </w:tc>
        <w:tc>
          <w:tcPr>
            <w:tcW w:w="4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(42,330)</w:t>
            </w:r>
          </w:p>
        </w:tc>
        <w:tc>
          <w:tcPr>
            <w:tcW w:w="60" w:type="dxa"/>
            <w:vAlign w:val="bottom"/>
          </w:tcPr>
          <w:p>
            <w:pPr>
              <w:spacing w:after="0"/>
              <w:rPr>
                <w:sz w:val="17"/>
                <w:szCs w:val="17"/>
                <w:color w:val="auto"/>
              </w:rPr>
            </w:pPr>
          </w:p>
        </w:tc>
      </w:tr>
      <w:tr>
        <w:trPr>
          <w:trHeight w:val="196"/>
        </w:trPr>
        <w:tc>
          <w:tcPr>
            <w:tcW w:w="71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(15,362)</w:t>
            </w:r>
          </w:p>
        </w:tc>
        <w:tc>
          <w:tcPr>
            <w:tcW w:w="44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(35,522)</w:t>
            </w:r>
          </w:p>
        </w:tc>
        <w:tc>
          <w:tcPr>
            <w:tcW w:w="60" w:type="dxa"/>
            <w:vAlign w:val="bottom"/>
          </w:tcPr>
          <w:p>
            <w:pPr>
              <w:spacing w:after="0"/>
              <w:rPr>
                <w:sz w:val="17"/>
                <w:szCs w:val="17"/>
                <w:color w:val="auto"/>
              </w:rPr>
            </w:pPr>
          </w:p>
        </w:tc>
      </w:tr>
      <w:tr>
        <w:trPr>
          <w:trHeight w:val="196"/>
        </w:trPr>
        <w:tc>
          <w:tcPr>
            <w:tcW w:w="71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440" w:type="dxa"/>
            <w:vAlign w:val="bottom"/>
            <w:tcBorders>
              <w:bottom w:val="single" w:sz="8" w:color="E5FFFF"/>
            </w:tcBorders>
          </w:tcPr>
          <w:p>
            <w:pPr>
              <w:spacing w:after="0"/>
              <w:rPr>
                <w:sz w:val="17"/>
                <w:szCs w:val="17"/>
                <w:color w:val="auto"/>
              </w:rPr>
            </w:pPr>
          </w:p>
        </w:tc>
        <w:tc>
          <w:tcPr>
            <w:tcW w:w="44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133,370</w:t>
            </w:r>
          </w:p>
        </w:tc>
        <w:tc>
          <w:tcPr>
            <w:tcW w:w="44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96,884</w:t>
            </w:r>
          </w:p>
        </w:tc>
        <w:tc>
          <w:tcPr>
            <w:tcW w:w="60" w:type="dxa"/>
            <w:vAlign w:val="bottom"/>
          </w:tcPr>
          <w:p>
            <w:pPr>
              <w:spacing w:after="0"/>
              <w:rPr>
                <w:sz w:val="17"/>
                <w:szCs w:val="17"/>
                <w:color w:val="auto"/>
              </w:rPr>
            </w:pPr>
          </w:p>
        </w:tc>
      </w:tr>
      <w:tr>
        <w:trPr>
          <w:trHeight w:val="196"/>
        </w:trPr>
        <w:tc>
          <w:tcPr>
            <w:tcW w:w="71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440" w:type="dxa"/>
            <w:vAlign w:val="bottom"/>
            <w:tcBorders>
              <w:bottom w:val="single" w:sz="8" w:color="E5FFFF"/>
            </w:tcBorders>
            <w:shd w:val="clear" w:color="auto" w:fill="E5FFFF"/>
          </w:tcPr>
          <w:p>
            <w:pPr>
              <w:spacing w:after="0"/>
              <w:rPr>
                <w:sz w:val="17"/>
                <w:szCs w:val="17"/>
                <w:color w:val="auto"/>
              </w:rPr>
            </w:pPr>
          </w:p>
        </w:tc>
        <w:tc>
          <w:tcPr>
            <w:tcW w:w="44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118,008</w:t>
            </w:r>
          </w:p>
        </w:tc>
        <w:tc>
          <w:tcPr>
            <w:tcW w:w="44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61,362</w:t>
            </w:r>
          </w:p>
        </w:tc>
        <w:tc>
          <w:tcPr>
            <w:tcW w:w="60" w:type="dxa"/>
            <w:vAlign w:val="bottom"/>
          </w:tcPr>
          <w:p>
            <w:pPr>
              <w:spacing w:after="0"/>
              <w:rPr>
                <w:sz w:val="17"/>
                <w:szCs w:val="17"/>
                <w:color w:val="auto"/>
              </w:rPr>
            </w:pPr>
          </w:p>
        </w:tc>
      </w:tr>
      <w:tr>
        <w:trPr>
          <w:trHeight w:val="20"/>
        </w:trPr>
        <w:tc>
          <w:tcPr>
            <w:tcW w:w="7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44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6"/>
                <w:szCs w:val="16"/>
                <w:color w:val="auto"/>
              </w:rPr>
              <w:t>9,863</w:t>
            </w:r>
          </w:p>
        </w:tc>
        <w:tc>
          <w:tcPr>
            <w:tcW w:w="1340" w:type="dxa"/>
            <w:vAlign w:val="bottom"/>
          </w:tcPr>
          <w:p>
            <w:pPr>
              <w:jc w:val="right"/>
              <w:spacing w:after="0"/>
              <w:rPr>
                <w:sz w:val="20"/>
                <w:szCs w:val="20"/>
                <w:color w:val="auto"/>
              </w:rPr>
            </w:pPr>
            <w:r>
              <w:rPr>
                <w:rFonts w:ascii="Arial" w:cs="Arial" w:eastAsia="Arial" w:hAnsi="Arial"/>
                <w:sz w:val="16"/>
                <w:szCs w:val="16"/>
                <w:color w:val="auto"/>
              </w:rPr>
              <w:t>11,218</w:t>
            </w:r>
          </w:p>
        </w:tc>
        <w:tc>
          <w:tcPr>
            <w:tcW w:w="60" w:type="dxa"/>
            <w:vAlign w:val="bottom"/>
          </w:tcPr>
          <w:p>
            <w:pPr>
              <w:spacing w:after="0"/>
              <w:rPr>
                <w:sz w:val="17"/>
                <w:szCs w:val="17"/>
                <w:color w:val="auto"/>
              </w:rPr>
            </w:pPr>
          </w:p>
        </w:tc>
      </w:tr>
      <w:tr>
        <w:trPr>
          <w:trHeight w:val="203"/>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Financing costs included in liabilities at the end of the period</w:t>
            </w:r>
          </w:p>
        </w:tc>
        <w:tc>
          <w:tcPr>
            <w:tcW w:w="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6"/>
                <w:szCs w:val="16"/>
                <w:color w:val="auto"/>
              </w:rPr>
              <w:t>185</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7"/>
                <w:szCs w:val="17"/>
                <w:color w:val="auto"/>
              </w:rPr>
            </w:pPr>
          </w:p>
        </w:tc>
      </w:tr>
      <w:tr>
        <w:trPr>
          <w:trHeight w:val="203"/>
        </w:trPr>
        <w:tc>
          <w:tcPr>
            <w:tcW w:w="7180" w:type="dxa"/>
            <w:vAlign w:val="bottom"/>
          </w:tcPr>
          <w:p>
            <w:pPr>
              <w:spacing w:after="0"/>
              <w:rPr>
                <w:sz w:val="20"/>
                <w:szCs w:val="20"/>
                <w:color w:val="auto"/>
              </w:rPr>
            </w:pPr>
            <w:r>
              <w:rPr>
                <w:rFonts w:ascii="Arial" w:cs="Arial" w:eastAsia="Arial" w:hAnsi="Arial"/>
                <w:sz w:val="16"/>
                <w:szCs w:val="16"/>
                <w:color w:val="auto"/>
              </w:rPr>
              <w:t>Offering costs included in liabilities at the end of the period</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6"/>
                <w:szCs w:val="16"/>
                <w:color w:val="auto"/>
              </w:rPr>
              <w:t>247</w:t>
            </w: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17"/>
                <w:szCs w:val="17"/>
                <w:color w:val="auto"/>
              </w:rPr>
            </w:pPr>
          </w:p>
        </w:tc>
      </w:tr>
      <w:tr>
        <w:trPr>
          <w:trHeight w:val="202"/>
        </w:trPr>
        <w:tc>
          <w:tcPr>
            <w:tcW w:w="7180" w:type="dxa"/>
            <w:vAlign w:val="bottom"/>
            <w:shd w:val="clear" w:color="auto" w:fill="E5FFFF"/>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4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440"/>
              <w:spacing w:after="0"/>
              <w:rPr>
                <w:sz w:val="20"/>
                <w:szCs w:val="20"/>
                <w:color w:val="auto"/>
              </w:rPr>
            </w:pPr>
            <w:r>
              <w:rPr>
                <w:rFonts w:ascii="Arial" w:cs="Arial" w:eastAsia="Arial" w:hAnsi="Arial"/>
                <w:sz w:val="16"/>
                <w:szCs w:val="16"/>
                <w:color w:val="auto"/>
              </w:rPr>
              <w:t>70</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7"/>
                <w:szCs w:val="17"/>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ind w:left="320" w:hanging="312"/>
        <w:spacing w:after="0" w:line="216" w:lineRule="auto"/>
        <w:tabs>
          <w:tab w:leader="none" w:pos="3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Restated so as to reflect the historical financial statements of GAS-twelve Ltd. acquired on April 1, 2019 from GasLog (Note 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2019 and 2020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144" w:lineRule="exact"/>
        <w:rPr>
          <w:sz w:val="20"/>
          <w:szCs w:val="20"/>
          <w:color w:val="auto"/>
        </w:rPr>
      </w:pPr>
    </w:p>
    <w:p>
      <w:pPr>
        <w:ind w:right="260" w:firstLine="396"/>
        <w:spacing w:after="0" w:line="278" w:lineRule="auto"/>
        <w:rPr>
          <w:sz w:val="20"/>
          <w:szCs w:val="20"/>
          <w:color w:val="auto"/>
        </w:rPr>
      </w:pPr>
      <w:r>
        <w:rPr>
          <w:rFonts w:ascii="Arial" w:cs="Arial" w:eastAsia="Arial" w:hAnsi="Arial"/>
          <w:sz w:val="16"/>
          <w:szCs w:val="16"/>
          <w:color w:val="auto"/>
        </w:rPr>
        <w:t>GasLog Partners LP (“GasLog Partners” or the “Partnership”) was formed as a limited partnership under the laws of the Marshall Islands on January 23, 2014, as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90" w:lineRule="exact"/>
        <w:rPr>
          <w:sz w:val="20"/>
          <w:szCs w:val="20"/>
          <w:color w:val="auto"/>
        </w:rPr>
      </w:pPr>
    </w:p>
    <w:p>
      <w:pPr>
        <w:ind w:right="180" w:firstLine="396"/>
        <w:spacing w:after="0" w:line="293" w:lineRule="auto"/>
        <w:rPr>
          <w:sz w:val="20"/>
          <w:szCs w:val="20"/>
          <w:color w:val="auto"/>
        </w:rPr>
      </w:pPr>
      <w:r>
        <w:rPr>
          <w:rFonts w:ascii="Arial" w:cs="Arial" w:eastAsia="Arial" w:hAnsi="Arial"/>
          <w:sz w:val="16"/>
          <w:szCs w:val="16"/>
          <w:color w:val="auto"/>
        </w:rPr>
        <w:t xml:space="preserve">On April 1, 2019, GasLog Partners acquired 100% of the ownership interests in GAS-twelve Ltd., the entity that owns a 174,000 cubic meters (“cbm”) LNG carrier, the </w:t>
      </w:r>
      <w:r>
        <w:rPr>
          <w:rFonts w:ascii="Arial" w:cs="Arial" w:eastAsia="Arial" w:hAnsi="Arial"/>
          <w:sz w:val="16"/>
          <w:szCs w:val="16"/>
          <w:i w:val="1"/>
          <w:iCs w:val="1"/>
          <w:color w:val="auto"/>
        </w:rPr>
        <w:t>GasLog Glasgow</w:t>
      </w:r>
      <w:r>
        <w:rPr>
          <w:rFonts w:ascii="Arial" w:cs="Arial" w:eastAsia="Arial" w:hAnsi="Arial"/>
          <w:sz w:val="16"/>
          <w:szCs w:val="16"/>
          <w:color w:val="auto"/>
        </w:rPr>
        <w:t>, for an aggregate purchase price of $214,000.</w:t>
      </w:r>
    </w:p>
    <w:p>
      <w:pPr>
        <w:spacing w:after="0" w:line="77" w:lineRule="exact"/>
        <w:rPr>
          <w:sz w:val="20"/>
          <w:szCs w:val="20"/>
          <w:color w:val="auto"/>
        </w:rPr>
      </w:pPr>
    </w:p>
    <w:p>
      <w:pPr>
        <w:ind w:right="40" w:firstLine="383"/>
        <w:spacing w:after="0" w:line="278" w:lineRule="auto"/>
        <w:rPr>
          <w:sz w:val="20"/>
          <w:szCs w:val="20"/>
          <w:color w:val="auto"/>
        </w:rPr>
      </w:pPr>
      <w:r>
        <w:rPr>
          <w:rFonts w:ascii="Arial" w:cs="Arial" w:eastAsia="Arial" w:hAnsi="Arial"/>
          <w:sz w:val="16"/>
          <w:szCs w:val="16"/>
          <w:color w:val="auto"/>
        </w:rPr>
        <w:t>The above acquisition was accounted for as a reorganization of companies under common control. The Partnership’s historical results and net assets were retroactively restated to reflect the historical results of the acquired entity from its date of incorporation by GasLog. The carrying amounts of assets and liabilities included are based on the historical carrying amounts of such assets and liabilities recognized by the subsidiary.</w:t>
      </w:r>
    </w:p>
    <w:p>
      <w:pPr>
        <w:spacing w:after="0" w:line="90" w:lineRule="exact"/>
        <w:rPr>
          <w:sz w:val="20"/>
          <w:szCs w:val="20"/>
          <w:color w:val="auto"/>
        </w:rPr>
      </w:pPr>
    </w:p>
    <w:p>
      <w:pPr>
        <w:jc w:val="both"/>
        <w:ind w:right="480" w:firstLine="383"/>
        <w:spacing w:after="0" w:line="278" w:lineRule="auto"/>
        <w:rPr>
          <w:sz w:val="20"/>
          <w:szCs w:val="20"/>
          <w:color w:val="auto"/>
        </w:rPr>
      </w:pPr>
      <w:r>
        <w:rPr>
          <w:rFonts w:ascii="Arial" w:cs="Arial" w:eastAsia="Arial" w:hAnsi="Arial"/>
          <w:sz w:val="16"/>
          <w:szCs w:val="16"/>
          <w:color w:val="auto"/>
        </w:rPr>
        <w:t>As of March 31, 2020, GasLog holds a 35.6%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90" w:lineRule="exact"/>
        <w:rPr>
          <w:sz w:val="20"/>
          <w:szCs w:val="20"/>
          <w:color w:val="auto"/>
        </w:rPr>
      </w:pPr>
    </w:p>
    <w:p>
      <w:pPr>
        <w:ind w:right="320" w:firstLine="405"/>
        <w:spacing w:after="0" w:line="278" w:lineRule="auto"/>
        <w:rPr>
          <w:sz w:val="20"/>
          <w:szCs w:val="20"/>
          <w:color w:val="auto"/>
        </w:rPr>
      </w:pPr>
      <w:r>
        <w:rPr>
          <w:rFonts w:ascii="Arial" w:cs="Arial" w:eastAsia="Arial" w:hAnsi="Arial"/>
          <w:sz w:val="16"/>
          <w:szCs w:val="16"/>
          <w:color w:val="auto"/>
        </w:rPr>
        <w:t>The Partnership’s principal business is the acquisition and operation of vessels in the LNG market, providing LNG transportation services on a worldwide basis primarily under multi-year charters. GasLog LNG Services Ltd. (“GasLog LNG Services” or the “Manager”), a related party and a wholly owned subsidiary of GasLog, incorporated under the laws of the Bermuda, provides technical services to the Partnership.</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March 31, 2020, the companies listed below were 100% held by the Partnership:</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Place of</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Principal activities</w:t>
            </w:r>
          </w:p>
        </w:tc>
        <w:tc>
          <w:tcPr>
            <w:tcW w:w="2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1"/>
              </w:rPr>
              <w:t>Vessel</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Cargo Capacity</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171"/>
        </w:trPr>
        <w:tc>
          <w:tcPr>
            <w:tcW w:w="2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incorporation</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incorporation</w:t>
            </w:r>
          </w:p>
        </w:tc>
        <w:tc>
          <w:tcPr>
            <w:tcW w:w="1780" w:type="dxa"/>
            <w:vAlign w:val="bottom"/>
            <w:gridSpan w:val="2"/>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(cbm)</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GAS-three Ltd.</w:t>
            </w:r>
          </w:p>
        </w:tc>
        <w:tc>
          <w:tcPr>
            <w:tcW w:w="12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4"/>
              </w:rPr>
              <w:t>Bermuda</w:t>
            </w:r>
          </w:p>
        </w:tc>
        <w:tc>
          <w:tcPr>
            <w:tcW w:w="120" w:type="dxa"/>
            <w:vAlign w:val="bottom"/>
            <w:tcBorders>
              <w:top w:val="single" w:sz="8" w:color="E5FFFF"/>
            </w:tcBorders>
            <w:shd w:val="clear" w:color="auto" w:fill="E5FFFF"/>
          </w:tcPr>
          <w:p>
            <w:pPr>
              <w:spacing w:after="0"/>
              <w:rPr>
                <w:sz w:val="12"/>
                <w:szCs w:val="12"/>
                <w:color w:val="auto"/>
              </w:rPr>
            </w:pPr>
          </w:p>
        </w:tc>
        <w:tc>
          <w:tcPr>
            <w:tcW w:w="11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8"/>
              </w:rPr>
              <w:t>April 2010</w:t>
            </w:r>
          </w:p>
        </w:tc>
        <w:tc>
          <w:tcPr>
            <w:tcW w:w="100" w:type="dxa"/>
            <w:vAlign w:val="bottom"/>
            <w:tcBorders>
              <w:top w:val="single" w:sz="8" w:color="E5FFFF"/>
            </w:tcBorders>
            <w:shd w:val="clear" w:color="auto" w:fill="E5FFFF"/>
          </w:tcPr>
          <w:p>
            <w:pPr>
              <w:spacing w:after="0"/>
              <w:rPr>
                <w:sz w:val="12"/>
                <w:szCs w:val="12"/>
                <w:color w:val="auto"/>
              </w:rPr>
            </w:pPr>
          </w:p>
        </w:tc>
        <w:tc>
          <w:tcPr>
            <w:tcW w:w="168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2"/>
              </w:rPr>
              <w:t>Vessel-owning company</w:t>
            </w:r>
          </w:p>
        </w:tc>
        <w:tc>
          <w:tcPr>
            <w:tcW w:w="100" w:type="dxa"/>
            <w:vAlign w:val="bottom"/>
            <w:tcBorders>
              <w:top w:val="single" w:sz="8" w:color="E5FFFF"/>
            </w:tcBorders>
            <w:shd w:val="clear" w:color="auto" w:fill="E5FFFF"/>
          </w:tcPr>
          <w:p>
            <w:pPr>
              <w:spacing w:after="0"/>
              <w:rPr>
                <w:sz w:val="12"/>
                <w:szCs w:val="12"/>
                <w:color w:val="auto"/>
              </w:rPr>
            </w:pPr>
          </w:p>
        </w:tc>
        <w:tc>
          <w:tcPr>
            <w:tcW w:w="224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i w:val="1"/>
                <w:iCs w:val="1"/>
                <w:color w:val="auto"/>
                <w:w w:val="92"/>
              </w:rPr>
              <w:t>GasLog Shanghai</w:t>
            </w:r>
          </w:p>
        </w:tc>
        <w:tc>
          <w:tcPr>
            <w:tcW w:w="120" w:type="dxa"/>
            <w:vAlign w:val="bottom"/>
            <w:tcBorders>
              <w:top w:val="single" w:sz="8" w:color="E5FFFF"/>
            </w:tcBorders>
            <w:shd w:val="clear" w:color="auto" w:fill="E5FFFF"/>
          </w:tcPr>
          <w:p>
            <w:pPr>
              <w:spacing w:after="0"/>
              <w:rPr>
                <w:sz w:val="12"/>
                <w:szCs w:val="12"/>
                <w:color w:val="auto"/>
              </w:rPr>
            </w:pPr>
          </w:p>
        </w:tc>
        <w:tc>
          <w:tcPr>
            <w:tcW w:w="112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90"/>
              </w:rPr>
              <w:t>155,000</w:t>
            </w:r>
          </w:p>
        </w:tc>
        <w:tc>
          <w:tcPr>
            <w:tcW w:w="100" w:type="dxa"/>
            <w:vAlign w:val="bottom"/>
            <w:tcBorders>
              <w:top w:val="single" w:sz="8" w:color="E5FFFF"/>
            </w:tcBorders>
            <w:shd w:val="clear" w:color="auto" w:fill="E5FFFF"/>
          </w:tcPr>
          <w:p>
            <w:pPr>
              <w:spacing w:after="0"/>
              <w:rPr>
                <w:sz w:val="12"/>
                <w:szCs w:val="12"/>
                <w:color w:val="auto"/>
              </w:rPr>
            </w:pPr>
          </w:p>
        </w:tc>
        <w:tc>
          <w:tcPr>
            <w:tcW w:w="1120" w:type="dxa"/>
            <w:vAlign w:val="bottom"/>
            <w:tcBorders>
              <w:top w:val="single" w:sz="8" w:color="auto"/>
            </w:tcBorders>
            <w:shd w:val="clear" w:color="auto" w:fill="E5FFFF"/>
          </w:tcPr>
          <w:p>
            <w:pPr>
              <w:jc w:val="center"/>
              <w:spacing w:after="0" w:line="142" w:lineRule="exact"/>
              <w:rPr>
                <w:sz w:val="20"/>
                <w:szCs w:val="20"/>
                <w:color w:val="auto"/>
              </w:rPr>
            </w:pPr>
            <w:r>
              <w:rPr>
                <w:rFonts w:ascii="Arial" w:cs="Arial" w:eastAsia="Arial" w:hAnsi="Arial"/>
                <w:sz w:val="14"/>
                <w:szCs w:val="14"/>
                <w:color w:val="auto"/>
                <w:w w:val="89"/>
              </w:rPr>
              <w:t>January 2013</w:t>
            </w:r>
          </w:p>
        </w:tc>
        <w:tc>
          <w:tcPr>
            <w:tcW w:w="0" w:type="dxa"/>
            <w:vAlign w:val="bottom"/>
          </w:tcPr>
          <w:p>
            <w:pPr>
              <w:spacing w:after="0"/>
              <w:rPr>
                <w:sz w:val="1"/>
                <w:szCs w:val="1"/>
                <w:color w:val="auto"/>
              </w:rPr>
            </w:pPr>
          </w:p>
        </w:tc>
      </w:tr>
      <w:tr>
        <w:trPr>
          <w:trHeight w:val="148"/>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GAS-four Ltd.</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April 2010</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Santiago</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March 2013</w:t>
            </w: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GAS-five Ltd.</w:t>
            </w:r>
          </w:p>
        </w:tc>
        <w:tc>
          <w:tcPr>
            <w:tcW w:w="12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2"/>
              </w:rPr>
              <w:t>February 2011</w:t>
            </w:r>
          </w:p>
        </w:tc>
        <w:tc>
          <w:tcPr>
            <w:tcW w:w="17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GasLog Sydney</w:t>
            </w: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shd w:val="clear" w:color="auto" w:fill="E5FFFF"/>
          </w:tcPr>
          <w:p>
            <w:pPr>
              <w:spacing w:after="0"/>
              <w:rPr>
                <w:sz w:val="12"/>
                <w:szCs w:val="12"/>
                <w:color w:val="auto"/>
              </w:rPr>
            </w:pP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7"/>
              </w:rPr>
              <w:t>May 2013</w:t>
            </w:r>
          </w:p>
        </w:tc>
        <w:tc>
          <w:tcPr>
            <w:tcW w:w="0" w:type="dxa"/>
            <w:vAlign w:val="bottom"/>
          </w:tcPr>
          <w:p>
            <w:pPr>
              <w:spacing w:after="0"/>
              <w:rPr>
                <w:sz w:val="1"/>
                <w:szCs w:val="1"/>
                <w:color w:val="auto"/>
              </w:rPr>
            </w:pPr>
          </w:p>
        </w:tc>
      </w:tr>
      <w:tr>
        <w:trPr>
          <w:trHeight w:val="149"/>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GAS-seven Ltd.</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March 2011</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Seattle</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2013</w:t>
            </w: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GAS-eight Ltd.</w:t>
            </w:r>
          </w:p>
        </w:tc>
        <w:tc>
          <w:tcPr>
            <w:tcW w:w="12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4"/>
              </w:rPr>
              <w:t>March 2011</w:t>
            </w:r>
          </w:p>
        </w:tc>
        <w:tc>
          <w:tcPr>
            <w:tcW w:w="17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Solaris</w:t>
            </w: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shd w:val="clear" w:color="auto" w:fill="E5FFFF"/>
          </w:tcPr>
          <w:p>
            <w:pPr>
              <w:spacing w:after="0"/>
              <w:rPr>
                <w:sz w:val="12"/>
                <w:szCs w:val="12"/>
                <w:color w:val="auto"/>
              </w:rPr>
            </w:pP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9"/>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GAS-eleven Ltd.</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December 2012</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1"/>
              </w:rPr>
              <w:t>GasLog Greece</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March 2016</w:t>
            </w: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GAS-twelve Ltd.</w:t>
            </w:r>
          </w:p>
        </w:tc>
        <w:tc>
          <w:tcPr>
            <w:tcW w:w="12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2"/>
              </w:rPr>
              <w:t>December 2012</w:t>
            </w:r>
          </w:p>
        </w:tc>
        <w:tc>
          <w:tcPr>
            <w:tcW w:w="17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GasLog Glasgow</w:t>
            </w: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00" w:type="dxa"/>
            <w:vAlign w:val="bottom"/>
            <w:shd w:val="clear" w:color="auto" w:fill="E5FFFF"/>
          </w:tcPr>
          <w:p>
            <w:pPr>
              <w:spacing w:after="0"/>
              <w:rPr>
                <w:sz w:val="12"/>
                <w:szCs w:val="12"/>
                <w:color w:val="auto"/>
              </w:rPr>
            </w:pP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2016</w:t>
            </w:r>
          </w:p>
        </w:tc>
        <w:tc>
          <w:tcPr>
            <w:tcW w:w="0" w:type="dxa"/>
            <w:vAlign w:val="bottom"/>
          </w:tcPr>
          <w:p>
            <w:pPr>
              <w:spacing w:after="0"/>
              <w:rPr>
                <w:sz w:val="1"/>
                <w:szCs w:val="1"/>
                <w:color w:val="auto"/>
              </w:rPr>
            </w:pPr>
          </w:p>
        </w:tc>
      </w:tr>
      <w:tr>
        <w:trPr>
          <w:trHeight w:val="149"/>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GAS-thirteen Ltd.</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July 2013</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0"/>
              </w:rPr>
              <w:t>GasLog Geneva</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88"/>
              </w:rPr>
              <w:t>September 2016</w:t>
            </w: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GAS-fourteen Ltd.</w:t>
            </w:r>
          </w:p>
        </w:tc>
        <w:tc>
          <w:tcPr>
            <w:tcW w:w="12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3"/>
              </w:rPr>
              <w:t>July 2013</w:t>
            </w:r>
          </w:p>
        </w:tc>
        <w:tc>
          <w:tcPr>
            <w:tcW w:w="17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7"/>
              </w:rPr>
              <w:t>GasLog Gibraltar</w:t>
            </w: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00" w:type="dxa"/>
            <w:vAlign w:val="bottom"/>
            <w:shd w:val="clear" w:color="auto" w:fill="E5FFFF"/>
          </w:tcPr>
          <w:p>
            <w:pPr>
              <w:spacing w:after="0"/>
              <w:rPr>
                <w:sz w:val="12"/>
                <w:szCs w:val="12"/>
                <w:color w:val="auto"/>
              </w:rPr>
            </w:pP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October 2016</w:t>
            </w:r>
          </w:p>
        </w:tc>
        <w:tc>
          <w:tcPr>
            <w:tcW w:w="0" w:type="dxa"/>
            <w:vAlign w:val="bottom"/>
          </w:tcPr>
          <w:p>
            <w:pPr>
              <w:spacing w:after="0"/>
              <w:rPr>
                <w:sz w:val="1"/>
                <w:szCs w:val="1"/>
                <w:color w:val="auto"/>
              </w:rPr>
            </w:pPr>
          </w:p>
        </w:tc>
      </w:tr>
      <w:tr>
        <w:trPr>
          <w:trHeight w:val="148"/>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GAS-sixteen Ltd.</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2014</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Methane Rita Andrea</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GAS-seventeen Ltd.</w:t>
            </w:r>
          </w:p>
        </w:tc>
        <w:tc>
          <w:tcPr>
            <w:tcW w:w="12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1"/>
              </w:rPr>
              <w:t>January 2014</w:t>
            </w:r>
          </w:p>
        </w:tc>
        <w:tc>
          <w:tcPr>
            <w:tcW w:w="17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Methane Jane Elizabeth</w:t>
            </w: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00" w:type="dxa"/>
            <w:vAlign w:val="bottom"/>
            <w:shd w:val="clear" w:color="auto" w:fill="E5FFFF"/>
          </w:tcPr>
          <w:p>
            <w:pPr>
              <w:spacing w:after="0"/>
              <w:rPr>
                <w:sz w:val="12"/>
                <w:szCs w:val="12"/>
                <w:color w:val="auto"/>
              </w:rPr>
            </w:pP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8"/>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GAS-nineteen Ltd.</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April 2014</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Methane Alison Victoria</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Ltd.</w:t>
            </w:r>
          </w:p>
        </w:tc>
        <w:tc>
          <w:tcPr>
            <w:tcW w:w="12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8"/>
              </w:rPr>
              <w:t>April 2014</w:t>
            </w:r>
          </w:p>
        </w:tc>
        <w:tc>
          <w:tcPr>
            <w:tcW w:w="17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Methane Shirley Elisabeth</w:t>
            </w: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00" w:type="dxa"/>
            <w:vAlign w:val="bottom"/>
            <w:shd w:val="clear" w:color="auto" w:fill="E5FFFF"/>
          </w:tcPr>
          <w:p>
            <w:pPr>
              <w:spacing w:after="0"/>
              <w:rPr>
                <w:sz w:val="12"/>
                <w:szCs w:val="12"/>
                <w:color w:val="auto"/>
              </w:rPr>
            </w:pP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9"/>
        </w:trPr>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GAS-twenty one Ltd.</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April 2014</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Methane Heather Sally</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seven Ltd.</w:t>
            </w:r>
          </w:p>
        </w:tc>
        <w:tc>
          <w:tcPr>
            <w:tcW w:w="12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4"/>
              </w:rPr>
              <w:t>Bermuda</w:t>
            </w:r>
          </w:p>
        </w:tc>
        <w:tc>
          <w:tcPr>
            <w:tcW w:w="124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1"/>
              </w:rPr>
              <w:t>January 2015</w:t>
            </w:r>
          </w:p>
        </w:tc>
        <w:tc>
          <w:tcPr>
            <w:tcW w:w="17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2"/>
              </w:rPr>
              <w:t>Vessel-owning company</w:t>
            </w:r>
          </w:p>
        </w:tc>
        <w:tc>
          <w:tcPr>
            <w:tcW w:w="23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Methane Becki Anne</w:t>
            </w: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170,000</w:t>
            </w:r>
          </w:p>
        </w:tc>
        <w:tc>
          <w:tcPr>
            <w:tcW w:w="100" w:type="dxa"/>
            <w:vAlign w:val="bottom"/>
            <w:shd w:val="clear" w:color="auto" w:fill="E5FFFF"/>
          </w:tcPr>
          <w:p>
            <w:pPr>
              <w:spacing w:after="0"/>
              <w:rPr>
                <w:sz w:val="12"/>
                <w:szCs w:val="12"/>
                <w:color w:val="auto"/>
              </w:rPr>
            </w:pPr>
          </w:p>
        </w:tc>
        <w:tc>
          <w:tcPr>
            <w:tcW w:w="112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March 2015</w:t>
            </w:r>
          </w:p>
        </w:tc>
        <w:tc>
          <w:tcPr>
            <w:tcW w:w="0" w:type="dxa"/>
            <w:vAlign w:val="bottom"/>
          </w:tcPr>
          <w:p>
            <w:pPr>
              <w:spacing w:after="0"/>
              <w:rPr>
                <w:sz w:val="1"/>
                <w:szCs w:val="1"/>
                <w:color w:val="auto"/>
              </w:rPr>
            </w:pPr>
          </w:p>
        </w:tc>
      </w:tr>
      <w:tr>
        <w:trPr>
          <w:trHeight w:val="182"/>
        </w:trPr>
        <w:tc>
          <w:tcPr>
            <w:tcW w:w="2260" w:type="dxa"/>
            <w:vAlign w:val="bottom"/>
            <w:gridSpan w:val="2"/>
          </w:tcPr>
          <w:p>
            <w:pPr>
              <w:spacing w:after="0"/>
              <w:rPr>
                <w:sz w:val="20"/>
                <w:szCs w:val="20"/>
                <w:color w:val="auto"/>
              </w:rPr>
            </w:pPr>
            <w:r>
              <w:rPr>
                <w:rFonts w:ascii="Arial" w:cs="Arial" w:eastAsia="Arial" w:hAnsi="Arial"/>
                <w:sz w:val="14"/>
                <w:szCs w:val="14"/>
                <w:color w:val="auto"/>
              </w:rPr>
              <w:t>GasLog Partners Holdings LLC</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Marshall Islands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April 2014</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Holding company</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144" w:lineRule="exact"/>
        <w:rPr>
          <w:sz w:val="20"/>
          <w:szCs w:val="20"/>
          <w:color w:val="auto"/>
        </w:rPr>
      </w:pPr>
    </w:p>
    <w:p>
      <w:pPr>
        <w:ind w:right="60" w:firstLine="396"/>
        <w:spacing w:after="0" w:line="271"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 issued by the International Accounting Standards Board (“IASB”). Certain information and footnote disclosures required by IFRS for a complete set of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have been omitted, and therefore, these unaudited condensed consolidated financial statements should be read in conjunction with the Partnership’s annual consolidated financial statements for the year ended December 31, 2019, filed on an Annual Report on Form 20-F with the Securities Exchange Commission on March 3, 2020.</w:t>
      </w:r>
    </w:p>
    <w:p>
      <w:pPr>
        <w:spacing w:after="0" w:line="95" w:lineRule="exact"/>
        <w:rPr>
          <w:sz w:val="20"/>
          <w:szCs w:val="20"/>
          <w:color w:val="auto"/>
        </w:rPr>
      </w:pPr>
    </w:p>
    <w:p>
      <w:pPr>
        <w:ind w:right="680" w:firstLine="396"/>
        <w:spacing w:after="0" w:line="293" w:lineRule="auto"/>
        <w:rPr>
          <w:sz w:val="20"/>
          <w:szCs w:val="20"/>
          <w:color w:val="auto"/>
        </w:rPr>
      </w:pPr>
      <w:r>
        <w:rPr>
          <w:rFonts w:ascii="Arial" w:cs="Arial" w:eastAsia="Arial" w:hAnsi="Arial"/>
          <w:sz w:val="16"/>
          <w:szCs w:val="16"/>
          <w:color w:val="auto"/>
        </w:rPr>
        <w:t>The accompanying unaudited condensed consolidated financial statements include the accounts of the Partnership and its subsidiaries assuming that they are consolidated for all periods presented, as they were under the common control of GasLog.</w:t>
      </w:r>
    </w:p>
    <w:p>
      <w:pPr>
        <w:spacing w:after="0" w:line="77" w:lineRule="exact"/>
        <w:rPr>
          <w:sz w:val="20"/>
          <w:szCs w:val="20"/>
          <w:color w:val="auto"/>
        </w:rPr>
      </w:pPr>
    </w:p>
    <w:p>
      <w:pPr>
        <w:ind w:right="40" w:firstLine="396"/>
        <w:spacing w:after="0" w:line="335" w:lineRule="auto"/>
        <w:rPr>
          <w:sz w:val="20"/>
          <w:szCs w:val="20"/>
          <w:color w:val="auto"/>
        </w:rPr>
      </w:pPr>
      <w:r>
        <w:rPr>
          <w:rFonts w:ascii="Arial" w:cs="Arial" w:eastAsia="Arial" w:hAnsi="Arial"/>
          <w:sz w:val="14"/>
          <w:szCs w:val="14"/>
          <w:color w:val="auto"/>
        </w:rPr>
        <w:t>The unaudited condensed consolidated financial statements have been prepared on the historical cost basis. The same accounting policies and methods of computation have been followed in these unaudited condensed consolidated financial statements as applied in the preparation of the Partnership’s consolidated financial statements for the year ended December 31, 2019. On May 7, 2020, the Partnership’s board of directors authorized the unaudited condensed consolidated financial statements for issuance.</w:t>
      </w:r>
    </w:p>
    <w:p>
      <w:pPr>
        <w:spacing w:after="0" w:line="55" w:lineRule="exact"/>
        <w:rPr>
          <w:sz w:val="20"/>
          <w:szCs w:val="20"/>
          <w:color w:val="auto"/>
        </w:rPr>
      </w:pPr>
    </w:p>
    <w:p>
      <w:pPr>
        <w:ind w:right="160" w:firstLine="396"/>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Partnership’s annual consolidated financial statements for the year ended December 31, 2019 and remain unchanged.</w:t>
      </w:r>
    </w:p>
    <w:p>
      <w:pPr>
        <w:spacing w:after="0" w:line="77" w:lineRule="exact"/>
        <w:rPr>
          <w:sz w:val="20"/>
          <w:szCs w:val="20"/>
          <w:color w:val="auto"/>
        </w:rPr>
      </w:pPr>
    </w:p>
    <w:p>
      <w:pPr>
        <w:ind w:right="220" w:firstLine="396"/>
        <w:spacing w:after="0" w:line="293" w:lineRule="auto"/>
        <w:rPr>
          <w:sz w:val="20"/>
          <w:szCs w:val="20"/>
          <w:color w:val="auto"/>
        </w:rPr>
      </w:pPr>
      <w:r>
        <w:rPr>
          <w:rFonts w:ascii="Arial" w:cs="Arial" w:eastAsia="Arial" w:hAnsi="Arial"/>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expenses are primarily settled in USD and the Partnership’s most significant assets and liabilities are paid for and settled in USD.</w:t>
      </w:r>
    </w:p>
    <w:p>
      <w:pPr>
        <w:spacing w:after="0" w:line="140" w:lineRule="exact"/>
        <w:rPr>
          <w:sz w:val="20"/>
          <w:szCs w:val="20"/>
          <w:color w:val="auto"/>
        </w:rPr>
      </w:pPr>
    </w:p>
    <w:p>
      <w:pPr>
        <w:ind w:right="260" w:firstLine="396"/>
        <w:spacing w:after="0" w:line="328" w:lineRule="auto"/>
        <w:rPr>
          <w:sz w:val="20"/>
          <w:szCs w:val="20"/>
          <w:color w:val="auto"/>
        </w:rPr>
      </w:pPr>
      <w:r>
        <w:rPr>
          <w:rFonts w:ascii="Arial" w:cs="Arial" w:eastAsia="Arial" w:hAnsi="Arial"/>
          <w:sz w:val="15"/>
          <w:szCs w:val="15"/>
          <w:color w:val="auto"/>
        </w:rPr>
        <w:t>As of March 31, 2020, the Partnership’s current assets totaled $93,189 while current liabilities totaled $175,567, resulting in a negative working capital position of $82,378. In considering going concern, management has reviewed the Partnership’s future cash requirements, covenant compliance and earnings projections.</w:t>
      </w:r>
    </w:p>
    <w:p>
      <w:pPr>
        <w:spacing w:after="0" w:line="55" w:lineRule="exact"/>
        <w:rPr>
          <w:sz w:val="20"/>
          <w:szCs w:val="20"/>
          <w:color w:val="auto"/>
        </w:rPr>
      </w:pPr>
    </w:p>
    <w:p>
      <w:pPr>
        <w:ind w:right="40" w:firstLine="396"/>
        <w:spacing w:after="0" w:line="288" w:lineRule="auto"/>
        <w:rPr>
          <w:sz w:val="20"/>
          <w:szCs w:val="20"/>
          <w:color w:val="auto"/>
        </w:rPr>
      </w:pPr>
      <w:r>
        <w:rPr>
          <w:rFonts w:ascii="Arial" w:cs="Arial" w:eastAsia="Arial" w:hAnsi="Arial"/>
          <w:sz w:val="15"/>
          <w:szCs w:val="15"/>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current and expected volatile market conditions, management anticipates that the Partnership’s primary sources of funds over the next 12 months will be available cash, cash from operations and bank borrowings under existing, refinanced or new debt facilities, as well as public equity or debt instruments, subject to a significant recovery in capital market conditions. The Partnership is continuing the process of refinancing its bank loans maturing in April and July 2021. Management believes that these anticipated sources of funds will be sufficient for the Partnership to meet its liquidity needs and to comply with its banking covenants for at least 12 months from the end of the reporting period and therefore it is appropriate to prepare the financial statements on a going concern basis, although there can be no assurance that the Partnership will be able to obtain such debt or equity financing on terms acceptable to the Partnership.</w:t>
      </w:r>
    </w:p>
    <w:p>
      <w:pPr>
        <w:spacing w:after="0" w:line="86" w:lineRule="exact"/>
        <w:rPr>
          <w:sz w:val="20"/>
          <w:szCs w:val="20"/>
          <w:color w:val="auto"/>
        </w:rPr>
      </w:pPr>
    </w:p>
    <w:p>
      <w:pPr>
        <w:ind w:firstLine="396"/>
        <w:spacing w:after="0" w:line="311" w:lineRule="auto"/>
        <w:rPr>
          <w:sz w:val="20"/>
          <w:szCs w:val="20"/>
          <w:color w:val="auto"/>
        </w:rPr>
      </w:pPr>
      <w:r>
        <w:rPr>
          <w:rFonts w:ascii="Arial" w:cs="Arial" w:eastAsia="Arial" w:hAnsi="Arial"/>
          <w:sz w:val="14"/>
          <w:szCs w:val="14"/>
          <w:color w:val="auto"/>
        </w:rPr>
        <w:t>The liquidity position and capital resources of the Partnership are set out on pages 25-26 of Exhibit 99.2 accompanying these unaudited condensed consolidated financial statements. The Partnership is continuing the process of refinancing its bank loans with its lenders in connection with the facilities due to mature in April and July 2021 which, if successfully completed, will remove all debt maturities until 2024. The main terms of the Partnership’s bank loan facilities are disclosed in Note 7 “Borrowings” of the Partnership’s annual consolidated financial statements for the year ended December 31, 2019 filed with the SEC on Form 20-F on March 3, 2020. The principal risks and uncertainties facing the Partnership have been disclosed on pages 20-21 of Exhibit 99.2 accompanying these unaudited condensed consolidated financial statements, as well as in the Annual Report on Form 20-F filed with the SEC on March 3, 2020 The Partnership keeps under constant review the possible implications of the recent COVID-19 outbreak and the associated effects on the LNG shipping market to allow current assessments of the impact of the virus to be incorporated into the latest full-year estimates in order to identify risks to future liquidity and covenant compliance and to enable management to take corrective actions, if required.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standards and amendments relevant to the Partnership were effective in the current period:</w:t>
      </w:r>
    </w:p>
    <w:p>
      <w:pPr>
        <w:spacing w:after="0" w:line="235" w:lineRule="exact"/>
        <w:rPr>
          <w:sz w:val="20"/>
          <w:szCs w:val="20"/>
          <w:color w:val="auto"/>
        </w:rPr>
      </w:pPr>
    </w:p>
    <w:p>
      <w:pPr>
        <w:ind w:right="20" w:firstLine="356"/>
        <w:spacing w:after="0" w:line="269" w:lineRule="auto"/>
        <w:rPr>
          <w:sz w:val="20"/>
          <w:szCs w:val="20"/>
          <w:color w:val="auto"/>
        </w:rPr>
      </w:pPr>
      <w:r>
        <w:rPr>
          <w:rFonts w:ascii="Arial" w:cs="Arial" w:eastAsia="Arial" w:hAnsi="Arial"/>
          <w:sz w:val="16"/>
          <w:szCs w:val="16"/>
          <w:color w:val="auto"/>
        </w:rPr>
        <w:t xml:space="preserve">In October 2018, the IASB issued amendments to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with respect to the definition of a business. The amendments are intended to assist entities to determine whether a transaction should be accounted for as a business combination or as an asset acquisition. The amendments clarify the minimum requirements for a business, remove the assessment of whether market participants are capable of replacing any missing elements, add guidance to help entities assess whether an acquired process is substantive, narrow the definitions of a business and of outputs and introduce an optional fair value concentration test. The adoption of this standard on January 1, 2020 did not have a material impact on the Partnership’s financial statements, since the acquisitions of vessel-owning entities from GasLog continue to be assessed as business acquisitions under the revised definition as well.</w:t>
      </w:r>
    </w:p>
    <w:p>
      <w:pPr>
        <w:spacing w:after="0" w:line="194" w:lineRule="exact"/>
        <w:rPr>
          <w:sz w:val="20"/>
          <w:szCs w:val="20"/>
          <w:color w:val="auto"/>
        </w:rPr>
      </w:pPr>
    </w:p>
    <w:p>
      <w:pPr>
        <w:ind w:right="600" w:firstLine="356"/>
        <w:spacing w:after="0" w:line="293" w:lineRule="auto"/>
        <w:rPr>
          <w:sz w:val="20"/>
          <w:szCs w:val="20"/>
          <w:color w:val="auto"/>
        </w:rPr>
      </w:pPr>
      <w:r>
        <w:rPr>
          <w:rFonts w:ascii="Arial" w:cs="Arial" w:eastAsia="Arial" w:hAnsi="Arial"/>
          <w:sz w:val="16"/>
          <w:szCs w:val="16"/>
          <w:color w:val="auto"/>
        </w:rPr>
        <w:t>All other IFRS standards and amendments that became effective in the current period are not relevant to the Partnership or are not material with respect to the Partnership’s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40" w:firstLine="356"/>
        <w:spacing w:after="0" w:line="291" w:lineRule="auto"/>
        <w:rPr>
          <w:sz w:val="20"/>
          <w:szCs w:val="20"/>
          <w:color w:val="auto"/>
        </w:rPr>
      </w:pPr>
      <w:r>
        <w:rPr>
          <w:rFonts w:ascii="Arial" w:cs="Arial" w:eastAsia="Arial" w:hAnsi="Arial"/>
          <w:sz w:val="15"/>
          <w:szCs w:val="15"/>
          <w:color w:val="auto"/>
        </w:rPr>
        <w:t xml:space="preserve">In January 2020, the IASB issued a narrow-scope amendment to IAS 1 </w:t>
      </w:r>
      <w:r>
        <w:rPr>
          <w:rFonts w:ascii="Arial" w:cs="Arial" w:eastAsia="Arial" w:hAnsi="Arial"/>
          <w:sz w:val="15"/>
          <w:szCs w:val="15"/>
          <w:i w:val="1"/>
          <w:iCs w:val="1"/>
          <w:color w:val="auto"/>
        </w:rPr>
        <w:t>Presentation of Financial Statements</w:t>
      </w:r>
      <w:r>
        <w:rPr>
          <w:rFonts w:ascii="Arial" w:cs="Arial" w:eastAsia="Arial" w:hAnsi="Arial"/>
          <w:sz w:val="15"/>
          <w:szCs w:val="15"/>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Arial" w:cs="Arial" w:eastAsia="Arial" w:hAnsi="Arial"/>
          <w:sz w:val="15"/>
          <w:szCs w:val="15"/>
          <w:i w:val="1"/>
          <w:iCs w:val="1"/>
          <w:color w:val="auto"/>
        </w:rPr>
        <w:t>Accounting Policies, Changes in Accounting Estimates and Errors</w:t>
      </w:r>
      <w:r>
        <w:rPr>
          <w:rFonts w:ascii="Arial" w:cs="Arial" w:eastAsia="Arial" w:hAnsi="Arial"/>
          <w:sz w:val="15"/>
          <w:szCs w:val="15"/>
          <w:color w:val="auto"/>
        </w:rPr>
        <w:t>. Earlier application is permitted. Management anticipates that this amendment will not have a material impact on the Partnership’s financial statements.</w:t>
      </w:r>
    </w:p>
    <w:p>
      <w:pPr>
        <w:spacing w:after="0" w:line="176" w:lineRule="exact"/>
        <w:rPr>
          <w:sz w:val="20"/>
          <w:szCs w:val="20"/>
          <w:color w:val="auto"/>
        </w:rPr>
      </w:pPr>
    </w:p>
    <w:p>
      <w:pPr>
        <w:ind w:right="40" w:firstLine="356"/>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IFRS standards and amendments issued but not yet adopted with an expected material effect on the Partnership’s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Related party transactions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Partnership has the following balances with related parties, which have been included in the unaudited condensed consolidated statements of financial position: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20" w:type="dxa"/>
            <w:vAlign w:val="bottom"/>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9"/>
        </w:trPr>
        <w:tc>
          <w:tcPr>
            <w:tcW w:w="7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December 31, 2019</w:t>
            </w: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7020" w:type="dxa"/>
            <w:vAlign w:val="bottom"/>
            <w:tcBorders>
              <w:top w:val="single" w:sz="8" w:color="E5FFFF"/>
            </w:tcBorders>
            <w:shd w:val="clear" w:color="auto" w:fill="E5FFFF"/>
          </w:tcPr>
          <w:p>
            <w:pPr>
              <w:spacing w:after="0" w:line="199" w:lineRule="exact"/>
              <w:rPr>
                <w:sz w:val="20"/>
                <w:szCs w:val="20"/>
                <w:color w:val="auto"/>
              </w:rPr>
            </w:pPr>
            <w:r>
              <w:rPr>
                <w:rFonts w:ascii="Arial" w:cs="Arial" w:eastAsia="Arial" w:hAnsi="Arial"/>
                <w:sz w:val="16"/>
                <w:szCs w:val="16"/>
                <w:color w:val="auto"/>
              </w:rPr>
              <w:t xml:space="preserve">Due to GasLog LNG Services </w:t>
            </w:r>
            <w:r>
              <w:rPr>
                <w:rFonts w:ascii="Arial" w:cs="Arial" w:eastAsia="Arial" w:hAnsi="Arial"/>
                <w:sz w:val="21"/>
                <w:szCs w:val="21"/>
                <w:color w:val="auto"/>
                <w:vertAlign w:val="superscript"/>
              </w:rPr>
              <w:t>(a)</w:t>
            </w:r>
          </w:p>
        </w:tc>
        <w:tc>
          <w:tcPr>
            <w:tcW w:w="260" w:type="dxa"/>
            <w:vAlign w:val="bottom"/>
            <w:tcBorders>
              <w:top w:val="single" w:sz="8" w:color="E5FFFF"/>
            </w:tcBorders>
            <w:shd w:val="clear" w:color="auto" w:fill="E5FFFF"/>
          </w:tcPr>
          <w:p>
            <w:pPr>
              <w:spacing w:after="0"/>
              <w:rPr>
                <w:sz w:val="17"/>
                <w:szCs w:val="17"/>
                <w:color w:val="auto"/>
              </w:rPr>
            </w:pPr>
          </w:p>
        </w:tc>
        <w:tc>
          <w:tcPr>
            <w:tcW w:w="1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4,908</w:t>
            </w:r>
          </w:p>
        </w:tc>
        <w:tc>
          <w:tcPr>
            <w:tcW w:w="28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2,391</w:t>
            </w:r>
          </w:p>
        </w:tc>
      </w:tr>
      <w:tr>
        <w:trPr>
          <w:trHeight w:val="203"/>
        </w:trPr>
        <w:tc>
          <w:tcPr>
            <w:tcW w:w="7020" w:type="dxa"/>
            <w:vAlign w:val="bottom"/>
          </w:tcPr>
          <w:p>
            <w:pPr>
              <w:spacing w:after="0" w:line="203" w:lineRule="exact"/>
              <w:rPr>
                <w:sz w:val="20"/>
                <w:szCs w:val="20"/>
                <w:color w:val="auto"/>
              </w:rPr>
            </w:pPr>
            <w:r>
              <w:rPr>
                <w:rFonts w:ascii="Arial" w:cs="Arial" w:eastAsia="Arial" w:hAnsi="Arial"/>
                <w:sz w:val="16"/>
                <w:szCs w:val="16"/>
                <w:color w:val="auto"/>
              </w:rPr>
              <w:t xml:space="preserve">Due to GasLog </w:t>
            </w:r>
            <w:r>
              <w:rPr>
                <w:rFonts w:ascii="Arial" w:cs="Arial" w:eastAsia="Arial" w:hAnsi="Arial"/>
                <w:sz w:val="21"/>
                <w:szCs w:val="21"/>
                <w:color w:val="auto"/>
                <w:vertAlign w:val="superscript"/>
              </w:rPr>
              <w:t>(b)</w:t>
            </w:r>
          </w:p>
        </w:tc>
        <w:tc>
          <w:tcPr>
            <w:tcW w:w="2200" w:type="dxa"/>
            <w:vAlign w:val="bottom"/>
            <w:gridSpan w:val="3"/>
          </w:tcPr>
          <w:p>
            <w:pPr>
              <w:jc w:val="right"/>
              <w:ind w:right="280"/>
              <w:spacing w:after="0"/>
              <w:rPr>
                <w:sz w:val="20"/>
                <w:szCs w:val="20"/>
                <w:color w:val="auto"/>
              </w:rPr>
            </w:pPr>
            <w:r>
              <w:rPr>
                <w:rFonts w:ascii="Arial" w:cs="Arial" w:eastAsia="Arial" w:hAnsi="Arial"/>
                <w:sz w:val="16"/>
                <w:szCs w:val="16"/>
                <w:color w:val="auto"/>
              </w:rPr>
              <w:t>734</w:t>
            </w:r>
          </w:p>
        </w:tc>
        <w:tc>
          <w:tcPr>
            <w:tcW w:w="146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196"/>
        </w:trPr>
        <w:tc>
          <w:tcPr>
            <w:tcW w:w="70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E5FFFF"/>
              <w:bottom w:val="single" w:sz="8" w:color="E5FFFF"/>
            </w:tcBorders>
            <w:shd w:val="clear" w:color="auto" w:fill="E5FFFF"/>
          </w:tcPr>
          <w:p>
            <w:pPr>
              <w:spacing w:after="0"/>
              <w:rPr>
                <w:sz w:val="17"/>
                <w:szCs w:val="17"/>
                <w:color w:val="auto"/>
              </w:rPr>
            </w:pPr>
          </w:p>
        </w:tc>
        <w:tc>
          <w:tcPr>
            <w:tcW w:w="1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5,642</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2,587</w:t>
            </w:r>
          </w:p>
        </w:tc>
      </w:tr>
      <w:tr>
        <w:trPr>
          <w:trHeight w:val="20"/>
        </w:trPr>
        <w:tc>
          <w:tcPr>
            <w:tcW w:w="7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3"/>
          <w:szCs w:val="23"/>
          <w:color w:val="auto"/>
          <w:vertAlign w:val="superscript"/>
        </w:rPr>
      </w:pPr>
      <w:r>
        <w:rPr>
          <w:rFonts w:ascii="Arial" w:cs="Arial" w:eastAsia="Arial" w:hAnsi="Arial"/>
          <w:sz w:val="14"/>
          <w:szCs w:val="14"/>
          <w:color w:val="auto"/>
        </w:rPr>
        <w:t>The balances represent mainly payments made by GasLog LNG Services on behalf of the Partnership.</w:t>
      </w:r>
    </w:p>
    <w:p>
      <w:pPr>
        <w:ind w:left="640" w:hanging="308"/>
        <w:spacing w:after="0" w:line="186" w:lineRule="auto"/>
        <w:tabs>
          <w:tab w:leader="none" w:pos="640" w:val="left"/>
        </w:tabs>
        <w:numPr>
          <w:ilvl w:val="0"/>
          <w:numId w:val="23"/>
        </w:numPr>
        <w:rPr>
          <w:rFonts w:ascii="Arial" w:cs="Arial" w:eastAsia="Arial" w:hAnsi="Arial"/>
          <w:sz w:val="19"/>
          <w:szCs w:val="19"/>
          <w:color w:val="auto"/>
          <w:vertAlign w:val="superscript"/>
        </w:rPr>
      </w:pPr>
      <w:r>
        <w:rPr>
          <w:rFonts w:ascii="Arial" w:cs="Arial" w:eastAsia="Arial" w:hAnsi="Arial"/>
          <w:sz w:val="12"/>
          <w:szCs w:val="12"/>
          <w:color w:val="auto"/>
        </w:rPr>
        <w:t>The balances represent mainly payments made by GasLog on behalf of the Partnership.</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Loans due to related parties</w:t>
      </w:r>
    </w:p>
    <w:p>
      <w:pPr>
        <w:spacing w:after="0" w:line="235" w:lineRule="exact"/>
        <w:rPr>
          <w:sz w:val="20"/>
          <w:szCs w:val="20"/>
          <w:color w:val="auto"/>
        </w:rPr>
      </w:pPr>
    </w:p>
    <w:p>
      <w:pPr>
        <w:ind w:right="480" w:firstLine="405"/>
        <w:spacing w:after="0" w:line="293" w:lineRule="auto"/>
        <w:rPr>
          <w:sz w:val="20"/>
          <w:szCs w:val="20"/>
          <w:color w:val="auto"/>
        </w:rPr>
      </w:pPr>
      <w:r>
        <w:rPr>
          <w:rFonts w:ascii="Arial" w:cs="Arial" w:eastAsia="Arial" w:hAnsi="Arial"/>
          <w:sz w:val="16"/>
          <w:szCs w:val="16"/>
          <w:color w:val="auto"/>
        </w:rPr>
        <w:t>The main terms of the revolving credit facility of $30,000 with GasLog (the “Sponsor Credit Facility”) have been disclosed in the annual consolidated financial statements for the year ended December 31, 2019. Refer to Note 7 “Borrowings”.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2019 and March 31, 2020, the amount outstanding under the Sponsor Credit Facility was nil.</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collateral held with related parties</w:t>
      </w:r>
    </w:p>
    <w:p>
      <w:pPr>
        <w:spacing w:after="0" w:line="235"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As of March 31, 2020, the Partnership had deposited an amount of $15,000 with GasLog (Note 6) as collateral for the interest rate swaps and forward foreign exchange contracts in effect held with GasLog, pursuant to a Credit Support Annex entered into between GasLog Partners and GasLog on March 16, 2020. The agreement is appended to the International Swaps and Derivatives Association, Inc. (“ISDA”) Master Agreement between GasLog Partners and GasLog signed in November 2016. The amount required to be deposited will be recalculated on a weekly basis until December 31, 2020. It is based on the aggregate valuation of such derivative instruments on each date and cannot exceed $15,000.</w:t>
      </w:r>
    </w:p>
    <w:p>
      <w:pPr>
        <w:spacing w:after="0" w:line="190"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Partnership had the following transactions with related parties, which have been included in the unaudited condensed consolidated statements of profit or loss for the three months ended March 31, 2019 and 2020:</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4"/>
                <w:szCs w:val="14"/>
                <w:color w:val="auto"/>
              </w:rPr>
            </w:pPr>
          </w:p>
        </w:tc>
        <w:tc>
          <w:tcPr>
            <w:tcW w:w="280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Details</w:t>
            </w:r>
          </w:p>
        </w:tc>
        <w:tc>
          <w:tcPr>
            <w:tcW w:w="100" w:type="dxa"/>
            <w:vAlign w:val="bottom"/>
          </w:tcPr>
          <w:p>
            <w:pPr>
              <w:spacing w:after="0"/>
              <w:rPr>
                <w:sz w:val="14"/>
                <w:szCs w:val="14"/>
                <w:color w:val="auto"/>
              </w:rPr>
            </w:pPr>
          </w:p>
        </w:tc>
        <w:tc>
          <w:tcPr>
            <w:tcW w:w="294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Account</w:t>
            </w:r>
          </w:p>
        </w:tc>
        <w:tc>
          <w:tcPr>
            <w:tcW w:w="234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1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2"/>
            <w:vMerge w:val="continue"/>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42"/>
        </w:trPr>
        <w:tc>
          <w:tcPr>
            <w:tcW w:w="182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GasLog</w:t>
            </w:r>
          </w:p>
        </w:tc>
        <w:tc>
          <w:tcPr>
            <w:tcW w:w="100" w:type="dxa"/>
            <w:vAlign w:val="bottom"/>
            <w:tcBorders>
              <w:top w:val="single" w:sz="8" w:color="E5FFFF"/>
            </w:tcBorders>
            <w:shd w:val="clear" w:color="auto" w:fill="E5FFFF"/>
          </w:tcPr>
          <w:p>
            <w:pPr>
              <w:spacing w:after="0"/>
              <w:rPr>
                <w:sz w:val="12"/>
                <w:szCs w:val="12"/>
                <w:color w:val="auto"/>
              </w:rPr>
            </w:pPr>
          </w:p>
        </w:tc>
        <w:tc>
          <w:tcPr>
            <w:tcW w:w="280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Commercial management fee</w:t>
            </w:r>
            <w:r>
              <w:rPr>
                <w:rFonts w:ascii="Arial" w:cs="Arial" w:eastAsia="Arial" w:hAnsi="Arial"/>
                <w:sz w:val="16"/>
                <w:szCs w:val="16"/>
                <w:color w:val="auto"/>
                <w:vertAlign w:val="superscript"/>
              </w:rPr>
              <w:t>(i)</w:t>
            </w:r>
          </w:p>
        </w:tc>
        <w:tc>
          <w:tcPr>
            <w:tcW w:w="100" w:type="dxa"/>
            <w:vAlign w:val="bottom"/>
            <w:tcBorders>
              <w:top w:val="single" w:sz="8" w:color="E5FFFF"/>
            </w:tcBorders>
            <w:shd w:val="clear" w:color="auto" w:fill="E5FFFF"/>
          </w:tcPr>
          <w:p>
            <w:pPr>
              <w:spacing w:after="0"/>
              <w:rPr>
                <w:sz w:val="12"/>
                <w:szCs w:val="12"/>
                <w:color w:val="auto"/>
              </w:rPr>
            </w:pPr>
          </w:p>
        </w:tc>
        <w:tc>
          <w:tcPr>
            <w:tcW w:w="2840" w:type="dxa"/>
            <w:vAlign w:val="bottom"/>
            <w:tcBorders>
              <w:top w:val="single" w:sz="8" w:color="auto"/>
            </w:tcBorders>
            <w:shd w:val="clear" w:color="auto" w:fill="E5FFFF"/>
          </w:tcPr>
          <w:p>
            <w:pPr>
              <w:spacing w:after="0" w:line="142" w:lineRule="exact"/>
              <w:rPr>
                <w:sz w:val="20"/>
                <w:szCs w:val="20"/>
                <w:color w:val="auto"/>
              </w:rPr>
            </w:pPr>
            <w:r>
              <w:rPr>
                <w:rFonts w:ascii="Arial" w:cs="Arial" w:eastAsia="Arial" w:hAnsi="Arial"/>
                <w:sz w:val="14"/>
                <w:szCs w:val="14"/>
                <w:color w:val="auto"/>
              </w:rPr>
              <w:t>General and administrative expenses</w:t>
            </w:r>
          </w:p>
        </w:tc>
        <w:tc>
          <w:tcPr>
            <w:tcW w:w="100" w:type="dxa"/>
            <w:vAlign w:val="bottom"/>
            <w:tcBorders>
              <w:top w:val="single" w:sz="8" w:color="E5FFFF"/>
            </w:tcBorders>
            <w:shd w:val="clear" w:color="auto" w:fill="E5FFFF"/>
          </w:tcPr>
          <w:p>
            <w:pPr>
              <w:spacing w:after="0"/>
              <w:rPr>
                <w:sz w:val="12"/>
                <w:szCs w:val="12"/>
                <w:color w:val="auto"/>
              </w:rPr>
            </w:pPr>
          </w:p>
        </w:tc>
        <w:tc>
          <w:tcPr>
            <w:tcW w:w="112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1,350</w:t>
            </w:r>
          </w:p>
        </w:tc>
        <w:tc>
          <w:tcPr>
            <w:tcW w:w="100" w:type="dxa"/>
            <w:vAlign w:val="bottom"/>
            <w:tcBorders>
              <w:top w:val="single" w:sz="8" w:color="E5FFFF"/>
            </w:tcBorders>
            <w:shd w:val="clear" w:color="auto" w:fill="E5FFFF"/>
          </w:tcPr>
          <w:p>
            <w:pPr>
              <w:spacing w:after="0"/>
              <w:rPr>
                <w:sz w:val="12"/>
                <w:szCs w:val="12"/>
                <w:color w:val="auto"/>
              </w:rPr>
            </w:pPr>
          </w:p>
        </w:tc>
        <w:tc>
          <w:tcPr>
            <w:tcW w:w="1120" w:type="dxa"/>
            <w:vAlign w:val="bottom"/>
            <w:tcBorders>
              <w:top w:val="single" w:sz="8" w:color="auto"/>
            </w:tcBorders>
            <w:shd w:val="clear" w:color="auto" w:fill="E5FFFF"/>
          </w:tcPr>
          <w:p>
            <w:pPr>
              <w:jc w:val="right"/>
              <w:spacing w:after="0" w:line="142" w:lineRule="exact"/>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Arial" w:cs="Arial" w:eastAsia="Arial" w:hAnsi="Arial"/>
                <w:sz w:val="14"/>
                <w:szCs w:val="14"/>
                <w:color w:val="auto"/>
              </w:rPr>
              <w:t>GasLog</w:t>
            </w:r>
          </w:p>
        </w:tc>
        <w:tc>
          <w:tcPr>
            <w:tcW w:w="2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Administrative services fee</w:t>
            </w:r>
            <w:r>
              <w:rPr>
                <w:rFonts w:ascii="Arial" w:cs="Arial" w:eastAsia="Arial" w:hAnsi="Arial"/>
                <w:sz w:val="17"/>
                <w:szCs w:val="17"/>
                <w:color w:val="auto"/>
                <w:vertAlign w:val="superscript"/>
              </w:rPr>
              <w:t>(ii)</w:t>
            </w:r>
          </w:p>
        </w:tc>
        <w:tc>
          <w:tcPr>
            <w:tcW w:w="30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General and administrative expenses</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2,127</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1,960</w:t>
            </w:r>
          </w:p>
        </w:tc>
        <w:tc>
          <w:tcPr>
            <w:tcW w:w="0" w:type="dxa"/>
            <w:vAlign w:val="bottom"/>
          </w:tcPr>
          <w:p>
            <w:pPr>
              <w:spacing w:after="0"/>
              <w:rPr>
                <w:sz w:val="1"/>
                <w:szCs w:val="1"/>
                <w:color w:val="auto"/>
              </w:rPr>
            </w:pPr>
          </w:p>
        </w:tc>
      </w:tr>
      <w:tr>
        <w:trPr>
          <w:trHeight w:val="148"/>
        </w:trPr>
        <w:tc>
          <w:tcPr>
            <w:tcW w:w="18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LNG Services</w:t>
            </w:r>
          </w:p>
        </w:tc>
        <w:tc>
          <w:tcPr>
            <w:tcW w:w="2900" w:type="dxa"/>
            <w:vAlign w:val="bottom"/>
            <w:gridSpan w:val="2"/>
            <w:shd w:val="clear" w:color="auto" w:fill="E5FFFF"/>
          </w:tcPr>
          <w:p>
            <w:pPr>
              <w:ind w:left="10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7"/>
                <w:szCs w:val="17"/>
                <w:color w:val="auto"/>
                <w:vertAlign w:val="superscript"/>
              </w:rPr>
              <w:t>(iii)</w:t>
            </w:r>
          </w:p>
        </w:tc>
        <w:tc>
          <w:tcPr>
            <w:tcW w:w="3040" w:type="dxa"/>
            <w:vAlign w:val="bottom"/>
            <w:gridSpan w:val="3"/>
            <w:shd w:val="clear" w:color="auto" w:fill="E5FFFF"/>
          </w:tcPr>
          <w:p>
            <w:pPr>
              <w:ind w:left="100"/>
              <w:spacing w:after="0" w:line="149" w:lineRule="exact"/>
              <w:rPr>
                <w:sz w:val="20"/>
                <w:szCs w:val="20"/>
                <w:color w:val="auto"/>
              </w:rPr>
            </w:pPr>
            <w:r>
              <w:rPr>
                <w:rFonts w:ascii="Arial" w:cs="Arial" w:eastAsia="Arial" w:hAnsi="Arial"/>
                <w:sz w:val="14"/>
                <w:szCs w:val="14"/>
                <w:color w:val="auto"/>
              </w:rPr>
              <w:t>Vessel operating costs</w:t>
            </w:r>
          </w:p>
        </w:tc>
        <w:tc>
          <w:tcPr>
            <w:tcW w:w="11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1,932</w:t>
            </w:r>
          </w:p>
        </w:tc>
        <w:tc>
          <w:tcPr>
            <w:tcW w:w="100" w:type="dxa"/>
            <w:vAlign w:val="bottom"/>
            <w:shd w:val="clear" w:color="auto" w:fill="E5FFFF"/>
          </w:tcPr>
          <w:p>
            <w:pPr>
              <w:spacing w:after="0"/>
              <w:rPr>
                <w:sz w:val="12"/>
                <w:szCs w:val="12"/>
                <w:color w:val="auto"/>
              </w:rPr>
            </w:pPr>
          </w:p>
        </w:tc>
        <w:tc>
          <w:tcPr>
            <w:tcW w:w="11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rPr>
              <w:t>GasLog LNG Services</w:t>
            </w:r>
          </w:p>
        </w:tc>
        <w:tc>
          <w:tcPr>
            <w:tcW w:w="2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vessel operating costs</w:t>
            </w:r>
          </w:p>
        </w:tc>
        <w:tc>
          <w:tcPr>
            <w:tcW w:w="30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Vessel operating costs</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18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w:t>
            </w:r>
          </w:p>
        </w:tc>
        <w:tc>
          <w:tcPr>
            <w:tcW w:w="2900" w:type="dxa"/>
            <w:vAlign w:val="bottom"/>
            <w:gridSpan w:val="2"/>
            <w:shd w:val="clear" w:color="auto" w:fill="E5FFFF"/>
          </w:tcPr>
          <w:p>
            <w:pPr>
              <w:ind w:left="100"/>
              <w:spacing w:after="0" w:line="149" w:lineRule="exact"/>
              <w:rPr>
                <w:sz w:val="20"/>
                <w:szCs w:val="20"/>
                <w:color w:val="auto"/>
              </w:rPr>
            </w:pPr>
            <w:r>
              <w:rPr>
                <w:rFonts w:ascii="Arial" w:cs="Arial" w:eastAsia="Arial" w:hAnsi="Arial"/>
                <w:sz w:val="14"/>
                <w:szCs w:val="14"/>
                <w:color w:val="auto"/>
                <w:w w:val="96"/>
              </w:rPr>
              <w:t>Commitment fee under Sponsor Credit Facility</w:t>
            </w:r>
          </w:p>
        </w:tc>
        <w:tc>
          <w:tcPr>
            <w:tcW w:w="3040" w:type="dxa"/>
            <w:vAlign w:val="bottom"/>
            <w:gridSpan w:val="3"/>
            <w:shd w:val="clear" w:color="auto" w:fill="E5FFFF"/>
          </w:tcPr>
          <w:p>
            <w:pPr>
              <w:ind w:left="100"/>
              <w:spacing w:after="0" w:line="149" w:lineRule="exact"/>
              <w:rPr>
                <w:sz w:val="20"/>
                <w:szCs w:val="20"/>
                <w:color w:val="auto"/>
              </w:rPr>
            </w:pPr>
            <w:r>
              <w:rPr>
                <w:rFonts w:ascii="Arial" w:cs="Arial" w:eastAsia="Arial" w:hAnsi="Arial"/>
                <w:sz w:val="14"/>
                <w:szCs w:val="14"/>
                <w:color w:val="auto"/>
              </w:rPr>
              <w:t>Financial costs</w:t>
            </w:r>
          </w:p>
        </w:tc>
        <w:tc>
          <w:tcPr>
            <w:tcW w:w="11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75</w:t>
            </w:r>
          </w:p>
        </w:tc>
        <w:tc>
          <w:tcPr>
            <w:tcW w:w="100" w:type="dxa"/>
            <w:vAlign w:val="bottom"/>
            <w:shd w:val="clear" w:color="auto" w:fill="E5FFFF"/>
          </w:tcPr>
          <w:p>
            <w:pPr>
              <w:spacing w:after="0"/>
              <w:rPr>
                <w:sz w:val="12"/>
                <w:szCs w:val="12"/>
                <w:color w:val="auto"/>
              </w:rPr>
            </w:pPr>
          </w:p>
        </w:tc>
        <w:tc>
          <w:tcPr>
            <w:tcW w:w="11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0"/>
        </w:trPr>
        <w:tc>
          <w:tcPr>
            <w:tcW w:w="1820" w:type="dxa"/>
            <w:vAlign w:val="bottom"/>
          </w:tcPr>
          <w:p>
            <w:pPr>
              <w:spacing w:after="0" w:line="130" w:lineRule="exact"/>
              <w:rPr>
                <w:sz w:val="20"/>
                <w:szCs w:val="20"/>
                <w:color w:val="auto"/>
              </w:rPr>
            </w:pPr>
            <w:r>
              <w:rPr>
                <w:rFonts w:ascii="Arial" w:cs="Arial" w:eastAsia="Arial" w:hAnsi="Arial"/>
                <w:sz w:val="14"/>
                <w:szCs w:val="14"/>
                <w:color w:val="auto"/>
              </w:rPr>
              <w:t>GasLog</w:t>
            </w:r>
          </w:p>
        </w:tc>
        <w:tc>
          <w:tcPr>
            <w:tcW w:w="290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2"/>
              </w:rPr>
              <w:t>Realized (gain)/loss on interest rate swaps (Note</w:t>
            </w:r>
          </w:p>
        </w:tc>
        <w:tc>
          <w:tcPr>
            <w:tcW w:w="304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Loss on derivatives</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tcPr>
          <w:p>
            <w:pPr>
              <w:spacing w:after="0"/>
              <w:rPr>
                <w:sz w:val="14"/>
                <w:szCs w:val="14"/>
                <w:color w:val="auto"/>
              </w:rPr>
            </w:pPr>
          </w:p>
        </w:tc>
        <w:tc>
          <w:tcPr>
            <w:tcW w:w="2900" w:type="dxa"/>
            <w:vAlign w:val="bottom"/>
            <w:gridSpan w:val="2"/>
          </w:tcPr>
          <w:p>
            <w:pPr>
              <w:ind w:left="10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30"/>
        </w:trPr>
        <w:tc>
          <w:tcPr>
            <w:tcW w:w="18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GasLog</w:t>
            </w:r>
          </w:p>
        </w:tc>
        <w:tc>
          <w:tcPr>
            <w:tcW w:w="2900" w:type="dxa"/>
            <w:vAlign w:val="bottom"/>
            <w:gridSpan w:val="2"/>
            <w:shd w:val="clear" w:color="auto" w:fill="E5FFFF"/>
          </w:tcPr>
          <w:p>
            <w:pPr>
              <w:ind w:left="100"/>
              <w:spacing w:after="0" w:line="130" w:lineRule="exact"/>
              <w:rPr>
                <w:sz w:val="20"/>
                <w:szCs w:val="20"/>
                <w:color w:val="auto"/>
              </w:rPr>
            </w:pPr>
            <w:r>
              <w:rPr>
                <w:rFonts w:ascii="Arial" w:cs="Arial" w:eastAsia="Arial" w:hAnsi="Arial"/>
                <w:sz w:val="14"/>
                <w:szCs w:val="14"/>
                <w:color w:val="auto"/>
              </w:rPr>
              <w:t>Realized loss on forward foreign exchange</w:t>
            </w:r>
          </w:p>
        </w:tc>
        <w:tc>
          <w:tcPr>
            <w:tcW w:w="3040" w:type="dxa"/>
            <w:vAlign w:val="bottom"/>
            <w:gridSpan w:val="3"/>
            <w:shd w:val="clear" w:color="auto" w:fill="E5FFFF"/>
          </w:tcPr>
          <w:p>
            <w:pPr>
              <w:ind w:left="100"/>
              <w:spacing w:after="0" w:line="130" w:lineRule="exact"/>
              <w:rPr>
                <w:sz w:val="20"/>
                <w:szCs w:val="20"/>
                <w:color w:val="auto"/>
              </w:rPr>
            </w:pPr>
            <w:r>
              <w:rPr>
                <w:rFonts w:ascii="Arial" w:cs="Arial" w:eastAsia="Arial" w:hAnsi="Arial"/>
                <w:sz w:val="14"/>
                <w:szCs w:val="14"/>
                <w:color w:val="auto"/>
              </w:rPr>
              <w:t>Loss on derivatives</w:t>
            </w:r>
          </w:p>
        </w:tc>
        <w:tc>
          <w:tcPr>
            <w:tcW w:w="112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112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shd w:val="clear" w:color="auto" w:fill="E5FFFF"/>
          </w:tcPr>
          <w:p>
            <w:pPr>
              <w:spacing w:after="0"/>
              <w:rPr>
                <w:sz w:val="14"/>
                <w:szCs w:val="14"/>
                <w:color w:val="auto"/>
              </w:rPr>
            </w:pPr>
          </w:p>
        </w:tc>
        <w:tc>
          <w:tcPr>
            <w:tcW w:w="2900" w:type="dxa"/>
            <w:vAlign w:val="bottom"/>
            <w:gridSpan w:val="2"/>
            <w:shd w:val="clear" w:color="auto" w:fill="E5FFFF"/>
          </w:tcPr>
          <w:p>
            <w:pPr>
              <w:ind w:left="100"/>
              <w:spacing w:after="0"/>
              <w:rPr>
                <w:sz w:val="20"/>
                <w:szCs w:val="20"/>
                <w:color w:val="auto"/>
              </w:rPr>
            </w:pPr>
            <w:r>
              <w:rPr>
                <w:rFonts w:ascii="Arial" w:cs="Arial" w:eastAsia="Arial" w:hAnsi="Arial"/>
                <w:sz w:val="14"/>
                <w:szCs w:val="14"/>
                <w:color w:val="auto"/>
              </w:rPr>
              <w:t>contracts held for trading (Note 14)</w:t>
            </w:r>
          </w:p>
        </w:tc>
        <w:tc>
          <w:tcPr>
            <w:tcW w:w="100" w:type="dxa"/>
            <w:vAlign w:val="bottom"/>
            <w:shd w:val="clear" w:color="auto" w:fill="E5FFFF"/>
          </w:tcPr>
          <w:p>
            <w:pPr>
              <w:spacing w:after="0"/>
              <w:rPr>
                <w:sz w:val="14"/>
                <w:szCs w:val="14"/>
                <w:color w:val="auto"/>
              </w:rPr>
            </w:pPr>
          </w:p>
        </w:tc>
        <w:tc>
          <w:tcPr>
            <w:tcW w:w="28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E5FFFF"/>
          </w:tcPr>
          <w:p>
            <w:pPr>
              <w:spacing w:after="0"/>
              <w:rPr>
                <w:sz w:val="14"/>
                <w:szCs w:val="14"/>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Arial" w:cs="Arial" w:eastAsia="Arial" w:hAnsi="Arial"/>
                <w:sz w:val="14"/>
                <w:szCs w:val="14"/>
                <w:color w:val="auto"/>
              </w:rPr>
              <w:t>Cool Pool</w:t>
            </w:r>
            <w:r>
              <w:rPr>
                <w:rFonts w:ascii="Arial" w:cs="Arial" w:eastAsia="Arial" w:hAnsi="Arial"/>
                <w:sz w:val="17"/>
                <w:szCs w:val="17"/>
                <w:color w:val="auto"/>
                <w:vertAlign w:val="superscript"/>
              </w:rPr>
              <w:t>(iv)</w:t>
            </w:r>
          </w:p>
        </w:tc>
        <w:tc>
          <w:tcPr>
            <w:tcW w:w="2900" w:type="dxa"/>
            <w:vAlign w:val="bottom"/>
            <w:gridSpan w:val="2"/>
          </w:tcPr>
          <w:p>
            <w:pPr>
              <w:ind w:left="100"/>
              <w:spacing w:after="0"/>
              <w:rPr>
                <w:sz w:val="20"/>
                <w:szCs w:val="20"/>
                <w:color w:val="auto"/>
              </w:rPr>
            </w:pPr>
            <w:r>
              <w:rPr>
                <w:rFonts w:ascii="Arial" w:cs="Arial" w:eastAsia="Arial" w:hAnsi="Arial"/>
                <w:sz w:val="14"/>
                <w:szCs w:val="14"/>
                <w:color w:val="auto"/>
              </w:rPr>
              <w:t>Adjustment for net pool allocation</w:t>
            </w:r>
          </w:p>
        </w:tc>
        <w:tc>
          <w:tcPr>
            <w:tcW w:w="3040" w:type="dxa"/>
            <w:vAlign w:val="bottom"/>
            <w:gridSpan w:val="3"/>
          </w:tcPr>
          <w:p>
            <w:pPr>
              <w:ind w:left="100"/>
              <w:spacing w:after="0"/>
              <w:rPr>
                <w:sz w:val="20"/>
                <w:szCs w:val="20"/>
                <w:color w:val="auto"/>
              </w:rPr>
            </w:pPr>
            <w:r>
              <w:rPr>
                <w:rFonts w:ascii="Arial" w:cs="Arial" w:eastAsia="Arial" w:hAnsi="Arial"/>
                <w:sz w:val="14"/>
                <w:szCs w:val="14"/>
                <w:color w:val="auto"/>
              </w:rPr>
              <w:t>Net pool allocation</w:t>
            </w:r>
          </w:p>
        </w:tc>
        <w:tc>
          <w:tcPr>
            <w:tcW w:w="11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340" w:hanging="202"/>
        <w:spacing w:after="0" w:line="231" w:lineRule="auto"/>
        <w:tabs>
          <w:tab w:leader="none" w:pos="34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Commercial Management Agreements</w:t>
      </w:r>
    </w:p>
    <w:p>
      <w:pPr>
        <w:spacing w:after="0" w:line="60" w:lineRule="exact"/>
        <w:rPr>
          <w:rFonts w:ascii="Arial" w:cs="Arial" w:eastAsia="Arial" w:hAnsi="Arial"/>
          <w:sz w:val="18"/>
          <w:szCs w:val="18"/>
          <w:color w:val="auto"/>
          <w:vertAlign w:val="superscript"/>
        </w:rPr>
      </w:pPr>
    </w:p>
    <w:p>
      <w:pPr>
        <w:ind w:left="340" w:right="120"/>
        <w:spacing w:after="0" w:line="248" w:lineRule="auto"/>
        <w:rPr>
          <w:rFonts w:ascii="Arial" w:cs="Arial" w:eastAsia="Arial" w:hAnsi="Arial"/>
          <w:sz w:val="18"/>
          <w:szCs w:val="18"/>
          <w:color w:val="auto"/>
          <w:vertAlign w:val="superscript"/>
        </w:rPr>
      </w:pPr>
      <w:r>
        <w:rPr>
          <w:rFonts w:ascii="Arial" w:cs="Arial" w:eastAsia="Arial" w:hAnsi="Arial"/>
          <w:sz w:val="13"/>
          <w:szCs w:val="13"/>
          <w:color w:val="auto"/>
        </w:rPr>
        <w:t>Upon completion of the initial public offering (“IPO”) on May 12, 2014, the vessel-owning subsidiaries of the Initial Fleet entered into amended commercial management agreements with GasLog (the “Amended Commercial Management Agreements”), pursuant to which GasLog provides certain commercial management services, including chartering services, consultancy services on market issues and invoicing and collection of hire payables, to the Partnership. The annual commercial management fee under the amended agreements is $360 for each vessel payable quarterly in advance in lump sum amounts. In December 2013, GAS-seven Ltd. entered into a commercial management agreement with GasLog for an annual commercial management fee of $540 that was amended to $360 when the vessel was acquired by the Partnership on November 1, 2016. Additionally, in June 2015, GAS-eight Ltd. entered into a commercial management agreement with GasLog for an annual commercial management fee of $360.</w:t>
      </w:r>
    </w:p>
    <w:p>
      <w:pPr>
        <w:spacing w:after="0" w:line="58" w:lineRule="exact"/>
        <w:rPr>
          <w:rFonts w:ascii="Arial" w:cs="Arial" w:eastAsia="Arial" w:hAnsi="Arial"/>
          <w:sz w:val="18"/>
          <w:szCs w:val="18"/>
          <w:color w:val="auto"/>
          <w:vertAlign w:val="superscript"/>
        </w:rPr>
      </w:pPr>
    </w:p>
    <w:p>
      <w:pPr>
        <w:ind w:left="340" w:right="60"/>
        <w:spacing w:after="0" w:line="229" w:lineRule="auto"/>
        <w:rPr>
          <w:rFonts w:ascii="Arial" w:cs="Arial" w:eastAsia="Arial" w:hAnsi="Arial"/>
          <w:sz w:val="18"/>
          <w:szCs w:val="18"/>
          <w:color w:val="auto"/>
          <w:vertAlign w:val="superscript"/>
        </w:rPr>
      </w:pPr>
      <w:r>
        <w:rPr>
          <w:rFonts w:ascii="Arial" w:cs="Arial" w:eastAsia="Arial" w:hAnsi="Arial"/>
          <w:sz w:val="14"/>
          <w:szCs w:val="14"/>
          <w:color w:val="auto"/>
        </w:rPr>
        <w:t xml:space="preserve">The same provisions are included in the commercial management agreements that GAS-eleven Ltd., GAS-twelve Ltd., GAS-thirteen Ltd., GAS-fourteen Ltd., GAS-sixteen Ltd., GAS-seventeen Ltd., GAS-nineteen Ltd., GAS-twenty Ltd., GAS-twenty one Ltd. and GAS-twenty seven Ltd. entered into with GasLog upon the deliveries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w:t>
      </w:r>
      <w:r>
        <w:rPr>
          <w:rFonts w:ascii="Arial" w:cs="Arial" w:eastAsia="Arial" w:hAnsi="Arial"/>
          <w:sz w:val="14"/>
          <w:szCs w:val="14"/>
          <w:color w:val="auto"/>
        </w:rPr>
        <w:t xml:space="preserve"> </w:t>
      </w:r>
      <w:r>
        <w:rPr>
          <w:rFonts w:ascii="Arial" w:cs="Arial" w:eastAsia="Arial" w:hAnsi="Arial"/>
          <w:sz w:val="14"/>
          <w:szCs w:val="14"/>
          <w:i w:val="1"/>
          <w:iCs w:val="1"/>
          <w:color w:val="auto"/>
        </w:rPr>
        <w:t>Glasgow</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Geneva</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Gibraltar</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Rita Andrea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Jane Elizabeth</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Alison Victoria</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Shirley Elisabeth</w:t>
      </w:r>
      <w:r>
        <w:rPr>
          <w:rFonts w:ascii="Arial" w:cs="Arial" w:eastAsia="Arial" w:hAnsi="Arial"/>
          <w:sz w:val="14"/>
          <w:szCs w:val="14"/>
          <w:color w:val="auto"/>
        </w:rPr>
        <w:t>, the</w:t>
      </w:r>
      <w:r>
        <w:rPr>
          <w:rFonts w:ascii="Arial" w:cs="Arial" w:eastAsia="Arial" w:hAnsi="Arial"/>
          <w:sz w:val="14"/>
          <w:szCs w:val="14"/>
          <w:i w:val="1"/>
          <w:iCs w:val="1"/>
          <w:color w:val="auto"/>
        </w:rPr>
        <w:t xml:space="preserve"> Methane Heather Sally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Becki Anne</w:t>
      </w:r>
      <w:r>
        <w:rPr>
          <w:rFonts w:ascii="Arial" w:cs="Arial" w:eastAsia="Arial" w:hAnsi="Arial"/>
          <w:sz w:val="14"/>
          <w:szCs w:val="14"/>
          <w:color w:val="auto"/>
        </w:rPr>
        <w:t>, respectively, into GasLog’s fleet in March 2016, June 2016, September 2016, October 2016, April 2014, June 2014 and March 2015 (together</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Amended Commercial Management Agreements and the commercial management agreements entered into by GAS-seven Ltd. and GAS-eight Ltd. with GasLog, the “Commercial Management Agreements”).</w:t>
      </w:r>
    </w:p>
    <w:p>
      <w:pPr>
        <w:spacing w:after="0" w:line="39" w:lineRule="exact"/>
        <w:rPr>
          <w:rFonts w:ascii="Arial" w:cs="Arial" w:eastAsia="Arial" w:hAnsi="Arial"/>
          <w:sz w:val="18"/>
          <w:szCs w:val="18"/>
          <w:color w:val="auto"/>
          <w:vertAlign w:val="superscript"/>
        </w:rPr>
      </w:pPr>
    </w:p>
    <w:p>
      <w:pPr>
        <w:ind w:left="300" w:hanging="162"/>
        <w:spacing w:after="0"/>
        <w:tabs>
          <w:tab w:leader="none" w:pos="30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Administrative Services Agreement</w:t>
      </w:r>
    </w:p>
    <w:p>
      <w:pPr>
        <w:spacing w:after="0" w:line="61" w:lineRule="exact"/>
        <w:rPr>
          <w:sz w:val="20"/>
          <w:szCs w:val="20"/>
          <w:color w:val="auto"/>
        </w:rPr>
      </w:pPr>
    </w:p>
    <w:p>
      <w:pPr>
        <w:ind w:left="340"/>
        <w:spacing w:after="0" w:line="251" w:lineRule="auto"/>
        <w:rPr>
          <w:sz w:val="20"/>
          <w:szCs w:val="20"/>
          <w:color w:val="auto"/>
        </w:rPr>
      </w:pPr>
      <w:r>
        <w:rPr>
          <w:rFonts w:ascii="Arial" w:cs="Arial" w:eastAsia="Arial" w:hAnsi="Arial"/>
          <w:sz w:val="13"/>
          <w:szCs w:val="13"/>
          <w:color w:val="auto"/>
        </w:rPr>
        <w:t>Upon completion of the IPO on May 12, 2014, the Partnership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For the year ended December 31, 2019, the service fee was amended to $608 per vessel per year. With effect from January 1, 2020, the service fee was reduced to $523 per vessel per year.</w:t>
      </w:r>
    </w:p>
    <w:p>
      <w:pPr>
        <w:spacing w:after="0" w:line="31" w:lineRule="exact"/>
        <w:rPr>
          <w:sz w:val="20"/>
          <w:szCs w:val="20"/>
          <w:color w:val="auto"/>
        </w:rPr>
      </w:pPr>
    </w:p>
    <w:p>
      <w:pPr>
        <w:ind w:left="320" w:hanging="182"/>
        <w:spacing w:after="0"/>
        <w:tabs>
          <w:tab w:leader="none" w:pos="3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Ship Management Agreements</w:t>
      </w:r>
    </w:p>
    <w:p>
      <w:pPr>
        <w:spacing w:after="0" w:line="60" w:lineRule="exact"/>
        <w:rPr>
          <w:rFonts w:ascii="Arial" w:cs="Arial" w:eastAsia="Arial" w:hAnsi="Arial"/>
          <w:sz w:val="18"/>
          <w:szCs w:val="18"/>
          <w:color w:val="auto"/>
          <w:vertAlign w:val="superscript"/>
        </w:rPr>
      </w:pPr>
    </w:p>
    <w:p>
      <w:pPr>
        <w:ind w:left="340" w:right="80"/>
        <w:spacing w:after="0" w:line="229" w:lineRule="auto"/>
        <w:rPr>
          <w:rFonts w:ascii="Arial" w:cs="Arial" w:eastAsia="Arial" w:hAnsi="Arial"/>
          <w:sz w:val="18"/>
          <w:szCs w:val="18"/>
          <w:color w:val="auto"/>
          <w:vertAlign w:val="superscript"/>
        </w:rPr>
      </w:pPr>
      <w:r>
        <w:rPr>
          <w:rFonts w:ascii="Arial" w:cs="Arial" w:eastAsia="Arial" w:hAnsi="Arial"/>
          <w:sz w:val="14"/>
          <w:szCs w:val="14"/>
          <w:color w:val="auto"/>
        </w:rPr>
        <w:t>Upon completion of the IPO on May 12, 2014, each of the vessel owning subsidiaries of the Initial Fleet entered into an amended ship management agreement (collectively, the “Amended Ship Management Agreements”) under which the vessel owning subsidiaries pay a management fee of $46 per month to the Manager and reimburse the Manager for all expenses incurred on their behalf. The Amended Ship Management Agreements also provide for superintendent fees of $1 per day payable to the Manager for each day in excess of 25 days per calendar year for which a superintendent performed visits to the vessels, an annual incentive bonus of up to $72 based on key performance indicators predetermined annually and contain clauses for decreased management fees in case of a vessel’s lay-up. The management fees are subject to an annual adjustment, agreed between the parties in good faith, on the basis of general inflation and proof 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5" w:name="page36"/>
    <w:bookmarkEnd w:id="35"/>
    <w:p>
      <w:pPr>
        <w:ind w:left="340"/>
        <w:spacing w:after="0" w:line="226" w:lineRule="auto"/>
        <w:rPr>
          <w:sz w:val="20"/>
          <w:szCs w:val="20"/>
          <w:color w:val="auto"/>
        </w:rPr>
      </w:pPr>
      <w:r>
        <w:rPr>
          <w:rFonts w:ascii="Arial" w:cs="Arial" w:eastAsia="Arial" w:hAnsi="Arial"/>
          <w:sz w:val="14"/>
          <w:szCs w:val="14"/>
          <w:color w:val="auto"/>
        </w:rPr>
        <w:t xml:space="preserve">increases in actual costs incurred by the Manager. Each Amended Ship Management Agreement continues indefinitely until terminated by either party. The same provisions are included in the ship management agreements that GAS-sixteen Ltd., GAS-seventeen Ltd., GAS-nineteen Ltd., GAS-twenty Ltd., GAS-twenty one Ltd. and GAS-twenty seven Ltd. entered into with the Manager upon the deliveries of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Shirley Elisabeth</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Heather Sally</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Becki Anne</w:t>
      </w:r>
      <w:r>
        <w:rPr>
          <w:rFonts w:ascii="Arial" w:cs="Arial" w:eastAsia="Arial" w:hAnsi="Arial"/>
          <w:sz w:val="14"/>
          <w:szCs w:val="14"/>
          <w:color w:val="auto"/>
        </w:rPr>
        <w:t>, respectively, into GasLog’s fleet in April 2014, June 2014 and March 2015 (together with the Amended Ship Management Agreements and the ship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agreement that GAS-seven Ltd. entered into with the Manager upon its vessel’s delivery from the shipyard in 2013, the “Ship Management Agreements”). In May 2015, the Ship Management Agreements were further amended to delete the annual incentive bonus and superintendent fees clauses and, in the case of GAS-seven Ltd., to also increase the fixed monthly charge to $46 with effect from April 1, 2015. In April 2016, the Ship Management Agreements were amended to consolidate all ship management related fees into a single fee structure. This single fee structure was already provided for in the ship management agreements that GAS-eleven Ltd., GAS-twelve Ltd., GAS-thirteen Ltd. and GAS-fourteen Ltd. had entered into with GasLog upon the deliveries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in March 2016,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in June 2016,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in September 2016 and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in October 2016, respectively (with a fixed monthly charge of $46).</w:t>
      </w:r>
    </w:p>
    <w:p>
      <w:pPr>
        <w:spacing w:after="0" w:line="185" w:lineRule="exact"/>
        <w:rPr>
          <w:sz w:val="20"/>
          <w:szCs w:val="20"/>
          <w:color w:val="auto"/>
        </w:rPr>
      </w:pPr>
    </w:p>
    <w:p>
      <w:pPr>
        <w:ind w:left="340" w:right="200" w:hanging="202"/>
        <w:spacing w:after="0" w:line="215" w:lineRule="auto"/>
        <w:tabs>
          <w:tab w:leader="none" w:pos="329" w:val="left"/>
        </w:tabs>
        <w:numPr>
          <w:ilvl w:val="1"/>
          <w:numId w:val="26"/>
        </w:numPr>
        <w:rPr>
          <w:rFonts w:ascii="Arial" w:cs="Arial" w:eastAsia="Arial" w:hAnsi="Arial"/>
          <w:sz w:val="18"/>
          <w:szCs w:val="18"/>
          <w:color w:val="auto"/>
          <w:vertAlign w:val="superscript"/>
        </w:rPr>
      </w:pPr>
      <w:r>
        <w:rPr>
          <w:rFonts w:ascii="Arial" w:cs="Arial" w:eastAsia="Arial" w:hAnsi="Arial"/>
          <w:sz w:val="14"/>
          <w:szCs w:val="14"/>
          <w:color w:val="auto"/>
        </w:rPr>
        <w:t xml:space="preserve">In the period from May 2018 until June 2019, the Partnership, through the </w:t>
      </w:r>
      <w:r>
        <w:rPr>
          <w:rFonts w:ascii="Arial" w:cs="Arial" w:eastAsia="Arial" w:hAnsi="Arial"/>
          <w:sz w:val="14"/>
          <w:szCs w:val="14"/>
          <w:i w:val="1"/>
          <w:iCs w:val="1"/>
          <w:color w:val="auto"/>
        </w:rPr>
        <w:t>GasLog Shanghai</w:t>
      </w:r>
      <w:r>
        <w:rPr>
          <w:rFonts w:ascii="Arial" w:cs="Arial" w:eastAsia="Arial" w:hAnsi="Arial"/>
          <w:sz w:val="14"/>
          <w:szCs w:val="14"/>
          <w:color w:val="auto"/>
        </w:rPr>
        <w:t>, participated in the Cool Pool, an LNG carrier pooling arrangement operated by GasLog and Golar LNG Ltd. (the “Cool Pool”) to market their vessels operating in the LNG shipping spot market.</w:t>
      </w:r>
    </w:p>
    <w:p>
      <w:pPr>
        <w:spacing w:after="0" w:line="255"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Vessels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movement in vessels is reported in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8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0"/>
              </w:rPr>
              <w:t>Vessels</w:t>
            </w:r>
          </w:p>
        </w:tc>
        <w:tc>
          <w:tcPr>
            <w:tcW w:w="0" w:type="dxa"/>
            <w:vAlign w:val="bottom"/>
          </w:tcPr>
          <w:p>
            <w:pPr>
              <w:spacing w:after="0"/>
              <w:rPr>
                <w:sz w:val="1"/>
                <w:szCs w:val="1"/>
                <w:color w:val="auto"/>
              </w:rPr>
            </w:pPr>
          </w:p>
        </w:tc>
      </w:tr>
      <w:tr>
        <w:trPr>
          <w:trHeight w:val="145"/>
        </w:trPr>
        <w:tc>
          <w:tcPr>
            <w:tcW w:w="9340" w:type="dxa"/>
            <w:vAlign w:val="bottom"/>
            <w:tcBorders>
              <w:top w:val="single" w:sz="8" w:color="E5FFFF"/>
            </w:tcBorders>
            <w:gridSpan w:val="4"/>
            <w:shd w:val="clear" w:color="auto" w:fill="E5FFFF"/>
          </w:tcPr>
          <w:p>
            <w:pPr>
              <w:spacing w:after="0" w:line="145" w:lineRule="exact"/>
              <w:rPr>
                <w:sz w:val="20"/>
                <w:szCs w:val="20"/>
                <w:color w:val="auto"/>
              </w:rPr>
            </w:pPr>
            <w:r>
              <w:rPr>
                <w:rFonts w:ascii="Arial" w:cs="Arial" w:eastAsia="Arial" w:hAnsi="Arial"/>
                <w:sz w:val="16"/>
                <w:szCs w:val="16"/>
                <w:b w:val="1"/>
                <w:bCs w:val="1"/>
                <w:color w:val="auto"/>
              </w:rPr>
              <w:t>Cost</w:t>
            </w:r>
          </w:p>
        </w:tc>
        <w:tc>
          <w:tcPr>
            <w:tcW w:w="1800" w:type="dxa"/>
            <w:vAlign w:val="bottom"/>
            <w:tcBorders>
              <w:top w:val="single" w:sz="8" w:color="auto"/>
            </w:tcBorders>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shd w:val="clear" w:color="auto" w:fill="E5FFFF"/>
          </w:tcPr>
          <w:p>
            <w:pPr>
              <w:spacing w:after="0" w:line="20" w:lineRule="exact"/>
              <w:rPr>
                <w:sz w:val="1"/>
                <w:szCs w:val="1"/>
                <w:color w:val="auto"/>
              </w:rPr>
            </w:pPr>
          </w:p>
        </w:tc>
        <w:tc>
          <w:tcPr>
            <w:tcW w:w="76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8040" w:type="dxa"/>
            <w:vAlign w:val="bottom"/>
            <w:tcBorders>
              <w:top w:val="single" w:sz="8" w:color="E5FFFF"/>
            </w:tcBorders>
            <w:shd w:val="clear" w:color="auto" w:fill="E5FFFF"/>
          </w:tcPr>
          <w:p>
            <w:pPr>
              <w:spacing w:after="0" w:line="20" w:lineRule="exact"/>
              <w:rPr>
                <w:sz w:val="1"/>
                <w:szCs w:val="1"/>
                <w:color w:val="auto"/>
              </w:rPr>
            </w:pPr>
          </w:p>
        </w:tc>
        <w:tc>
          <w:tcPr>
            <w:tcW w:w="180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40" w:type="dxa"/>
            <w:vAlign w:val="bottom"/>
            <w:gridSpan w:val="4"/>
          </w:tcPr>
          <w:p>
            <w:pPr>
              <w:spacing w:after="0"/>
              <w:rPr>
                <w:sz w:val="20"/>
                <w:szCs w:val="20"/>
                <w:color w:val="auto"/>
              </w:rPr>
            </w:pPr>
            <w:r>
              <w:rPr>
                <w:rFonts w:ascii="Arial" w:cs="Arial" w:eastAsia="Arial" w:hAnsi="Arial"/>
                <w:sz w:val="16"/>
                <w:szCs w:val="16"/>
                <w:color w:val="auto"/>
              </w:rPr>
              <w:t>As of January 1, 2020</w:t>
            </w:r>
          </w:p>
        </w:tc>
        <w:tc>
          <w:tcPr>
            <w:tcW w:w="1800" w:type="dxa"/>
            <w:vAlign w:val="bottom"/>
          </w:tcPr>
          <w:p>
            <w:pPr>
              <w:jc w:val="right"/>
              <w:spacing w:after="0"/>
              <w:rPr>
                <w:sz w:val="20"/>
                <w:szCs w:val="20"/>
                <w:color w:val="auto"/>
              </w:rPr>
            </w:pPr>
            <w:r>
              <w:rPr>
                <w:rFonts w:ascii="Arial" w:cs="Arial" w:eastAsia="Arial" w:hAnsi="Arial"/>
                <w:sz w:val="16"/>
                <w:szCs w:val="16"/>
                <w:color w:val="auto"/>
              </w:rPr>
              <w:t>2,859,172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Additions</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color w:val="auto"/>
              </w:rPr>
              <w:t>Fully amortized dry-docking component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340" w:type="dxa"/>
            <w:vAlign w:val="bottom"/>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2020</w:t>
            </w:r>
          </w:p>
        </w:tc>
        <w:tc>
          <w:tcPr>
            <w:tcW w:w="1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2,863,153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40" w:type="dxa"/>
            <w:vAlign w:val="bottom"/>
            <w:gridSpan w:val="4"/>
            <w:shd w:val="clear" w:color="auto" w:fill="E5FFFF"/>
          </w:tcPr>
          <w:p>
            <w:pPr>
              <w:spacing w:after="0"/>
              <w:rPr>
                <w:sz w:val="20"/>
                <w:szCs w:val="20"/>
                <w:color w:val="auto"/>
              </w:rPr>
            </w:pPr>
            <w:r>
              <w:rPr>
                <w:rFonts w:ascii="Arial" w:cs="Arial" w:eastAsia="Arial" w:hAnsi="Arial"/>
                <w:sz w:val="16"/>
                <w:szCs w:val="16"/>
                <w:b w:val="1"/>
                <w:bCs w:val="1"/>
                <w:color w:val="auto"/>
              </w:rPr>
              <w:t>Accumulated depreciation</w:t>
            </w:r>
          </w:p>
        </w:tc>
        <w:tc>
          <w:tcPr>
            <w:tcW w:w="18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gridSpan w:val="4"/>
          </w:tcPr>
          <w:p>
            <w:pPr>
              <w:spacing w:after="0"/>
              <w:rPr>
                <w:sz w:val="20"/>
                <w:szCs w:val="20"/>
                <w:color w:val="auto"/>
              </w:rPr>
            </w:pPr>
            <w:r>
              <w:rPr>
                <w:rFonts w:ascii="Arial" w:cs="Arial" w:eastAsia="Arial" w:hAnsi="Arial"/>
                <w:sz w:val="16"/>
                <w:szCs w:val="16"/>
                <w:color w:val="auto"/>
              </w:rPr>
              <w:t>As of January 1, 2020</w:t>
            </w:r>
          </w:p>
        </w:tc>
        <w:tc>
          <w:tcPr>
            <w:tcW w:w="1800" w:type="dxa"/>
            <w:vAlign w:val="bottom"/>
          </w:tcPr>
          <w:p>
            <w:pPr>
              <w:jc w:val="right"/>
              <w:spacing w:after="0"/>
              <w:rPr>
                <w:sz w:val="20"/>
                <w:szCs w:val="20"/>
                <w:color w:val="auto"/>
              </w:rPr>
            </w:pPr>
            <w:r>
              <w:rPr>
                <w:rFonts w:ascii="Arial" w:cs="Arial" w:eastAsia="Arial" w:hAnsi="Arial"/>
                <w:sz w:val="16"/>
                <w:szCs w:val="16"/>
                <w:color w:val="auto"/>
              </w:rPr>
              <w:t>572,742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20,461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color w:val="auto"/>
              </w:rPr>
              <w:t>Fully amortized dry-docking component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340" w:type="dxa"/>
            <w:vAlign w:val="bottom"/>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2020</w:t>
            </w:r>
          </w:p>
        </w:tc>
        <w:tc>
          <w:tcPr>
            <w:tcW w:w="1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590,761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340" w:type="dxa"/>
            <w:vAlign w:val="bottom"/>
            <w:gridSpan w:val="4"/>
            <w:shd w:val="clear" w:color="auto" w:fill="E5FFFF"/>
          </w:tcPr>
          <w:p>
            <w:pPr>
              <w:spacing w:after="0"/>
              <w:rPr>
                <w:sz w:val="20"/>
                <w:szCs w:val="20"/>
                <w:color w:val="auto"/>
              </w:rPr>
            </w:pPr>
            <w:r>
              <w:rPr>
                <w:rFonts w:ascii="Arial" w:cs="Arial" w:eastAsia="Arial" w:hAnsi="Arial"/>
                <w:sz w:val="16"/>
                <w:szCs w:val="16"/>
                <w:b w:val="1"/>
                <w:bCs w:val="1"/>
                <w:color w:val="auto"/>
              </w:rPr>
              <w:t>Net book value</w:t>
            </w:r>
          </w:p>
        </w:tc>
        <w:tc>
          <w:tcPr>
            <w:tcW w:w="18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b w:val="1"/>
                <w:bCs w:val="1"/>
                <w:color w:val="auto"/>
              </w:rPr>
              <w:t>As of December 31, 2019</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2,286,430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340" w:type="dxa"/>
            <w:vAlign w:val="bottom"/>
            <w:tcBorders>
              <w:bottom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2020</w:t>
            </w:r>
          </w:p>
        </w:tc>
        <w:tc>
          <w:tcPr>
            <w:tcW w:w="1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2,272,392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020" w:type="dxa"/>
            <w:vAlign w:val="bottom"/>
            <w:gridSpan w:val="3"/>
            <w:vMerge w:val="restart"/>
          </w:tcPr>
          <w:p>
            <w:pPr>
              <w:ind w:left="100"/>
              <w:spacing w:after="0"/>
              <w:rPr>
                <w:sz w:val="20"/>
                <w:szCs w:val="20"/>
                <w:color w:val="auto"/>
              </w:rPr>
            </w:pPr>
            <w:r>
              <w:rPr>
                <w:rFonts w:ascii="Arial" w:cs="Arial" w:eastAsia="Arial" w:hAnsi="Arial"/>
                <w:sz w:val="16"/>
                <w:szCs w:val="16"/>
                <w:color w:val="auto"/>
              </w:rPr>
              <w:t>All vessels have been pledged as collateral under the terms of the Partnership’s bank loan agreements.</w:t>
            </w: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20" w:type="dxa"/>
            <w:vAlign w:val="bottom"/>
          </w:tcPr>
          <w:p>
            <w:pPr>
              <w:spacing w:after="0"/>
              <w:rPr>
                <w:sz w:val="24"/>
                <w:szCs w:val="24"/>
                <w:color w:val="auto"/>
              </w:rPr>
            </w:pPr>
          </w:p>
        </w:tc>
        <w:tc>
          <w:tcPr>
            <w:tcW w:w="9020" w:type="dxa"/>
            <w:vAlign w:val="bottom"/>
            <w:gridSpan w:val="3"/>
            <w:vMerge w:val="continue"/>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340" w:type="dxa"/>
            <w:vAlign w:val="bottom"/>
            <w:gridSpan w:val="4"/>
          </w:tcPr>
          <w:p>
            <w:pPr>
              <w:spacing w:after="0"/>
              <w:rPr>
                <w:sz w:val="20"/>
                <w:szCs w:val="20"/>
                <w:color w:val="auto"/>
              </w:rPr>
            </w:pPr>
            <w:r>
              <w:rPr>
                <w:rFonts w:ascii="Arial" w:cs="Arial" w:eastAsia="Arial" w:hAnsi="Arial"/>
                <w:sz w:val="16"/>
                <w:szCs w:val="16"/>
                <w:b w:val="1"/>
                <w:bCs w:val="1"/>
                <w:color w:val="auto"/>
              </w:rPr>
              <w:t>5. Leases</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9020" w:type="dxa"/>
            <w:vAlign w:val="bottom"/>
            <w:gridSpan w:val="3"/>
          </w:tcPr>
          <w:p>
            <w:pPr>
              <w:ind w:left="80"/>
              <w:spacing w:after="0"/>
              <w:rPr>
                <w:sz w:val="20"/>
                <w:szCs w:val="20"/>
                <w:color w:val="auto"/>
              </w:rPr>
            </w:pPr>
            <w:r>
              <w:rPr>
                <w:rFonts w:ascii="Arial" w:cs="Arial" w:eastAsia="Arial" w:hAnsi="Arial"/>
                <w:sz w:val="16"/>
                <w:szCs w:val="16"/>
                <w:color w:val="auto"/>
              </w:rPr>
              <w:t>The movements in right-of use assets and lease liabilities are reported in the following tables:</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8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Vessel equipment</w:t>
            </w:r>
          </w:p>
        </w:tc>
        <w:tc>
          <w:tcPr>
            <w:tcW w:w="0" w:type="dxa"/>
            <w:vAlign w:val="bottom"/>
          </w:tcPr>
          <w:p>
            <w:pPr>
              <w:spacing w:after="0"/>
              <w:rPr>
                <w:sz w:val="1"/>
                <w:szCs w:val="1"/>
                <w:color w:val="auto"/>
              </w:rPr>
            </w:pPr>
          </w:p>
        </w:tc>
      </w:tr>
      <w:tr>
        <w:trPr>
          <w:trHeight w:val="165"/>
        </w:trPr>
        <w:tc>
          <w:tcPr>
            <w:tcW w:w="1300" w:type="dxa"/>
            <w:vAlign w:val="bottom"/>
            <w:tcBorders>
              <w:top w:val="single" w:sz="8" w:color="E5FFFF"/>
              <w:bottom w:val="single" w:sz="8" w:color="auto"/>
            </w:tcBorders>
            <w:gridSpan w:val="3"/>
            <w:shd w:val="clear" w:color="auto" w:fill="E5FFFF"/>
          </w:tcPr>
          <w:p>
            <w:pPr>
              <w:spacing w:after="0" w:line="145" w:lineRule="exact"/>
              <w:rPr>
                <w:sz w:val="20"/>
                <w:szCs w:val="20"/>
                <w:color w:val="auto"/>
              </w:rPr>
            </w:pPr>
            <w:r>
              <w:rPr>
                <w:rFonts w:ascii="Arial" w:cs="Arial" w:eastAsia="Arial" w:hAnsi="Arial"/>
                <w:sz w:val="16"/>
                <w:szCs w:val="16"/>
                <w:b w:val="1"/>
                <w:bCs w:val="1"/>
                <w:color w:val="auto"/>
                <w:w w:val="86"/>
              </w:rPr>
              <w:t>Right-of-use assets</w:t>
            </w:r>
          </w:p>
        </w:tc>
        <w:tc>
          <w:tcPr>
            <w:tcW w:w="8040" w:type="dxa"/>
            <w:vAlign w:val="bottom"/>
            <w:tcBorders>
              <w:top w:val="single" w:sz="8" w:color="E5FFFF"/>
              <w:bottom w:val="single" w:sz="8" w:color="E5FFFF"/>
            </w:tcBorders>
            <w:shd w:val="clear" w:color="auto" w:fill="E5FFFF"/>
          </w:tcPr>
          <w:p>
            <w:pPr>
              <w:spacing w:after="0"/>
              <w:rPr>
                <w:sz w:val="14"/>
                <w:szCs w:val="14"/>
                <w:color w:val="auto"/>
              </w:rPr>
            </w:pPr>
          </w:p>
        </w:tc>
        <w:tc>
          <w:tcPr>
            <w:tcW w:w="1800" w:type="dxa"/>
            <w:vAlign w:val="bottom"/>
            <w:tcBorders>
              <w:top w:val="single" w:sz="8" w:color="auto"/>
              <w:bottom w:val="single" w:sz="8" w:color="E5FFFF"/>
            </w:tcBorders>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340" w:type="dxa"/>
            <w:vAlign w:val="bottom"/>
            <w:gridSpan w:val="4"/>
          </w:tcPr>
          <w:p>
            <w:pPr>
              <w:spacing w:after="0"/>
              <w:rPr>
                <w:sz w:val="20"/>
                <w:szCs w:val="20"/>
                <w:color w:val="auto"/>
              </w:rPr>
            </w:pPr>
            <w:r>
              <w:rPr>
                <w:rFonts w:ascii="Arial" w:cs="Arial" w:eastAsia="Arial" w:hAnsi="Arial"/>
                <w:sz w:val="16"/>
                <w:szCs w:val="16"/>
                <w:b w:val="1"/>
                <w:bCs w:val="1"/>
                <w:color w:val="auto"/>
              </w:rPr>
              <w:t>As of January 1, 2020</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1,033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34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b w:val="1"/>
                <w:bCs w:val="1"/>
                <w:color w:val="auto"/>
              </w:rPr>
              <w:t>As of March 31, 2020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40" w:type="dxa"/>
            <w:vAlign w:val="bottom"/>
            <w:shd w:val="clear" w:color="auto" w:fill="E5FFFF"/>
          </w:tcPr>
          <w:p>
            <w:pPr>
              <w:spacing w:after="0"/>
              <w:rPr>
                <w:sz w:val="18"/>
                <w:szCs w:val="18"/>
                <w:color w:val="auto"/>
              </w:rPr>
            </w:pPr>
          </w:p>
        </w:tc>
        <w:tc>
          <w:tcPr>
            <w:tcW w:w="18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340" w:type="dxa"/>
            <w:vAlign w:val="bottom"/>
            <w:gridSpan w:val="4"/>
          </w:tcPr>
          <w:p>
            <w:pPr>
              <w:spacing w:after="0" w:line="162" w:lineRule="exact"/>
              <w:rPr>
                <w:sz w:val="20"/>
                <w:szCs w:val="20"/>
                <w:color w:val="auto"/>
              </w:rPr>
            </w:pPr>
            <w:r>
              <w:rPr>
                <w:rFonts w:ascii="Arial" w:cs="Arial" w:eastAsia="Arial" w:hAnsi="Arial"/>
                <w:sz w:val="16"/>
                <w:szCs w:val="16"/>
                <w:b w:val="1"/>
                <w:bCs w:val="1"/>
                <w:color w:val="auto"/>
              </w:rPr>
              <w:t>Lease liabilities</w:t>
            </w: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40" w:type="dxa"/>
            <w:vAlign w:val="bottom"/>
            <w:gridSpan w:val="4"/>
            <w:shd w:val="clear" w:color="auto" w:fill="E5FFFF"/>
          </w:tcPr>
          <w:p>
            <w:pPr>
              <w:spacing w:after="0"/>
              <w:rPr>
                <w:sz w:val="20"/>
                <w:szCs w:val="20"/>
                <w:color w:val="auto"/>
              </w:rPr>
            </w:pPr>
            <w:r>
              <w:rPr>
                <w:rFonts w:ascii="Arial" w:cs="Arial" w:eastAsia="Arial" w:hAnsi="Arial"/>
                <w:sz w:val="16"/>
                <w:szCs w:val="16"/>
                <w:b w:val="1"/>
                <w:bCs w:val="1"/>
                <w:color w:val="auto"/>
              </w:rPr>
              <w:t>As of January 1, 2020</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886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gridSpan w:val="4"/>
          </w:tcPr>
          <w:p>
            <w:pPr>
              <w:spacing w:after="0"/>
              <w:rPr>
                <w:sz w:val="20"/>
                <w:szCs w:val="20"/>
                <w:color w:val="auto"/>
              </w:rPr>
            </w:pPr>
            <w:r>
              <w:rPr>
                <w:rFonts w:ascii="Arial" w:cs="Arial" w:eastAsia="Arial" w:hAnsi="Arial"/>
                <w:sz w:val="16"/>
                <w:szCs w:val="16"/>
                <w:color w:val="auto"/>
              </w:rPr>
              <w:t>Lease expense (Note 14)</w:t>
            </w:r>
          </w:p>
        </w:tc>
        <w:tc>
          <w:tcPr>
            <w:tcW w:w="180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Payments</w:t>
            </w:r>
          </w:p>
        </w:tc>
        <w:tc>
          <w:tcPr>
            <w:tcW w:w="1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34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b w:val="1"/>
                <w:bCs w:val="1"/>
                <w:color w:val="auto"/>
              </w:rPr>
              <w:t>As of March 31, 2020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3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Lease liabilities, current portion</w:t>
            </w:r>
          </w:p>
        </w:tc>
        <w:tc>
          <w:tcPr>
            <w:tcW w:w="1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color w:val="auto"/>
              </w:rPr>
              <w:t>Lease liabilities, non-current portion</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340" w:type="dxa"/>
            <w:vAlign w:val="bottom"/>
            <w:gridSpan w:val="4"/>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600" w:firstLine="383"/>
        <w:spacing w:after="0" w:line="328" w:lineRule="auto"/>
        <w:rPr>
          <w:sz w:val="20"/>
          <w:szCs w:val="20"/>
          <w:color w:val="auto"/>
        </w:rPr>
      </w:pPr>
      <w:r>
        <w:rPr>
          <w:rFonts w:ascii="Arial" w:cs="Arial" w:eastAsia="Arial" w:hAnsi="Arial"/>
          <w:sz w:val="15"/>
          <w:szCs w:val="15"/>
          <w:color w:val="auto"/>
        </w:rPr>
        <w:t>An amount of $86 has been recognized in the unaudited condensed consolidated statement of profit or loss for the three months ended March 31, 2020, which represents the lease expense incurred for low value leases not included in the measurement of the right-of-use assets and lease liabilities.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0"/>
        </w:trPr>
        <w:tc>
          <w:tcPr>
            <w:tcW w:w="8260" w:type="dxa"/>
            <w:vAlign w:val="bottom"/>
            <w:gridSpan w:val="2"/>
          </w:tcPr>
          <w:p>
            <w:pPr>
              <w:spacing w:after="0"/>
              <w:rPr>
                <w:sz w:val="20"/>
                <w:szCs w:val="20"/>
                <w:color w:val="auto"/>
              </w:rPr>
            </w:pPr>
            <w:r>
              <w:rPr>
                <w:rFonts w:ascii="Arial" w:cs="Arial" w:eastAsia="Arial" w:hAnsi="Arial"/>
                <w:sz w:val="16"/>
                <w:szCs w:val="16"/>
                <w:b w:val="1"/>
                <w:bCs w:val="1"/>
                <w:color w:val="auto"/>
              </w:rPr>
              <w:t>6. Prepayments and Other Current Assets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18"/>
        </w:trPr>
        <w:tc>
          <w:tcPr>
            <w:tcW w:w="120" w:type="dxa"/>
            <w:vAlign w:val="bottom"/>
          </w:tcPr>
          <w:p>
            <w:pPr>
              <w:spacing w:after="0"/>
              <w:rPr>
                <w:sz w:val="24"/>
                <w:szCs w:val="24"/>
                <w:color w:val="auto"/>
              </w:rPr>
            </w:pPr>
          </w:p>
        </w:tc>
        <w:tc>
          <w:tcPr>
            <w:tcW w:w="8140" w:type="dxa"/>
            <w:vAlign w:val="bottom"/>
          </w:tcPr>
          <w:p>
            <w:pPr>
              <w:ind w:left="280"/>
              <w:spacing w:after="0"/>
              <w:rPr>
                <w:sz w:val="20"/>
                <w:szCs w:val="20"/>
                <w:color w:val="auto"/>
              </w:rPr>
            </w:pPr>
            <w:r>
              <w:rPr>
                <w:rFonts w:ascii="Arial" w:cs="Arial" w:eastAsia="Arial" w:hAnsi="Arial"/>
                <w:sz w:val="16"/>
                <w:szCs w:val="16"/>
                <w:color w:val="auto"/>
              </w:rPr>
              <w:t>An analysis of prepayments and other current assets is as follows: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1"/>
        </w:trPr>
        <w:tc>
          <w:tcPr>
            <w:tcW w:w="1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1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December 31, 2019</w:t>
            </w: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99"/>
        </w:trPr>
        <w:tc>
          <w:tcPr>
            <w:tcW w:w="120" w:type="dxa"/>
            <w:vAlign w:val="bottom"/>
          </w:tcPr>
          <w:p>
            <w:pPr>
              <w:spacing w:after="0"/>
              <w:rPr>
                <w:sz w:val="17"/>
                <w:szCs w:val="17"/>
                <w:color w:val="auto"/>
              </w:rPr>
            </w:pPr>
          </w:p>
        </w:tc>
        <w:tc>
          <w:tcPr>
            <w:tcW w:w="8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Prepayments</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1,597</w:t>
            </w:r>
          </w:p>
        </w:tc>
        <w:tc>
          <w:tcPr>
            <w:tcW w:w="2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1,721</w:t>
            </w:r>
          </w:p>
        </w:tc>
      </w:tr>
      <w:tr>
        <w:trPr>
          <w:trHeight w:val="203"/>
        </w:trPr>
        <w:tc>
          <w:tcPr>
            <w:tcW w:w="1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Other current assets</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03"/>
        </w:trPr>
        <w:tc>
          <w:tcPr>
            <w:tcW w:w="120" w:type="dxa"/>
            <w:vAlign w:val="bottom"/>
          </w:tcPr>
          <w:p>
            <w:pPr>
              <w:spacing w:after="0"/>
              <w:rPr>
                <w:sz w:val="17"/>
                <w:szCs w:val="17"/>
                <w:color w:val="auto"/>
              </w:rPr>
            </w:pPr>
          </w:p>
        </w:tc>
        <w:tc>
          <w:tcPr>
            <w:tcW w:w="81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1,597</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16,721</w:t>
            </w:r>
          </w:p>
        </w:tc>
      </w:tr>
    </w:tbl>
    <w:p>
      <w:pPr>
        <w:spacing w:after="0" w:line="206" w:lineRule="exact"/>
        <w:rPr>
          <w:sz w:val="20"/>
          <w:szCs w:val="20"/>
          <w:color w:val="auto"/>
        </w:rPr>
      </w:pPr>
    </w:p>
    <w:p>
      <w:pPr>
        <w:ind w:right="520" w:firstLine="396"/>
        <w:spacing w:after="0" w:line="293" w:lineRule="auto"/>
        <w:rPr>
          <w:sz w:val="20"/>
          <w:szCs w:val="20"/>
          <w:color w:val="auto"/>
        </w:rPr>
      </w:pPr>
      <w:r>
        <w:rPr>
          <w:rFonts w:ascii="Arial" w:cs="Arial" w:eastAsia="Arial" w:hAnsi="Arial"/>
          <w:sz w:val="16"/>
          <w:szCs w:val="16"/>
          <w:color w:val="auto"/>
        </w:rPr>
        <w:t>Other current assets comprise $15,000 of cash deposited with GasLog as collateral for the interest rate swaps and forward foreign exchange contracts held with GasLog, pursuant to a Credit Support Annex entered into on March 16, 2020 (Note 3).</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Partners’ Equity</w:t>
      </w:r>
    </w:p>
    <w:p>
      <w:pPr>
        <w:spacing w:after="0" w:line="23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5"/>
          <w:szCs w:val="15"/>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Since the authorization of the unit repurchase programme and through December 31, 2019, GasLog Partners has repurchased and cancelled a total of 1,171,572 units at a weighted average price of $19.52 per common unit for a total amount of $22,890, including commissions.</w:t>
      </w:r>
    </w:p>
    <w:p>
      <w:pPr>
        <w:spacing w:after="0" w:line="172"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5"/>
          <w:szCs w:val="15"/>
          <w:color w:val="auto"/>
        </w:rPr>
        <w:t>On February 5, 2020, the board of directors of GasLog Partners authorized a renewal of the unit repurchase programme taking the total authority outstanding under the programme to $25,000, to be utilized from February 10, 2020 to December 31, 2021. In the three months ended March 31, 2020, GasLog Partners repurchased and cancelled a total of 191,490 units at a weighted average price of $5.18 per common unit for a total amount of $996, including commissions.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gridSpan w:val="2"/>
          </w:tcPr>
          <w:p>
            <w:pPr>
              <w:spacing w:after="0"/>
              <w:rPr>
                <w:sz w:val="20"/>
                <w:szCs w:val="20"/>
                <w:color w:val="auto"/>
              </w:rPr>
            </w:pPr>
            <w:r>
              <w:rPr>
                <w:rFonts w:ascii="Arial" w:cs="Arial" w:eastAsia="Arial" w:hAnsi="Arial"/>
                <w:sz w:val="16"/>
                <w:szCs w:val="16"/>
                <w:b w:val="1"/>
                <w:bCs w:val="1"/>
                <w:color w:val="auto"/>
              </w:rPr>
              <w:t>8. Borrowings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1"/>
        </w:trPr>
        <w:tc>
          <w:tcPr>
            <w:tcW w:w="1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1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December 31, 2019</w:t>
            </w: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r>
      <w:tr>
        <w:trPr>
          <w:trHeight w:val="199"/>
        </w:trPr>
        <w:tc>
          <w:tcPr>
            <w:tcW w:w="120" w:type="dxa"/>
            <w:vAlign w:val="bottom"/>
          </w:tcPr>
          <w:p>
            <w:pPr>
              <w:spacing w:after="0"/>
              <w:rPr>
                <w:sz w:val="17"/>
                <w:szCs w:val="17"/>
                <w:color w:val="auto"/>
              </w:rPr>
            </w:pPr>
          </w:p>
        </w:tc>
        <w:tc>
          <w:tcPr>
            <w:tcW w:w="8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115,572</w:t>
            </w:r>
          </w:p>
        </w:tc>
        <w:tc>
          <w:tcPr>
            <w:tcW w:w="2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115,572</w:t>
            </w:r>
          </w:p>
        </w:tc>
        <w:tc>
          <w:tcPr>
            <w:tcW w:w="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Less: unamortized deferred loan issuance costs</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(5,750)</w:t>
            </w:r>
          </w:p>
        </w:tc>
        <w:tc>
          <w:tcPr>
            <w:tcW w:w="1320" w:type="dxa"/>
            <w:vAlign w:val="bottom"/>
          </w:tcPr>
          <w:p>
            <w:pPr>
              <w:jc w:val="right"/>
              <w:spacing w:after="0"/>
              <w:rPr>
                <w:sz w:val="20"/>
                <w:szCs w:val="20"/>
                <w:color w:val="auto"/>
              </w:rPr>
            </w:pPr>
            <w:r>
              <w:rPr>
                <w:rFonts w:ascii="Arial" w:cs="Arial" w:eastAsia="Arial" w:hAnsi="Arial"/>
                <w:sz w:val="16"/>
                <w:szCs w:val="16"/>
                <w:color w:val="auto"/>
              </w:rPr>
              <w:t>(5,652)</w:t>
            </w:r>
          </w:p>
        </w:tc>
        <w:tc>
          <w:tcPr>
            <w:tcW w:w="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 current portion</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109,822</w:t>
            </w:r>
          </w:p>
        </w:tc>
        <w:tc>
          <w:tcPr>
            <w:tcW w:w="2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109,920</w:t>
            </w:r>
          </w:p>
        </w:tc>
        <w:tc>
          <w:tcPr>
            <w:tcW w:w="60" w:type="dxa"/>
            <w:vAlign w:val="bottom"/>
          </w:tcPr>
          <w:p>
            <w:pPr>
              <w:spacing w:after="0"/>
              <w:rPr>
                <w:sz w:val="17"/>
                <w:szCs w:val="17"/>
                <w:color w:val="auto"/>
              </w:rPr>
            </w:pPr>
          </w:p>
        </w:tc>
      </w:tr>
      <w:tr>
        <w:trPr>
          <w:trHeight w:val="196"/>
        </w:trPr>
        <w:tc>
          <w:tcPr>
            <w:tcW w:w="8260" w:type="dxa"/>
            <w:vAlign w:val="bottom"/>
            <w:gridSpan w:val="2"/>
          </w:tcPr>
          <w:p>
            <w:pPr>
              <w:ind w:left="120"/>
              <w:spacing w:after="0"/>
              <w:rPr>
                <w:sz w:val="20"/>
                <w:szCs w:val="20"/>
                <w:color w:val="auto"/>
              </w:rPr>
            </w:pPr>
            <w:r>
              <w:rPr>
                <w:rFonts w:ascii="Arial" w:cs="Arial" w:eastAsia="Arial" w:hAnsi="Arial"/>
                <w:sz w:val="16"/>
                <w:szCs w:val="16"/>
                <w:color w:val="auto"/>
              </w:rPr>
              <w:t>Amounts due after one year</w:t>
            </w:r>
          </w:p>
        </w:tc>
        <w:tc>
          <w:tcPr>
            <w:tcW w:w="1380" w:type="dxa"/>
            <w:vAlign w:val="bottom"/>
          </w:tcPr>
          <w:p>
            <w:pPr>
              <w:jc w:val="right"/>
              <w:spacing w:after="0"/>
              <w:rPr>
                <w:sz w:val="20"/>
                <w:szCs w:val="20"/>
                <w:color w:val="auto"/>
              </w:rPr>
            </w:pPr>
            <w:r>
              <w:rPr>
                <w:rFonts w:ascii="Arial" w:cs="Arial" w:eastAsia="Arial" w:hAnsi="Arial"/>
                <w:sz w:val="16"/>
                <w:szCs w:val="16"/>
                <w:color w:val="auto"/>
              </w:rPr>
              <w:t>1,250,059</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1,243,324</w:t>
            </w:r>
          </w:p>
        </w:tc>
        <w:tc>
          <w:tcPr>
            <w:tcW w:w="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 issuance costs</w:t>
            </w:r>
          </w:p>
        </w:tc>
        <w:tc>
          <w:tcPr>
            <w:tcW w:w="158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(13,857)</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(12,483)</w:t>
            </w:r>
          </w:p>
        </w:tc>
        <w:tc>
          <w:tcPr>
            <w:tcW w:w="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1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Borrowings — non-current portion</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1,236,202</w:t>
            </w:r>
          </w:p>
        </w:tc>
        <w:tc>
          <w:tcPr>
            <w:tcW w:w="20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1,230,841</w:t>
            </w:r>
          </w:p>
        </w:tc>
        <w:tc>
          <w:tcPr>
            <w:tcW w:w="6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81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1,346,024</w:t>
            </w:r>
          </w:p>
        </w:tc>
        <w:tc>
          <w:tcPr>
            <w:tcW w:w="20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1,340,761</w:t>
            </w:r>
          </w:p>
        </w:tc>
        <w:tc>
          <w:tcPr>
            <w:tcW w:w="60" w:type="dxa"/>
            <w:vAlign w:val="bottom"/>
          </w:tcPr>
          <w:p>
            <w:pPr>
              <w:spacing w:after="0"/>
              <w:rPr>
                <w:sz w:val="17"/>
                <w:szCs w:val="17"/>
                <w:color w:val="auto"/>
              </w:rPr>
            </w:pPr>
          </w:p>
        </w:tc>
      </w:tr>
    </w:tbl>
    <w:p>
      <w:pPr>
        <w:spacing w:after="0" w:line="206" w:lineRule="exact"/>
        <w:rPr>
          <w:sz w:val="20"/>
          <w:szCs w:val="20"/>
          <w:color w:val="auto"/>
        </w:rPr>
      </w:pPr>
    </w:p>
    <w:p>
      <w:pPr>
        <w:jc w:val="both"/>
        <w:ind w:right="300" w:firstLine="405"/>
        <w:spacing w:after="0" w:line="369" w:lineRule="auto"/>
        <w:rPr>
          <w:sz w:val="20"/>
          <w:szCs w:val="20"/>
          <w:color w:val="auto"/>
        </w:rPr>
      </w:pPr>
      <w:r>
        <w:rPr>
          <w:rFonts w:ascii="Arial" w:cs="Arial" w:eastAsia="Arial" w:hAnsi="Arial"/>
          <w:sz w:val="14"/>
          <w:szCs w:val="14"/>
          <w:color w:val="auto"/>
        </w:rPr>
        <w:t>The main terms of the bank loan facilities, including financial covenants, and the Sponsor Credit Facility have been disclosed in the annual consolidated financial statements for the year ended December 31, 2019. Refer to Note 7 “Borrowings”. GasLog Partners was in compliance with its financial covenants as of March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gridSpan w:val="2"/>
          </w:tcPr>
          <w:p>
            <w:pPr>
              <w:spacing w:after="0"/>
              <w:rPr>
                <w:sz w:val="20"/>
                <w:szCs w:val="20"/>
                <w:color w:val="auto"/>
              </w:rPr>
            </w:pPr>
            <w:r>
              <w:rPr>
                <w:rFonts w:ascii="Arial" w:cs="Arial" w:eastAsia="Arial" w:hAnsi="Arial"/>
                <w:sz w:val="16"/>
                <w:szCs w:val="16"/>
                <w:b w:val="1"/>
                <w:bCs w:val="1"/>
                <w:color w:val="auto"/>
              </w:rPr>
              <w:t>9. Other Payables and Accruals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18"/>
        </w:trPr>
        <w:tc>
          <w:tcPr>
            <w:tcW w:w="120" w:type="dxa"/>
            <w:vAlign w:val="bottom"/>
          </w:tcPr>
          <w:p>
            <w:pPr>
              <w:spacing w:after="0"/>
              <w:rPr>
                <w:sz w:val="24"/>
                <w:szCs w:val="24"/>
                <w:color w:val="auto"/>
              </w:rPr>
            </w:pPr>
          </w:p>
        </w:tc>
        <w:tc>
          <w:tcPr>
            <w:tcW w:w="8140" w:type="dxa"/>
            <w:vAlign w:val="bottom"/>
          </w:tcPr>
          <w:p>
            <w:pPr>
              <w:ind w:left="280"/>
              <w:spacing w:after="0"/>
              <w:rPr>
                <w:sz w:val="20"/>
                <w:szCs w:val="20"/>
                <w:color w:val="auto"/>
              </w:rPr>
            </w:pPr>
            <w:r>
              <w:rPr>
                <w:rFonts w:ascii="Arial" w:cs="Arial" w:eastAsia="Arial" w:hAnsi="Arial"/>
                <w:sz w:val="16"/>
                <w:szCs w:val="16"/>
                <w:color w:val="auto"/>
              </w:rPr>
              <w:t>An analysis of other payables and accruals is as follows: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1"/>
        </w:trPr>
        <w:tc>
          <w:tcPr>
            <w:tcW w:w="1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1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December 31, 2019</w:t>
            </w: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99"/>
        </w:trPr>
        <w:tc>
          <w:tcPr>
            <w:tcW w:w="120" w:type="dxa"/>
            <w:vAlign w:val="bottom"/>
          </w:tcPr>
          <w:p>
            <w:pPr>
              <w:spacing w:after="0"/>
              <w:rPr>
                <w:sz w:val="17"/>
                <w:szCs w:val="17"/>
                <w:color w:val="auto"/>
              </w:rPr>
            </w:pPr>
          </w:p>
        </w:tc>
        <w:tc>
          <w:tcPr>
            <w:tcW w:w="8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27,916</w:t>
            </w:r>
          </w:p>
        </w:tc>
        <w:tc>
          <w:tcPr>
            <w:tcW w:w="2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3,863</w:t>
            </w:r>
          </w:p>
        </w:tc>
      </w:tr>
      <w:tr>
        <w:trPr>
          <w:trHeight w:val="203"/>
        </w:trPr>
        <w:tc>
          <w:tcPr>
            <w:tcW w:w="1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Accrued off-hire</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1,688</w:t>
            </w:r>
          </w:p>
        </w:tc>
        <w:tc>
          <w:tcPr>
            <w:tcW w:w="1320" w:type="dxa"/>
            <w:vAlign w:val="bottom"/>
          </w:tcPr>
          <w:p>
            <w:pPr>
              <w:jc w:val="right"/>
              <w:spacing w:after="0"/>
              <w:rPr>
                <w:sz w:val="20"/>
                <w:szCs w:val="20"/>
                <w:color w:val="auto"/>
              </w:rPr>
            </w:pPr>
            <w:r>
              <w:rPr>
                <w:rFonts w:ascii="Arial" w:cs="Arial" w:eastAsia="Arial" w:hAnsi="Arial"/>
                <w:sz w:val="16"/>
                <w:szCs w:val="16"/>
                <w:color w:val="auto"/>
              </w:rPr>
              <w:t>3,338</w:t>
            </w:r>
          </w:p>
        </w:tc>
      </w:tr>
      <w:tr>
        <w:trPr>
          <w:trHeight w:val="203"/>
        </w:trPr>
        <w:tc>
          <w:tcPr>
            <w:tcW w:w="120" w:type="dxa"/>
            <w:vAlign w:val="bottom"/>
          </w:tcPr>
          <w:p>
            <w:pPr>
              <w:spacing w:after="0"/>
              <w:rPr>
                <w:sz w:val="17"/>
                <w:szCs w:val="17"/>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6"/>
                <w:szCs w:val="16"/>
                <w:color w:val="auto"/>
              </w:rPr>
              <w:t>Accrued purchases</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3,335</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7,050</w:t>
            </w:r>
          </w:p>
        </w:tc>
      </w:tr>
      <w:tr>
        <w:trPr>
          <w:trHeight w:val="203"/>
        </w:trPr>
        <w:tc>
          <w:tcPr>
            <w:tcW w:w="1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Accrued interest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12,393</w:t>
            </w:r>
          </w:p>
        </w:tc>
        <w:tc>
          <w:tcPr>
            <w:tcW w:w="1320" w:type="dxa"/>
            <w:vAlign w:val="bottom"/>
          </w:tcPr>
          <w:p>
            <w:pPr>
              <w:jc w:val="right"/>
              <w:spacing w:after="0"/>
              <w:rPr>
                <w:sz w:val="20"/>
                <w:szCs w:val="20"/>
                <w:color w:val="auto"/>
              </w:rPr>
            </w:pPr>
            <w:r>
              <w:rPr>
                <w:rFonts w:ascii="Arial" w:cs="Arial" w:eastAsia="Arial" w:hAnsi="Arial"/>
                <w:sz w:val="16"/>
                <w:szCs w:val="16"/>
                <w:color w:val="auto"/>
              </w:rPr>
              <w:t>9,568</w:t>
            </w:r>
          </w:p>
        </w:tc>
      </w:tr>
      <w:tr>
        <w:trPr>
          <w:trHeight w:val="203"/>
        </w:trPr>
        <w:tc>
          <w:tcPr>
            <w:tcW w:w="120" w:type="dxa"/>
            <w:vAlign w:val="bottom"/>
          </w:tcPr>
          <w:p>
            <w:pPr>
              <w:spacing w:after="0"/>
              <w:rPr>
                <w:sz w:val="17"/>
                <w:szCs w:val="17"/>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6"/>
                <w:szCs w:val="16"/>
                <w:color w:val="auto"/>
              </w:rPr>
              <w:t>Other accruals</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6,238</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8,232</w:t>
            </w:r>
          </w:p>
        </w:tc>
      </w:tr>
      <w:tr>
        <w:trPr>
          <w:trHeight w:val="203"/>
        </w:trPr>
        <w:tc>
          <w:tcPr>
            <w:tcW w:w="82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51,570</w:t>
            </w:r>
          </w:p>
        </w:tc>
        <w:tc>
          <w:tcPr>
            <w:tcW w:w="2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32,051</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0"/>
        </w:trPr>
        <w:tc>
          <w:tcPr>
            <w:tcW w:w="8260" w:type="dxa"/>
            <w:vAlign w:val="bottom"/>
            <w:gridSpan w:val="2"/>
          </w:tcPr>
          <w:p>
            <w:pPr>
              <w:spacing w:after="0"/>
              <w:rPr>
                <w:sz w:val="20"/>
                <w:szCs w:val="20"/>
                <w:color w:val="auto"/>
              </w:rPr>
            </w:pPr>
            <w:r>
              <w:rPr>
                <w:rFonts w:ascii="Arial" w:cs="Arial" w:eastAsia="Arial" w:hAnsi="Arial"/>
                <w:sz w:val="16"/>
                <w:szCs w:val="16"/>
                <w:b w:val="1"/>
                <w:bCs w:val="1"/>
                <w:color w:val="auto"/>
              </w:rPr>
              <w:t>10. Revenues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18"/>
        </w:trPr>
        <w:tc>
          <w:tcPr>
            <w:tcW w:w="120" w:type="dxa"/>
            <w:vAlign w:val="bottom"/>
          </w:tcPr>
          <w:p>
            <w:pPr>
              <w:spacing w:after="0"/>
              <w:rPr>
                <w:sz w:val="24"/>
                <w:szCs w:val="24"/>
                <w:color w:val="auto"/>
              </w:rPr>
            </w:pPr>
          </w:p>
        </w:tc>
        <w:tc>
          <w:tcPr>
            <w:tcW w:w="8140" w:type="dxa"/>
            <w:vAlign w:val="bottom"/>
          </w:tcPr>
          <w:p>
            <w:pPr>
              <w:ind w:left="280"/>
              <w:spacing w:after="0"/>
              <w:rPr>
                <w:sz w:val="20"/>
                <w:szCs w:val="20"/>
                <w:color w:val="auto"/>
              </w:rPr>
            </w:pPr>
            <w:r>
              <w:rPr>
                <w:rFonts w:ascii="Arial" w:cs="Arial" w:eastAsia="Arial" w:hAnsi="Arial"/>
                <w:sz w:val="16"/>
                <w:szCs w:val="16"/>
                <w:color w:val="auto"/>
              </w:rPr>
              <w:t>The Partnership has recognized the following amounts relating to revenues: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1"/>
        </w:trPr>
        <w:tc>
          <w:tcPr>
            <w:tcW w:w="1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900" w:type="dxa"/>
            <w:vAlign w:val="bottom"/>
            <w:gridSpan w:val="3"/>
          </w:tcPr>
          <w:p>
            <w:pPr>
              <w:jc w:val="right"/>
              <w:ind w:right="401"/>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1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 2019</w:t>
            </w: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120" w:type="dxa"/>
            <w:vAlign w:val="bottom"/>
          </w:tcPr>
          <w:p>
            <w:pPr>
              <w:spacing w:after="0"/>
              <w:rPr>
                <w:sz w:val="17"/>
                <w:szCs w:val="17"/>
                <w:color w:val="auto"/>
              </w:rPr>
            </w:pPr>
          </w:p>
        </w:tc>
        <w:tc>
          <w:tcPr>
            <w:tcW w:w="8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 from time charters</w:t>
            </w: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90,187</w:t>
            </w:r>
          </w:p>
        </w:tc>
        <w:tc>
          <w:tcPr>
            <w:tcW w:w="2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91,353</w:t>
            </w:r>
          </w:p>
        </w:tc>
      </w:tr>
      <w:tr>
        <w:trPr>
          <w:trHeight w:val="203"/>
        </w:trPr>
        <w:tc>
          <w:tcPr>
            <w:tcW w:w="1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Revenues from the Cool Pool</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3,698</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0" w:type="dxa"/>
            <w:vAlign w:val="bottom"/>
          </w:tcPr>
          <w:p>
            <w:pPr>
              <w:spacing w:after="0"/>
              <w:rPr>
                <w:sz w:val="17"/>
                <w:szCs w:val="17"/>
                <w:color w:val="auto"/>
              </w:rPr>
            </w:pPr>
          </w:p>
        </w:tc>
        <w:tc>
          <w:tcPr>
            <w:tcW w:w="81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93,885</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91,353</w:t>
            </w:r>
          </w:p>
        </w:tc>
      </w:tr>
    </w:tbl>
    <w:p>
      <w:pPr>
        <w:spacing w:after="0" w:line="206" w:lineRule="exact"/>
        <w:rPr>
          <w:sz w:val="20"/>
          <w:szCs w:val="20"/>
          <w:color w:val="auto"/>
        </w:rPr>
      </w:pPr>
    </w:p>
    <w:p>
      <w:pPr>
        <w:ind w:right="40" w:firstLine="396"/>
        <w:spacing w:after="0" w:line="369" w:lineRule="auto"/>
        <w:rPr>
          <w:sz w:val="20"/>
          <w:szCs w:val="20"/>
          <w:color w:val="auto"/>
        </w:rPr>
      </w:pPr>
      <w:r>
        <w:rPr>
          <w:rFonts w:ascii="Arial" w:cs="Arial" w:eastAsia="Arial" w:hAnsi="Arial"/>
          <w:sz w:val="14"/>
          <w:szCs w:val="14"/>
          <w:color w:val="auto"/>
        </w:rPr>
        <w:t xml:space="preserve">Revenues from the Cool Pool for the three months ended March 31, 2019 relate only to the pool revenues received from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and do not include the Net pool allocation to GasLog Partners of a gain of $34 for the three months ended March 31, 2019.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exited the Cool Pool in June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gridSpan w:val="2"/>
          </w:tcPr>
          <w:p>
            <w:pPr>
              <w:spacing w:after="0"/>
              <w:rPr>
                <w:sz w:val="20"/>
                <w:szCs w:val="20"/>
                <w:color w:val="auto"/>
              </w:rPr>
            </w:pPr>
            <w:r>
              <w:rPr>
                <w:rFonts w:ascii="Arial" w:cs="Arial" w:eastAsia="Arial" w:hAnsi="Arial"/>
                <w:sz w:val="16"/>
                <w:szCs w:val="16"/>
                <w:b w:val="1"/>
                <w:bCs w:val="1"/>
                <w:color w:val="auto"/>
              </w:rPr>
              <w:t>11. General and Administrative Expenses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18"/>
        </w:trPr>
        <w:tc>
          <w:tcPr>
            <w:tcW w:w="120" w:type="dxa"/>
            <w:vAlign w:val="bottom"/>
          </w:tcPr>
          <w:p>
            <w:pPr>
              <w:spacing w:after="0"/>
              <w:rPr>
                <w:sz w:val="24"/>
                <w:szCs w:val="24"/>
                <w:color w:val="auto"/>
              </w:rPr>
            </w:pPr>
          </w:p>
        </w:tc>
        <w:tc>
          <w:tcPr>
            <w:tcW w:w="8140" w:type="dxa"/>
            <w:vAlign w:val="bottom"/>
          </w:tcPr>
          <w:p>
            <w:pPr>
              <w:ind w:left="220"/>
              <w:spacing w:after="0"/>
              <w:rPr>
                <w:sz w:val="20"/>
                <w:szCs w:val="20"/>
                <w:color w:val="auto"/>
              </w:rPr>
            </w:pPr>
            <w:r>
              <w:rPr>
                <w:rFonts w:ascii="Arial" w:cs="Arial" w:eastAsia="Arial" w:hAnsi="Arial"/>
                <w:sz w:val="16"/>
                <w:szCs w:val="16"/>
                <w:color w:val="auto"/>
              </w:rPr>
              <w:t>An analysis of general and administrative expenses is as follows: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1"/>
        </w:trPr>
        <w:tc>
          <w:tcPr>
            <w:tcW w:w="1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9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1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March 31, 2019</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 2020</w:t>
            </w:r>
          </w:p>
        </w:tc>
      </w:tr>
      <w:tr>
        <w:trPr>
          <w:trHeight w:val="199"/>
        </w:trPr>
        <w:tc>
          <w:tcPr>
            <w:tcW w:w="120" w:type="dxa"/>
            <w:vAlign w:val="bottom"/>
          </w:tcPr>
          <w:p>
            <w:pPr>
              <w:spacing w:after="0"/>
              <w:rPr>
                <w:sz w:val="17"/>
                <w:szCs w:val="17"/>
                <w:color w:val="auto"/>
              </w:rPr>
            </w:pPr>
          </w:p>
        </w:tc>
        <w:tc>
          <w:tcPr>
            <w:tcW w:w="8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Administrative fees (Note 3)</w:t>
            </w:r>
          </w:p>
        </w:tc>
        <w:tc>
          <w:tcPr>
            <w:tcW w:w="1380" w:type="dxa"/>
            <w:vAlign w:val="bottom"/>
            <w:tcBorders>
              <w:top w:val="single" w:sz="8" w:color="auto"/>
            </w:tcBorders>
            <w:shd w:val="clear" w:color="auto" w:fill="E5FFFF"/>
          </w:tcPr>
          <w:p>
            <w:pPr>
              <w:ind w:left="1020"/>
              <w:spacing w:after="0"/>
              <w:rPr>
                <w:sz w:val="20"/>
                <w:szCs w:val="20"/>
                <w:color w:val="auto"/>
              </w:rPr>
            </w:pPr>
            <w:r>
              <w:rPr>
                <w:rFonts w:ascii="Arial" w:cs="Arial" w:eastAsia="Arial" w:hAnsi="Arial"/>
                <w:sz w:val="16"/>
                <w:szCs w:val="16"/>
                <w:color w:val="auto"/>
                <w:w w:val="84"/>
              </w:rPr>
              <w:t>2,127</w:t>
            </w:r>
          </w:p>
        </w:tc>
        <w:tc>
          <w:tcPr>
            <w:tcW w:w="2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1,960</w:t>
            </w:r>
          </w:p>
        </w:tc>
      </w:tr>
      <w:tr>
        <w:trPr>
          <w:trHeight w:val="203"/>
        </w:trPr>
        <w:tc>
          <w:tcPr>
            <w:tcW w:w="1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Commercial management fees (Note 3)</w:t>
            </w:r>
          </w:p>
        </w:tc>
        <w:tc>
          <w:tcPr>
            <w:tcW w:w="1580" w:type="dxa"/>
            <w:vAlign w:val="bottom"/>
            <w:gridSpan w:val="2"/>
          </w:tcPr>
          <w:p>
            <w:pPr>
              <w:ind w:left="1020"/>
              <w:spacing w:after="0"/>
              <w:rPr>
                <w:sz w:val="20"/>
                <w:szCs w:val="20"/>
                <w:color w:val="auto"/>
              </w:rPr>
            </w:pPr>
            <w:r>
              <w:rPr>
                <w:rFonts w:ascii="Arial" w:cs="Arial" w:eastAsia="Arial" w:hAnsi="Arial"/>
                <w:sz w:val="16"/>
                <w:szCs w:val="16"/>
                <w:color w:val="auto"/>
              </w:rPr>
              <w:t>1,350</w:t>
            </w:r>
          </w:p>
        </w:tc>
        <w:tc>
          <w:tcPr>
            <w:tcW w:w="1320" w:type="dxa"/>
            <w:vAlign w:val="bottom"/>
          </w:tcPr>
          <w:p>
            <w:pPr>
              <w:jc w:val="right"/>
              <w:spacing w:after="0"/>
              <w:rPr>
                <w:sz w:val="20"/>
                <w:szCs w:val="20"/>
                <w:color w:val="auto"/>
              </w:rPr>
            </w:pPr>
            <w:r>
              <w:rPr>
                <w:rFonts w:ascii="Arial" w:cs="Arial" w:eastAsia="Arial" w:hAnsi="Arial"/>
                <w:sz w:val="16"/>
                <w:szCs w:val="16"/>
                <w:color w:val="auto"/>
              </w:rPr>
              <w:t>1,350</w:t>
            </w:r>
          </w:p>
        </w:tc>
      </w:tr>
      <w:tr>
        <w:trPr>
          <w:trHeight w:val="203"/>
        </w:trPr>
        <w:tc>
          <w:tcPr>
            <w:tcW w:w="120" w:type="dxa"/>
            <w:vAlign w:val="bottom"/>
          </w:tcPr>
          <w:p>
            <w:pPr>
              <w:spacing w:after="0"/>
              <w:rPr>
                <w:sz w:val="17"/>
                <w:szCs w:val="17"/>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 (Note 18)</w:t>
            </w:r>
          </w:p>
        </w:tc>
        <w:tc>
          <w:tcPr>
            <w:tcW w:w="1580" w:type="dxa"/>
            <w:vAlign w:val="bottom"/>
            <w:gridSpan w:val="2"/>
            <w:shd w:val="clear" w:color="auto" w:fill="E5FFFF"/>
          </w:tcPr>
          <w:p>
            <w:pPr>
              <w:ind w:left="1140"/>
              <w:spacing w:after="0"/>
              <w:rPr>
                <w:sz w:val="20"/>
                <w:szCs w:val="20"/>
                <w:color w:val="auto"/>
              </w:rPr>
            </w:pPr>
            <w:r>
              <w:rPr>
                <w:rFonts w:ascii="Arial" w:cs="Arial" w:eastAsia="Arial" w:hAnsi="Arial"/>
                <w:sz w:val="16"/>
                <w:szCs w:val="16"/>
                <w:color w:val="auto"/>
              </w:rPr>
              <w:t>262</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297</w:t>
            </w:r>
          </w:p>
        </w:tc>
      </w:tr>
      <w:tr>
        <w:trPr>
          <w:trHeight w:val="203"/>
        </w:trPr>
        <w:tc>
          <w:tcPr>
            <w:tcW w:w="1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Other expenses</w:t>
            </w:r>
          </w:p>
        </w:tc>
        <w:tc>
          <w:tcPr>
            <w:tcW w:w="1580" w:type="dxa"/>
            <w:vAlign w:val="bottom"/>
            <w:gridSpan w:val="2"/>
          </w:tcPr>
          <w:p>
            <w:pPr>
              <w:ind w:left="1140"/>
              <w:spacing w:after="0"/>
              <w:rPr>
                <w:sz w:val="20"/>
                <w:szCs w:val="20"/>
                <w:color w:val="auto"/>
              </w:rPr>
            </w:pPr>
            <w:r>
              <w:rPr>
                <w:rFonts w:ascii="Arial" w:cs="Arial" w:eastAsia="Arial" w:hAnsi="Arial"/>
                <w:sz w:val="16"/>
                <w:szCs w:val="16"/>
                <w:color w:val="auto"/>
              </w:rPr>
              <w:t>955</w:t>
            </w:r>
          </w:p>
        </w:tc>
        <w:tc>
          <w:tcPr>
            <w:tcW w:w="132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16"/>
        </w:trPr>
        <w:tc>
          <w:tcPr>
            <w:tcW w:w="120" w:type="dxa"/>
            <w:vAlign w:val="bottom"/>
          </w:tcPr>
          <w:p>
            <w:pPr>
              <w:spacing w:after="0"/>
              <w:rPr>
                <w:sz w:val="18"/>
                <w:szCs w:val="18"/>
                <w:color w:val="auto"/>
              </w:rPr>
            </w:pPr>
          </w:p>
        </w:tc>
        <w:tc>
          <w:tcPr>
            <w:tcW w:w="81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shd w:val="clear" w:color="auto" w:fill="E5FFFF"/>
          </w:tcPr>
          <w:p>
            <w:pPr>
              <w:ind w:left="1020"/>
              <w:spacing w:after="0"/>
              <w:rPr>
                <w:sz w:val="20"/>
                <w:szCs w:val="20"/>
                <w:color w:val="auto"/>
              </w:rPr>
            </w:pPr>
            <w:r>
              <w:rPr>
                <w:rFonts w:ascii="Arial" w:cs="Arial" w:eastAsia="Arial" w:hAnsi="Arial"/>
                <w:sz w:val="16"/>
                <w:szCs w:val="16"/>
                <w:b w:val="1"/>
                <w:bCs w:val="1"/>
                <w:color w:val="auto"/>
                <w:w w:val="84"/>
              </w:rPr>
              <w:t>4,694</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4,171</w:t>
            </w:r>
          </w:p>
        </w:tc>
      </w:tr>
      <w:tr>
        <w:trPr>
          <w:trHeight w:val="400"/>
        </w:trPr>
        <w:tc>
          <w:tcPr>
            <w:tcW w:w="8260" w:type="dxa"/>
            <w:vAlign w:val="bottom"/>
            <w:gridSpan w:val="2"/>
          </w:tcPr>
          <w:p>
            <w:pPr>
              <w:spacing w:after="0"/>
              <w:rPr>
                <w:sz w:val="20"/>
                <w:szCs w:val="20"/>
                <w:color w:val="auto"/>
              </w:rPr>
            </w:pPr>
            <w:r>
              <w:rPr>
                <w:rFonts w:ascii="Arial" w:cs="Arial" w:eastAsia="Arial" w:hAnsi="Arial"/>
                <w:sz w:val="16"/>
                <w:szCs w:val="16"/>
                <w:b w:val="1"/>
                <w:bCs w:val="1"/>
                <w:color w:val="auto"/>
              </w:rPr>
              <w:t>12. Vessel Operating Costs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140" w:type="dxa"/>
            <w:vAlign w:val="bottom"/>
          </w:tcPr>
          <w:p>
            <w:pPr>
              <w:ind w:left="220"/>
              <w:spacing w:after="0"/>
              <w:rPr>
                <w:sz w:val="20"/>
                <w:szCs w:val="20"/>
                <w:color w:val="auto"/>
              </w:rPr>
            </w:pPr>
            <w:r>
              <w:rPr>
                <w:rFonts w:ascii="Arial" w:cs="Arial" w:eastAsia="Arial" w:hAnsi="Arial"/>
                <w:sz w:val="16"/>
                <w:szCs w:val="16"/>
                <w:color w:val="auto"/>
              </w:rPr>
              <w:t>An analysis of vessel operating costs is as follows: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1"/>
        </w:trPr>
        <w:tc>
          <w:tcPr>
            <w:tcW w:w="1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9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1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March 31, 2019</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 2020</w:t>
            </w:r>
          </w:p>
        </w:tc>
      </w:tr>
      <w:tr>
        <w:trPr>
          <w:trHeight w:val="199"/>
        </w:trPr>
        <w:tc>
          <w:tcPr>
            <w:tcW w:w="120" w:type="dxa"/>
            <w:vAlign w:val="bottom"/>
          </w:tcPr>
          <w:p>
            <w:pPr>
              <w:spacing w:after="0"/>
              <w:rPr>
                <w:sz w:val="17"/>
                <w:szCs w:val="17"/>
                <w:color w:val="auto"/>
              </w:rPr>
            </w:pPr>
          </w:p>
        </w:tc>
        <w:tc>
          <w:tcPr>
            <w:tcW w:w="8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Crew costs</w:t>
            </w:r>
          </w:p>
        </w:tc>
        <w:tc>
          <w:tcPr>
            <w:tcW w:w="1380" w:type="dxa"/>
            <w:vAlign w:val="bottom"/>
            <w:tcBorders>
              <w:top w:val="single" w:sz="8" w:color="auto"/>
            </w:tcBorders>
            <w:shd w:val="clear" w:color="auto" w:fill="E5FFFF"/>
          </w:tcPr>
          <w:p>
            <w:pPr>
              <w:ind w:left="1020"/>
              <w:spacing w:after="0"/>
              <w:rPr>
                <w:sz w:val="20"/>
                <w:szCs w:val="20"/>
                <w:color w:val="auto"/>
              </w:rPr>
            </w:pPr>
            <w:r>
              <w:rPr>
                <w:rFonts w:ascii="Arial" w:cs="Arial" w:eastAsia="Arial" w:hAnsi="Arial"/>
                <w:sz w:val="16"/>
                <w:szCs w:val="16"/>
                <w:color w:val="auto"/>
                <w:w w:val="84"/>
              </w:rPr>
              <w:t>9,095</w:t>
            </w:r>
          </w:p>
        </w:tc>
        <w:tc>
          <w:tcPr>
            <w:tcW w:w="2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8,839</w:t>
            </w:r>
          </w:p>
        </w:tc>
      </w:tr>
      <w:tr>
        <w:trPr>
          <w:trHeight w:val="203"/>
        </w:trPr>
        <w:tc>
          <w:tcPr>
            <w:tcW w:w="1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Technical maintenance expenses</w:t>
            </w:r>
          </w:p>
        </w:tc>
        <w:tc>
          <w:tcPr>
            <w:tcW w:w="1580" w:type="dxa"/>
            <w:vAlign w:val="bottom"/>
            <w:gridSpan w:val="2"/>
          </w:tcPr>
          <w:p>
            <w:pPr>
              <w:ind w:left="1020"/>
              <w:spacing w:after="0"/>
              <w:rPr>
                <w:sz w:val="20"/>
                <w:szCs w:val="20"/>
                <w:color w:val="auto"/>
              </w:rPr>
            </w:pPr>
            <w:r>
              <w:rPr>
                <w:rFonts w:ascii="Arial" w:cs="Arial" w:eastAsia="Arial" w:hAnsi="Arial"/>
                <w:sz w:val="16"/>
                <w:szCs w:val="16"/>
                <w:color w:val="auto"/>
              </w:rPr>
              <w:t>4,897</w:t>
            </w:r>
          </w:p>
        </w:tc>
        <w:tc>
          <w:tcPr>
            <w:tcW w:w="1320" w:type="dxa"/>
            <w:vAlign w:val="bottom"/>
          </w:tcPr>
          <w:p>
            <w:pPr>
              <w:jc w:val="right"/>
              <w:spacing w:after="0"/>
              <w:rPr>
                <w:sz w:val="20"/>
                <w:szCs w:val="20"/>
                <w:color w:val="auto"/>
              </w:rPr>
            </w:pPr>
            <w:r>
              <w:rPr>
                <w:rFonts w:ascii="Arial" w:cs="Arial" w:eastAsia="Arial" w:hAnsi="Arial"/>
                <w:sz w:val="16"/>
                <w:szCs w:val="16"/>
                <w:color w:val="auto"/>
              </w:rPr>
              <w:t>5,937</w:t>
            </w:r>
          </w:p>
        </w:tc>
      </w:tr>
      <w:tr>
        <w:trPr>
          <w:trHeight w:val="203"/>
        </w:trPr>
        <w:tc>
          <w:tcPr>
            <w:tcW w:w="120" w:type="dxa"/>
            <w:vAlign w:val="bottom"/>
          </w:tcPr>
          <w:p>
            <w:pPr>
              <w:spacing w:after="0"/>
              <w:rPr>
                <w:sz w:val="17"/>
                <w:szCs w:val="17"/>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6"/>
                <w:szCs w:val="16"/>
                <w:color w:val="auto"/>
              </w:rPr>
              <w:t>Other operating expenses</w:t>
            </w:r>
          </w:p>
        </w:tc>
        <w:tc>
          <w:tcPr>
            <w:tcW w:w="1580" w:type="dxa"/>
            <w:vAlign w:val="bottom"/>
            <w:gridSpan w:val="2"/>
            <w:shd w:val="clear" w:color="auto" w:fill="E5FFFF"/>
          </w:tcPr>
          <w:p>
            <w:pPr>
              <w:ind w:left="1020"/>
              <w:spacing w:after="0"/>
              <w:rPr>
                <w:sz w:val="20"/>
                <w:szCs w:val="20"/>
                <w:color w:val="auto"/>
              </w:rPr>
            </w:pPr>
            <w:r>
              <w:rPr>
                <w:rFonts w:ascii="Arial" w:cs="Arial" w:eastAsia="Arial" w:hAnsi="Arial"/>
                <w:sz w:val="16"/>
                <w:szCs w:val="16"/>
                <w:color w:val="auto"/>
              </w:rPr>
              <w:t>4,639</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4,317</w:t>
            </w:r>
          </w:p>
        </w:tc>
      </w:tr>
      <w:tr>
        <w:trPr>
          <w:trHeight w:val="203"/>
        </w:trPr>
        <w:tc>
          <w:tcPr>
            <w:tcW w:w="82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6"/>
                <w:szCs w:val="16"/>
                <w:b w:val="1"/>
                <w:bCs w:val="1"/>
                <w:color w:val="auto"/>
                <w:w w:val="85"/>
              </w:rPr>
              <w:t>18,631</w:t>
            </w:r>
          </w:p>
        </w:tc>
        <w:tc>
          <w:tcPr>
            <w:tcW w:w="2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19,093</w:t>
            </w:r>
          </w:p>
        </w:tc>
      </w:tr>
      <w:tr>
        <w:trPr>
          <w:trHeight w:val="413"/>
        </w:trPr>
        <w:tc>
          <w:tcPr>
            <w:tcW w:w="8260" w:type="dxa"/>
            <w:vAlign w:val="bottom"/>
            <w:gridSpan w:val="2"/>
          </w:tcPr>
          <w:p>
            <w:pPr>
              <w:spacing w:after="0"/>
              <w:rPr>
                <w:sz w:val="20"/>
                <w:szCs w:val="20"/>
                <w:color w:val="auto"/>
              </w:rPr>
            </w:pPr>
            <w:r>
              <w:rPr>
                <w:rFonts w:ascii="Arial" w:cs="Arial" w:eastAsia="Arial" w:hAnsi="Arial"/>
                <w:sz w:val="16"/>
                <w:szCs w:val="16"/>
                <w:b w:val="1"/>
                <w:bCs w:val="1"/>
                <w:color w:val="auto"/>
              </w:rPr>
              <w:t>13. Derivative Financial Instruments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140" w:type="dxa"/>
            <w:vAlign w:val="bottom"/>
          </w:tcPr>
          <w:p>
            <w:pPr>
              <w:ind w:left="220"/>
              <w:spacing w:after="0"/>
              <w:rPr>
                <w:sz w:val="20"/>
                <w:szCs w:val="20"/>
                <w:color w:val="auto"/>
              </w:rPr>
            </w:pPr>
            <w:r>
              <w:rPr>
                <w:rFonts w:ascii="Arial" w:cs="Arial" w:eastAsia="Arial" w:hAnsi="Arial"/>
                <w:sz w:val="16"/>
                <w:szCs w:val="16"/>
                <w:color w:val="auto"/>
              </w:rPr>
              <w:t>The fair value of the derivative assets is as follows: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1"/>
        </w:trPr>
        <w:tc>
          <w:tcPr>
            <w:tcW w:w="1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1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December 31, 2019</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175"/>
        </w:trPr>
        <w:tc>
          <w:tcPr>
            <w:tcW w:w="120" w:type="dxa"/>
            <w:vAlign w:val="bottom"/>
          </w:tcPr>
          <w:p>
            <w:pPr>
              <w:spacing w:after="0"/>
              <w:rPr>
                <w:sz w:val="15"/>
                <w:szCs w:val="15"/>
                <w:color w:val="auto"/>
              </w:rPr>
            </w:pPr>
          </w:p>
        </w:tc>
        <w:tc>
          <w:tcPr>
            <w:tcW w:w="8140" w:type="dxa"/>
            <w:vAlign w:val="bottom"/>
            <w:tcBorders>
              <w:top w:val="single" w:sz="8" w:color="E5FFFF"/>
            </w:tcBorders>
            <w:shd w:val="clear" w:color="auto" w:fill="E5FFFF"/>
          </w:tcPr>
          <w:p>
            <w:pPr>
              <w:spacing w:after="0" w:line="175" w:lineRule="exact"/>
              <w:rPr>
                <w:sz w:val="20"/>
                <w:szCs w:val="20"/>
                <w:color w:val="auto"/>
              </w:rPr>
            </w:pPr>
            <w:r>
              <w:rPr>
                <w:rFonts w:ascii="Arial" w:cs="Arial" w:eastAsia="Arial" w:hAnsi="Arial"/>
                <w:sz w:val="16"/>
                <w:szCs w:val="16"/>
                <w:b w:val="1"/>
                <w:bCs w:val="1"/>
                <w:color w:val="auto"/>
              </w:rPr>
              <w:t>Derivative assets carried at fair value through profit or loss</w:t>
            </w:r>
          </w:p>
        </w:tc>
        <w:tc>
          <w:tcPr>
            <w:tcW w:w="138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320" w:type="dxa"/>
            <w:vAlign w:val="bottom"/>
            <w:tcBorders>
              <w:top w:val="single" w:sz="8" w:color="auto"/>
            </w:tcBorders>
            <w:shd w:val="clear" w:color="auto" w:fill="E5FFFF"/>
          </w:tcPr>
          <w:p>
            <w:pPr>
              <w:spacing w:after="0"/>
              <w:rPr>
                <w:sz w:val="15"/>
                <w:szCs w:val="15"/>
                <w:color w:val="auto"/>
              </w:rPr>
            </w:pPr>
          </w:p>
        </w:tc>
      </w:tr>
      <w:tr>
        <w:trPr>
          <w:trHeight w:val="216"/>
        </w:trPr>
        <w:tc>
          <w:tcPr>
            <w:tcW w:w="120" w:type="dxa"/>
            <w:vAlign w:val="bottom"/>
          </w:tcPr>
          <w:p>
            <w:pPr>
              <w:spacing w:after="0"/>
              <w:rPr>
                <w:sz w:val="18"/>
                <w:szCs w:val="18"/>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(FVTPL)</w:t>
            </w:r>
          </w:p>
        </w:tc>
        <w:tc>
          <w:tcPr>
            <w:tcW w:w="13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r>
      <w:tr>
        <w:trPr>
          <w:trHeight w:val="203"/>
        </w:trPr>
        <w:tc>
          <w:tcPr>
            <w:tcW w:w="1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Interest rate swaps</w:t>
            </w:r>
          </w:p>
        </w:tc>
        <w:tc>
          <w:tcPr>
            <w:tcW w:w="1580" w:type="dxa"/>
            <w:vAlign w:val="bottom"/>
            <w:gridSpan w:val="2"/>
          </w:tcPr>
          <w:p>
            <w:pPr>
              <w:ind w:left="1140"/>
              <w:spacing w:after="0"/>
              <w:rPr>
                <w:sz w:val="20"/>
                <w:szCs w:val="20"/>
                <w:color w:val="auto"/>
              </w:rPr>
            </w:pPr>
            <w:r>
              <w:rPr>
                <w:rFonts w:ascii="Arial" w:cs="Arial" w:eastAsia="Arial" w:hAnsi="Arial"/>
                <w:sz w:val="16"/>
                <w:szCs w:val="16"/>
                <w:color w:val="auto"/>
              </w:rPr>
              <w:t>365</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20" w:type="dxa"/>
            <w:vAlign w:val="bottom"/>
          </w:tcPr>
          <w:p>
            <w:pPr>
              <w:spacing w:after="0"/>
              <w:rPr>
                <w:sz w:val="17"/>
                <w:szCs w:val="17"/>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7</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2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tcBorders>
          </w:tcPr>
          <w:p>
            <w:pPr>
              <w:ind w:left="1140"/>
              <w:spacing w:after="0"/>
              <w:rPr>
                <w:sz w:val="20"/>
                <w:szCs w:val="20"/>
                <w:color w:val="auto"/>
              </w:rPr>
            </w:pPr>
            <w:r>
              <w:rPr>
                <w:rFonts w:ascii="Arial" w:cs="Arial" w:eastAsia="Arial" w:hAnsi="Arial"/>
                <w:sz w:val="16"/>
                <w:szCs w:val="16"/>
                <w:b w:val="1"/>
                <w:bCs w:val="1"/>
                <w:color w:val="auto"/>
                <w:w w:val="82"/>
              </w:rPr>
              <w:t>372</w:t>
            </w:r>
          </w:p>
        </w:tc>
        <w:tc>
          <w:tcPr>
            <w:tcW w:w="2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03"/>
        </w:trPr>
        <w:tc>
          <w:tcPr>
            <w:tcW w:w="120" w:type="dxa"/>
            <w:vAlign w:val="bottom"/>
          </w:tcPr>
          <w:p>
            <w:pPr>
              <w:spacing w:after="0"/>
              <w:rPr>
                <w:sz w:val="17"/>
                <w:szCs w:val="17"/>
                <w:color w:val="auto"/>
              </w:rPr>
            </w:pPr>
          </w:p>
        </w:tc>
        <w:tc>
          <w:tcPr>
            <w:tcW w:w="8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Derivative financial instruments, current asset</w:t>
            </w:r>
          </w:p>
        </w:tc>
        <w:tc>
          <w:tcPr>
            <w:tcW w:w="1380" w:type="dxa"/>
            <w:vAlign w:val="bottom"/>
            <w:tcBorders>
              <w:top w:val="single" w:sz="8" w:color="auto"/>
              <w:bottom w:val="single" w:sz="8" w:color="auto"/>
            </w:tcBorders>
            <w:shd w:val="clear" w:color="auto" w:fill="E5FFFF"/>
          </w:tcPr>
          <w:p>
            <w:pPr>
              <w:ind w:left="1140"/>
              <w:spacing w:after="0"/>
              <w:rPr>
                <w:sz w:val="20"/>
                <w:szCs w:val="20"/>
                <w:color w:val="auto"/>
              </w:rPr>
            </w:pPr>
            <w:r>
              <w:rPr>
                <w:rFonts w:ascii="Arial" w:cs="Arial" w:eastAsia="Arial" w:hAnsi="Arial"/>
                <w:sz w:val="16"/>
                <w:szCs w:val="16"/>
                <w:color w:val="auto"/>
                <w:w w:val="82"/>
              </w:rPr>
              <w:t>372</w:t>
            </w:r>
          </w:p>
        </w:tc>
        <w:tc>
          <w:tcPr>
            <w:tcW w:w="2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2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w w:val="82"/>
              </w:rPr>
              <w:t>372</w:t>
            </w:r>
          </w:p>
        </w:tc>
        <w:tc>
          <w:tcPr>
            <w:tcW w:w="2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413"/>
        </w:trPr>
        <w:tc>
          <w:tcPr>
            <w:tcW w:w="120" w:type="dxa"/>
            <w:vAlign w:val="bottom"/>
          </w:tcPr>
          <w:p>
            <w:pPr>
              <w:spacing w:after="0"/>
              <w:rPr>
                <w:sz w:val="24"/>
                <w:szCs w:val="24"/>
                <w:color w:val="auto"/>
              </w:rPr>
            </w:pPr>
          </w:p>
        </w:tc>
        <w:tc>
          <w:tcPr>
            <w:tcW w:w="8140" w:type="dxa"/>
            <w:vAlign w:val="bottom"/>
          </w:tcPr>
          <w:p>
            <w:pPr>
              <w:ind w:left="220"/>
              <w:spacing w:after="0"/>
              <w:rPr>
                <w:sz w:val="20"/>
                <w:szCs w:val="20"/>
                <w:color w:val="auto"/>
              </w:rPr>
            </w:pPr>
            <w:r>
              <w:rPr>
                <w:rFonts w:ascii="Arial" w:cs="Arial" w:eastAsia="Arial" w:hAnsi="Arial"/>
                <w:sz w:val="16"/>
                <w:szCs w:val="16"/>
                <w:color w:val="auto"/>
              </w:rPr>
              <w:t>The fair value of the derivative liabilities is as follows: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1"/>
        </w:trPr>
        <w:tc>
          <w:tcPr>
            <w:tcW w:w="1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1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December 31, 2019</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r>
      <w:tr>
        <w:trPr>
          <w:trHeight w:val="175"/>
        </w:trPr>
        <w:tc>
          <w:tcPr>
            <w:tcW w:w="120" w:type="dxa"/>
            <w:vAlign w:val="bottom"/>
          </w:tcPr>
          <w:p>
            <w:pPr>
              <w:spacing w:after="0"/>
              <w:rPr>
                <w:sz w:val="15"/>
                <w:szCs w:val="15"/>
                <w:color w:val="auto"/>
              </w:rPr>
            </w:pPr>
          </w:p>
        </w:tc>
        <w:tc>
          <w:tcPr>
            <w:tcW w:w="8140" w:type="dxa"/>
            <w:vAlign w:val="bottom"/>
            <w:tcBorders>
              <w:top w:val="single" w:sz="8" w:color="E5FFFF"/>
            </w:tcBorders>
            <w:shd w:val="clear" w:color="auto" w:fill="E5FFFF"/>
          </w:tcPr>
          <w:p>
            <w:pPr>
              <w:spacing w:after="0" w:line="175" w:lineRule="exact"/>
              <w:rPr>
                <w:sz w:val="20"/>
                <w:szCs w:val="20"/>
                <w:color w:val="auto"/>
              </w:rPr>
            </w:pPr>
            <w:r>
              <w:rPr>
                <w:rFonts w:ascii="Arial" w:cs="Arial" w:eastAsia="Arial" w:hAnsi="Arial"/>
                <w:sz w:val="16"/>
                <w:szCs w:val="16"/>
                <w:b w:val="1"/>
                <w:bCs w:val="1"/>
                <w:color w:val="auto"/>
              </w:rPr>
              <w:t>Derivative liabilities carried at fair value through profit or loss</w:t>
            </w:r>
          </w:p>
        </w:tc>
        <w:tc>
          <w:tcPr>
            <w:tcW w:w="138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320" w:type="dxa"/>
            <w:vAlign w:val="bottom"/>
            <w:tcBorders>
              <w:top w:val="single" w:sz="8" w:color="auto"/>
            </w:tcBorders>
            <w:shd w:val="clear" w:color="auto" w:fill="E5FFFF"/>
          </w:tcPr>
          <w:p>
            <w:pPr>
              <w:spacing w:after="0"/>
              <w:rPr>
                <w:sz w:val="15"/>
                <w:szCs w:val="15"/>
                <w:color w:val="auto"/>
              </w:rPr>
            </w:pPr>
          </w:p>
        </w:tc>
      </w:tr>
      <w:tr>
        <w:trPr>
          <w:trHeight w:val="216"/>
        </w:trPr>
        <w:tc>
          <w:tcPr>
            <w:tcW w:w="120" w:type="dxa"/>
            <w:vAlign w:val="bottom"/>
          </w:tcPr>
          <w:p>
            <w:pPr>
              <w:spacing w:after="0"/>
              <w:rPr>
                <w:sz w:val="18"/>
                <w:szCs w:val="18"/>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(FVTPL)</w:t>
            </w:r>
          </w:p>
        </w:tc>
        <w:tc>
          <w:tcPr>
            <w:tcW w:w="13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r>
      <w:tr>
        <w:trPr>
          <w:trHeight w:val="203"/>
        </w:trPr>
        <w:tc>
          <w:tcPr>
            <w:tcW w:w="1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Interest rate swaps</w:t>
            </w:r>
          </w:p>
        </w:tc>
        <w:tc>
          <w:tcPr>
            <w:tcW w:w="1580" w:type="dxa"/>
            <w:vAlign w:val="bottom"/>
            <w:gridSpan w:val="2"/>
          </w:tcPr>
          <w:p>
            <w:pPr>
              <w:ind w:left="1020"/>
              <w:spacing w:after="0"/>
              <w:rPr>
                <w:sz w:val="20"/>
                <w:szCs w:val="20"/>
                <w:color w:val="auto"/>
              </w:rPr>
            </w:pPr>
            <w:r>
              <w:rPr>
                <w:rFonts w:ascii="Arial" w:cs="Arial" w:eastAsia="Arial" w:hAnsi="Arial"/>
                <w:sz w:val="16"/>
                <w:szCs w:val="16"/>
                <w:color w:val="auto"/>
              </w:rPr>
              <w:t>9,233</w:t>
            </w:r>
          </w:p>
        </w:tc>
        <w:tc>
          <w:tcPr>
            <w:tcW w:w="1320" w:type="dxa"/>
            <w:vAlign w:val="bottom"/>
          </w:tcPr>
          <w:p>
            <w:pPr>
              <w:jc w:val="right"/>
              <w:spacing w:after="0"/>
              <w:rPr>
                <w:sz w:val="20"/>
                <w:szCs w:val="20"/>
                <w:color w:val="auto"/>
              </w:rPr>
            </w:pPr>
            <w:r>
              <w:rPr>
                <w:rFonts w:ascii="Arial" w:cs="Arial" w:eastAsia="Arial" w:hAnsi="Arial"/>
                <w:sz w:val="16"/>
                <w:szCs w:val="16"/>
                <w:color w:val="auto"/>
              </w:rPr>
              <w:t>22,050</w:t>
            </w:r>
          </w:p>
        </w:tc>
      </w:tr>
      <w:tr>
        <w:trPr>
          <w:trHeight w:val="203"/>
        </w:trPr>
        <w:tc>
          <w:tcPr>
            <w:tcW w:w="120" w:type="dxa"/>
            <w:vAlign w:val="bottom"/>
          </w:tcPr>
          <w:p>
            <w:pPr>
              <w:spacing w:after="0"/>
              <w:rPr>
                <w:sz w:val="17"/>
                <w:szCs w:val="17"/>
                <w:color w:val="auto"/>
              </w:rPr>
            </w:pPr>
          </w:p>
        </w:tc>
        <w:tc>
          <w:tcPr>
            <w:tcW w:w="814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62</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525</w:t>
            </w:r>
          </w:p>
        </w:tc>
      </w:tr>
      <w:tr>
        <w:trPr>
          <w:trHeight w:val="203"/>
        </w:trPr>
        <w:tc>
          <w:tcPr>
            <w:tcW w:w="82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tcBorders>
          </w:tcPr>
          <w:p>
            <w:pPr>
              <w:ind w:left="1020"/>
              <w:spacing w:after="0"/>
              <w:rPr>
                <w:sz w:val="20"/>
                <w:szCs w:val="20"/>
                <w:color w:val="auto"/>
              </w:rPr>
            </w:pPr>
            <w:r>
              <w:rPr>
                <w:rFonts w:ascii="Arial" w:cs="Arial" w:eastAsia="Arial" w:hAnsi="Arial"/>
                <w:sz w:val="16"/>
                <w:szCs w:val="16"/>
                <w:b w:val="1"/>
                <w:bCs w:val="1"/>
                <w:color w:val="auto"/>
                <w:w w:val="84"/>
              </w:rPr>
              <w:t>9,295</w:t>
            </w:r>
          </w:p>
        </w:tc>
        <w:tc>
          <w:tcPr>
            <w:tcW w:w="2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22,575</w:t>
            </w:r>
          </w:p>
        </w:tc>
      </w:tr>
      <w:tr>
        <w:trPr>
          <w:trHeight w:val="203"/>
        </w:trPr>
        <w:tc>
          <w:tcPr>
            <w:tcW w:w="120" w:type="dxa"/>
            <w:vAlign w:val="bottom"/>
          </w:tcPr>
          <w:p>
            <w:pPr>
              <w:spacing w:after="0"/>
              <w:rPr>
                <w:sz w:val="17"/>
                <w:szCs w:val="17"/>
                <w:color w:val="auto"/>
              </w:rPr>
            </w:pPr>
          </w:p>
        </w:tc>
        <w:tc>
          <w:tcPr>
            <w:tcW w:w="8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Derivative financial instruments, current liability</w:t>
            </w:r>
          </w:p>
        </w:tc>
        <w:tc>
          <w:tcPr>
            <w:tcW w:w="1380" w:type="dxa"/>
            <w:vAlign w:val="bottom"/>
            <w:tcBorders>
              <w:top w:val="single" w:sz="8" w:color="auto"/>
            </w:tcBorders>
            <w:shd w:val="clear" w:color="auto" w:fill="E5FFFF"/>
          </w:tcPr>
          <w:p>
            <w:pPr>
              <w:ind w:left="1020"/>
              <w:spacing w:after="0"/>
              <w:rPr>
                <w:sz w:val="20"/>
                <w:szCs w:val="20"/>
                <w:color w:val="auto"/>
              </w:rPr>
            </w:pPr>
            <w:r>
              <w:rPr>
                <w:rFonts w:ascii="Arial" w:cs="Arial" w:eastAsia="Arial" w:hAnsi="Arial"/>
                <w:sz w:val="16"/>
                <w:szCs w:val="16"/>
                <w:color w:val="auto"/>
                <w:w w:val="84"/>
              </w:rPr>
              <w:t>2,607</w:t>
            </w:r>
          </w:p>
        </w:tc>
        <w:tc>
          <w:tcPr>
            <w:tcW w:w="2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8,308</w:t>
            </w:r>
          </w:p>
        </w:tc>
      </w:tr>
      <w:tr>
        <w:trPr>
          <w:trHeight w:val="203"/>
        </w:trPr>
        <w:tc>
          <w:tcPr>
            <w:tcW w:w="1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580" w:type="dxa"/>
            <w:vAlign w:val="bottom"/>
            <w:gridSpan w:val="2"/>
          </w:tcPr>
          <w:p>
            <w:pPr>
              <w:ind w:left="1020"/>
              <w:spacing w:after="0"/>
              <w:rPr>
                <w:sz w:val="20"/>
                <w:szCs w:val="20"/>
                <w:color w:val="auto"/>
              </w:rPr>
            </w:pPr>
            <w:r>
              <w:rPr>
                <w:rFonts w:ascii="Arial" w:cs="Arial" w:eastAsia="Arial" w:hAnsi="Arial"/>
                <w:sz w:val="16"/>
                <w:szCs w:val="16"/>
                <w:color w:val="auto"/>
              </w:rPr>
              <w:t>6,688</w:t>
            </w:r>
          </w:p>
        </w:tc>
        <w:tc>
          <w:tcPr>
            <w:tcW w:w="1320" w:type="dxa"/>
            <w:vAlign w:val="bottom"/>
          </w:tcPr>
          <w:p>
            <w:pPr>
              <w:jc w:val="right"/>
              <w:spacing w:after="0"/>
              <w:rPr>
                <w:sz w:val="20"/>
                <w:szCs w:val="20"/>
                <w:color w:val="auto"/>
              </w:rPr>
            </w:pPr>
            <w:r>
              <w:rPr>
                <w:rFonts w:ascii="Arial" w:cs="Arial" w:eastAsia="Arial" w:hAnsi="Arial"/>
                <w:sz w:val="16"/>
                <w:szCs w:val="16"/>
                <w:color w:val="auto"/>
              </w:rPr>
              <w:t>14,267</w:t>
            </w:r>
          </w:p>
        </w:tc>
      </w:tr>
      <w:tr>
        <w:trPr>
          <w:trHeight w:val="203"/>
        </w:trPr>
        <w:tc>
          <w:tcPr>
            <w:tcW w:w="120" w:type="dxa"/>
            <w:vAlign w:val="bottom"/>
          </w:tcPr>
          <w:p>
            <w:pPr>
              <w:spacing w:after="0"/>
              <w:rPr>
                <w:sz w:val="17"/>
                <w:szCs w:val="17"/>
                <w:color w:val="auto"/>
              </w:rPr>
            </w:pPr>
          </w:p>
        </w:tc>
        <w:tc>
          <w:tcPr>
            <w:tcW w:w="81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top w:val="single" w:sz="8" w:color="auto"/>
              <w:bottom w:val="single" w:sz="8" w:color="auto"/>
            </w:tcBorders>
            <w:shd w:val="clear" w:color="auto" w:fill="E5FFFF"/>
          </w:tcPr>
          <w:p>
            <w:pPr>
              <w:ind w:left="1020"/>
              <w:spacing w:after="0"/>
              <w:rPr>
                <w:sz w:val="20"/>
                <w:szCs w:val="20"/>
                <w:color w:val="auto"/>
              </w:rPr>
            </w:pPr>
            <w:r>
              <w:rPr>
                <w:rFonts w:ascii="Arial" w:cs="Arial" w:eastAsia="Arial" w:hAnsi="Arial"/>
                <w:sz w:val="16"/>
                <w:szCs w:val="16"/>
                <w:b w:val="1"/>
                <w:bCs w:val="1"/>
                <w:color w:val="auto"/>
                <w:w w:val="84"/>
              </w:rPr>
              <w:t>9,295</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22,575</w:t>
            </w: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enters into interest rate swap agreements which convert the floating interest rate exposure into a fixed interest rate in order to</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2" w:right="419" w:bottom="1440" w:gutter="0" w:footer="0" w:header="0"/>
        </w:sectPr>
      </w:pPr>
    </w:p>
    <w:bookmarkStart w:id="38" w:name="page39"/>
    <w:bookmarkEnd w:id="38"/>
    <w:p>
      <w:pPr>
        <w:jc w:val="both"/>
        <w:ind w:right="20"/>
        <w:spacing w:after="0" w:line="278" w:lineRule="auto"/>
        <w:rPr>
          <w:sz w:val="20"/>
          <w:szCs w:val="20"/>
          <w:color w:val="auto"/>
        </w:rPr>
      </w:pPr>
      <w:r>
        <w:rPr>
          <w:rFonts w:ascii="Arial" w:cs="Arial" w:eastAsia="Arial" w:hAnsi="Arial"/>
          <w:sz w:val="16"/>
          <w:szCs w:val="16"/>
          <w:color w:val="auto"/>
        </w:rPr>
        <w:t>hedge a portion of the Partnership’s exposure to fluctuations in prevailing market interest rates. Under the interest rate swaps, the counterparty effects quarterly floating-rate payments to the Partnership for the notional amount based on the three-month U.S. dollar London Interbank Offered Rate (“LIBOR”), and the Partnership effects quarterly payments to the counterparty on the notional amount at the respective fixed rates.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principal terms of the interest rate swaps held for trading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Termination</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Fixed Interest</w:t>
            </w: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1560" w:type="dxa"/>
            <w:vAlign w:val="bottom"/>
            <w:gridSpan w:val="2"/>
          </w:tcPr>
          <w:p>
            <w:pPr>
              <w:ind w:left="260"/>
              <w:spacing w:after="0"/>
              <w:rPr>
                <w:sz w:val="20"/>
                <w:szCs w:val="20"/>
                <w:color w:val="auto"/>
              </w:rPr>
            </w:pPr>
            <w:r>
              <w:rPr>
                <w:rFonts w:ascii="Arial" w:cs="Arial" w:eastAsia="Arial" w:hAnsi="Arial"/>
                <w:sz w:val="16"/>
                <w:szCs w:val="16"/>
                <w:b w:val="1"/>
                <w:bCs w:val="1"/>
                <w:color w:val="auto"/>
              </w:rPr>
              <w:t>Counterparty</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Trade Date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Effective Date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Rate</w:t>
            </w: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199"/>
        </w:trPr>
        <w:tc>
          <w:tcPr>
            <w:tcW w:w="14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0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0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2016</w:t>
            </w:r>
          </w:p>
        </w:tc>
        <w:tc>
          <w:tcPr>
            <w:tcW w:w="1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Nov 2016</w:t>
            </w:r>
          </w:p>
        </w:tc>
        <w:tc>
          <w:tcPr>
            <w:tcW w:w="1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2020</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1.54%</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130,000</w:t>
            </w:r>
          </w:p>
        </w:tc>
        <w:tc>
          <w:tcPr>
            <w:tcW w:w="1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130,000</w:t>
            </w:r>
          </w:p>
        </w:tc>
      </w:tr>
      <w:tr>
        <w:trPr>
          <w:trHeight w:val="203"/>
        </w:trPr>
        <w:tc>
          <w:tcPr>
            <w:tcW w:w="154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5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Nov 2016</w:t>
            </w:r>
          </w:p>
        </w:tc>
        <w:tc>
          <w:tcPr>
            <w:tcW w:w="136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Nov 2016</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1.63%</w:t>
            </w:r>
          </w:p>
        </w:tc>
        <w:tc>
          <w:tcPr>
            <w:tcW w:w="1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130,000</w:t>
            </w:r>
          </w:p>
        </w:tc>
        <w:tc>
          <w:tcPr>
            <w:tcW w:w="1320" w:type="dxa"/>
            <w:vAlign w:val="bottom"/>
          </w:tcPr>
          <w:p>
            <w:pPr>
              <w:jc w:val="right"/>
              <w:spacing w:after="0"/>
              <w:rPr>
                <w:sz w:val="20"/>
                <w:szCs w:val="20"/>
                <w:color w:val="auto"/>
              </w:rPr>
            </w:pPr>
            <w:r>
              <w:rPr>
                <w:rFonts w:ascii="Arial" w:cs="Arial" w:eastAsia="Arial" w:hAnsi="Arial"/>
                <w:sz w:val="16"/>
                <w:szCs w:val="16"/>
                <w:color w:val="auto"/>
              </w:rPr>
              <w:t>130,000</w:t>
            </w:r>
          </w:p>
        </w:tc>
      </w:tr>
      <w:tr>
        <w:trPr>
          <w:trHeight w:val="203"/>
        </w:trPr>
        <w:tc>
          <w:tcPr>
            <w:tcW w:w="15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Nov 2016</w:t>
            </w:r>
          </w:p>
        </w:tc>
        <w:tc>
          <w:tcPr>
            <w:tcW w:w="136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Nov 2016</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2022</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1.72%</w:t>
            </w:r>
          </w:p>
        </w:tc>
        <w:tc>
          <w:tcPr>
            <w:tcW w:w="1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130,000</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130,000</w:t>
            </w:r>
          </w:p>
        </w:tc>
      </w:tr>
      <w:tr>
        <w:trPr>
          <w:trHeight w:val="203"/>
        </w:trPr>
        <w:tc>
          <w:tcPr>
            <w:tcW w:w="154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5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2017</w:t>
            </w:r>
          </w:p>
        </w:tc>
        <w:tc>
          <w:tcPr>
            <w:tcW w:w="136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2017</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2.19%/1.99%*</w:t>
            </w:r>
          </w:p>
        </w:tc>
        <w:tc>
          <w:tcPr>
            <w:tcW w:w="1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80,000</w:t>
            </w:r>
          </w:p>
        </w:tc>
        <w:tc>
          <w:tcPr>
            <w:tcW w:w="1320" w:type="dxa"/>
            <w:vAlign w:val="bottom"/>
          </w:tcPr>
          <w:p>
            <w:pPr>
              <w:jc w:val="right"/>
              <w:spacing w:after="0"/>
              <w:rPr>
                <w:sz w:val="20"/>
                <w:szCs w:val="20"/>
                <w:color w:val="auto"/>
              </w:rPr>
            </w:pPr>
            <w:r>
              <w:rPr>
                <w:rFonts w:ascii="Arial" w:cs="Arial" w:eastAsia="Arial" w:hAnsi="Arial"/>
                <w:sz w:val="16"/>
                <w:szCs w:val="16"/>
                <w:color w:val="auto"/>
              </w:rPr>
              <w:t>80,000</w:t>
            </w:r>
          </w:p>
        </w:tc>
      </w:tr>
      <w:tr>
        <w:trPr>
          <w:trHeight w:val="203"/>
        </w:trPr>
        <w:tc>
          <w:tcPr>
            <w:tcW w:w="15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1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3"/>
              </w:rPr>
              <w:t>May 2018</w:t>
            </w:r>
          </w:p>
        </w:tc>
        <w:tc>
          <w:tcPr>
            <w:tcW w:w="13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May 2018</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7"/>
              </w:rPr>
              <w:t>April 2023</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3.15%</w:t>
            </w:r>
          </w:p>
        </w:tc>
        <w:tc>
          <w:tcPr>
            <w:tcW w:w="120" w:type="dxa"/>
            <w:vAlign w:val="bottom"/>
            <w:shd w:val="clear" w:color="auto" w:fill="E5FFFF"/>
          </w:tcPr>
          <w:p>
            <w:pPr>
              <w:spacing w:after="0"/>
              <w:rPr>
                <w:sz w:val="17"/>
                <w:szCs w:val="17"/>
                <w:color w:val="auto"/>
              </w:rPr>
            </w:pPr>
          </w:p>
        </w:tc>
        <w:tc>
          <w:tcPr>
            <w:tcW w:w="14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80,000</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80,000</w:t>
            </w:r>
          </w:p>
        </w:tc>
      </w:tr>
      <w:tr>
        <w:trPr>
          <w:trHeight w:val="203"/>
        </w:trPr>
        <w:tc>
          <w:tcPr>
            <w:tcW w:w="1540" w:type="dxa"/>
            <w:vAlign w:val="bottom"/>
            <w:gridSpan w:val="2"/>
          </w:tcPr>
          <w:p>
            <w:pPr>
              <w:spacing w:after="0"/>
              <w:rPr>
                <w:sz w:val="20"/>
                <w:szCs w:val="20"/>
                <w:color w:val="auto"/>
              </w:rPr>
            </w:pPr>
            <w:r>
              <w:rPr>
                <w:rFonts w:ascii="Arial" w:cs="Arial" w:eastAsia="Arial" w:hAnsi="Arial"/>
                <w:sz w:val="16"/>
                <w:szCs w:val="16"/>
                <w:color w:val="auto"/>
              </w:rPr>
              <w:t>GasLog Partners</w:t>
            </w:r>
          </w:p>
        </w:tc>
        <w:tc>
          <w:tcPr>
            <w:tcW w:w="156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Dec 2018</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 2019</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 2024</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3.14%</w:t>
            </w:r>
          </w:p>
        </w:tc>
        <w:tc>
          <w:tcPr>
            <w:tcW w:w="1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75,000</w:t>
            </w:r>
          </w:p>
        </w:tc>
        <w:tc>
          <w:tcPr>
            <w:tcW w:w="1320" w:type="dxa"/>
            <w:vAlign w:val="bottom"/>
          </w:tcPr>
          <w:p>
            <w:pPr>
              <w:jc w:val="right"/>
              <w:spacing w:after="0"/>
              <w:rPr>
                <w:sz w:val="20"/>
                <w:szCs w:val="20"/>
                <w:color w:val="auto"/>
              </w:rPr>
            </w:pPr>
            <w:r>
              <w:rPr>
                <w:rFonts w:ascii="Arial" w:cs="Arial" w:eastAsia="Arial" w:hAnsi="Arial"/>
                <w:sz w:val="16"/>
                <w:szCs w:val="16"/>
                <w:color w:val="auto"/>
              </w:rPr>
              <w:t>75,000</w:t>
            </w:r>
          </w:p>
        </w:tc>
      </w:tr>
      <w:tr>
        <w:trPr>
          <w:trHeight w:val="196"/>
        </w:trPr>
        <w:tc>
          <w:tcPr>
            <w:tcW w:w="144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00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6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625,000</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625,000</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80" w:firstLine="44"/>
        <w:spacing w:after="0" w:line="253" w:lineRule="auto"/>
        <w:tabs>
          <w:tab w:leader="none" w:pos="144"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Pursuant to the Credit Support Annex entered into in March 2020, whereby GasLog Partners agreed to effect deposit cash collateral payments with GasLog in connection with its derivative instruments with GasLog (Note 3), the fixed interest rate of the interest rate swap was decreased to 1.99%</w:t>
      </w:r>
      <w:r>
        <w:rPr>
          <w:rFonts w:ascii="Arial" w:cs="Arial" w:eastAsia="Arial" w:hAnsi="Arial"/>
          <w:sz w:val="12"/>
          <w:szCs w:val="12"/>
          <w:color w:val="auto"/>
        </w:rPr>
        <w:t>.</w:t>
      </w:r>
    </w:p>
    <w:p>
      <w:pPr>
        <w:spacing w:after="0" w:line="182" w:lineRule="exact"/>
        <w:rPr>
          <w:sz w:val="20"/>
          <w:szCs w:val="20"/>
          <w:color w:val="auto"/>
        </w:rPr>
      </w:pPr>
    </w:p>
    <w:p>
      <w:pPr>
        <w:ind w:right="20" w:firstLine="436"/>
        <w:spacing w:after="0" w:line="271"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March 31, 2020. The change in the fair value of the interest rate swaps for the three months ended March 31, 2020 amounted to a loss of $13,182 (for the three months ended March 31, 2019, a loss of $5,497), which was recognized in profit or loss in the period incurred and is included in Loss on derivatives. During the three months ended March 31, 2020, the loss of $13,182 (Note 14) was attributable to changes in the LIBOR yield curve, which was used to calculate the present value of the estimated future cash flows, resulting in an increase in net derivative liabilities from interest rate swaps held for trading.</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firstLine="383"/>
        <w:spacing w:after="0" w:line="273" w:lineRule="auto"/>
        <w:rPr>
          <w:sz w:val="20"/>
          <w:szCs w:val="20"/>
          <w:color w:val="auto"/>
        </w:rPr>
      </w:pPr>
      <w:r>
        <w:rPr>
          <w:rFonts w:ascii="Arial" w:cs="Arial" w:eastAsia="Arial" w:hAnsi="Arial"/>
          <w:sz w:val="16"/>
          <w:szCs w:val="16"/>
          <w:color w:val="auto"/>
        </w:rPr>
        <w:t>The Partnership uses non-deliverable forward foreign exchange contracts to mitigate foreign exchange transaction exposures in Euros (“EUR”) and Singapore Dollars (“SGD”). Under these non-deliverable forward foreign exchange contracts, the counterparties (GasLog and the Partnership)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Forward foreign exchange contracts held for trading</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Fixed</w:t>
            </w:r>
          </w:p>
        </w:tc>
        <w:tc>
          <w:tcPr>
            <w:tcW w:w="18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Exchange Rate</w:t>
            </w:r>
          </w:p>
        </w:tc>
        <w:tc>
          <w:tcPr>
            <w:tcW w:w="1880" w:type="dxa"/>
            <w:vAlign w:val="bottom"/>
          </w:tcPr>
          <w:p>
            <w:pPr>
              <w:spacing w:after="0"/>
              <w:rPr>
                <w:sz w:val="17"/>
                <w:szCs w:val="17"/>
                <w:color w:val="auto"/>
              </w:rPr>
            </w:pPr>
          </w:p>
        </w:tc>
      </w:tr>
      <w:tr>
        <w:trPr>
          <w:trHeight w:val="213"/>
        </w:trPr>
        <w:tc>
          <w:tcPr>
            <w:tcW w:w="170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Counterparty</w:t>
            </w: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Trade Date</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contracts</w:t>
            </w:r>
          </w:p>
        </w:tc>
        <w:tc>
          <w:tcPr>
            <w:tcW w:w="1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Settlement Date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(USD/EUR)</w:t>
            </w:r>
          </w:p>
        </w:tc>
        <w:tc>
          <w:tcPr>
            <w:tcW w:w="1880" w:type="dxa"/>
            <w:vAlign w:val="bottom"/>
          </w:tcPr>
          <w:p>
            <w:pPr>
              <w:jc w:val="right"/>
              <w:ind w:right="259"/>
              <w:spacing w:after="0"/>
              <w:rPr>
                <w:sz w:val="20"/>
                <w:szCs w:val="20"/>
                <w:color w:val="auto"/>
              </w:rPr>
            </w:pPr>
            <w:r>
              <w:rPr>
                <w:rFonts w:ascii="Arial" w:cs="Arial" w:eastAsia="Arial" w:hAnsi="Arial"/>
                <w:sz w:val="16"/>
                <w:szCs w:val="16"/>
                <w:b w:val="1"/>
                <w:bCs w:val="1"/>
                <w:color w:val="auto"/>
              </w:rPr>
              <w:t>Notional Amount</w:t>
            </w:r>
          </w:p>
        </w:tc>
      </w:tr>
      <w:tr>
        <w:trPr>
          <w:trHeight w:val="199"/>
        </w:trPr>
        <w:tc>
          <w:tcPr>
            <w:tcW w:w="1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GasLog</w:t>
            </w:r>
          </w:p>
        </w:tc>
        <w:tc>
          <w:tcPr>
            <w:tcW w:w="1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Aug 2019</w:t>
            </w:r>
          </w:p>
        </w:tc>
        <w:tc>
          <w:tcPr>
            <w:tcW w:w="18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Apr 2020 – June 2020</w:t>
            </w:r>
          </w:p>
        </w:tc>
        <w:tc>
          <w:tcPr>
            <w:tcW w:w="8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1.1338 – 1.1385</w:t>
            </w:r>
          </w:p>
        </w:tc>
        <w:tc>
          <w:tcPr>
            <w:tcW w:w="140" w:type="dxa"/>
            <w:vAlign w:val="bottom"/>
            <w:tcBorders>
              <w:top w:val="single" w:sz="8" w:color="E5FFFF"/>
            </w:tcBorders>
            <w:shd w:val="clear" w:color="auto" w:fill="E5FFFF"/>
          </w:tcPr>
          <w:p>
            <w:pPr>
              <w:spacing w:after="0"/>
              <w:rPr>
                <w:sz w:val="17"/>
                <w:szCs w:val="17"/>
                <w:color w:val="auto"/>
              </w:rPr>
            </w:pPr>
          </w:p>
        </w:tc>
        <w:tc>
          <w:tcPr>
            <w:tcW w:w="18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€1,500</w:t>
            </w:r>
          </w:p>
        </w:tc>
      </w:tr>
      <w:tr>
        <w:trPr>
          <w:trHeight w:val="202"/>
        </w:trPr>
        <w:tc>
          <w:tcPr>
            <w:tcW w:w="1700" w:type="dxa"/>
            <w:vAlign w:val="bottom"/>
          </w:tcPr>
          <w:p>
            <w:pPr>
              <w:spacing w:after="0"/>
              <w:rPr>
                <w:sz w:val="20"/>
                <w:szCs w:val="20"/>
                <w:color w:val="auto"/>
              </w:rPr>
            </w:pPr>
            <w:r>
              <w:rPr>
                <w:rFonts w:ascii="Arial" w:cs="Arial" w:eastAsia="Arial" w:hAnsi="Arial"/>
                <w:sz w:val="16"/>
                <w:szCs w:val="16"/>
                <w:color w:val="auto"/>
              </w:rPr>
              <w:t>GasLog Partners</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GasLog</w:t>
            </w: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Dec 2019</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Apr 2020 – Dec 2020</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1.1318 – 1.1456</w:t>
            </w:r>
          </w:p>
        </w:tc>
        <w:tc>
          <w:tcPr>
            <w:tcW w:w="1880" w:type="dxa"/>
            <w:vAlign w:val="bottom"/>
          </w:tcPr>
          <w:p>
            <w:pPr>
              <w:jc w:val="right"/>
              <w:spacing w:after="0"/>
              <w:rPr>
                <w:sz w:val="20"/>
                <w:szCs w:val="20"/>
                <w:color w:val="auto"/>
              </w:rPr>
            </w:pPr>
            <w:r>
              <w:rPr>
                <w:rFonts w:ascii="Arial" w:cs="Arial" w:eastAsia="Arial" w:hAnsi="Arial"/>
                <w:sz w:val="16"/>
                <w:szCs w:val="16"/>
                <w:color w:val="auto"/>
              </w:rPr>
              <w:t>€14,400</w:t>
            </w:r>
          </w:p>
        </w:tc>
      </w:tr>
      <w:tr>
        <w:trPr>
          <w:trHeight w:val="196"/>
        </w:trPr>
        <w:tc>
          <w:tcPr>
            <w:tcW w:w="1700" w:type="dxa"/>
            <w:vAlign w:val="bottom"/>
            <w:tcBorders>
              <w:top w:val="single" w:sz="8" w:color="E5FFFF"/>
              <w:bottom w:val="single" w:sz="8" w:color="E5FFFF"/>
            </w:tcBorders>
            <w:shd w:val="clear" w:color="auto" w:fill="E5FFFF"/>
          </w:tcPr>
          <w:p>
            <w:pPr>
              <w:spacing w:after="0"/>
              <w:rPr>
                <w:sz w:val="17"/>
                <w:szCs w:val="17"/>
                <w:color w:val="auto"/>
              </w:rPr>
            </w:pPr>
          </w:p>
        </w:tc>
        <w:tc>
          <w:tcPr>
            <w:tcW w:w="112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E5FFFF"/>
              <w:bottom w:val="single" w:sz="8" w:color="E5FFFF"/>
            </w:tcBorders>
            <w:shd w:val="clear" w:color="auto" w:fill="E5FFFF"/>
          </w:tcPr>
          <w:p>
            <w:pPr>
              <w:spacing w:after="0"/>
              <w:rPr>
                <w:sz w:val="17"/>
                <w:szCs w:val="17"/>
                <w:color w:val="auto"/>
              </w:rPr>
            </w:pPr>
          </w:p>
        </w:tc>
        <w:tc>
          <w:tcPr>
            <w:tcW w:w="94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74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Borders>
              <w:top w:val="single" w:sz="8" w:color="E5FFFF"/>
              <w:bottom w:val="single" w:sz="8" w:color="E5FFFF"/>
            </w:tcBorders>
            <w:shd w:val="clear" w:color="auto" w:fill="E5FFFF"/>
          </w:tcPr>
          <w:p>
            <w:pPr>
              <w:spacing w:after="0"/>
              <w:rPr>
                <w:sz w:val="17"/>
                <w:szCs w:val="17"/>
                <w:color w:val="auto"/>
              </w:rPr>
            </w:pPr>
          </w:p>
        </w:tc>
        <w:tc>
          <w:tcPr>
            <w:tcW w:w="1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€15,900</w:t>
            </w:r>
          </w:p>
        </w:tc>
      </w:tr>
      <w:tr>
        <w:trPr>
          <w:trHeight w:val="20"/>
        </w:trPr>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385"/>
        </w:trPr>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Fixed</w:t>
            </w:r>
          </w:p>
        </w:tc>
        <w:tc>
          <w:tcPr>
            <w:tcW w:w="188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Exchange Rate</w:t>
            </w:r>
          </w:p>
        </w:tc>
        <w:tc>
          <w:tcPr>
            <w:tcW w:w="1880" w:type="dxa"/>
            <w:vAlign w:val="bottom"/>
          </w:tcPr>
          <w:p>
            <w:pPr>
              <w:spacing w:after="0"/>
              <w:rPr>
                <w:sz w:val="17"/>
                <w:szCs w:val="17"/>
                <w:color w:val="auto"/>
              </w:rPr>
            </w:pPr>
          </w:p>
        </w:tc>
      </w:tr>
      <w:tr>
        <w:trPr>
          <w:trHeight w:val="213"/>
        </w:trPr>
        <w:tc>
          <w:tcPr>
            <w:tcW w:w="170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Counterparty</w:t>
            </w: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Trade Date</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contracts</w:t>
            </w:r>
          </w:p>
        </w:tc>
        <w:tc>
          <w:tcPr>
            <w:tcW w:w="1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Settlement Date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(USD/SGD)</w:t>
            </w:r>
          </w:p>
        </w:tc>
        <w:tc>
          <w:tcPr>
            <w:tcW w:w="1880" w:type="dxa"/>
            <w:vAlign w:val="bottom"/>
          </w:tcPr>
          <w:p>
            <w:pPr>
              <w:jc w:val="right"/>
              <w:ind w:right="259"/>
              <w:spacing w:after="0"/>
              <w:rPr>
                <w:sz w:val="20"/>
                <w:szCs w:val="20"/>
                <w:color w:val="auto"/>
              </w:rPr>
            </w:pPr>
            <w:r>
              <w:rPr>
                <w:rFonts w:ascii="Arial" w:cs="Arial" w:eastAsia="Arial" w:hAnsi="Arial"/>
                <w:sz w:val="16"/>
                <w:szCs w:val="16"/>
                <w:b w:val="1"/>
                <w:bCs w:val="1"/>
                <w:color w:val="auto"/>
              </w:rPr>
              <w:t>Notional Amount</w:t>
            </w:r>
          </w:p>
        </w:tc>
      </w:tr>
      <w:tr>
        <w:trPr>
          <w:trHeight w:val="199"/>
        </w:trPr>
        <w:tc>
          <w:tcPr>
            <w:tcW w:w="1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GasLog Partners</w:t>
            </w: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GasLog</w:t>
            </w:r>
          </w:p>
        </w:tc>
        <w:tc>
          <w:tcPr>
            <w:tcW w:w="1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Dec 2019</w:t>
            </w:r>
          </w:p>
        </w:tc>
        <w:tc>
          <w:tcPr>
            <w:tcW w:w="18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Apr 2020 – Sep 2020</w:t>
            </w:r>
          </w:p>
        </w:tc>
        <w:tc>
          <w:tcPr>
            <w:tcW w:w="8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1.3549</w:t>
            </w:r>
          </w:p>
        </w:tc>
        <w:tc>
          <w:tcPr>
            <w:tcW w:w="140" w:type="dxa"/>
            <w:vAlign w:val="bottom"/>
            <w:tcBorders>
              <w:top w:val="single" w:sz="8" w:color="E5FFFF"/>
            </w:tcBorders>
            <w:shd w:val="clear" w:color="auto" w:fill="E5FFFF"/>
          </w:tcPr>
          <w:p>
            <w:pPr>
              <w:spacing w:after="0"/>
              <w:rPr>
                <w:sz w:val="17"/>
                <w:szCs w:val="17"/>
                <w:color w:val="auto"/>
              </w:rPr>
            </w:pPr>
          </w:p>
        </w:tc>
        <w:tc>
          <w:tcPr>
            <w:tcW w:w="1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S$1,500</w:t>
            </w:r>
          </w:p>
        </w:tc>
      </w:tr>
      <w:tr>
        <w:trPr>
          <w:trHeight w:val="196"/>
        </w:trPr>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S$1,500</w:t>
            </w:r>
          </w:p>
        </w:tc>
      </w:tr>
      <w:tr>
        <w:trPr>
          <w:trHeight w:val="20"/>
        </w:trPr>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firstLine="356"/>
        <w:spacing w:after="0" w:line="278"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March 31, 2020. The change in the fair value of these contracts for the three months ended March 31, 2019 amounted to a loss of $470 (loss of $110 for the three months ended March 31, 2019), which was recognized in profit or loss in the period incurred and included in Loss on derivatives (Note 14).</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20"/>
                <w:szCs w:val="20"/>
                <w:color w:val="auto"/>
              </w:rPr>
            </w:pPr>
            <w:r>
              <w:rPr>
                <w:rFonts w:ascii="Arial" w:cs="Arial" w:eastAsia="Arial" w:hAnsi="Arial"/>
                <w:sz w:val="16"/>
                <w:szCs w:val="16"/>
                <w:b w:val="1"/>
                <w:bCs w:val="1"/>
                <w:color w:val="auto"/>
              </w:rPr>
              <w:t>14. Financial Costs and Loss on Derivatives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19"/>
        </w:trPr>
        <w:tc>
          <w:tcPr>
            <w:tcW w:w="7520" w:type="dxa"/>
            <w:vAlign w:val="bottom"/>
          </w:tcPr>
          <w:p>
            <w:pPr>
              <w:ind w:left="420"/>
              <w:spacing w:after="0"/>
              <w:rPr>
                <w:sz w:val="20"/>
                <w:szCs w:val="20"/>
                <w:color w:val="auto"/>
              </w:rPr>
            </w:pPr>
            <w:r>
              <w:rPr>
                <w:rFonts w:ascii="Arial" w:cs="Arial" w:eastAsia="Arial" w:hAnsi="Arial"/>
                <w:sz w:val="16"/>
                <w:szCs w:val="16"/>
                <w:color w:val="auto"/>
              </w:rPr>
              <w:t>An analysis of financial costs is as follows: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1"/>
        </w:trPr>
        <w:tc>
          <w:tcPr>
            <w:tcW w:w="7520" w:type="dxa"/>
            <w:vAlign w:val="bottom"/>
          </w:tcPr>
          <w:p>
            <w:pPr>
              <w:spacing w:after="0"/>
              <w:rPr>
                <w:sz w:val="24"/>
                <w:szCs w:val="24"/>
                <w:color w:val="auto"/>
              </w:rPr>
            </w:pPr>
          </w:p>
        </w:tc>
        <w:tc>
          <w:tcPr>
            <w:tcW w:w="320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752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2019</w:t>
            </w: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7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2,532</w:t>
            </w:r>
          </w:p>
        </w:tc>
        <w:tc>
          <w:tcPr>
            <w:tcW w:w="18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1,505</w:t>
            </w:r>
          </w:p>
        </w:tc>
      </w:tr>
      <w:tr>
        <w:trPr>
          <w:trHeight w:val="203"/>
        </w:trPr>
        <w:tc>
          <w:tcPr>
            <w:tcW w:w="752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520" w:type="dxa"/>
            <w:vAlign w:val="bottom"/>
          </w:tcPr>
          <w:p>
            <w:pPr>
              <w:jc w:val="right"/>
              <w:spacing w:after="0"/>
              <w:rPr>
                <w:sz w:val="20"/>
                <w:szCs w:val="20"/>
                <w:color w:val="auto"/>
              </w:rPr>
            </w:pPr>
            <w:r>
              <w:rPr>
                <w:rFonts w:ascii="Arial" w:cs="Arial" w:eastAsia="Arial" w:hAnsi="Arial"/>
                <w:sz w:val="16"/>
                <w:szCs w:val="16"/>
                <w:color w:val="auto"/>
              </w:rPr>
              <w:t>16,591</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13,434</w:t>
            </w:r>
          </w:p>
        </w:tc>
      </w:tr>
      <w:tr>
        <w:trPr>
          <w:trHeight w:val="203"/>
        </w:trPr>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Lease expense</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w:t>
            </w:r>
          </w:p>
        </w:tc>
        <w:tc>
          <w:tcPr>
            <w:tcW w:w="18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7520" w:type="dxa"/>
            <w:vAlign w:val="bottom"/>
          </w:tcPr>
          <w:p>
            <w:pPr>
              <w:spacing w:after="0"/>
              <w:rPr>
                <w:sz w:val="20"/>
                <w:szCs w:val="20"/>
                <w:color w:val="auto"/>
              </w:rPr>
            </w:pPr>
            <w:r>
              <w:rPr>
                <w:rFonts w:ascii="Arial" w:cs="Arial" w:eastAsia="Arial" w:hAnsi="Arial"/>
                <w:sz w:val="16"/>
                <w:szCs w:val="16"/>
                <w:color w:val="auto"/>
              </w:rPr>
              <w:t>Commitment fees</w:t>
            </w:r>
          </w:p>
        </w:tc>
        <w:tc>
          <w:tcPr>
            <w:tcW w:w="1520" w:type="dxa"/>
            <w:vAlign w:val="bottom"/>
          </w:tcPr>
          <w:p>
            <w:pPr>
              <w:jc w:val="right"/>
              <w:spacing w:after="0"/>
              <w:rPr>
                <w:sz w:val="20"/>
                <w:szCs w:val="20"/>
                <w:color w:val="auto"/>
              </w:rPr>
            </w:pPr>
            <w:r>
              <w:rPr>
                <w:rFonts w:ascii="Arial" w:cs="Arial" w:eastAsia="Arial" w:hAnsi="Arial"/>
                <w:sz w:val="16"/>
                <w:szCs w:val="16"/>
                <w:color w:val="auto"/>
              </w:rPr>
              <w:t>300</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03"/>
        </w:trPr>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Other financial costs including bank commissions</w:t>
            </w:r>
          </w:p>
        </w:tc>
        <w:tc>
          <w:tcPr>
            <w:tcW w:w="1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192</w:t>
            </w:r>
          </w:p>
        </w:tc>
        <w:tc>
          <w:tcPr>
            <w:tcW w:w="18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434</w:t>
            </w:r>
          </w:p>
        </w:tc>
      </w:tr>
      <w:tr>
        <w:trPr>
          <w:trHeight w:val="196"/>
        </w:trPr>
        <w:tc>
          <w:tcPr>
            <w:tcW w:w="7520" w:type="dxa"/>
            <w:vAlign w:val="bottom"/>
          </w:tcPr>
          <w:p>
            <w:pPr>
              <w:spacing w:after="0"/>
              <w:rPr>
                <w:sz w:val="20"/>
                <w:szCs w:val="20"/>
                <w:color w:val="auto"/>
              </w:rPr>
            </w:pPr>
            <w:r>
              <w:rPr>
                <w:rFonts w:ascii="Arial" w:cs="Arial" w:eastAsia="Arial" w:hAnsi="Arial"/>
                <w:sz w:val="16"/>
                <w:szCs w:val="16"/>
                <w:b w:val="1"/>
                <w:bCs w:val="1"/>
                <w:color w:val="auto"/>
              </w:rPr>
              <w:t>Total financial costs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19,632</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15,513</w:t>
            </w:r>
          </w:p>
        </w:tc>
      </w:tr>
      <w:tr>
        <w:trPr>
          <w:trHeight w:val="20"/>
        </w:trPr>
        <w:tc>
          <w:tcPr>
            <w:tcW w:w="75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2" w:right="399" w:bottom="1159"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6"/>
        </w:trPr>
        <w:tc>
          <w:tcPr>
            <w:tcW w:w="7520" w:type="dxa"/>
            <w:vAlign w:val="bottom"/>
          </w:tcPr>
          <w:p>
            <w:pPr>
              <w:ind w:left="420"/>
              <w:spacing w:after="0"/>
              <w:rPr>
                <w:sz w:val="20"/>
                <w:szCs w:val="20"/>
                <w:color w:val="auto"/>
              </w:rPr>
            </w:pPr>
            <w:r>
              <w:rPr>
                <w:rFonts w:ascii="Arial" w:cs="Arial" w:eastAsia="Arial" w:hAnsi="Arial"/>
                <w:sz w:val="16"/>
                <w:szCs w:val="16"/>
                <w:color w:val="auto"/>
              </w:rPr>
              <w:t>An analysis of loss on derivatives is as follows:</w:t>
            </w: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21"/>
        </w:trPr>
        <w:tc>
          <w:tcPr>
            <w:tcW w:w="7520" w:type="dxa"/>
            <w:vAlign w:val="bottom"/>
          </w:tcPr>
          <w:p>
            <w:pPr>
              <w:spacing w:after="0"/>
              <w:rPr>
                <w:sz w:val="24"/>
                <w:szCs w:val="24"/>
                <w:color w:val="auto"/>
              </w:rPr>
            </w:pPr>
          </w:p>
        </w:tc>
        <w:tc>
          <w:tcPr>
            <w:tcW w:w="32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For the three months ended</w:t>
            </w:r>
          </w:p>
        </w:tc>
      </w:tr>
      <w:tr>
        <w:trPr>
          <w:trHeight w:val="199"/>
        </w:trPr>
        <w:tc>
          <w:tcPr>
            <w:tcW w:w="7520" w:type="dxa"/>
            <w:vAlign w:val="bottom"/>
          </w:tcPr>
          <w:p>
            <w:pPr>
              <w:spacing w:after="0"/>
              <w:rPr>
                <w:sz w:val="17"/>
                <w:szCs w:val="17"/>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March 31, 2019</w:t>
            </w: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 2020</w:t>
            </w:r>
          </w:p>
        </w:tc>
      </w:tr>
      <w:tr>
        <w:trPr>
          <w:trHeight w:val="196"/>
        </w:trPr>
        <w:tc>
          <w:tcPr>
            <w:tcW w:w="7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Unrealized loss on interest rate swaps held for trading (Note 13)</w:t>
            </w: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5,497</w:t>
            </w:r>
          </w:p>
        </w:tc>
        <w:tc>
          <w:tcPr>
            <w:tcW w:w="18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13,182</w:t>
            </w:r>
          </w:p>
        </w:tc>
      </w:tr>
      <w:tr>
        <w:trPr>
          <w:trHeight w:val="203"/>
        </w:trPr>
        <w:tc>
          <w:tcPr>
            <w:tcW w:w="7520" w:type="dxa"/>
            <w:vAlign w:val="bottom"/>
          </w:tcPr>
          <w:p>
            <w:pPr>
              <w:spacing w:after="0"/>
              <w:rPr>
                <w:sz w:val="20"/>
                <w:szCs w:val="20"/>
                <w:color w:val="auto"/>
              </w:rPr>
            </w:pPr>
            <w:r>
              <w:rPr>
                <w:rFonts w:ascii="Arial" w:cs="Arial" w:eastAsia="Arial" w:hAnsi="Arial"/>
                <w:sz w:val="16"/>
                <w:szCs w:val="16"/>
                <w:color w:val="auto"/>
              </w:rPr>
              <w:t>Unrealized loss on forward foreign exchange contracts held for trading (Note 13)</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110</w:t>
            </w:r>
          </w:p>
        </w:tc>
        <w:tc>
          <w:tcPr>
            <w:tcW w:w="150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03"/>
        </w:trPr>
        <w:tc>
          <w:tcPr>
            <w:tcW w:w="7520" w:type="dxa"/>
            <w:vAlign w:val="bottom"/>
            <w:shd w:val="clear" w:color="auto" w:fill="E5FFFF"/>
          </w:tcPr>
          <w:p>
            <w:pPr>
              <w:spacing w:after="0"/>
              <w:rPr>
                <w:sz w:val="20"/>
                <w:szCs w:val="20"/>
                <w:color w:val="auto"/>
              </w:rPr>
            </w:pPr>
            <w:r>
              <w:rPr>
                <w:rFonts w:ascii="Arial" w:cs="Arial" w:eastAsia="Arial" w:hAnsi="Arial"/>
                <w:sz w:val="16"/>
                <w:szCs w:val="16"/>
                <w:color w:val="auto"/>
              </w:rPr>
              <w:t>Realized (gain)/loss on interest rate swaps held for trading</w:t>
            </w:r>
          </w:p>
        </w:tc>
        <w:tc>
          <w:tcPr>
            <w:tcW w:w="1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(1,097)</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293</w:t>
            </w:r>
          </w:p>
        </w:tc>
      </w:tr>
      <w:tr>
        <w:trPr>
          <w:trHeight w:val="203"/>
        </w:trPr>
        <w:tc>
          <w:tcPr>
            <w:tcW w:w="75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Realized loss on forward foreign exchange contracts held for trading</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80" w:type="dxa"/>
            <w:vAlign w:val="bottom"/>
            <w:tcBorders>
              <w:bottom w:val="single" w:sz="8" w:color="E5FF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196"/>
        </w:trPr>
        <w:tc>
          <w:tcPr>
            <w:tcW w:w="75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loss on derivatives</w:t>
            </w:r>
          </w:p>
        </w:tc>
        <w:tc>
          <w:tcPr>
            <w:tcW w:w="1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4,877</w:t>
            </w:r>
          </w:p>
        </w:tc>
        <w:tc>
          <w:tcPr>
            <w:tcW w:w="180" w:type="dxa"/>
            <w:vAlign w:val="bottom"/>
            <w:tcBorders>
              <w:bottom w:val="single" w:sz="8" w:color="E5FFFF"/>
            </w:tcBorders>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14,120</w:t>
            </w:r>
          </w:p>
        </w:tc>
      </w:tr>
      <w:tr>
        <w:trPr>
          <w:trHeight w:val="20"/>
        </w:trPr>
        <w:tc>
          <w:tcPr>
            <w:tcW w:w="75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Cash Flow Reconciliations</w:t>
      </w:r>
    </w:p>
    <w:p>
      <w:pPr>
        <w:spacing w:after="0" w:line="239" w:lineRule="exact"/>
        <w:rPr>
          <w:sz w:val="20"/>
          <w:szCs w:val="20"/>
          <w:color w:val="auto"/>
        </w:rPr>
      </w:pPr>
    </w:p>
    <w:p>
      <w:pPr>
        <w:ind w:firstLine="383"/>
        <w:spacing w:after="0" w:line="293" w:lineRule="auto"/>
        <w:rPr>
          <w:sz w:val="20"/>
          <w:szCs w:val="20"/>
          <w:color w:val="auto"/>
        </w:rPr>
      </w:pPr>
      <w:r>
        <w:rPr>
          <w:rFonts w:ascii="Arial" w:cs="Arial" w:eastAsia="Arial" w:hAnsi="Arial"/>
          <w:sz w:val="16"/>
          <w:szCs w:val="16"/>
          <w:color w:val="auto"/>
        </w:rPr>
        <w:t>The reconciliations of the Partnership’s non-cash investing and financing activities for the three months ended March 31, 2019 and March 31, 2020 are presented in the following tables: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Deferred</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financing costs,</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720" w:type="dxa"/>
            <w:vAlign w:val="bottom"/>
            <w:gridSpan w:val="3"/>
          </w:tcPr>
          <w:p>
            <w:pPr>
              <w:ind w:left="200"/>
              <w:spacing w:after="0"/>
              <w:rPr>
                <w:sz w:val="20"/>
                <w:szCs w:val="20"/>
                <w:color w:val="auto"/>
              </w:rPr>
            </w:pPr>
            <w:r>
              <w:rPr>
                <w:rFonts w:ascii="Arial" w:cs="Arial" w:eastAsia="Arial" w:hAnsi="Arial"/>
                <w:sz w:val="16"/>
                <w:szCs w:val="16"/>
                <w:b w:val="1"/>
                <w:bCs w:val="1"/>
                <w:color w:val="auto"/>
              </w:rPr>
              <w:t>Opening balance</w:t>
            </w:r>
          </w:p>
        </w:tc>
        <w:tc>
          <w:tcPr>
            <w:tcW w:w="1480" w:type="dxa"/>
            <w:vAlign w:val="bottom"/>
            <w:gridSpan w:val="3"/>
          </w:tcPr>
          <w:p>
            <w:pPr>
              <w:ind w:left="280"/>
              <w:spacing w:after="0"/>
              <w:rPr>
                <w:sz w:val="20"/>
                <w:szCs w:val="20"/>
                <w:color w:val="auto"/>
              </w:rPr>
            </w:pPr>
            <w:r>
              <w:rPr>
                <w:rFonts w:ascii="Arial" w:cs="Arial" w:eastAsia="Arial" w:hAnsi="Arial"/>
                <w:sz w:val="16"/>
                <w:szCs w:val="16"/>
                <w:b w:val="1"/>
                <w:bCs w:val="1"/>
                <w:color w:val="auto"/>
              </w:rPr>
              <w:t>Cash flows</w:t>
            </w:r>
          </w:p>
        </w:tc>
        <w:tc>
          <w:tcPr>
            <w:tcW w:w="1460" w:type="dxa"/>
            <w:vAlign w:val="bottom"/>
            <w:gridSpan w:val="3"/>
          </w:tcPr>
          <w:p>
            <w:pPr>
              <w:ind w:left="120"/>
              <w:spacing w:after="0"/>
              <w:rPr>
                <w:sz w:val="20"/>
                <w:szCs w:val="20"/>
                <w:color w:val="auto"/>
              </w:rPr>
            </w:pPr>
            <w:r>
              <w:rPr>
                <w:rFonts w:ascii="Arial" w:cs="Arial" w:eastAsia="Arial" w:hAnsi="Arial"/>
                <w:sz w:val="16"/>
                <w:szCs w:val="16"/>
                <w:b w:val="1"/>
                <w:bCs w:val="1"/>
                <w:color w:val="auto"/>
              </w:rPr>
              <w:t>Non-cash items</w:t>
            </w:r>
          </w:p>
        </w:tc>
        <w:tc>
          <w:tcPr>
            <w:tcW w:w="15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0"/>
              </w:rPr>
              <w:t>assets</w:t>
            </w:r>
          </w:p>
        </w:tc>
        <w:tc>
          <w:tcPr>
            <w:tcW w:w="1240" w:type="dxa"/>
            <w:vAlign w:val="bottom"/>
            <w:gridSpan w:val="3"/>
          </w:tcPr>
          <w:p>
            <w:pPr>
              <w:ind w:lef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3160" w:type="dxa"/>
            <w:vAlign w:val="bottom"/>
            <w:tcBorders>
              <w:top w:val="single" w:sz="8" w:color="E5FFFF"/>
            </w:tcBorders>
            <w:shd w:val="clear" w:color="auto" w:fill="E5FFFF"/>
          </w:tcPr>
          <w:p>
            <w:pPr>
              <w:spacing w:after="0" w:line="176" w:lineRule="exact"/>
              <w:rPr>
                <w:sz w:val="20"/>
                <w:szCs w:val="20"/>
                <w:color w:val="auto"/>
              </w:rPr>
            </w:pPr>
            <w:r>
              <w:rPr>
                <w:rFonts w:ascii="Arial" w:cs="Arial" w:eastAsia="Arial" w:hAnsi="Arial"/>
                <w:sz w:val="16"/>
                <w:szCs w:val="16"/>
                <w:color w:val="auto"/>
              </w:rPr>
              <w:t>Borrowings outstanding as of January 1,</w:t>
            </w:r>
          </w:p>
        </w:tc>
        <w:tc>
          <w:tcPr>
            <w:tcW w:w="154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1300" w:type="dxa"/>
            <w:vAlign w:val="bottom"/>
            <w:tcBorders>
              <w:top w:val="single" w:sz="8" w:color="auto"/>
              <w:right w:val="single" w:sz="8" w:color="E5FFFF"/>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40" w:type="dxa"/>
            <w:vAlign w:val="bottom"/>
            <w:tcBorders>
              <w:top w:val="single" w:sz="8" w:color="E5FFFF"/>
            </w:tcBorders>
            <w:shd w:val="clear" w:color="auto" w:fill="E5FFFF"/>
          </w:tcPr>
          <w:p>
            <w:pPr>
              <w:spacing w:after="0"/>
              <w:rPr>
                <w:sz w:val="15"/>
                <w:szCs w:val="15"/>
                <w:color w:val="auto"/>
              </w:rPr>
            </w:pPr>
          </w:p>
        </w:tc>
        <w:tc>
          <w:tcPr>
            <w:tcW w:w="1280" w:type="dxa"/>
            <w:vAlign w:val="bottom"/>
            <w:tcBorders>
              <w:top w:val="single" w:sz="8" w:color="auto"/>
              <w:right w:val="single" w:sz="8" w:color="E5FFFF"/>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1400" w:type="dxa"/>
            <w:vAlign w:val="bottom"/>
            <w:tcBorders>
              <w:top w:val="single" w:sz="8" w:color="auto"/>
              <w:right w:val="single" w:sz="8" w:color="E5FFFF"/>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1200" w:type="dxa"/>
            <w:vAlign w:val="bottom"/>
            <w:tcBorders>
              <w:top w:val="single" w:sz="8" w:color="auto"/>
            </w:tcBorders>
            <w:shd w:val="clear" w:color="auto" w:fill="E5FFFF"/>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2019</w:t>
            </w:r>
          </w:p>
        </w:tc>
        <w:tc>
          <w:tcPr>
            <w:tcW w:w="17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1,365,800</w:t>
            </w:r>
          </w:p>
        </w:tc>
        <w:tc>
          <w:tcPr>
            <w:tcW w:w="20" w:type="dxa"/>
            <w:vAlign w:val="bottom"/>
            <w:shd w:val="clear" w:color="auto" w:fill="E5FFFF"/>
          </w:tcPr>
          <w:p>
            <w:pPr>
              <w:spacing w:after="0"/>
              <w:rPr>
                <w:sz w:val="18"/>
                <w:szCs w:val="18"/>
                <w:color w:val="auto"/>
              </w:rPr>
            </w:pPr>
          </w:p>
        </w:tc>
        <w:tc>
          <w:tcPr>
            <w:tcW w:w="148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1,365,800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6"/>
                <w:szCs w:val="16"/>
                <w:color w:val="auto"/>
              </w:rPr>
              <w:t>Borrowings drawdowns</w:t>
            </w:r>
          </w:p>
        </w:tc>
        <w:tc>
          <w:tcPr>
            <w:tcW w:w="1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360,000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360,000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172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(385,319)</w:t>
            </w:r>
          </w:p>
        </w:tc>
        <w:tc>
          <w:tcPr>
            <w:tcW w:w="40" w:type="dxa"/>
            <w:vAlign w:val="bottom"/>
            <w:shd w:val="clear" w:color="auto" w:fill="E5FFFF"/>
          </w:tcPr>
          <w:p>
            <w:pPr>
              <w:spacing w:after="0"/>
              <w:rPr>
                <w:sz w:val="17"/>
                <w:szCs w:val="17"/>
                <w:color w:val="auto"/>
              </w:rPr>
            </w:pPr>
          </w:p>
        </w:tc>
        <w:tc>
          <w:tcPr>
            <w:tcW w:w="146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(385,319)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(4,800)</w:t>
            </w:r>
          </w:p>
        </w:tc>
        <w:tc>
          <w:tcPr>
            <w:tcW w:w="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shd w:val="clear" w:color="auto" w:fill="E5FFFF"/>
          </w:tcPr>
          <w:p>
            <w:pPr>
              <w:spacing w:after="0"/>
              <w:rPr>
                <w:sz w:val="20"/>
                <w:szCs w:val="20"/>
                <w:color w:val="auto"/>
              </w:rPr>
            </w:pPr>
            <w:r>
              <w:rPr>
                <w:rFonts w:ascii="Arial" w:cs="Arial" w:eastAsia="Arial" w:hAnsi="Arial"/>
                <w:sz w:val="16"/>
                <w:szCs w:val="16"/>
                <w:color w:val="auto"/>
              </w:rPr>
              <w:t>Amortization and write-off of deferred loan</w:t>
            </w:r>
          </w:p>
        </w:tc>
        <w:tc>
          <w:tcPr>
            <w:tcW w:w="154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300" w:type="dxa"/>
            <w:vAlign w:val="bottom"/>
            <w:tcBorders>
              <w:right w:val="single" w:sz="8" w:color="E5FFFF"/>
            </w:tcBorders>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1280" w:type="dxa"/>
            <w:vAlign w:val="bottom"/>
            <w:tcBorders>
              <w:right w:val="single" w:sz="8" w:color="E5FFFF"/>
            </w:tcBorders>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400" w:type="dxa"/>
            <w:vAlign w:val="bottom"/>
            <w:tcBorders>
              <w:right w:val="single" w:sz="8" w:color="E5FFFF"/>
            </w:tcBorders>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200" w:type="dxa"/>
            <w:vAlign w:val="bottom"/>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1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issuance costs (Note 14)</w:t>
            </w:r>
          </w:p>
        </w:tc>
        <w:tc>
          <w:tcPr>
            <w:tcW w:w="172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2,532</w:t>
            </w:r>
          </w:p>
        </w:tc>
        <w:tc>
          <w:tcPr>
            <w:tcW w:w="20" w:type="dxa"/>
            <w:vAlign w:val="bottom"/>
            <w:shd w:val="clear" w:color="auto" w:fill="E5FFFF"/>
          </w:tcPr>
          <w:p>
            <w:pPr>
              <w:spacing w:after="0"/>
              <w:rPr>
                <w:sz w:val="18"/>
                <w:szCs w:val="18"/>
                <w:color w:val="auto"/>
              </w:rPr>
            </w:pPr>
          </w:p>
        </w:tc>
        <w:tc>
          <w:tcPr>
            <w:tcW w:w="158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6"/>
                <w:szCs w:val="16"/>
                <w:b w:val="1"/>
                <w:bCs w:val="1"/>
                <w:color w:val="auto"/>
              </w:rPr>
              <w:t>Borrowings outstanding as of March 31,</w:t>
            </w: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vMerge w:val="continue"/>
          </w:tcPr>
          <w:p>
            <w:pPr>
              <w:spacing w:after="0"/>
              <w:rPr>
                <w:sz w:val="14"/>
                <w:szCs w:val="14"/>
                <w:color w:val="auto"/>
              </w:rPr>
            </w:pPr>
          </w:p>
        </w:tc>
        <w:tc>
          <w:tcPr>
            <w:tcW w:w="17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1,365,800</w:t>
            </w:r>
          </w:p>
        </w:tc>
        <w:tc>
          <w:tcPr>
            <w:tcW w:w="20" w:type="dxa"/>
            <w:vAlign w:val="bottom"/>
          </w:tcPr>
          <w:p>
            <w:pPr>
              <w:spacing w:after="0"/>
              <w:rPr>
                <w:sz w:val="14"/>
                <w:szCs w:val="14"/>
                <w:color w:val="auto"/>
              </w:rPr>
            </w:pPr>
          </w:p>
        </w:tc>
        <w:tc>
          <w:tcPr>
            <w:tcW w:w="144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(30,119)</w:t>
            </w:r>
          </w:p>
        </w:tc>
        <w:tc>
          <w:tcPr>
            <w:tcW w:w="40" w:type="dxa"/>
            <w:vAlign w:val="bottom"/>
          </w:tcPr>
          <w:p>
            <w:pPr>
              <w:spacing w:after="0"/>
              <w:rPr>
                <w:sz w:val="14"/>
                <w:szCs w:val="14"/>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2,347</w:t>
            </w:r>
          </w:p>
        </w:tc>
        <w:tc>
          <w:tcPr>
            <w:tcW w:w="20" w:type="dxa"/>
            <w:vAlign w:val="bottom"/>
          </w:tcPr>
          <w:p>
            <w:pPr>
              <w:spacing w:after="0"/>
              <w:rPr>
                <w:sz w:val="14"/>
                <w:szCs w:val="14"/>
                <w:color w:val="auto"/>
              </w:rPr>
            </w:pPr>
          </w:p>
        </w:tc>
        <w:tc>
          <w:tcPr>
            <w:tcW w:w="156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(50)</w:t>
            </w:r>
          </w:p>
        </w:tc>
        <w:tc>
          <w:tcPr>
            <w:tcW w:w="20" w:type="dxa"/>
            <w:vAlign w:val="bottom"/>
          </w:tcPr>
          <w:p>
            <w:pPr>
              <w:spacing w:after="0"/>
              <w:rPr>
                <w:sz w:val="14"/>
                <w:szCs w:val="14"/>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1,337,978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rPr>
                <w:sz w:val="20"/>
                <w:szCs w:val="20"/>
                <w:color w:val="auto"/>
              </w:rPr>
            </w:pPr>
            <w:r>
              <w:rPr>
                <w:rFonts w:ascii="Arial" w:cs="Arial" w:eastAsia="Arial" w:hAnsi="Arial"/>
                <w:sz w:val="16"/>
                <w:szCs w:val="16"/>
                <w:b w:val="1"/>
                <w:bCs w:val="1"/>
                <w:color w:val="auto"/>
              </w:rPr>
              <w:t>2019</w:t>
            </w:r>
          </w:p>
        </w:tc>
        <w:tc>
          <w:tcPr>
            <w:tcW w:w="1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Opening</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7"/>
              </w:rPr>
              <w:t>balance</w:t>
            </w:r>
          </w:p>
        </w:tc>
        <w:tc>
          <w:tcPr>
            <w:tcW w:w="1460" w:type="dxa"/>
            <w:vAlign w:val="bottom"/>
            <w:gridSpan w:val="3"/>
          </w:tcPr>
          <w:p>
            <w:pPr>
              <w:ind w:left="240"/>
              <w:spacing w:after="0"/>
              <w:rPr>
                <w:sz w:val="20"/>
                <w:szCs w:val="20"/>
                <w:color w:val="auto"/>
              </w:rPr>
            </w:pPr>
            <w:r>
              <w:rPr>
                <w:rFonts w:ascii="Arial" w:cs="Arial" w:eastAsia="Arial" w:hAnsi="Arial"/>
                <w:sz w:val="16"/>
                <w:szCs w:val="16"/>
                <w:b w:val="1"/>
                <w:bCs w:val="1"/>
                <w:color w:val="auto"/>
              </w:rPr>
              <w:t>Cash flows</w:t>
            </w:r>
          </w:p>
        </w:tc>
        <w:tc>
          <w:tcPr>
            <w:tcW w:w="15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7"/>
              </w:rPr>
              <w:t>Non-cash items</w:t>
            </w:r>
          </w:p>
        </w:tc>
        <w:tc>
          <w:tcPr>
            <w:tcW w:w="1240" w:type="dxa"/>
            <w:vAlign w:val="bottom"/>
            <w:gridSpan w:val="3"/>
          </w:tcPr>
          <w:p>
            <w:pPr>
              <w:ind w:lef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31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w w:val="96"/>
              </w:rPr>
              <w:t>Borrowings outstanding as of January 1, 2020</w:t>
            </w:r>
          </w:p>
        </w:tc>
        <w:tc>
          <w:tcPr>
            <w:tcW w:w="154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30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1,346,024</w:t>
            </w: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40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1,346,024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6"/>
                <w:szCs w:val="16"/>
                <w:color w:val="auto"/>
              </w:rPr>
              <w:t>Borrowings drawdowns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25,940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25,940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E5FFFF"/>
          </w:tcPr>
          <w:p>
            <w:pPr>
              <w:spacing w:after="0"/>
              <w:rPr>
                <w:sz w:val="20"/>
                <w:szCs w:val="20"/>
                <w:color w:val="auto"/>
              </w:rPr>
            </w:pPr>
            <w:r>
              <w:rPr>
                <w:rFonts w:ascii="Arial" w:cs="Arial" w:eastAsia="Arial" w:hAnsi="Arial"/>
                <w:sz w:val="16"/>
                <w:szCs w:val="16"/>
                <w:color w:val="auto"/>
              </w:rPr>
              <w:t>Borrowings repayments</w:t>
            </w:r>
          </w:p>
        </w:tc>
        <w:tc>
          <w:tcPr>
            <w:tcW w:w="15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(32,675)</w:t>
            </w:r>
          </w:p>
        </w:tc>
        <w:tc>
          <w:tcPr>
            <w:tcW w:w="20" w:type="dxa"/>
            <w:vAlign w:val="bottom"/>
            <w:shd w:val="clear" w:color="auto" w:fill="E5FFFF"/>
          </w:tcPr>
          <w:p>
            <w:pPr>
              <w:spacing w:after="0"/>
              <w:rPr>
                <w:sz w:val="17"/>
                <w:szCs w:val="17"/>
                <w:color w:val="auto"/>
              </w:rPr>
            </w:pPr>
          </w:p>
        </w:tc>
        <w:tc>
          <w:tcPr>
            <w:tcW w:w="15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(32,675)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Amortization and write-off of deferred loan issuance costs (Note 14)</w:t>
            </w:r>
          </w:p>
        </w:tc>
        <w:tc>
          <w:tcPr>
            <w:tcW w:w="1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46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1,505</w:t>
            </w:r>
          </w:p>
        </w:tc>
        <w:tc>
          <w:tcPr>
            <w:tcW w:w="1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6"/>
                <w:szCs w:val="16"/>
                <w:b w:val="1"/>
                <w:bCs w:val="1"/>
                <w:color w:val="auto"/>
                <w:w w:val="91"/>
              </w:rPr>
              <w:t>Borrowings outstanding as of March 31, 2020</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1,346,024</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(6,891</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1,628</w:t>
            </w: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1,340,761</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derivatives arising from financing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Opening</w:t>
            </w: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0"/>
              </w:rPr>
              <w:t>balance</w:t>
            </w:r>
          </w:p>
        </w:tc>
        <w:tc>
          <w:tcPr>
            <w:tcW w:w="1560" w:type="dxa"/>
            <w:vAlign w:val="bottom"/>
            <w:gridSpan w:val="4"/>
          </w:tcPr>
          <w:p>
            <w:pPr>
              <w:ind w:left="160"/>
              <w:spacing w:after="0"/>
              <w:rPr>
                <w:sz w:val="20"/>
                <w:szCs w:val="20"/>
                <w:color w:val="auto"/>
              </w:rPr>
            </w:pPr>
            <w:r>
              <w:rPr>
                <w:rFonts w:ascii="Arial" w:cs="Arial" w:eastAsia="Arial" w:hAnsi="Arial"/>
                <w:sz w:val="16"/>
                <w:szCs w:val="16"/>
                <w:b w:val="1"/>
                <w:bCs w:val="1"/>
                <w:color w:val="auto"/>
              </w:rPr>
              <w:t>Non-cash items</w:t>
            </w:r>
          </w:p>
        </w:tc>
        <w:tc>
          <w:tcPr>
            <w:tcW w:w="1340" w:type="dxa"/>
            <w:vAlign w:val="bottom"/>
            <w:gridSpan w:val="3"/>
          </w:tcPr>
          <w:p>
            <w:pPr>
              <w:jc w:val="right"/>
              <w:ind w:right="51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51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Net derivative assets as of January 1, 2019</w:t>
            </w:r>
          </w:p>
        </w:tc>
        <w:tc>
          <w:tcPr>
            <w:tcW w:w="100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4,935</w:t>
            </w:r>
          </w:p>
        </w:tc>
        <w:tc>
          <w:tcPr>
            <w:tcW w:w="12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4,935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Unrealized loss on interest rate swaps held for trading (Note 14)</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4"/>
          </w:tcPr>
          <w:p>
            <w:pPr>
              <w:ind w:left="114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(5,497)</w:t>
            </w:r>
          </w:p>
        </w:tc>
        <w:tc>
          <w:tcPr>
            <w:tcW w:w="4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(5,497)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gridSpan w:val="5"/>
            <w:shd w:val="clear" w:color="auto" w:fill="E5FFFF"/>
          </w:tcPr>
          <w:p>
            <w:pPr>
              <w:spacing w:after="0"/>
              <w:rPr>
                <w:sz w:val="20"/>
                <w:szCs w:val="20"/>
                <w:color w:val="auto"/>
              </w:rPr>
            </w:pPr>
            <w:r>
              <w:rPr>
                <w:rFonts w:ascii="Arial" w:cs="Arial" w:eastAsia="Arial" w:hAnsi="Arial"/>
                <w:sz w:val="16"/>
                <w:szCs w:val="16"/>
                <w:color w:val="auto"/>
              </w:rPr>
              <w:t>Unrealized loss on forward foreign exchange contracts held for trading (Note 14)</w:t>
            </w:r>
          </w:p>
        </w:tc>
        <w:tc>
          <w:tcPr>
            <w:tcW w:w="1480" w:type="dxa"/>
            <w:vAlign w:val="bottom"/>
            <w:gridSpan w:val="4"/>
            <w:shd w:val="clear" w:color="auto" w:fill="E5FFFF"/>
          </w:tcPr>
          <w:p>
            <w:pPr>
              <w:ind w:left="114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(110)</w:t>
            </w:r>
          </w:p>
        </w:tc>
        <w:tc>
          <w:tcPr>
            <w:tcW w:w="40" w:type="dxa"/>
            <w:vAlign w:val="bottom"/>
            <w:shd w:val="clear" w:color="auto" w:fill="E5FFFF"/>
          </w:tcPr>
          <w:p>
            <w:pPr>
              <w:spacing w:after="0"/>
              <w:rPr>
                <w:sz w:val="17"/>
                <w:szCs w:val="17"/>
                <w:color w:val="auto"/>
              </w:rPr>
            </w:pPr>
          </w:p>
        </w:tc>
        <w:tc>
          <w:tcPr>
            <w:tcW w:w="1320" w:type="dxa"/>
            <w:vAlign w:val="bottom"/>
            <w:tcBorders>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(110)</w:t>
            </w: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Net derivative liabilities as of March 31, 2019</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4,935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(5,607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8"/>
                <w:szCs w:val="18"/>
                <w:color w:val="auto"/>
              </w:rPr>
            </w:pP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(672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Opening</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0"/>
              </w:rPr>
              <w:t>balance</w:t>
            </w:r>
          </w:p>
        </w:tc>
        <w:tc>
          <w:tcPr>
            <w:tcW w:w="1560" w:type="dxa"/>
            <w:vAlign w:val="bottom"/>
            <w:gridSpan w:val="4"/>
          </w:tcPr>
          <w:p>
            <w:pPr>
              <w:ind w:left="160"/>
              <w:spacing w:after="0"/>
              <w:rPr>
                <w:sz w:val="20"/>
                <w:szCs w:val="20"/>
                <w:color w:val="auto"/>
              </w:rPr>
            </w:pPr>
            <w:r>
              <w:rPr>
                <w:rFonts w:ascii="Arial" w:cs="Arial" w:eastAsia="Arial" w:hAnsi="Arial"/>
                <w:sz w:val="16"/>
                <w:szCs w:val="16"/>
                <w:b w:val="1"/>
                <w:bCs w:val="1"/>
                <w:color w:val="auto"/>
              </w:rPr>
              <w:t>Non-cash items</w:t>
            </w:r>
          </w:p>
        </w:tc>
        <w:tc>
          <w:tcPr>
            <w:tcW w:w="1340" w:type="dxa"/>
            <w:vAlign w:val="bottom"/>
            <w:gridSpan w:val="3"/>
          </w:tcPr>
          <w:p>
            <w:pPr>
              <w:jc w:val="right"/>
              <w:ind w:right="51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51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Net derivative liabilities as of January 1, 2020</w:t>
            </w:r>
          </w:p>
        </w:tc>
        <w:tc>
          <w:tcPr>
            <w:tcW w:w="100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(8,923</w:t>
            </w:r>
          </w:p>
        </w:tc>
        <w:tc>
          <w:tcPr>
            <w:tcW w:w="12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(8,923)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Unrealized loss on interest rate swaps held for trading (Note 14)</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4"/>
          </w:tcPr>
          <w:p>
            <w:pPr>
              <w:ind w:left="114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(13,182)</w:t>
            </w:r>
          </w:p>
        </w:tc>
        <w:tc>
          <w:tcPr>
            <w:tcW w:w="4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(13,182)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gridSpan w:val="5"/>
            <w:shd w:val="clear" w:color="auto" w:fill="E5FFFF"/>
          </w:tcPr>
          <w:p>
            <w:pPr>
              <w:spacing w:after="0"/>
              <w:rPr>
                <w:sz w:val="20"/>
                <w:szCs w:val="20"/>
                <w:color w:val="auto"/>
              </w:rPr>
            </w:pPr>
            <w:r>
              <w:rPr>
                <w:rFonts w:ascii="Arial" w:cs="Arial" w:eastAsia="Arial" w:hAnsi="Arial"/>
                <w:sz w:val="16"/>
                <w:szCs w:val="16"/>
                <w:color w:val="auto"/>
              </w:rPr>
              <w:t>Unrealized loss on forward foreign exchange contracts held for trading (Note 14)</w:t>
            </w:r>
          </w:p>
        </w:tc>
        <w:tc>
          <w:tcPr>
            <w:tcW w:w="1480" w:type="dxa"/>
            <w:vAlign w:val="bottom"/>
            <w:gridSpan w:val="4"/>
            <w:shd w:val="clear" w:color="auto" w:fill="E5FFFF"/>
          </w:tcPr>
          <w:p>
            <w:pPr>
              <w:ind w:left="114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(470)</w:t>
            </w:r>
          </w:p>
        </w:tc>
        <w:tc>
          <w:tcPr>
            <w:tcW w:w="40" w:type="dxa"/>
            <w:vAlign w:val="bottom"/>
            <w:shd w:val="clear" w:color="auto" w:fill="E5FFFF"/>
          </w:tcPr>
          <w:p>
            <w:pPr>
              <w:spacing w:after="0"/>
              <w:rPr>
                <w:sz w:val="17"/>
                <w:szCs w:val="17"/>
                <w:color w:val="auto"/>
              </w:rPr>
            </w:pPr>
          </w:p>
        </w:tc>
        <w:tc>
          <w:tcPr>
            <w:tcW w:w="1320" w:type="dxa"/>
            <w:vAlign w:val="bottom"/>
            <w:tcBorders>
              <w:right w:val="single" w:sz="8" w:color="E5FFFF"/>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(470)</w:t>
            </w: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67281"/>
              </w:rPr>
              <w:t>)</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Net derivative liabilities as of March 31, 2020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(8,923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(13,652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8"/>
                <w:szCs w:val="18"/>
                <w:color w:val="auto"/>
              </w:rPr>
            </w:pP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(22,575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0"/>
              <w:spacing w:after="0"/>
              <w:rPr>
                <w:sz w:val="20"/>
                <w:szCs w:val="20"/>
                <w:color w:val="auto"/>
              </w:rPr>
            </w:pPr>
            <w:r>
              <w:rPr>
                <w:rFonts w:ascii="Arial" w:cs="Arial" w:eastAsia="Arial" w:hAnsi="Arial"/>
                <w:sz w:val="16"/>
                <w:szCs w:val="16"/>
                <w:color w:val="auto"/>
                <w:w w:val="94"/>
              </w:rPr>
              <w:t>A reconciliation of vessels arising from investing activities is as follows:</w:t>
            </w: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1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2"/>
              </w:rPr>
              <w:t>Opening</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7"/>
              </w:rPr>
              <w:t>balance</w:t>
            </w:r>
          </w:p>
        </w:tc>
        <w:tc>
          <w:tcPr>
            <w:tcW w:w="1480" w:type="dxa"/>
            <w:vAlign w:val="bottom"/>
            <w:gridSpan w:val="4"/>
          </w:tcPr>
          <w:p>
            <w:pPr>
              <w:ind w:left="220"/>
              <w:spacing w:after="0"/>
              <w:rPr>
                <w:sz w:val="20"/>
                <w:szCs w:val="20"/>
                <w:color w:val="auto"/>
              </w:rPr>
            </w:pPr>
            <w:r>
              <w:rPr>
                <w:rFonts w:ascii="Arial" w:cs="Arial" w:eastAsia="Arial" w:hAnsi="Arial"/>
                <w:sz w:val="16"/>
                <w:szCs w:val="16"/>
                <w:b w:val="1"/>
                <w:bCs w:val="1"/>
                <w:color w:val="auto"/>
              </w:rPr>
              <w:t>Cash flows</w:t>
            </w:r>
          </w:p>
        </w:tc>
        <w:tc>
          <w:tcPr>
            <w:tcW w:w="1560" w:type="dxa"/>
            <w:vAlign w:val="bottom"/>
            <w:gridSpan w:val="4"/>
          </w:tcPr>
          <w:p>
            <w:pPr>
              <w:ind w:left="120"/>
              <w:spacing w:after="0"/>
              <w:rPr>
                <w:sz w:val="20"/>
                <w:szCs w:val="20"/>
                <w:color w:val="auto"/>
              </w:rPr>
            </w:pPr>
            <w:r>
              <w:rPr>
                <w:rFonts w:ascii="Arial" w:cs="Arial" w:eastAsia="Arial" w:hAnsi="Arial"/>
                <w:sz w:val="16"/>
                <w:szCs w:val="16"/>
                <w:b w:val="1"/>
                <w:bCs w:val="1"/>
                <w:color w:val="auto"/>
              </w:rPr>
              <w:t>Non-cash items</w:t>
            </w:r>
          </w:p>
        </w:tc>
        <w:tc>
          <w:tcPr>
            <w:tcW w:w="1340" w:type="dxa"/>
            <w:vAlign w:val="bottom"/>
            <w:gridSpan w:val="3"/>
          </w:tcPr>
          <w:p>
            <w:pPr>
              <w:jc w:val="right"/>
              <w:ind w:right="5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Vessels as of January 1, 2019</w:t>
            </w:r>
          </w:p>
        </w:tc>
        <w:tc>
          <w:tcPr>
            <w:tcW w:w="30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2,509,283</w:t>
            </w:r>
          </w:p>
        </w:tc>
        <w:tc>
          <w:tcPr>
            <w:tcW w:w="16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auto"/>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gridSpan w:val="2"/>
            <w:shd w:val="clear" w:color="auto" w:fill="E5FFFF"/>
          </w:tcPr>
          <w:p>
            <w:pPr>
              <w:spacing w:after="0"/>
              <w:rPr>
                <w:sz w:val="17"/>
                <w:szCs w:val="17"/>
                <w:color w:val="auto"/>
              </w:rPr>
            </w:pPr>
          </w:p>
        </w:tc>
        <w:tc>
          <w:tcPr>
            <w:tcW w:w="60" w:type="dxa"/>
            <w:vAlign w:val="bottom"/>
            <w:tcBorders>
              <w:top w:val="single" w:sz="8" w:color="auto"/>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gridSpan w:val="2"/>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1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2,509,283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2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2,216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3"/>
          </w:tcPr>
          <w:p>
            <w:pPr>
              <w:jc w:val="right"/>
              <w:ind w:right="39"/>
              <w:spacing w:after="0"/>
              <w:rPr>
                <w:sz w:val="20"/>
                <w:szCs w:val="20"/>
                <w:color w:val="auto"/>
              </w:rPr>
            </w:pPr>
            <w:r>
              <w:rPr>
                <w:rFonts w:ascii="Arial" w:cs="Arial" w:eastAsia="Arial" w:hAnsi="Arial"/>
                <w:sz w:val="16"/>
                <w:szCs w:val="16"/>
                <w:color w:val="auto"/>
              </w:rPr>
              <w:t>(1,579)</w:t>
            </w:r>
          </w:p>
        </w:tc>
        <w:tc>
          <w:tcPr>
            <w:tcW w:w="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Return of capital expenditures</w:t>
            </w:r>
          </w:p>
        </w:tc>
        <w:tc>
          <w:tcPr>
            <w:tcW w:w="122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(4,021)</w:t>
            </w:r>
          </w:p>
        </w:tc>
        <w:tc>
          <w:tcPr>
            <w:tcW w:w="1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560" w:type="dxa"/>
            <w:vAlign w:val="bottom"/>
            <w:gridSpan w:val="4"/>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Depreciation expense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39"/>
              <w:spacing w:after="0"/>
              <w:rPr>
                <w:sz w:val="20"/>
                <w:szCs w:val="20"/>
                <w:color w:val="auto"/>
              </w:rPr>
            </w:pPr>
            <w:r>
              <w:rPr>
                <w:rFonts w:ascii="Arial" w:cs="Arial" w:eastAsia="Arial" w:hAnsi="Arial"/>
                <w:sz w:val="16"/>
                <w:szCs w:val="16"/>
                <w:color w:val="auto"/>
              </w:rPr>
              <w:t>(21,734)</w:t>
            </w:r>
          </w:p>
        </w:tc>
        <w:tc>
          <w:tcPr>
            <w:tcW w:w="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(21,734)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Vessels as of March 31, 2019</w:t>
            </w:r>
          </w:p>
        </w:tc>
        <w:tc>
          <w:tcPr>
            <w:tcW w:w="30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2,509,283</w:t>
            </w:r>
          </w:p>
        </w:tc>
        <w:tc>
          <w:tcPr>
            <w:tcW w:w="160" w:type="dxa"/>
            <w:vAlign w:val="bottom"/>
            <w:tcBorders>
              <w:top w:val="single" w:sz="8" w:color="E5FFFF"/>
              <w:bottom w:val="single" w:sz="8" w:color="E5FFFF"/>
            </w:tcBorders>
            <w:shd w:val="clear" w:color="auto" w:fill="E5FFFF"/>
          </w:tcPr>
          <w:p>
            <w:pPr>
              <w:spacing w:after="0"/>
              <w:rPr>
                <w:sz w:val="18"/>
                <w:szCs w:val="18"/>
                <w:color w:val="auto"/>
              </w:rPr>
            </w:pPr>
          </w:p>
        </w:tc>
        <w:tc>
          <w:tcPr>
            <w:tcW w:w="60" w:type="dxa"/>
            <w:vAlign w:val="bottom"/>
            <w:tcBorders>
              <w:top w:val="single" w:sz="8" w:color="auto"/>
              <w:bottom w:val="single" w:sz="8" w:color="auto"/>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(1,805</w:t>
            </w:r>
          </w:p>
        </w:tc>
        <w:tc>
          <w:tcPr>
            <w:tcW w:w="6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60" w:type="dxa"/>
            <w:vAlign w:val="bottom"/>
            <w:tcBorders>
              <w:top w:val="single" w:sz="8" w:color="auto"/>
              <w:bottom w:val="single" w:sz="8" w:color="auto"/>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(23,313</w:t>
            </w:r>
          </w:p>
        </w:tc>
        <w:tc>
          <w:tcPr>
            <w:tcW w:w="180" w:type="dxa"/>
            <w:vAlign w:val="bottom"/>
            <w:tcBorders>
              <w:top w:val="single" w:sz="8" w:color="E5FFFF"/>
              <w:bottom w:val="single" w:sz="8" w:color="E5FFFF"/>
            </w:tcBorders>
            <w:gridSpan w:val="2"/>
            <w:shd w:val="clear" w:color="auto" w:fill="E5FFFF"/>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top w:val="single" w:sz="8" w:color="auto"/>
              <w:bottom w:val="single" w:sz="8" w:color="auto"/>
            </w:tcBorders>
            <w:shd w:val="clear" w:color="auto" w:fill="E5FFFF"/>
          </w:tcPr>
          <w:p>
            <w:pPr>
              <w:spacing w:after="0"/>
              <w:rPr>
                <w:sz w:val="18"/>
                <w:szCs w:val="18"/>
                <w:color w:val="auto"/>
              </w:rPr>
            </w:pP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2,484,165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00"/>
          </w:cols>
          <w:pgMar w:left="320" w:top="346" w:right="5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Opening</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balance</w:t>
            </w:r>
          </w:p>
        </w:tc>
        <w:tc>
          <w:tcPr>
            <w:tcW w:w="1480" w:type="dxa"/>
            <w:vAlign w:val="bottom"/>
            <w:gridSpan w:val="4"/>
          </w:tcPr>
          <w:p>
            <w:pPr>
              <w:ind w:left="280"/>
              <w:spacing w:after="0"/>
              <w:rPr>
                <w:sz w:val="20"/>
                <w:szCs w:val="20"/>
                <w:color w:val="auto"/>
              </w:rPr>
            </w:pPr>
            <w:r>
              <w:rPr>
                <w:rFonts w:ascii="Arial" w:cs="Arial" w:eastAsia="Arial" w:hAnsi="Arial"/>
                <w:sz w:val="16"/>
                <w:szCs w:val="16"/>
                <w:b w:val="1"/>
                <w:bCs w:val="1"/>
                <w:color w:val="auto"/>
              </w:rPr>
              <w:t>Cash flows</w:t>
            </w:r>
          </w:p>
        </w:tc>
        <w:tc>
          <w:tcPr>
            <w:tcW w:w="1580" w:type="dxa"/>
            <w:vAlign w:val="bottom"/>
            <w:gridSpan w:val="4"/>
          </w:tcPr>
          <w:p>
            <w:pPr>
              <w:ind w:left="180"/>
              <w:spacing w:after="0"/>
              <w:rPr>
                <w:sz w:val="20"/>
                <w:szCs w:val="20"/>
                <w:color w:val="auto"/>
              </w:rPr>
            </w:pPr>
            <w:r>
              <w:rPr>
                <w:rFonts w:ascii="Arial" w:cs="Arial" w:eastAsia="Arial" w:hAnsi="Arial"/>
                <w:sz w:val="16"/>
                <w:szCs w:val="16"/>
                <w:b w:val="1"/>
                <w:bCs w:val="1"/>
                <w:color w:val="auto"/>
              </w:rPr>
              <w:t>Non-cash items</w:t>
            </w:r>
          </w:p>
        </w:tc>
        <w:tc>
          <w:tcPr>
            <w:tcW w:w="1240" w:type="dxa"/>
            <w:vAlign w:val="bottom"/>
            <w:gridSpan w:val="2"/>
          </w:tcPr>
          <w:p>
            <w:pPr>
              <w:ind w:left="420"/>
              <w:spacing w:after="0"/>
              <w:rPr>
                <w:sz w:val="20"/>
                <w:szCs w:val="20"/>
                <w:color w:val="auto"/>
              </w:rPr>
            </w:pPr>
            <w:r>
              <w:rPr>
                <w:rFonts w:ascii="Arial" w:cs="Arial" w:eastAsia="Arial" w:hAnsi="Arial"/>
                <w:sz w:val="16"/>
                <w:szCs w:val="16"/>
                <w:b w:val="1"/>
                <w:bCs w:val="1"/>
                <w:color w:val="auto"/>
              </w:rPr>
              <w:t>Total</w:t>
            </w:r>
          </w:p>
        </w:tc>
      </w:tr>
      <w:tr>
        <w:trPr>
          <w:trHeight w:val="199"/>
        </w:trPr>
        <w:tc>
          <w:tcPr>
            <w:tcW w:w="4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Vessels as of January 1, 2020</w:t>
            </w: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2,286,430</w:t>
            </w:r>
          </w:p>
        </w:tc>
        <w:tc>
          <w:tcPr>
            <w:tcW w:w="1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2,286,430</w:t>
            </w:r>
          </w:p>
        </w:tc>
        <w:tc>
          <w:tcPr>
            <w:tcW w:w="40" w:type="dxa"/>
            <w:vAlign w:val="bottom"/>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Additions (Note 4)</w:t>
            </w:r>
          </w:p>
        </w:tc>
        <w:tc>
          <w:tcPr>
            <w:tcW w:w="20" w:type="dxa"/>
            <w:vAlign w:val="bottom"/>
          </w:tcPr>
          <w:p>
            <w:pPr>
              <w:spacing w:after="0"/>
              <w:rPr>
                <w:sz w:val="17"/>
                <w:szCs w:val="17"/>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160"/>
              <w:spacing w:after="0"/>
              <w:rPr>
                <w:sz w:val="20"/>
                <w:szCs w:val="20"/>
                <w:color w:val="auto"/>
              </w:rPr>
            </w:pPr>
            <w:r>
              <w:rPr>
                <w:rFonts w:ascii="Arial" w:cs="Arial" w:eastAsia="Arial" w:hAnsi="Arial"/>
                <w:sz w:val="16"/>
                <w:szCs w:val="16"/>
                <w:color w:val="auto"/>
              </w:rPr>
              <w:t>5,466</w:t>
            </w:r>
          </w:p>
        </w:tc>
        <w:tc>
          <w:tcPr>
            <w:tcW w:w="20" w:type="dxa"/>
            <w:vAlign w:val="bottom"/>
          </w:tcPr>
          <w:p>
            <w:pPr>
              <w:spacing w:after="0"/>
              <w:rPr>
                <w:sz w:val="17"/>
                <w:szCs w:val="17"/>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957</w:t>
            </w:r>
          </w:p>
        </w:tc>
        <w:tc>
          <w:tcPr>
            <w:tcW w:w="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6,423</w:t>
            </w:r>
          </w:p>
        </w:tc>
        <w:tc>
          <w:tcPr>
            <w:tcW w:w="40" w:type="dxa"/>
            <w:vAlign w:val="bottom"/>
          </w:tcPr>
          <w:p>
            <w:pPr>
              <w:spacing w:after="0"/>
              <w:rPr>
                <w:sz w:val="17"/>
                <w:szCs w:val="17"/>
                <w:color w:val="auto"/>
              </w:rPr>
            </w:pPr>
          </w:p>
        </w:tc>
      </w:tr>
      <w:tr>
        <w:trPr>
          <w:trHeight w:val="203"/>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Depreciation expense (Note 4)</w:t>
            </w:r>
          </w:p>
        </w:tc>
        <w:tc>
          <w:tcPr>
            <w:tcW w:w="2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4"/>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E5FFFF"/>
          </w:tcPr>
          <w:p>
            <w:pPr>
              <w:jc w:val="right"/>
              <w:ind w:right="80"/>
              <w:spacing w:after="0"/>
              <w:rPr>
                <w:sz w:val="20"/>
                <w:szCs w:val="20"/>
                <w:color w:val="auto"/>
              </w:rPr>
            </w:pPr>
            <w:r>
              <w:rPr>
                <w:rFonts w:ascii="Arial" w:cs="Arial" w:eastAsia="Arial" w:hAnsi="Arial"/>
                <w:sz w:val="16"/>
                <w:szCs w:val="16"/>
                <w:color w:val="auto"/>
              </w:rPr>
              <w:t>(20,461)</w:t>
            </w:r>
          </w:p>
        </w:tc>
        <w:tc>
          <w:tcPr>
            <w:tcW w:w="2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(20,461)</w:t>
            </w:r>
          </w:p>
        </w:tc>
        <w:tc>
          <w:tcPr>
            <w:tcW w:w="40" w:type="dxa"/>
            <w:vAlign w:val="bottom"/>
          </w:tcPr>
          <w:p>
            <w:pPr>
              <w:spacing w:after="0"/>
              <w:rPr>
                <w:sz w:val="17"/>
                <w:szCs w:val="17"/>
                <w:color w:val="auto"/>
              </w:rPr>
            </w:pPr>
          </w:p>
        </w:tc>
      </w:tr>
      <w:tr>
        <w:trPr>
          <w:trHeight w:val="209"/>
        </w:trPr>
        <w:tc>
          <w:tcPr>
            <w:tcW w:w="4840" w:type="dxa"/>
            <w:vAlign w:val="bottom"/>
          </w:tcPr>
          <w:p>
            <w:pPr>
              <w:spacing w:after="0"/>
              <w:rPr>
                <w:sz w:val="20"/>
                <w:szCs w:val="20"/>
                <w:color w:val="auto"/>
              </w:rPr>
            </w:pPr>
            <w:r>
              <w:rPr>
                <w:rFonts w:ascii="Arial" w:cs="Arial" w:eastAsia="Arial" w:hAnsi="Arial"/>
                <w:sz w:val="16"/>
                <w:szCs w:val="16"/>
                <w:b w:val="1"/>
                <w:bCs w:val="1"/>
                <w:color w:val="auto"/>
              </w:rPr>
              <w:t>Vessels as of March 31, 2020</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2,286,430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5,466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(19,504</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2,272,392</w:t>
            </w:r>
          </w:p>
        </w:tc>
        <w:tc>
          <w:tcPr>
            <w:tcW w:w="4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3"/>
        </w:trPr>
        <w:tc>
          <w:tcPr>
            <w:tcW w:w="6340" w:type="dxa"/>
            <w:vAlign w:val="bottom"/>
            <w:gridSpan w:val="5"/>
          </w:tcPr>
          <w:p>
            <w:pPr>
              <w:ind w:left="400"/>
              <w:spacing w:after="0"/>
              <w:rPr>
                <w:sz w:val="20"/>
                <w:szCs w:val="20"/>
                <w:color w:val="auto"/>
              </w:rPr>
            </w:pPr>
            <w:r>
              <w:rPr>
                <w:rFonts w:ascii="Arial" w:cs="Arial" w:eastAsia="Arial" w:hAnsi="Arial"/>
                <w:sz w:val="16"/>
                <w:szCs w:val="16"/>
                <w:color w:val="auto"/>
              </w:rPr>
              <w:t>A reconciliation of lease liabilities arising from financing activities is as follows: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Opening</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balance</w:t>
            </w:r>
          </w:p>
        </w:tc>
        <w:tc>
          <w:tcPr>
            <w:tcW w:w="1480" w:type="dxa"/>
            <w:vAlign w:val="bottom"/>
            <w:gridSpan w:val="4"/>
          </w:tcPr>
          <w:p>
            <w:pPr>
              <w:ind w:left="260"/>
              <w:spacing w:after="0"/>
              <w:rPr>
                <w:sz w:val="20"/>
                <w:szCs w:val="20"/>
                <w:color w:val="auto"/>
              </w:rPr>
            </w:pPr>
            <w:r>
              <w:rPr>
                <w:rFonts w:ascii="Arial" w:cs="Arial" w:eastAsia="Arial" w:hAnsi="Arial"/>
                <w:sz w:val="16"/>
                <w:szCs w:val="16"/>
                <w:b w:val="1"/>
                <w:bCs w:val="1"/>
                <w:color w:val="auto"/>
              </w:rPr>
              <w:t>Cash flows</w:t>
            </w:r>
          </w:p>
        </w:tc>
        <w:tc>
          <w:tcPr>
            <w:tcW w:w="1580" w:type="dxa"/>
            <w:vAlign w:val="bottom"/>
            <w:gridSpan w:val="4"/>
          </w:tcPr>
          <w:p>
            <w:pPr>
              <w:ind w:left="160"/>
              <w:spacing w:after="0"/>
              <w:rPr>
                <w:sz w:val="20"/>
                <w:szCs w:val="20"/>
                <w:color w:val="auto"/>
              </w:rPr>
            </w:pPr>
            <w:r>
              <w:rPr>
                <w:rFonts w:ascii="Arial" w:cs="Arial" w:eastAsia="Arial" w:hAnsi="Arial"/>
                <w:sz w:val="16"/>
                <w:szCs w:val="16"/>
                <w:b w:val="1"/>
                <w:bCs w:val="1"/>
                <w:color w:val="auto"/>
              </w:rPr>
              <w:t>Non-cash items</w:t>
            </w:r>
          </w:p>
        </w:tc>
        <w:tc>
          <w:tcPr>
            <w:tcW w:w="124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r>
      <w:tr>
        <w:trPr>
          <w:trHeight w:val="199"/>
        </w:trPr>
        <w:tc>
          <w:tcPr>
            <w:tcW w:w="4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2019</w:t>
            </w:r>
          </w:p>
        </w:tc>
        <w:tc>
          <w:tcPr>
            <w:tcW w:w="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1,393</w:t>
            </w:r>
          </w:p>
        </w:tc>
        <w:tc>
          <w:tcPr>
            <w:tcW w:w="1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gridSpan w:val="2"/>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gridSpan w:val="2"/>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1,393</w:t>
            </w:r>
          </w:p>
        </w:tc>
        <w:tc>
          <w:tcPr>
            <w:tcW w:w="40" w:type="dxa"/>
            <w:vAlign w:val="bottom"/>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Lease expense</w:t>
            </w:r>
          </w:p>
        </w:tc>
        <w:tc>
          <w:tcPr>
            <w:tcW w:w="20" w:type="dxa"/>
            <w:vAlign w:val="bottom"/>
          </w:tcPr>
          <w:p>
            <w:pPr>
              <w:spacing w:after="0"/>
              <w:rPr>
                <w:sz w:val="17"/>
                <w:szCs w:val="17"/>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40" w:type="dxa"/>
            <w:vAlign w:val="bottom"/>
          </w:tcPr>
          <w:p>
            <w:pPr>
              <w:spacing w:after="0"/>
              <w:rPr>
                <w:sz w:val="17"/>
                <w:szCs w:val="17"/>
                <w:color w:val="auto"/>
              </w:rPr>
            </w:pPr>
          </w:p>
        </w:tc>
      </w:tr>
      <w:tr>
        <w:trPr>
          <w:trHeight w:val="203"/>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Payments for interest</w:t>
            </w:r>
          </w:p>
        </w:tc>
        <w:tc>
          <w:tcPr>
            <w:tcW w:w="2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(14)</w:t>
            </w:r>
          </w:p>
        </w:tc>
        <w:tc>
          <w:tcPr>
            <w:tcW w:w="20" w:type="dxa"/>
            <w:vAlign w:val="bottom"/>
            <w:shd w:val="clear" w:color="auto" w:fill="E5FFFF"/>
          </w:tcPr>
          <w:p>
            <w:pPr>
              <w:spacing w:after="0"/>
              <w:rPr>
                <w:sz w:val="17"/>
                <w:szCs w:val="17"/>
                <w:color w:val="auto"/>
              </w:rPr>
            </w:pPr>
          </w:p>
        </w:tc>
        <w:tc>
          <w:tcPr>
            <w:tcW w:w="1580" w:type="dxa"/>
            <w:vAlign w:val="bottom"/>
            <w:gridSpan w:val="4"/>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20" w:type="dxa"/>
            <w:vAlign w:val="bottom"/>
          </w:tcPr>
          <w:p>
            <w:pPr>
              <w:spacing w:after="0"/>
              <w:rPr>
                <w:sz w:val="17"/>
                <w:szCs w:val="17"/>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(125)</w:t>
            </w:r>
          </w:p>
        </w:tc>
        <w:tc>
          <w:tcPr>
            <w:tcW w:w="20" w:type="dxa"/>
            <w:vAlign w:val="bottom"/>
          </w:tcPr>
          <w:p>
            <w:pPr>
              <w:spacing w:after="0"/>
              <w:rPr>
                <w:sz w:val="17"/>
                <w:szCs w:val="17"/>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w:t>
            </w:r>
          </w:p>
        </w:tc>
        <w:tc>
          <w:tcPr>
            <w:tcW w:w="40" w:type="dxa"/>
            <w:vAlign w:val="bottom"/>
          </w:tcPr>
          <w:p>
            <w:pPr>
              <w:spacing w:after="0"/>
              <w:rPr>
                <w:sz w:val="17"/>
                <w:szCs w:val="17"/>
                <w:color w:val="auto"/>
              </w:rPr>
            </w:pPr>
          </w:p>
        </w:tc>
      </w:tr>
      <w:tr>
        <w:trPr>
          <w:trHeight w:val="209"/>
        </w:trPr>
        <w:tc>
          <w:tcPr>
            <w:tcW w:w="48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Lease liabilities as of March 31, 2019</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1,393</w:t>
            </w:r>
          </w:p>
        </w:tc>
        <w:tc>
          <w:tcPr>
            <w:tcW w:w="16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(139</w:t>
            </w:r>
          </w:p>
        </w:tc>
        <w:tc>
          <w:tcPr>
            <w:tcW w:w="180" w:type="dxa"/>
            <w:vAlign w:val="bottom"/>
            <w:tcBorders>
              <w:top w:val="single" w:sz="8" w:color="E5FFFF"/>
              <w:bottom w:val="single" w:sz="8" w:color="E5FFFF"/>
            </w:tcBorders>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w:t>
            </w:r>
          </w:p>
        </w:tc>
        <w:tc>
          <w:tcPr>
            <w:tcW w:w="180" w:type="dxa"/>
            <w:vAlign w:val="bottom"/>
            <w:tcBorders>
              <w:top w:val="single" w:sz="8" w:color="E5FFFF"/>
              <w:bottom w:val="single" w:sz="8" w:color="E5FFFF"/>
            </w:tcBorders>
            <w:gridSpan w:val="2"/>
            <w:shd w:val="clear" w:color="auto" w:fill="E5FF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1,248</w:t>
            </w:r>
          </w:p>
        </w:tc>
        <w:tc>
          <w:tcPr>
            <w:tcW w:w="4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Opening</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balance</w:t>
            </w:r>
          </w:p>
        </w:tc>
        <w:tc>
          <w:tcPr>
            <w:tcW w:w="1480" w:type="dxa"/>
            <w:vAlign w:val="bottom"/>
            <w:gridSpan w:val="4"/>
          </w:tcPr>
          <w:p>
            <w:pPr>
              <w:ind w:left="260"/>
              <w:spacing w:after="0"/>
              <w:rPr>
                <w:sz w:val="20"/>
                <w:szCs w:val="20"/>
                <w:color w:val="auto"/>
              </w:rPr>
            </w:pPr>
            <w:r>
              <w:rPr>
                <w:rFonts w:ascii="Arial" w:cs="Arial" w:eastAsia="Arial" w:hAnsi="Arial"/>
                <w:sz w:val="16"/>
                <w:szCs w:val="16"/>
                <w:b w:val="1"/>
                <w:bCs w:val="1"/>
                <w:color w:val="auto"/>
              </w:rPr>
              <w:t>Cash flows</w:t>
            </w:r>
          </w:p>
        </w:tc>
        <w:tc>
          <w:tcPr>
            <w:tcW w:w="1580" w:type="dxa"/>
            <w:vAlign w:val="bottom"/>
            <w:gridSpan w:val="4"/>
          </w:tcPr>
          <w:p>
            <w:pPr>
              <w:ind w:left="160"/>
              <w:spacing w:after="0"/>
              <w:rPr>
                <w:sz w:val="20"/>
                <w:szCs w:val="20"/>
                <w:color w:val="auto"/>
              </w:rPr>
            </w:pPr>
            <w:r>
              <w:rPr>
                <w:rFonts w:ascii="Arial" w:cs="Arial" w:eastAsia="Arial" w:hAnsi="Arial"/>
                <w:sz w:val="16"/>
                <w:szCs w:val="16"/>
                <w:b w:val="1"/>
                <w:bCs w:val="1"/>
                <w:color w:val="auto"/>
              </w:rPr>
              <w:t>Non-cash items</w:t>
            </w:r>
          </w:p>
        </w:tc>
        <w:tc>
          <w:tcPr>
            <w:tcW w:w="124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r>
      <w:tr>
        <w:trPr>
          <w:trHeight w:val="199"/>
        </w:trPr>
        <w:tc>
          <w:tcPr>
            <w:tcW w:w="4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2020</w:t>
            </w:r>
          </w:p>
        </w:tc>
        <w:tc>
          <w:tcPr>
            <w:tcW w:w="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886</w:t>
            </w:r>
          </w:p>
        </w:tc>
        <w:tc>
          <w:tcPr>
            <w:tcW w:w="1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gridSpan w:val="2"/>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E5FFFF"/>
            </w:tcBorders>
            <w:gridSpan w:val="2"/>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886</w:t>
            </w:r>
          </w:p>
        </w:tc>
        <w:tc>
          <w:tcPr>
            <w:tcW w:w="40" w:type="dxa"/>
            <w:vAlign w:val="bottom"/>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Lease expense (Note 5)</w:t>
            </w:r>
          </w:p>
        </w:tc>
        <w:tc>
          <w:tcPr>
            <w:tcW w:w="20" w:type="dxa"/>
            <w:vAlign w:val="bottom"/>
          </w:tcPr>
          <w:p>
            <w:pPr>
              <w:spacing w:after="0"/>
              <w:rPr>
                <w:sz w:val="17"/>
                <w:szCs w:val="17"/>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r>
      <w:tr>
        <w:trPr>
          <w:trHeight w:val="203"/>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Payments for interest</w:t>
            </w:r>
          </w:p>
        </w:tc>
        <w:tc>
          <w:tcPr>
            <w:tcW w:w="2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(10)</w:t>
            </w:r>
          </w:p>
        </w:tc>
        <w:tc>
          <w:tcPr>
            <w:tcW w:w="20" w:type="dxa"/>
            <w:vAlign w:val="bottom"/>
            <w:shd w:val="clear" w:color="auto" w:fill="E5FFFF"/>
          </w:tcPr>
          <w:p>
            <w:pPr>
              <w:spacing w:after="0"/>
              <w:rPr>
                <w:sz w:val="17"/>
                <w:szCs w:val="17"/>
                <w:color w:val="auto"/>
              </w:rPr>
            </w:pPr>
          </w:p>
        </w:tc>
        <w:tc>
          <w:tcPr>
            <w:tcW w:w="1580" w:type="dxa"/>
            <w:vAlign w:val="bottom"/>
            <w:gridSpan w:val="4"/>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6"/>
                <w:szCs w:val="16"/>
                <w:color w:val="auto"/>
              </w:rPr>
              <w:t>Payments for lease liabilities</w:t>
            </w:r>
          </w:p>
        </w:tc>
        <w:tc>
          <w:tcPr>
            <w:tcW w:w="20" w:type="dxa"/>
            <w:vAlign w:val="bottom"/>
          </w:tcPr>
          <w:p>
            <w:pPr>
              <w:spacing w:after="0"/>
              <w:rPr>
                <w:sz w:val="17"/>
                <w:szCs w:val="17"/>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120"/>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7"/>
                <w:szCs w:val="17"/>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w:t>
            </w:r>
          </w:p>
        </w:tc>
        <w:tc>
          <w:tcPr>
            <w:tcW w:w="40" w:type="dxa"/>
            <w:vAlign w:val="bottom"/>
          </w:tcPr>
          <w:p>
            <w:pPr>
              <w:spacing w:after="0"/>
              <w:rPr>
                <w:sz w:val="17"/>
                <w:szCs w:val="17"/>
                <w:color w:val="auto"/>
              </w:rPr>
            </w:pPr>
          </w:p>
        </w:tc>
      </w:tr>
      <w:tr>
        <w:trPr>
          <w:trHeight w:val="210"/>
        </w:trPr>
        <w:tc>
          <w:tcPr>
            <w:tcW w:w="48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Lease liabilities as of March 31, 2020</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886</w:t>
            </w:r>
          </w:p>
        </w:tc>
        <w:tc>
          <w:tcPr>
            <w:tcW w:w="16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(117</w:t>
            </w:r>
          </w:p>
        </w:tc>
        <w:tc>
          <w:tcPr>
            <w:tcW w:w="180" w:type="dxa"/>
            <w:vAlign w:val="bottom"/>
            <w:tcBorders>
              <w:top w:val="single" w:sz="8" w:color="E5FFFF"/>
              <w:bottom w:val="single" w:sz="8" w:color="E5FFFF"/>
            </w:tcBorders>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E5FFFF"/>
              <w:bottom w:val="single" w:sz="8" w:color="E5FFFF"/>
            </w:tcBorders>
            <w:gridSpan w:val="2"/>
            <w:shd w:val="clear" w:color="auto" w:fill="E5FFFF"/>
          </w:tcPr>
          <w:p>
            <w:pPr>
              <w:spacing w:after="0"/>
              <w:rPr>
                <w:sz w:val="18"/>
                <w:szCs w:val="18"/>
                <w:color w:val="auto"/>
              </w:rPr>
            </w:pP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769</w:t>
            </w:r>
          </w:p>
        </w:tc>
        <w:tc>
          <w:tcPr>
            <w:tcW w:w="4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00" w:type="dxa"/>
            <w:vAlign w:val="bottom"/>
          </w:tcPr>
          <w:p>
            <w:pPr>
              <w:ind w:left="400"/>
              <w:spacing w:after="0"/>
              <w:rPr>
                <w:sz w:val="20"/>
                <w:szCs w:val="20"/>
                <w:color w:val="auto"/>
              </w:rPr>
            </w:pPr>
            <w:r>
              <w:rPr>
                <w:rFonts w:ascii="Arial" w:cs="Arial" w:eastAsia="Arial" w:hAnsi="Arial"/>
                <w:sz w:val="16"/>
                <w:szCs w:val="16"/>
                <w:color w:val="auto"/>
              </w:rPr>
              <w:t>A reconciliation of equity offerings arising from financing activities is as follows: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6500" w:type="dxa"/>
            <w:vAlign w:val="bottom"/>
          </w:tcPr>
          <w:p>
            <w:pPr>
              <w:spacing w:after="0"/>
              <w:rPr>
                <w:sz w:val="24"/>
                <w:szCs w:val="24"/>
                <w:color w:val="auto"/>
              </w:rPr>
            </w:pPr>
          </w:p>
        </w:tc>
        <w:tc>
          <w:tcPr>
            <w:tcW w:w="15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Cash flows</w:t>
            </w:r>
          </w:p>
        </w:tc>
        <w:tc>
          <w:tcPr>
            <w:tcW w:w="15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Non-cash items</w:t>
            </w:r>
          </w:p>
        </w:tc>
        <w:tc>
          <w:tcPr>
            <w:tcW w:w="134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6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Equity offering costs</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(667</w:t>
            </w:r>
          </w:p>
        </w:tc>
        <w:tc>
          <w:tcPr>
            <w:tcW w:w="180" w:type="dxa"/>
            <w:vAlign w:val="bottom"/>
            <w:tcBorders>
              <w:top w:val="single" w:sz="8" w:color="E5FFFF"/>
            </w:tcBorders>
            <w:shd w:val="clear" w:color="auto" w:fill="E5FFFF"/>
          </w:tcPr>
          <w:p>
            <w:pPr>
              <w:jc w:val="right"/>
              <w:ind w:right="39"/>
              <w:spacing w:after="0"/>
              <w:rPr>
                <w:sz w:val="20"/>
                <w:szCs w:val="20"/>
                <w:color w:val="auto"/>
              </w:rPr>
            </w:pPr>
            <w:r>
              <w:rPr>
                <w:rFonts w:ascii="Arial" w:cs="Arial" w:eastAsia="Arial" w:hAnsi="Arial"/>
                <w:sz w:val="16"/>
                <w:szCs w:val="16"/>
                <w:color w:val="auto"/>
                <w:w w:val="74"/>
              </w:rPr>
              <w:t>)</w:t>
            </w: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820</w:t>
            </w:r>
          </w:p>
        </w:tc>
        <w:tc>
          <w:tcPr>
            <w:tcW w:w="16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6"/>
                <w:szCs w:val="16"/>
                <w:b w:val="1"/>
                <w:bCs w:val="1"/>
                <w:color w:val="auto"/>
              </w:rPr>
              <w:t>Net proceeds from equity offerings in the three months ended March 31, 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820</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500" w:type="dxa"/>
            <w:vAlign w:val="bottom"/>
            <w:tcBorders>
              <w:bottom w:val="single" w:sz="8" w:color="E5FFFF"/>
            </w:tcBorders>
          </w:tcPr>
          <w:p>
            <w:pPr>
              <w:spacing w:after="0"/>
              <w:rPr>
                <w:sz w:val="24"/>
                <w:szCs w:val="24"/>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Cash flows</w:t>
            </w:r>
          </w:p>
        </w:tc>
        <w:tc>
          <w:tcPr>
            <w:tcW w:w="180" w:type="dxa"/>
            <w:vAlign w:val="bottom"/>
            <w:tcBorders>
              <w:bottom w:val="single" w:sz="8" w:color="E5FFFF"/>
            </w:tcBorders>
          </w:tcPr>
          <w:p>
            <w:pPr>
              <w:spacing w:after="0"/>
              <w:rPr>
                <w:sz w:val="24"/>
                <w:szCs w:val="24"/>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Non-cash items</w:t>
            </w:r>
          </w:p>
        </w:tc>
        <w:tc>
          <w:tcPr>
            <w:tcW w:w="160" w:type="dxa"/>
            <w:vAlign w:val="bottom"/>
            <w:tcBorders>
              <w:bottom w:val="single" w:sz="8" w:color="E5FFFF"/>
            </w:tcBorders>
          </w:tcPr>
          <w:p>
            <w:pPr>
              <w:spacing w:after="0"/>
              <w:rPr>
                <w:sz w:val="24"/>
                <w:szCs w:val="24"/>
                <w:color w:val="auto"/>
              </w:rPr>
            </w:pP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E5FFF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500" w:type="dxa"/>
            <w:vAlign w:val="bottom"/>
            <w:shd w:val="clear" w:color="auto" w:fill="E5FFFF"/>
          </w:tcPr>
          <w:p>
            <w:pPr>
              <w:spacing w:after="0"/>
              <w:rPr>
                <w:sz w:val="20"/>
                <w:szCs w:val="20"/>
                <w:color w:val="auto"/>
              </w:rPr>
            </w:pPr>
            <w:r>
              <w:rPr>
                <w:rFonts w:ascii="Arial" w:cs="Arial" w:eastAsia="Arial" w:hAnsi="Arial"/>
                <w:sz w:val="16"/>
                <w:szCs w:val="16"/>
                <w:color w:val="auto"/>
              </w:rPr>
              <w:t>Equity offering costs</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17"/>
                <w:szCs w:val="17"/>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w w:val="74"/>
              </w:rPr>
              <w:t>)</w:t>
            </w:r>
          </w:p>
        </w:tc>
        <w:tc>
          <w:tcPr>
            <w:tcW w:w="13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280" w:type="dxa"/>
            <w:vAlign w:val="bottom"/>
            <w:shd w:val="clear" w:color="auto" w:fill="000000"/>
          </w:tcPr>
          <w:p>
            <w:pPr>
              <w:spacing w:after="0" w:line="20" w:lineRule="exact"/>
              <w:rPr>
                <w:sz w:val="1"/>
                <w:szCs w:val="1"/>
                <w:color w:val="auto"/>
              </w:rPr>
            </w:pPr>
          </w:p>
        </w:tc>
        <w:tc>
          <w:tcPr>
            <w:tcW w:w="60" w:type="dxa"/>
            <w:vAlign w:val="bottom"/>
            <w:gridSpan w:val="2"/>
            <w:vMerge w:val="restart"/>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line="20" w:lineRule="exact"/>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6"/>
                <w:szCs w:val="16"/>
                <w:b w:val="1"/>
                <w:bCs w:val="1"/>
                <w:color w:val="auto"/>
              </w:rPr>
              <w:t>Net proceeds from equity offerings in the three months ended March 31, 2020</w:t>
            </w:r>
          </w:p>
        </w:tc>
        <w:tc>
          <w:tcPr>
            <w:tcW w:w="15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vMerge w:val="continue"/>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Cash Distributions</w:t>
      </w:r>
    </w:p>
    <w:p>
      <w:pPr>
        <w:spacing w:after="0" w:line="239" w:lineRule="exact"/>
        <w:rPr>
          <w:sz w:val="20"/>
          <w:szCs w:val="20"/>
          <w:color w:val="auto"/>
        </w:rPr>
      </w:pPr>
    </w:p>
    <w:p>
      <w:pPr>
        <w:jc w:val="both"/>
        <w:ind w:right="300" w:firstLine="383"/>
        <w:spacing w:after="0" w:line="369" w:lineRule="auto"/>
        <w:rPr>
          <w:sz w:val="20"/>
          <w:szCs w:val="20"/>
          <w:color w:val="auto"/>
        </w:rPr>
      </w:pPr>
      <w:r>
        <w:rPr>
          <w:rFonts w:ascii="Arial" w:cs="Arial" w:eastAsia="Arial" w:hAnsi="Arial"/>
          <w:sz w:val="14"/>
          <w:szCs w:val="14"/>
          <w:color w:val="auto"/>
        </w:rPr>
        <w:t>On February 5, 2020, the board of directors of the Partnership approved and declared a quarterly cash distribution, with respect to the quarter ended December 31, 2019, of $0.561 per common unit. The cash distribution of $26,754 was paid on February 21, 2020 to all unitholders of record as of February 18, 2020.</w:t>
      </w:r>
    </w:p>
    <w:p>
      <w:pPr>
        <w:spacing w:after="0" w:line="126" w:lineRule="exact"/>
        <w:rPr>
          <w:sz w:val="20"/>
          <w:szCs w:val="20"/>
          <w:color w:val="auto"/>
        </w:rPr>
      </w:pPr>
    </w:p>
    <w:p>
      <w:pPr>
        <w:ind w:right="120" w:firstLine="383"/>
        <w:spacing w:after="0" w:line="278" w:lineRule="auto"/>
        <w:rPr>
          <w:sz w:val="20"/>
          <w:szCs w:val="20"/>
          <w:color w:val="auto"/>
        </w:rPr>
      </w:pPr>
      <w:r>
        <w:rPr>
          <w:rFonts w:ascii="Arial" w:cs="Arial" w:eastAsia="Arial" w:hAnsi="Arial"/>
          <w:sz w:val="16"/>
          <w:szCs w:val="16"/>
          <w:color w:val="auto"/>
        </w:rPr>
        <w:t>On February 5, 2020, the board of directors of the Partnership approved and declared a distribution on the Series A Preference Units of $0.5390625 per preference unit, a distribution on the Series B Preference Units of $0.5125 per preference unit and a distribution on the Series C Preference Units of $0.53125 per preference unit. The aggregate cash distributions of $7,582 were paid on March 16, 2020 to all unitholders of record as of March 9, 2020.</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Earnings per Unit (“EPU”)</w:t>
      </w:r>
    </w:p>
    <w:p>
      <w:pPr>
        <w:spacing w:after="0" w:line="239" w:lineRule="exact"/>
        <w:rPr>
          <w:sz w:val="20"/>
          <w:szCs w:val="20"/>
          <w:color w:val="auto"/>
        </w:rPr>
      </w:pPr>
    </w:p>
    <w:p>
      <w:pPr>
        <w:ind w:right="20" w:firstLine="396"/>
        <w:spacing w:after="0" w:line="293" w:lineRule="auto"/>
        <w:rPr>
          <w:sz w:val="20"/>
          <w:szCs w:val="20"/>
          <w:color w:val="auto"/>
        </w:rPr>
      </w:pPr>
      <w:r>
        <w:rPr>
          <w:rFonts w:ascii="Arial" w:cs="Arial" w:eastAsia="Arial" w:hAnsi="Arial"/>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72" w:lineRule="exact"/>
        <w:rPr>
          <w:sz w:val="20"/>
          <w:szCs w:val="20"/>
          <w:color w:val="auto"/>
        </w:rPr>
      </w:pPr>
    </w:p>
    <w:p>
      <w:pPr>
        <w:ind w:firstLine="396"/>
        <w:spacing w:after="0" w:line="305" w:lineRule="auto"/>
        <w:rPr>
          <w:sz w:val="20"/>
          <w:szCs w:val="20"/>
          <w:color w:val="auto"/>
        </w:rPr>
      </w:pPr>
      <w:r>
        <w:rPr>
          <w:rFonts w:ascii="Arial" w:cs="Arial" w:eastAsia="Arial" w:hAnsi="Arial"/>
          <w:sz w:val="15"/>
          <w:szCs w:val="15"/>
          <w:color w:val="auto"/>
        </w:rPr>
        <w:t>Basic earnings per unit is determined by dividing profit for the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920" w:type="dxa"/>
            <w:vAlign w:val="bottom"/>
          </w:tcPr>
          <w:p>
            <w:pPr>
              <w:ind w:left="260"/>
              <w:spacing w:after="0"/>
              <w:rPr>
                <w:sz w:val="20"/>
                <w:szCs w:val="20"/>
                <w:color w:val="auto"/>
              </w:rPr>
            </w:pPr>
            <w:r>
              <w:rPr>
                <w:rFonts w:ascii="Arial" w:cs="Arial" w:eastAsia="Arial" w:hAnsi="Arial"/>
                <w:sz w:val="16"/>
                <w:szCs w:val="16"/>
                <w:color w:val="auto"/>
                <w:w w:val="92"/>
              </w:rPr>
              <w:t>Earnings per unit is presented for the period in which the units were outstanding, with earnings calculated as follows: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1"/>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3100" w:type="dxa"/>
            <w:vAlign w:val="bottom"/>
            <w:gridSpan w:val="4"/>
          </w:tcPr>
          <w:p>
            <w:pPr>
              <w:ind w:left="560"/>
              <w:spacing w:after="0"/>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March 31, 2019</w:t>
            </w: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2020</w:t>
            </w:r>
          </w:p>
        </w:tc>
      </w:tr>
      <w:tr>
        <w:trPr>
          <w:trHeight w:val="202"/>
        </w:trPr>
        <w:tc>
          <w:tcPr>
            <w:tcW w:w="20" w:type="dxa"/>
            <w:vAlign w:val="bottom"/>
          </w:tcPr>
          <w:p>
            <w:pPr>
              <w:spacing w:after="0"/>
              <w:rPr>
                <w:sz w:val="17"/>
                <w:szCs w:val="17"/>
                <w:color w:val="auto"/>
              </w:rPr>
            </w:pPr>
          </w:p>
        </w:tc>
        <w:tc>
          <w:tcPr>
            <w:tcW w:w="7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23,016</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Less: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E5FFFF"/>
          </w:tcPr>
          <w:p>
            <w:pPr>
              <w:spacing w:after="0"/>
              <w:rPr>
                <w:sz w:val="20"/>
                <w:szCs w:val="20"/>
                <w:color w:val="auto"/>
              </w:rPr>
            </w:pPr>
            <w:r>
              <w:rPr>
                <w:rFonts w:ascii="Arial" w:cs="Arial" w:eastAsia="Arial" w:hAnsi="Arial"/>
                <w:sz w:val="16"/>
                <w:szCs w:val="16"/>
                <w:color w:val="auto"/>
              </w:rPr>
              <w:t>Profit attributable to GasLog’s operations*</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(2,650)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6"/>
                <w:szCs w:val="16"/>
                <w:b w:val="1"/>
                <w:bCs w:val="1"/>
                <w:color w:val="auto"/>
              </w:rPr>
              <w:t>Partnership’s profit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2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14,169</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E5FFFF"/>
          </w:tcPr>
          <w:p>
            <w:pPr>
              <w:spacing w:after="0"/>
              <w:rPr>
                <w:sz w:val="20"/>
                <w:szCs w:val="20"/>
                <w:color w:val="auto"/>
              </w:rPr>
            </w:pPr>
            <w:r>
              <w:rPr>
                <w:rFonts w:ascii="Arial" w:cs="Arial" w:eastAsia="Arial" w:hAnsi="Arial"/>
                <w:sz w:val="16"/>
                <w:szCs w:val="16"/>
                <w:color w:val="auto"/>
              </w:rPr>
              <w:t>Adjustment for:</w:t>
            </w:r>
          </w:p>
        </w:tc>
        <w:tc>
          <w:tcPr>
            <w:tcW w:w="14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Paid and accrued preference unit distributions</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(7,582)</w:t>
            </w:r>
          </w:p>
        </w:tc>
        <w:tc>
          <w:tcPr>
            <w:tcW w:w="1380" w:type="dxa"/>
            <w:vAlign w:val="bottom"/>
          </w:tcPr>
          <w:p>
            <w:pPr>
              <w:jc w:val="right"/>
              <w:spacing w:after="0"/>
              <w:rPr>
                <w:sz w:val="20"/>
                <w:szCs w:val="20"/>
                <w:color w:val="auto"/>
              </w:rPr>
            </w:pPr>
            <w:r>
              <w:rPr>
                <w:rFonts w:ascii="Arial" w:cs="Arial" w:eastAsia="Arial" w:hAnsi="Arial"/>
                <w:sz w:val="16"/>
                <w:szCs w:val="16"/>
                <w:color w:val="auto"/>
              </w:rPr>
              <w:t>(7,582)</w:t>
            </w: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Partnership’s profit attributable to:</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12,784</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6,587</w:t>
            </w:r>
          </w:p>
        </w:tc>
        <w:tc>
          <w:tcPr>
            <w:tcW w:w="4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Common unitholders</w:t>
            </w:r>
          </w:p>
        </w:tc>
        <w:tc>
          <w:tcPr>
            <w:tcW w:w="1480" w:type="dxa"/>
            <w:vAlign w:val="bottom"/>
          </w:tcPr>
          <w:p>
            <w:pPr>
              <w:jc w:val="right"/>
              <w:spacing w:after="0"/>
              <w:rPr>
                <w:sz w:val="20"/>
                <w:szCs w:val="20"/>
                <w:color w:val="auto"/>
              </w:rPr>
            </w:pPr>
            <w:r>
              <w:rPr>
                <w:rFonts w:ascii="Arial" w:cs="Arial" w:eastAsia="Arial" w:hAnsi="Arial"/>
                <w:sz w:val="16"/>
                <w:szCs w:val="16"/>
                <w:color w:val="auto"/>
              </w:rPr>
              <w:t>12,529</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6,446</w:t>
            </w:r>
          </w:p>
        </w:tc>
        <w:tc>
          <w:tcPr>
            <w:tcW w:w="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w:t>
            </w:r>
          </w:p>
        </w:tc>
        <w:tc>
          <w:tcPr>
            <w:tcW w:w="14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255</w:t>
            </w:r>
          </w:p>
        </w:tc>
        <w:tc>
          <w:tcPr>
            <w:tcW w:w="200" w:type="dxa"/>
            <w:vAlign w:val="bottom"/>
            <w:shd w:val="clear" w:color="auto" w:fill="E1FFFF"/>
          </w:tcPr>
          <w:p>
            <w:pPr>
              <w:spacing w:after="0"/>
              <w:rPr>
                <w:sz w:val="17"/>
                <w:szCs w:val="17"/>
                <w:color w:val="auto"/>
              </w:rPr>
            </w:pPr>
          </w:p>
        </w:tc>
        <w:tc>
          <w:tcPr>
            <w:tcW w:w="13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141</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Incentive distribution rights**</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E1FFFF"/>
          </w:tcPr>
          <w:p>
            <w:pPr>
              <w:spacing w:after="0"/>
              <w:rPr>
                <w:sz w:val="20"/>
                <w:szCs w:val="20"/>
                <w:color w:val="auto"/>
              </w:rPr>
            </w:pPr>
            <w:r>
              <w:rPr>
                <w:rFonts w:ascii="Arial" w:cs="Arial" w:eastAsia="Arial" w:hAnsi="Arial"/>
                <w:sz w:val="16"/>
                <w:szCs w:val="16"/>
                <w:b w:val="1"/>
                <w:bCs w:val="1"/>
                <w:color w:val="auto"/>
              </w:rPr>
              <w:t>Weighted average number of units outstanding (basic)</w:t>
            </w:r>
          </w:p>
        </w:tc>
        <w:tc>
          <w:tcPr>
            <w:tcW w:w="1480" w:type="dxa"/>
            <w:vAlign w:val="bottom"/>
            <w:shd w:val="clear" w:color="auto" w:fill="E1FFFF"/>
          </w:tcPr>
          <w:p>
            <w:pPr>
              <w:spacing w:after="0"/>
              <w:rPr>
                <w:sz w:val="17"/>
                <w:szCs w:val="17"/>
                <w:color w:val="auto"/>
              </w:rPr>
            </w:pPr>
          </w:p>
        </w:tc>
        <w:tc>
          <w:tcPr>
            <w:tcW w:w="200" w:type="dxa"/>
            <w:vAlign w:val="bottom"/>
            <w:shd w:val="clear" w:color="auto" w:fill="E1FFFF"/>
          </w:tcPr>
          <w:p>
            <w:pPr>
              <w:spacing w:after="0"/>
              <w:rPr>
                <w:sz w:val="17"/>
                <w:szCs w:val="17"/>
                <w:color w:val="auto"/>
              </w:rPr>
            </w:pPr>
          </w:p>
        </w:tc>
        <w:tc>
          <w:tcPr>
            <w:tcW w:w="1380" w:type="dxa"/>
            <w:vAlign w:val="bottom"/>
            <w:shd w:val="clear" w:color="auto" w:fill="E1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Common units</w:t>
            </w:r>
          </w:p>
        </w:tc>
        <w:tc>
          <w:tcPr>
            <w:tcW w:w="1480" w:type="dxa"/>
            <w:vAlign w:val="bottom"/>
          </w:tcPr>
          <w:p>
            <w:pPr>
              <w:jc w:val="right"/>
              <w:spacing w:after="0"/>
              <w:rPr>
                <w:sz w:val="20"/>
                <w:szCs w:val="20"/>
                <w:color w:val="auto"/>
              </w:rPr>
            </w:pPr>
            <w:r>
              <w:rPr>
                <w:rFonts w:ascii="Arial" w:cs="Arial" w:eastAsia="Arial" w:hAnsi="Arial"/>
                <w:sz w:val="16"/>
                <w:szCs w:val="16"/>
                <w:color w:val="auto"/>
              </w:rPr>
              <w:t>45,448,993</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46,764,077</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 units</w:t>
            </w:r>
          </w:p>
        </w:tc>
        <w:tc>
          <w:tcPr>
            <w:tcW w:w="14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927,532</w:t>
            </w:r>
          </w:p>
        </w:tc>
        <w:tc>
          <w:tcPr>
            <w:tcW w:w="200" w:type="dxa"/>
            <w:vAlign w:val="bottom"/>
            <w:shd w:val="clear" w:color="auto" w:fill="E1FFFF"/>
          </w:tcPr>
          <w:p>
            <w:pPr>
              <w:spacing w:after="0"/>
              <w:rPr>
                <w:sz w:val="17"/>
                <w:szCs w:val="17"/>
                <w:color w:val="auto"/>
              </w:rPr>
            </w:pPr>
          </w:p>
        </w:tc>
        <w:tc>
          <w:tcPr>
            <w:tcW w:w="13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1,021,336</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6"/>
                <w:szCs w:val="16"/>
                <w:b w:val="1"/>
                <w:bCs w:val="1"/>
                <w:color w:val="auto"/>
              </w:rPr>
              <w:t>Earnings per unit (basic)</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E1FFFF"/>
          </w:tcPr>
          <w:p>
            <w:pPr>
              <w:spacing w:after="0"/>
              <w:rPr>
                <w:sz w:val="20"/>
                <w:szCs w:val="20"/>
                <w:color w:val="auto"/>
              </w:rPr>
            </w:pPr>
            <w:r>
              <w:rPr>
                <w:rFonts w:ascii="Arial" w:cs="Arial" w:eastAsia="Arial" w:hAnsi="Arial"/>
                <w:sz w:val="16"/>
                <w:szCs w:val="16"/>
                <w:color w:val="auto"/>
              </w:rPr>
              <w:t>Common unitholders</w:t>
            </w:r>
          </w:p>
        </w:tc>
        <w:tc>
          <w:tcPr>
            <w:tcW w:w="14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0.28</w:t>
            </w:r>
          </w:p>
        </w:tc>
        <w:tc>
          <w:tcPr>
            <w:tcW w:w="200" w:type="dxa"/>
            <w:vAlign w:val="bottom"/>
            <w:shd w:val="clear" w:color="auto" w:fill="E1FFFF"/>
          </w:tcPr>
          <w:p>
            <w:pPr>
              <w:spacing w:after="0"/>
              <w:rPr>
                <w:sz w:val="17"/>
                <w:szCs w:val="17"/>
                <w:color w:val="auto"/>
              </w:rPr>
            </w:pPr>
          </w:p>
        </w:tc>
        <w:tc>
          <w:tcPr>
            <w:tcW w:w="13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0.14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General partner</w:t>
            </w:r>
          </w:p>
        </w:tc>
        <w:tc>
          <w:tcPr>
            <w:tcW w:w="1480" w:type="dxa"/>
            <w:vAlign w:val="bottom"/>
          </w:tcPr>
          <w:p>
            <w:pPr>
              <w:jc w:val="right"/>
              <w:spacing w:after="0"/>
              <w:rPr>
                <w:sz w:val="20"/>
                <w:szCs w:val="20"/>
                <w:color w:val="auto"/>
              </w:rPr>
            </w:pPr>
            <w:r>
              <w:rPr>
                <w:rFonts w:ascii="Arial" w:cs="Arial" w:eastAsia="Arial" w:hAnsi="Arial"/>
                <w:sz w:val="16"/>
                <w:szCs w:val="16"/>
                <w:color w:val="auto"/>
              </w:rPr>
              <w:t>0.28</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E1FFFF"/>
          </w:tcPr>
          <w:p>
            <w:pPr>
              <w:spacing w:after="0"/>
              <w:rPr>
                <w:sz w:val="20"/>
                <w:szCs w:val="20"/>
                <w:color w:val="auto"/>
              </w:rPr>
            </w:pPr>
            <w:r>
              <w:rPr>
                <w:rFonts w:ascii="Arial" w:cs="Arial" w:eastAsia="Arial" w:hAnsi="Arial"/>
                <w:sz w:val="16"/>
                <w:szCs w:val="16"/>
                <w:b w:val="1"/>
                <w:bCs w:val="1"/>
                <w:color w:val="auto"/>
              </w:rPr>
              <w:t>Weighted average number of units outstanding (diluted)</w:t>
            </w:r>
          </w:p>
        </w:tc>
        <w:tc>
          <w:tcPr>
            <w:tcW w:w="1480" w:type="dxa"/>
            <w:vAlign w:val="bottom"/>
            <w:shd w:val="clear" w:color="auto" w:fill="E1FFFF"/>
          </w:tcPr>
          <w:p>
            <w:pPr>
              <w:spacing w:after="0"/>
              <w:rPr>
                <w:sz w:val="17"/>
                <w:szCs w:val="17"/>
                <w:color w:val="auto"/>
              </w:rPr>
            </w:pPr>
          </w:p>
        </w:tc>
        <w:tc>
          <w:tcPr>
            <w:tcW w:w="200" w:type="dxa"/>
            <w:vAlign w:val="bottom"/>
            <w:shd w:val="clear" w:color="auto" w:fill="E1FFFF"/>
          </w:tcPr>
          <w:p>
            <w:pPr>
              <w:spacing w:after="0"/>
              <w:rPr>
                <w:sz w:val="17"/>
                <w:szCs w:val="17"/>
                <w:color w:val="auto"/>
              </w:rPr>
            </w:pPr>
          </w:p>
        </w:tc>
        <w:tc>
          <w:tcPr>
            <w:tcW w:w="1380" w:type="dxa"/>
            <w:vAlign w:val="bottom"/>
            <w:shd w:val="clear" w:color="auto" w:fill="E1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Common units***</w:t>
            </w:r>
          </w:p>
        </w:tc>
        <w:tc>
          <w:tcPr>
            <w:tcW w:w="1480" w:type="dxa"/>
            <w:vAlign w:val="bottom"/>
          </w:tcPr>
          <w:p>
            <w:pPr>
              <w:jc w:val="right"/>
              <w:spacing w:after="0"/>
              <w:rPr>
                <w:sz w:val="20"/>
                <w:szCs w:val="20"/>
                <w:color w:val="auto"/>
              </w:rPr>
            </w:pPr>
            <w:r>
              <w:rPr>
                <w:rFonts w:ascii="Arial" w:cs="Arial" w:eastAsia="Arial" w:hAnsi="Arial"/>
                <w:sz w:val="16"/>
                <w:szCs w:val="16"/>
                <w:color w:val="auto"/>
              </w:rPr>
              <w:t>45,539,778</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49,297,745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E1FFFF"/>
          </w:tcPr>
          <w:p>
            <w:pPr>
              <w:spacing w:after="0"/>
              <w:rPr>
                <w:sz w:val="20"/>
                <w:szCs w:val="20"/>
                <w:color w:val="auto"/>
              </w:rPr>
            </w:pPr>
            <w:r>
              <w:rPr>
                <w:rFonts w:ascii="Arial" w:cs="Arial" w:eastAsia="Arial" w:hAnsi="Arial"/>
                <w:sz w:val="16"/>
                <w:szCs w:val="16"/>
                <w:color w:val="auto"/>
              </w:rPr>
              <w:t>General partner units</w:t>
            </w:r>
          </w:p>
        </w:tc>
        <w:tc>
          <w:tcPr>
            <w:tcW w:w="14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927,532</w:t>
            </w:r>
          </w:p>
        </w:tc>
        <w:tc>
          <w:tcPr>
            <w:tcW w:w="200" w:type="dxa"/>
            <w:vAlign w:val="bottom"/>
            <w:shd w:val="clear" w:color="auto" w:fill="E1FFFF"/>
          </w:tcPr>
          <w:p>
            <w:pPr>
              <w:spacing w:after="0"/>
              <w:rPr>
                <w:sz w:val="17"/>
                <w:szCs w:val="17"/>
                <w:color w:val="auto"/>
              </w:rPr>
            </w:pPr>
          </w:p>
        </w:tc>
        <w:tc>
          <w:tcPr>
            <w:tcW w:w="13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1,021,336</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6"/>
                <w:szCs w:val="16"/>
                <w:b w:val="1"/>
                <w:bCs w:val="1"/>
                <w:color w:val="auto"/>
              </w:rPr>
              <w:t>Earnings per unit (diluted)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E1FFFF"/>
          </w:tcPr>
          <w:p>
            <w:pPr>
              <w:spacing w:after="0"/>
              <w:rPr>
                <w:sz w:val="20"/>
                <w:szCs w:val="20"/>
                <w:color w:val="auto"/>
              </w:rPr>
            </w:pPr>
            <w:r>
              <w:rPr>
                <w:rFonts w:ascii="Arial" w:cs="Arial" w:eastAsia="Arial" w:hAnsi="Arial"/>
                <w:sz w:val="16"/>
                <w:szCs w:val="16"/>
                <w:color w:val="auto"/>
              </w:rPr>
              <w:t>Common unitholders</w:t>
            </w:r>
          </w:p>
        </w:tc>
        <w:tc>
          <w:tcPr>
            <w:tcW w:w="14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0.28</w:t>
            </w:r>
          </w:p>
        </w:tc>
        <w:tc>
          <w:tcPr>
            <w:tcW w:w="200" w:type="dxa"/>
            <w:vAlign w:val="bottom"/>
            <w:shd w:val="clear" w:color="auto" w:fill="E1FFFF"/>
          </w:tcPr>
          <w:p>
            <w:pPr>
              <w:spacing w:after="0"/>
              <w:rPr>
                <w:sz w:val="17"/>
                <w:szCs w:val="17"/>
                <w:color w:val="auto"/>
              </w:rPr>
            </w:pPr>
          </w:p>
        </w:tc>
        <w:tc>
          <w:tcPr>
            <w:tcW w:w="13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0.13</w:t>
            </w:r>
          </w:p>
        </w:tc>
        <w:tc>
          <w:tcPr>
            <w:tcW w:w="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6"/>
                <w:szCs w:val="16"/>
                <w:color w:val="auto"/>
              </w:rPr>
              <w:t>General partner</w:t>
            </w:r>
          </w:p>
        </w:tc>
        <w:tc>
          <w:tcPr>
            <w:tcW w:w="1480" w:type="dxa"/>
            <w:vAlign w:val="bottom"/>
          </w:tcPr>
          <w:p>
            <w:pPr>
              <w:jc w:val="right"/>
              <w:spacing w:after="0"/>
              <w:rPr>
                <w:sz w:val="20"/>
                <w:szCs w:val="20"/>
                <w:color w:val="auto"/>
              </w:rPr>
            </w:pPr>
            <w:r>
              <w:rPr>
                <w:rFonts w:ascii="Arial" w:cs="Arial" w:eastAsia="Arial" w:hAnsi="Arial"/>
                <w:sz w:val="16"/>
                <w:szCs w:val="16"/>
                <w:color w:val="auto"/>
              </w:rPr>
              <w:t>0.28</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0.14</w:t>
            </w:r>
          </w:p>
        </w:tc>
        <w:tc>
          <w:tcPr>
            <w:tcW w:w="40" w:type="dxa"/>
            <w:vAlign w:val="bottom"/>
          </w:tcPr>
          <w:p>
            <w:pPr>
              <w:spacing w:after="0"/>
              <w:rPr>
                <w:sz w:val="17"/>
                <w:szCs w:val="17"/>
                <w:color w:val="auto"/>
              </w:rPr>
            </w:pPr>
          </w:p>
        </w:tc>
      </w:tr>
    </w:tbl>
    <w:p>
      <w:pPr>
        <w:spacing w:after="0" w:line="200" w:lineRule="exact"/>
        <w:rPr>
          <w:sz w:val="20"/>
          <w:szCs w:val="20"/>
          <w:color w:val="auto"/>
        </w:rPr>
      </w:pPr>
    </w:p>
    <w:p>
      <w:pPr>
        <w:spacing w:after="0" w:line="223" w:lineRule="exact"/>
        <w:rPr>
          <w:sz w:val="20"/>
          <w:szCs w:val="20"/>
          <w:color w:val="auto"/>
        </w:rPr>
      </w:pPr>
    </w:p>
    <w:p>
      <w:pPr>
        <w:ind w:left="140" w:right="60" w:hanging="132"/>
        <w:spacing w:after="0" w:line="265" w:lineRule="auto"/>
        <w:tabs>
          <w:tab w:leader="none" w:pos="134" w:val="left"/>
        </w:tabs>
        <w:numPr>
          <w:ilvl w:val="0"/>
          <w:numId w:val="29"/>
        </w:numPr>
        <w:rPr>
          <w:rFonts w:ascii="Arial" w:cs="Arial" w:eastAsia="Arial" w:hAnsi="Arial"/>
          <w:sz w:val="15"/>
          <w:szCs w:val="15"/>
          <w:color w:val="auto"/>
        </w:rPr>
      </w:pPr>
      <w:r>
        <w:rPr>
          <w:rFonts w:ascii="Arial" w:cs="Arial" w:eastAsia="Arial" w:hAnsi="Arial"/>
          <w:sz w:val="13"/>
          <w:szCs w:val="13"/>
          <w:color w:val="auto"/>
        </w:rPr>
        <w:t>Includes the aggregate profit of GAS-twelve Ltd. for the period prior to its transfer to the Partnership on April 1, 2019. While such amounts are reflected in the Partnership’s financial statements because the transfer to the Partnership was accounted for as a reorganization of entities under common control (Note 1), the aforementioned entity was not owned by the Partnership prior to its transfer to the Partnership on such date and accordingly the Partnership was not entitled to the cash or results generated in the period prior to such transfer.</w:t>
      </w:r>
    </w:p>
    <w:p>
      <w:pPr>
        <w:spacing w:after="0" w:line="168" w:lineRule="exact"/>
        <w:rPr>
          <w:sz w:val="20"/>
          <w:szCs w:val="20"/>
          <w:color w:val="auto"/>
        </w:rPr>
      </w:pPr>
    </w:p>
    <w:p>
      <w:pPr>
        <w:ind w:left="140" w:right="160" w:hanging="127"/>
        <w:spacing w:after="0" w:line="238" w:lineRule="auto"/>
        <w:rPr>
          <w:sz w:val="20"/>
          <w:szCs w:val="20"/>
          <w:color w:val="auto"/>
        </w:rPr>
      </w:pPr>
      <w:r>
        <w:rPr>
          <w:rFonts w:ascii="Arial" w:cs="Arial" w:eastAsia="Arial" w:hAnsi="Arial"/>
          <w:sz w:val="14"/>
          <w:szCs w:val="14"/>
          <w:color w:val="auto"/>
        </w:rPr>
        <w:t>**The IDRs were eliminated on June 30, 2019. GasLog held the incentive distribution rights following completion of the Partnership’s IPO. Until their elimination, they represented the right to receive an increasing percentage of quarterly distributions of available cash from operating surplus after the minimum quarterly distribution and the target distribution levels have been achieved. Based on the nature of such right, earnings attributable to IDRs could not be allocated on a per unit basis.</w:t>
      </w:r>
    </w:p>
    <w:p>
      <w:pPr>
        <w:spacing w:after="0" w:line="183" w:lineRule="exact"/>
        <w:rPr>
          <w:sz w:val="20"/>
          <w:szCs w:val="20"/>
          <w:color w:val="auto"/>
        </w:rPr>
      </w:pPr>
    </w:p>
    <w:p>
      <w:pPr>
        <w:ind w:left="140" w:right="180" w:hanging="132"/>
        <w:spacing w:after="0" w:line="233" w:lineRule="auto"/>
        <w:tabs>
          <w:tab w:leader="none" w:pos="264"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unvested awards (Note 18) and Class B units, the latter only for the three months ended March 31, 2020. The 2,490,000 Class B units were issued on June 30, 2019 and have been included in the weighted average number of units outstanding for the calculation of diluted EPU from July 1, 2019 and onwards. They will become eligible for conversion on a one-for-one basis into common units at GasLog’s option in six tranches of 415,000 units per annum on July 1 of 2020, 2021, 2022, 2023, 2024 and 2025; as a result, they do not have an impact on the calculation of basic EPU until conversion.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Compensation</w:t>
      </w:r>
    </w:p>
    <w:p>
      <w:pPr>
        <w:spacing w:after="0" w:line="239" w:lineRule="exact"/>
        <w:rPr>
          <w:sz w:val="20"/>
          <w:szCs w:val="20"/>
          <w:color w:val="auto"/>
        </w:rPr>
      </w:pPr>
    </w:p>
    <w:p>
      <w:pPr>
        <w:ind w:right="280" w:firstLine="383"/>
        <w:spacing w:after="0" w:line="278" w:lineRule="auto"/>
        <w:rPr>
          <w:sz w:val="20"/>
          <w:szCs w:val="20"/>
          <w:color w:val="auto"/>
        </w:rPr>
      </w:pPr>
      <w:r>
        <w:rPr>
          <w:rFonts w:ascii="Arial" w:cs="Arial" w:eastAsia="Arial" w:hAnsi="Arial"/>
          <w:sz w:val="16"/>
          <w:szCs w:val="16"/>
          <w:color w:val="auto"/>
        </w:rPr>
        <w:t>The terms of the 2015 Long-Term Incentive Plan (the “2015 Plan”) and the assumptions for the valuation of Restricted Common Units (“RCUs”) and Performance Common Units (“PCUs”) have been disclosed in Note 21 “Share-Based Compensation” in the annual audited consolidated financial statements for the year ended December 31, 2019.</w:t>
      </w:r>
    </w:p>
    <w:p>
      <w:pPr>
        <w:spacing w:after="0" w:line="184" w:lineRule="exact"/>
        <w:rPr>
          <w:sz w:val="20"/>
          <w:szCs w:val="20"/>
          <w:color w:val="auto"/>
        </w:rPr>
      </w:pPr>
    </w:p>
    <w:p>
      <w:pPr>
        <w:ind w:right="40" w:firstLine="396"/>
        <w:spacing w:after="0" w:line="293" w:lineRule="auto"/>
        <w:rPr>
          <w:sz w:val="20"/>
          <w:szCs w:val="20"/>
          <w:color w:val="auto"/>
        </w:rPr>
      </w:pPr>
      <w:r>
        <w:rPr>
          <w:rFonts w:ascii="Arial" w:cs="Arial" w:eastAsia="Arial" w:hAnsi="Arial"/>
          <w:sz w:val="16"/>
          <w:szCs w:val="16"/>
          <w:color w:val="auto"/>
        </w:rPr>
        <w:t>As of March 31, 2020, there were 76,467 RCUs and 76,467 PCUs outstanding (December 31, 2019: 76,467 RCUs and 76,467 PCUs). Subsequently, on April 3, 2020, 25,551 RCUs and 21,292 PCUs vested under the Partnership’s 2015 Plan (Note 20).</w:t>
      </w:r>
    </w:p>
    <w:p>
      <w:pPr>
        <w:spacing w:after="0" w:line="172" w:lineRule="exact"/>
        <w:rPr>
          <w:sz w:val="20"/>
          <w:szCs w:val="20"/>
          <w:color w:val="auto"/>
        </w:rPr>
      </w:pPr>
    </w:p>
    <w:p>
      <w:pPr>
        <w:ind w:right="700" w:firstLine="324"/>
        <w:spacing w:after="0" w:line="293" w:lineRule="auto"/>
        <w:rPr>
          <w:sz w:val="20"/>
          <w:szCs w:val="20"/>
          <w:color w:val="auto"/>
        </w:rPr>
      </w:pPr>
      <w:r>
        <w:rPr>
          <w:rFonts w:ascii="Arial" w:cs="Arial" w:eastAsia="Arial" w:hAnsi="Arial"/>
          <w:sz w:val="16"/>
          <w:szCs w:val="16"/>
          <w:color w:val="auto"/>
        </w:rPr>
        <w:t>The total expense recognized in respect of equity-settled employee benefits for the three months ended March 31, 2020 was $297 (for the three months ended March 31, 2019: $262). The total accrued cash distribution as of March 31, 2020 is $658 (December 31, 2019: $530).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Commitments and Contingencies</w:t>
      </w:r>
    </w:p>
    <w:p>
      <w:pPr>
        <w:spacing w:after="0" w:line="239" w:lineRule="exact"/>
        <w:rPr>
          <w:sz w:val="20"/>
          <w:szCs w:val="20"/>
          <w:color w:val="auto"/>
        </w:rPr>
      </w:pPr>
    </w:p>
    <w:p>
      <w:pPr>
        <w:ind w:right="180" w:firstLine="405"/>
        <w:spacing w:after="0" w:line="278" w:lineRule="auto"/>
        <w:rPr>
          <w:sz w:val="20"/>
          <w:szCs w:val="20"/>
          <w:color w:val="auto"/>
        </w:rPr>
      </w:pPr>
      <w:r>
        <w:rPr>
          <w:rFonts w:ascii="Arial" w:cs="Arial" w:eastAsia="Arial" w:hAnsi="Arial"/>
          <w:sz w:val="16"/>
          <w:szCs w:val="16"/>
          <w:color w:val="auto"/>
        </w:rPr>
        <w:t>Future gross minimum lease payments receivable in relation to non-cancellable time charter agreements for vessels in operation as of March 31, 2020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Period</w:t>
            </w:r>
          </w:p>
        </w:tc>
        <w:tc>
          <w:tcPr>
            <w:tcW w:w="2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March 31, 2020</w:t>
            </w:r>
          </w:p>
        </w:tc>
      </w:tr>
      <w:tr>
        <w:trPr>
          <w:trHeight w:val="199"/>
        </w:trPr>
        <w:tc>
          <w:tcPr>
            <w:tcW w:w="9140" w:type="dxa"/>
            <w:vAlign w:val="bottom"/>
            <w:shd w:val="clear" w:color="auto" w:fill="E5FFFF"/>
          </w:tcPr>
          <w:p>
            <w:pPr>
              <w:spacing w:after="0"/>
              <w:rPr>
                <w:sz w:val="20"/>
                <w:szCs w:val="20"/>
                <w:color w:val="auto"/>
              </w:rPr>
            </w:pPr>
            <w:r>
              <w:rPr>
                <w:rFonts w:ascii="Arial" w:cs="Arial" w:eastAsia="Arial" w:hAnsi="Arial"/>
                <w:sz w:val="16"/>
                <w:szCs w:val="16"/>
                <w:color w:val="auto"/>
              </w:rPr>
              <w:t>Not later than one year</w:t>
            </w:r>
          </w:p>
        </w:tc>
        <w:tc>
          <w:tcPr>
            <w:tcW w:w="2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205,204</w:t>
            </w:r>
          </w:p>
        </w:tc>
      </w:tr>
      <w:tr>
        <w:trPr>
          <w:trHeight w:val="203"/>
        </w:trPr>
        <w:tc>
          <w:tcPr>
            <w:tcW w:w="9140" w:type="dxa"/>
            <w:vAlign w:val="bottom"/>
          </w:tcPr>
          <w:p>
            <w:pPr>
              <w:spacing w:after="0"/>
              <w:rPr>
                <w:sz w:val="20"/>
                <w:szCs w:val="20"/>
                <w:color w:val="auto"/>
              </w:rPr>
            </w:pPr>
            <w:r>
              <w:rPr>
                <w:rFonts w:ascii="Arial" w:cs="Arial" w:eastAsia="Arial" w:hAnsi="Arial"/>
                <w:sz w:val="16"/>
                <w:szCs w:val="16"/>
                <w:color w:val="auto"/>
              </w:rPr>
              <w:t>Later than one year and not later than two years</w:t>
            </w:r>
          </w:p>
        </w:tc>
        <w:tc>
          <w:tcPr>
            <w:tcW w:w="2100" w:type="dxa"/>
            <w:vAlign w:val="bottom"/>
          </w:tcPr>
          <w:p>
            <w:pPr>
              <w:jc w:val="right"/>
              <w:spacing w:after="0"/>
              <w:rPr>
                <w:sz w:val="20"/>
                <w:szCs w:val="20"/>
                <w:color w:val="auto"/>
              </w:rPr>
            </w:pPr>
            <w:r>
              <w:rPr>
                <w:rFonts w:ascii="Arial" w:cs="Arial" w:eastAsia="Arial" w:hAnsi="Arial"/>
                <w:sz w:val="16"/>
                <w:szCs w:val="16"/>
                <w:color w:val="auto"/>
              </w:rPr>
              <w:t>140,688</w:t>
            </w:r>
          </w:p>
        </w:tc>
      </w:tr>
      <w:tr>
        <w:trPr>
          <w:trHeight w:val="203"/>
        </w:trPr>
        <w:tc>
          <w:tcPr>
            <w:tcW w:w="9140" w:type="dxa"/>
            <w:vAlign w:val="bottom"/>
            <w:shd w:val="clear" w:color="auto" w:fill="E5FFFF"/>
          </w:tcPr>
          <w:p>
            <w:pPr>
              <w:spacing w:after="0"/>
              <w:rPr>
                <w:sz w:val="20"/>
                <w:szCs w:val="20"/>
                <w:color w:val="auto"/>
              </w:rPr>
            </w:pPr>
            <w:r>
              <w:rPr>
                <w:rFonts w:ascii="Arial" w:cs="Arial" w:eastAsia="Arial" w:hAnsi="Arial"/>
                <w:sz w:val="16"/>
                <w:szCs w:val="16"/>
                <w:color w:val="auto"/>
              </w:rPr>
              <w:t>Later than two years and not later than three years</w:t>
            </w:r>
          </w:p>
        </w:tc>
        <w:tc>
          <w:tcPr>
            <w:tcW w:w="2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124,086</w:t>
            </w:r>
          </w:p>
        </w:tc>
      </w:tr>
      <w:tr>
        <w:trPr>
          <w:trHeight w:val="203"/>
        </w:trPr>
        <w:tc>
          <w:tcPr>
            <w:tcW w:w="9140" w:type="dxa"/>
            <w:vAlign w:val="bottom"/>
          </w:tcPr>
          <w:p>
            <w:pPr>
              <w:spacing w:after="0"/>
              <w:rPr>
                <w:sz w:val="20"/>
                <w:szCs w:val="20"/>
                <w:color w:val="auto"/>
              </w:rPr>
            </w:pPr>
            <w:r>
              <w:rPr>
                <w:rFonts w:ascii="Arial" w:cs="Arial" w:eastAsia="Arial" w:hAnsi="Arial"/>
                <w:sz w:val="16"/>
                <w:szCs w:val="16"/>
                <w:color w:val="auto"/>
              </w:rPr>
              <w:t>Later than three years and not later than four years</w:t>
            </w:r>
          </w:p>
        </w:tc>
        <w:tc>
          <w:tcPr>
            <w:tcW w:w="2100" w:type="dxa"/>
            <w:vAlign w:val="bottom"/>
          </w:tcPr>
          <w:p>
            <w:pPr>
              <w:jc w:val="right"/>
              <w:spacing w:after="0"/>
              <w:rPr>
                <w:sz w:val="20"/>
                <w:szCs w:val="20"/>
                <w:color w:val="auto"/>
              </w:rPr>
            </w:pPr>
            <w:r>
              <w:rPr>
                <w:rFonts w:ascii="Arial" w:cs="Arial" w:eastAsia="Arial" w:hAnsi="Arial"/>
                <w:sz w:val="16"/>
                <w:szCs w:val="16"/>
                <w:color w:val="auto"/>
              </w:rPr>
              <w:t>99,653</w:t>
            </w:r>
          </w:p>
        </w:tc>
      </w:tr>
      <w:tr>
        <w:trPr>
          <w:trHeight w:val="203"/>
        </w:trPr>
        <w:tc>
          <w:tcPr>
            <w:tcW w:w="9140" w:type="dxa"/>
            <w:vAlign w:val="bottom"/>
            <w:shd w:val="clear" w:color="auto" w:fill="E5FFFF"/>
          </w:tcPr>
          <w:p>
            <w:pPr>
              <w:spacing w:after="0"/>
              <w:rPr>
                <w:sz w:val="20"/>
                <w:szCs w:val="20"/>
                <w:color w:val="auto"/>
              </w:rPr>
            </w:pPr>
            <w:r>
              <w:rPr>
                <w:rFonts w:ascii="Arial" w:cs="Arial" w:eastAsia="Arial" w:hAnsi="Arial"/>
                <w:sz w:val="16"/>
                <w:szCs w:val="16"/>
                <w:color w:val="auto"/>
              </w:rPr>
              <w:t>Later than four years and not later than five years</w:t>
            </w:r>
          </w:p>
        </w:tc>
        <w:tc>
          <w:tcPr>
            <w:tcW w:w="2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50,659</w:t>
            </w:r>
          </w:p>
        </w:tc>
      </w:tr>
      <w:tr>
        <w:trPr>
          <w:trHeight w:val="202"/>
        </w:trPr>
        <w:tc>
          <w:tcPr>
            <w:tcW w:w="91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Later than five years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52,747</w:t>
            </w:r>
          </w:p>
        </w:tc>
      </w:tr>
      <w:tr>
        <w:trPr>
          <w:trHeight w:val="203"/>
        </w:trPr>
        <w:tc>
          <w:tcPr>
            <w:tcW w:w="91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673,037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2" w:name="page43"/>
    <w:bookmarkEnd w:id="42"/>
    <w:p>
      <w:pPr>
        <w:ind w:right="20" w:firstLine="383"/>
        <w:spacing w:after="0" w:line="271" w:lineRule="auto"/>
        <w:rPr>
          <w:sz w:val="20"/>
          <w:szCs w:val="20"/>
          <w:color w:val="auto"/>
        </w:rPr>
      </w:pPr>
      <w:r>
        <w:rPr>
          <w:rFonts w:ascii="Arial" w:cs="Arial" w:eastAsia="Arial" w:hAnsi="Arial"/>
          <w:sz w:val="16"/>
          <w:szCs w:val="16"/>
          <w:color w:val="auto"/>
        </w:rPr>
        <w:t xml:space="preserve">Following the acquisition of (i)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(ii)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Methane Heather Sally </w:t>
      </w:r>
      <w:r>
        <w:rPr>
          <w:rFonts w:ascii="Arial" w:cs="Arial" w:eastAsia="Arial" w:hAnsi="Arial"/>
          <w:sz w:val="16"/>
          <w:szCs w:val="16"/>
          <w:color w:val="auto"/>
        </w:rPr>
        <w:t>and (iii) the</w:t>
      </w:r>
      <w:r>
        <w:rPr>
          <w:rFonts w:ascii="Arial" w:cs="Arial" w:eastAsia="Arial" w:hAnsi="Arial"/>
          <w:sz w:val="16"/>
          <w:szCs w:val="16"/>
          <w:i w:val="1"/>
          <w:iCs w:val="1"/>
          <w:color w:val="auto"/>
        </w:rPr>
        <w:t xml:space="preserve"> Methane Becki Anne</w:t>
      </w:r>
      <w:r>
        <w:rPr>
          <w:rFonts w:ascii="Arial" w:cs="Arial" w:eastAsia="Arial" w:hAnsi="Arial"/>
          <w:sz w:val="16"/>
          <w:szCs w:val="16"/>
          <w:color w:val="auto"/>
        </w:rPr>
        <w:t>, the Partnership, through its subsidiaries (i) GAS-sixteen Ltd. and GAS-seventeen Ltd. and (ii) GAS-nineteen Ltd.,</w:t>
      </w:r>
      <w:r>
        <w:rPr>
          <w:rFonts w:ascii="Arial" w:cs="Arial" w:eastAsia="Arial" w:hAnsi="Arial"/>
          <w:sz w:val="16"/>
          <w:szCs w:val="16"/>
          <w:i w:val="1"/>
          <w:iCs w:val="1"/>
          <w:color w:val="auto"/>
        </w:rPr>
        <w:t xml:space="preserve"> </w:t>
      </w:r>
      <w:r>
        <w:rPr>
          <w:rFonts w:ascii="Arial" w:cs="Arial" w:eastAsia="Arial" w:hAnsi="Arial"/>
          <w:sz w:val="16"/>
          <w:szCs w:val="16"/>
          <w:color w:val="auto"/>
        </w:rPr>
        <w:t>GAS-twenty Ltd., GAS-twenty one Ltd., and (iii) GAS-twenty seven Ltd., respectively, is counter guarantor for the acquisition from BG Group plc of 83.3% of depot spares with an aggregate initial value of $6,000, of which $660 have been purchased and paid as of March 31, 2020 by GasLog. These spares are expected to be acquired and paid within the second quarter of 2020.</w:t>
      </w:r>
    </w:p>
    <w:p>
      <w:pPr>
        <w:spacing w:after="0" w:line="190" w:lineRule="exact"/>
        <w:rPr>
          <w:sz w:val="20"/>
          <w:szCs w:val="20"/>
          <w:color w:val="auto"/>
        </w:rPr>
      </w:pPr>
    </w:p>
    <w:p>
      <w:pPr>
        <w:jc w:val="both"/>
        <w:ind w:right="20" w:firstLine="383"/>
        <w:spacing w:after="0" w:line="369" w:lineRule="auto"/>
        <w:rPr>
          <w:sz w:val="20"/>
          <w:szCs w:val="20"/>
          <w:color w:val="auto"/>
        </w:rPr>
      </w:pPr>
      <w:r>
        <w:rPr>
          <w:rFonts w:ascii="Arial" w:cs="Arial" w:eastAsia="Arial" w:hAnsi="Arial"/>
          <w:sz w:val="14"/>
          <w:szCs w:val="14"/>
          <w:color w:val="auto"/>
        </w:rPr>
        <w:t>In September 2017 and July 2018, GasLog LNG Services entered into maintenance agreements with Wartsila Greece S.A. in respect of eight of the Partnership’s LNG carriers. The agreements ensure dynamic maintenance planning, technical support, security of spare parts supply, specialist technical personnel and performance monitoring.</w:t>
      </w:r>
    </w:p>
    <w:p>
      <w:pPr>
        <w:spacing w:after="0" w:line="126" w:lineRule="exact"/>
        <w:rPr>
          <w:sz w:val="20"/>
          <w:szCs w:val="20"/>
          <w:color w:val="auto"/>
        </w:rPr>
      </w:pPr>
    </w:p>
    <w:p>
      <w:pPr>
        <w:ind w:firstLine="383"/>
        <w:spacing w:after="0" w:line="305" w:lineRule="auto"/>
        <w:rPr>
          <w:sz w:val="20"/>
          <w:szCs w:val="20"/>
          <w:color w:val="auto"/>
        </w:rPr>
      </w:pPr>
      <w:r>
        <w:rPr>
          <w:rFonts w:ascii="Arial" w:cs="Arial" w:eastAsia="Arial" w:hAnsi="Arial"/>
          <w:sz w:val="15"/>
          <w:szCs w:val="15"/>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March 31, 2020, ballast water management systems had been installed on three out of the eleven vessels.</w:t>
      </w:r>
    </w:p>
    <w:p>
      <w:pPr>
        <w:spacing w:after="0" w:line="166" w:lineRule="exact"/>
        <w:rPr>
          <w:sz w:val="20"/>
          <w:szCs w:val="20"/>
          <w:color w:val="auto"/>
        </w:rPr>
      </w:pPr>
    </w:p>
    <w:p>
      <w:pPr>
        <w:ind w:right="200" w:firstLine="324"/>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Subsequent Events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April 3, 2020, GasLog Partners issued 46,843 common units in connection with the vesting of 25,551 RCUs and 21,292 PCUs under its 2015 Plan.</w:t>
      </w:r>
    </w:p>
    <w:p>
      <w:pPr>
        <w:spacing w:after="0" w:line="235" w:lineRule="exact"/>
        <w:rPr>
          <w:sz w:val="20"/>
          <w:szCs w:val="20"/>
          <w:color w:val="auto"/>
        </w:rPr>
      </w:pPr>
    </w:p>
    <w:p>
      <w:pPr>
        <w:ind w:right="20" w:firstLine="383"/>
        <w:spacing w:after="0" w:line="278" w:lineRule="auto"/>
        <w:rPr>
          <w:sz w:val="20"/>
          <w:szCs w:val="20"/>
          <w:color w:val="auto"/>
        </w:rPr>
      </w:pPr>
      <w:r>
        <w:rPr>
          <w:rFonts w:ascii="Arial" w:cs="Arial" w:eastAsia="Arial" w:hAnsi="Arial"/>
          <w:sz w:val="16"/>
          <w:szCs w:val="16"/>
          <w:color w:val="auto"/>
        </w:rPr>
        <w:t>On May 6, 2020, the board of directors of GasLog Partners approved and declared a quarterly cash distribution of $0.125 per common unit for the quarter ended March 31, 2020. The cash distribution is payable on May 21, 2020 to all unitholders of record as of May 18, 2020. The aggregate amount of the declared distribution will be $5,961 based on the number of units issued and outstanding as of March 31, 2020.</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APPENDIX A</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Non-GAAP Partnership Performance Information and Reconciliation Tables</w:t>
      </w:r>
    </w:p>
    <w:p>
      <w:pPr>
        <w:spacing w:after="0" w:line="23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 xml:space="preserve">Our IFRS Common Control Reported Results are derived from the consolidated financial statements of the Partnership. The non-GAAP Partnership Performance Results presented below exclude amounts related to GAS-twelve Ltd., the owner of the </w:t>
      </w:r>
      <w:r>
        <w:rPr>
          <w:rFonts w:ascii="Arial" w:cs="Arial" w:eastAsia="Arial" w:hAnsi="Arial"/>
          <w:sz w:val="16"/>
          <w:szCs w:val="16"/>
          <w:i w:val="1"/>
          <w:iCs w:val="1"/>
          <w:color w:val="auto"/>
        </w:rPr>
        <w:t>GasLog Glasgow</w:t>
      </w:r>
      <w:r>
        <w:rPr>
          <w:rFonts w:ascii="Arial" w:cs="Arial" w:eastAsia="Arial" w:hAnsi="Arial"/>
          <w:sz w:val="16"/>
          <w:szCs w:val="16"/>
          <w:color w:val="auto"/>
        </w:rPr>
        <w:t>, for the period prior to its transfer to the Partnership on April 1, 2019. While such amounts are reflected in the Partnership’s unaudited condensed consolidated financial statements because the transfer to the Partnership was accounted for as a reorganization of entities under common control under IFRS, the aforementioned entity was not owned by the Partnership prior to its transfer on April 1, 2019, and accordingly the Partnership was not entitled to the cash or results generated in the period prior to such transfer. The Partnership believes these measures provide meaningful supplemental information to both management and investors regarding the financial and operating performance of the Partnership which is necessary to understand the underlying basis for the calculations of the quarterly distribution and the earnings per unit, which similarly exclude the results of vessels acquired prior to their transfers to the Partnership.</w:t>
      </w:r>
    </w:p>
    <w:p>
      <w:pPr>
        <w:spacing w:after="0" w:line="192" w:lineRule="exact"/>
        <w:rPr>
          <w:sz w:val="20"/>
          <w:szCs w:val="20"/>
          <w:color w:val="auto"/>
        </w:rPr>
      </w:pPr>
    </w:p>
    <w:p>
      <w:pPr>
        <w:ind w:right="40"/>
        <w:spacing w:after="0" w:line="335" w:lineRule="auto"/>
        <w:rPr>
          <w:sz w:val="20"/>
          <w:szCs w:val="20"/>
          <w:color w:val="auto"/>
        </w:rPr>
      </w:pPr>
      <w:r>
        <w:rPr>
          <w:rFonts w:ascii="Arial" w:cs="Arial" w:eastAsia="Arial" w:hAnsi="Arial"/>
          <w:sz w:val="14"/>
          <w:szCs w:val="14"/>
          <w:color w:val="auto"/>
        </w:rPr>
        <w:t>Amounts reflected in the Partnership’s unaudited condensed consolidated financial statements for the three months ended March 31, 2020 are fully attributable to the Partnership. The Partnership Performance Results reported in the first quarter of 2020 are the same as the IFRS Common Control Reported Results for the respective period since there were no vessel acquisitions from GasLog during the quarter, which would have resulted in retrospective adjustment of the historical financial statements.</w:t>
      </w:r>
    </w:p>
    <w:p>
      <w:pPr>
        <w:spacing w:after="0" w:line="1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28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Partnership Performance Results</w:t>
            </w:r>
          </w:p>
        </w:tc>
        <w:tc>
          <w:tcPr>
            <w:tcW w:w="0" w:type="dxa"/>
            <w:vAlign w:val="bottom"/>
          </w:tcPr>
          <w:p>
            <w:pPr>
              <w:spacing w:after="0"/>
              <w:rPr>
                <w:sz w:val="1"/>
                <w:szCs w:val="1"/>
                <w:color w:val="auto"/>
              </w:rPr>
            </w:pPr>
          </w:p>
        </w:tc>
      </w:tr>
      <w:tr>
        <w:trPr>
          <w:trHeight w:val="229"/>
        </w:trPr>
        <w:tc>
          <w:tcPr>
            <w:tcW w:w="7860" w:type="dxa"/>
            <w:vAlign w:val="bottom"/>
            <w:gridSpan w:val="2"/>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328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March 31, 2019</w:t>
            </w:r>
          </w:p>
        </w:tc>
        <w:tc>
          <w:tcPr>
            <w:tcW w:w="15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203"/>
        </w:trPr>
        <w:tc>
          <w:tcPr>
            <w:tcW w:w="78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80" w:type="dxa"/>
            <w:vAlign w:val="bottom"/>
            <w:tcBorders>
              <w:top w:val="single" w:sz="8" w:color="E5FFFF"/>
            </w:tcBorders>
            <w:shd w:val="clear" w:color="auto" w:fill="E5FFFF"/>
          </w:tcPr>
          <w:p>
            <w:pPr>
              <w:spacing w:after="0"/>
              <w:rPr>
                <w:sz w:val="17"/>
                <w:szCs w:val="17"/>
                <w:color w:val="auto"/>
              </w:rPr>
            </w:pP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91,353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tcPr>
          <w:p>
            <w:pPr>
              <w:spacing w:after="0"/>
              <w:rPr>
                <w:sz w:val="20"/>
                <w:szCs w:val="20"/>
                <w:color w:val="auto"/>
              </w:rPr>
            </w:pPr>
            <w:r>
              <w:rPr>
                <w:rFonts w:ascii="Arial" w:cs="Arial" w:eastAsia="Arial" w:hAnsi="Arial"/>
                <w:sz w:val="16"/>
                <w:szCs w:val="16"/>
                <w:color w:val="auto"/>
              </w:rPr>
              <w:t>Net pool allocation</w:t>
            </w:r>
          </w:p>
        </w:tc>
        <w:tc>
          <w:tcPr>
            <w:tcW w:w="162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shd w:val="clear" w:color="auto" w:fill="E1FFFF"/>
          </w:tcPr>
          <w:p>
            <w:pPr>
              <w:spacing w:after="0"/>
              <w:rPr>
                <w:sz w:val="20"/>
                <w:szCs w:val="20"/>
                <w:color w:val="auto"/>
              </w:rPr>
            </w:pPr>
            <w:r>
              <w:rPr>
                <w:rFonts w:ascii="Arial" w:cs="Arial" w:eastAsia="Arial" w:hAnsi="Arial"/>
                <w:sz w:val="16"/>
                <w:szCs w:val="16"/>
                <w:color w:val="auto"/>
              </w:rPr>
              <w:t>Voyage expenses and commissions</w:t>
            </w:r>
          </w:p>
        </w:tc>
        <w:tc>
          <w:tcPr>
            <w:tcW w:w="1700" w:type="dxa"/>
            <w:vAlign w:val="bottom"/>
            <w:gridSpan w:val="2"/>
            <w:shd w:val="clear" w:color="auto" w:fill="E1FFFF"/>
          </w:tcPr>
          <w:p>
            <w:pPr>
              <w:jc w:val="right"/>
              <w:spacing w:after="0"/>
              <w:rPr>
                <w:sz w:val="20"/>
                <w:szCs w:val="20"/>
                <w:color w:val="auto"/>
              </w:rPr>
            </w:pPr>
            <w:r>
              <w:rPr>
                <w:rFonts w:ascii="Arial" w:cs="Arial" w:eastAsia="Arial" w:hAnsi="Arial"/>
                <w:sz w:val="16"/>
                <w:szCs w:val="16"/>
                <w:color w:val="auto"/>
              </w:rPr>
              <w:t>(1,742)</w:t>
            </w:r>
          </w:p>
        </w:tc>
        <w:tc>
          <w:tcPr>
            <w:tcW w:w="15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(3,888)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tcPr>
          <w:p>
            <w:pPr>
              <w:spacing w:after="0"/>
              <w:rPr>
                <w:sz w:val="20"/>
                <w:szCs w:val="20"/>
                <w:color w:val="auto"/>
              </w:rPr>
            </w:pPr>
            <w:r>
              <w:rPr>
                <w:rFonts w:ascii="Arial" w:cs="Arial" w:eastAsia="Arial" w:hAnsi="Arial"/>
                <w:sz w:val="16"/>
                <w:szCs w:val="16"/>
                <w:color w:val="auto"/>
              </w:rPr>
              <w:t>Vessel operating costs</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(17,118)</w:t>
            </w:r>
          </w:p>
        </w:tc>
        <w:tc>
          <w:tcPr>
            <w:tcW w:w="1520" w:type="dxa"/>
            <w:vAlign w:val="bottom"/>
          </w:tcPr>
          <w:p>
            <w:pPr>
              <w:jc w:val="right"/>
              <w:spacing w:after="0"/>
              <w:rPr>
                <w:sz w:val="20"/>
                <w:szCs w:val="20"/>
                <w:color w:val="auto"/>
              </w:rPr>
            </w:pPr>
            <w:r>
              <w:rPr>
                <w:rFonts w:ascii="Arial" w:cs="Arial" w:eastAsia="Arial" w:hAnsi="Arial"/>
                <w:sz w:val="16"/>
                <w:szCs w:val="16"/>
                <w:color w:val="auto"/>
              </w:rPr>
              <w:t>(19,093)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shd w:val="clear" w:color="auto" w:fill="E1FFFF"/>
          </w:tcPr>
          <w:p>
            <w:pPr>
              <w:spacing w:after="0"/>
              <w:rPr>
                <w:sz w:val="20"/>
                <w:szCs w:val="20"/>
                <w:color w:val="auto"/>
              </w:rPr>
            </w:pPr>
            <w:r>
              <w:rPr>
                <w:rFonts w:ascii="Arial" w:cs="Arial" w:eastAsia="Arial" w:hAnsi="Arial"/>
                <w:sz w:val="16"/>
                <w:szCs w:val="16"/>
                <w:color w:val="auto"/>
              </w:rPr>
              <w:t>Depreciation</w:t>
            </w:r>
          </w:p>
        </w:tc>
        <w:tc>
          <w:tcPr>
            <w:tcW w:w="1700" w:type="dxa"/>
            <w:vAlign w:val="bottom"/>
            <w:gridSpan w:val="2"/>
            <w:shd w:val="clear" w:color="auto" w:fill="E1FFFF"/>
          </w:tcPr>
          <w:p>
            <w:pPr>
              <w:jc w:val="right"/>
              <w:spacing w:after="0"/>
              <w:rPr>
                <w:sz w:val="20"/>
                <w:szCs w:val="20"/>
                <w:color w:val="auto"/>
              </w:rPr>
            </w:pPr>
            <w:r>
              <w:rPr>
                <w:rFonts w:ascii="Arial" w:cs="Arial" w:eastAsia="Arial" w:hAnsi="Arial"/>
                <w:sz w:val="16"/>
                <w:szCs w:val="16"/>
                <w:color w:val="auto"/>
              </w:rPr>
              <w:t>(20,380)</w:t>
            </w:r>
          </w:p>
        </w:tc>
        <w:tc>
          <w:tcPr>
            <w:tcW w:w="15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(20,598)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gridSpan w:val="2"/>
          </w:tcPr>
          <w:p>
            <w:pPr>
              <w:spacing w:after="0"/>
              <w:rPr>
                <w:sz w:val="20"/>
                <w:szCs w:val="20"/>
                <w:color w:val="auto"/>
              </w:rPr>
            </w:pPr>
            <w:r>
              <w:rPr>
                <w:rFonts w:ascii="Arial" w:cs="Arial" w:eastAsia="Arial" w:hAnsi="Arial"/>
                <w:sz w:val="16"/>
                <w:szCs w:val="16"/>
                <w:color w:val="auto"/>
              </w:rPr>
              <w:t>General and administrative expenses</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(4,598)</w:t>
            </w:r>
          </w:p>
        </w:tc>
        <w:tc>
          <w:tcPr>
            <w:tcW w:w="1520" w:type="dxa"/>
            <w:vAlign w:val="bottom"/>
          </w:tcPr>
          <w:p>
            <w:pPr>
              <w:jc w:val="right"/>
              <w:spacing w:after="0"/>
              <w:rPr>
                <w:sz w:val="20"/>
                <w:szCs w:val="20"/>
                <w:color w:val="auto"/>
              </w:rPr>
            </w:pPr>
            <w:r>
              <w:rPr>
                <w:rFonts w:ascii="Arial" w:cs="Arial" w:eastAsia="Arial" w:hAnsi="Arial"/>
                <w:sz w:val="16"/>
                <w:szCs w:val="16"/>
                <w:color w:val="auto"/>
              </w:rPr>
              <w:t>(4,171)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Borders>
              <w:top w:val="single" w:sz="8" w:color="E1FFFF"/>
            </w:tcBorders>
            <w:gridSpan w:val="2"/>
            <w:shd w:val="clear" w:color="auto" w:fill="E1FFFF"/>
          </w:tcPr>
          <w:p>
            <w:pPr>
              <w:spacing w:after="0"/>
              <w:rPr>
                <w:sz w:val="20"/>
                <w:szCs w:val="20"/>
                <w:color w:val="auto"/>
              </w:rPr>
            </w:pPr>
            <w:r>
              <w:rPr>
                <w:rFonts w:ascii="Arial" w:cs="Arial" w:eastAsia="Arial" w:hAnsi="Arial"/>
                <w:sz w:val="16"/>
                <w:szCs w:val="16"/>
                <w:b w:val="1"/>
                <w:bCs w:val="1"/>
                <w:color w:val="auto"/>
              </w:rPr>
              <w:t>Profit from operations</w:t>
            </w:r>
          </w:p>
        </w:tc>
        <w:tc>
          <w:tcPr>
            <w:tcW w:w="162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42,521</w:t>
            </w:r>
          </w:p>
        </w:tc>
        <w:tc>
          <w:tcPr>
            <w:tcW w:w="80" w:type="dxa"/>
            <w:vAlign w:val="bottom"/>
            <w:tcBorders>
              <w:top w:val="single" w:sz="8" w:color="E1FFFF"/>
            </w:tcBorders>
            <w:shd w:val="clear" w:color="auto" w:fill="E1FFFF"/>
          </w:tcPr>
          <w:p>
            <w:pPr>
              <w:spacing w:after="0"/>
              <w:rPr>
                <w:sz w:val="17"/>
                <w:szCs w:val="17"/>
                <w:color w:val="auto"/>
              </w:rPr>
            </w:pPr>
          </w:p>
        </w:tc>
        <w:tc>
          <w:tcPr>
            <w:tcW w:w="152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43,603</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7860" w:type="dxa"/>
            <w:vAlign w:val="bottom"/>
            <w:gridSpan w:val="2"/>
          </w:tcPr>
          <w:p>
            <w:pPr>
              <w:spacing w:after="0"/>
              <w:rPr>
                <w:sz w:val="20"/>
                <w:szCs w:val="20"/>
                <w:color w:val="auto"/>
              </w:rPr>
            </w:pPr>
            <w:r>
              <w:rPr>
                <w:rFonts w:ascii="Arial" w:cs="Arial" w:eastAsia="Arial" w:hAnsi="Arial"/>
                <w:sz w:val="16"/>
                <w:szCs w:val="16"/>
                <w:color w:val="auto"/>
              </w:rPr>
              <w:t>Financial costs</w:t>
            </w:r>
          </w:p>
        </w:tc>
        <w:tc>
          <w:tcPr>
            <w:tcW w:w="1620" w:type="dxa"/>
            <w:vAlign w:val="bottom"/>
          </w:tcPr>
          <w:p>
            <w:pPr>
              <w:jc w:val="right"/>
              <w:spacing w:after="0"/>
              <w:rPr>
                <w:sz w:val="20"/>
                <w:szCs w:val="20"/>
                <w:color w:val="auto"/>
              </w:rPr>
            </w:pPr>
            <w:r>
              <w:rPr>
                <w:rFonts w:ascii="Arial" w:cs="Arial" w:eastAsia="Arial" w:hAnsi="Arial"/>
                <w:sz w:val="16"/>
                <w:szCs w:val="16"/>
                <w:color w:val="auto"/>
              </w:rPr>
              <w:t>(17,902</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(15,513</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shd w:val="clear" w:color="auto" w:fill="E1FFFF"/>
          </w:tcPr>
          <w:p>
            <w:pPr>
              <w:spacing w:after="0"/>
              <w:rPr>
                <w:sz w:val="20"/>
                <w:szCs w:val="20"/>
                <w:color w:val="auto"/>
              </w:rPr>
            </w:pPr>
            <w:r>
              <w:rPr>
                <w:rFonts w:ascii="Arial" w:cs="Arial" w:eastAsia="Arial" w:hAnsi="Arial"/>
                <w:sz w:val="16"/>
                <w:szCs w:val="16"/>
                <w:color w:val="auto"/>
              </w:rPr>
              <w:t>Financial income</w:t>
            </w:r>
          </w:p>
        </w:tc>
        <w:tc>
          <w:tcPr>
            <w:tcW w:w="16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624</w:t>
            </w:r>
          </w:p>
        </w:tc>
        <w:tc>
          <w:tcPr>
            <w:tcW w:w="80" w:type="dxa"/>
            <w:vAlign w:val="bottom"/>
            <w:shd w:val="clear" w:color="auto" w:fill="E1FFFF"/>
          </w:tcPr>
          <w:p>
            <w:pPr>
              <w:spacing w:after="0"/>
              <w:rPr>
                <w:sz w:val="17"/>
                <w:szCs w:val="17"/>
                <w:color w:val="auto"/>
              </w:rPr>
            </w:pPr>
          </w:p>
        </w:tc>
        <w:tc>
          <w:tcPr>
            <w:tcW w:w="1520" w:type="dxa"/>
            <w:vAlign w:val="bottom"/>
            <w:shd w:val="clear" w:color="auto" w:fill="E1FFFF"/>
          </w:tcPr>
          <w:p>
            <w:pPr>
              <w:jc w:val="right"/>
              <w:spacing w:after="0"/>
              <w:rPr>
                <w:sz w:val="20"/>
                <w:szCs w:val="20"/>
                <w:color w:val="auto"/>
              </w:rPr>
            </w:pPr>
            <w:r>
              <w:rPr>
                <w:rFonts w:ascii="Arial" w:cs="Arial" w:eastAsia="Arial" w:hAnsi="Arial"/>
                <w:sz w:val="16"/>
                <w:szCs w:val="16"/>
                <w:color w:val="auto"/>
              </w:rPr>
              <w:t>199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tcPr>
          <w:p>
            <w:pPr>
              <w:spacing w:after="0"/>
              <w:rPr>
                <w:sz w:val="20"/>
                <w:szCs w:val="20"/>
                <w:color w:val="auto"/>
              </w:rPr>
            </w:pPr>
            <w:r>
              <w:rPr>
                <w:rFonts w:ascii="Arial" w:cs="Arial" w:eastAsia="Arial" w:hAnsi="Arial"/>
                <w:sz w:val="16"/>
                <w:szCs w:val="16"/>
                <w:color w:val="auto"/>
              </w:rPr>
              <w:t>Loss on derivatives</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(4,877)</w:t>
            </w:r>
          </w:p>
        </w:tc>
        <w:tc>
          <w:tcPr>
            <w:tcW w:w="1520" w:type="dxa"/>
            <w:vAlign w:val="bottom"/>
          </w:tcPr>
          <w:p>
            <w:pPr>
              <w:jc w:val="right"/>
              <w:spacing w:after="0"/>
              <w:rPr>
                <w:sz w:val="20"/>
                <w:szCs w:val="20"/>
                <w:color w:val="auto"/>
              </w:rPr>
            </w:pPr>
            <w:r>
              <w:rPr>
                <w:rFonts w:ascii="Arial" w:cs="Arial" w:eastAsia="Arial" w:hAnsi="Arial"/>
                <w:sz w:val="16"/>
                <w:szCs w:val="16"/>
                <w:color w:val="auto"/>
              </w:rPr>
              <w:t>(14,120)</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7860" w:type="dxa"/>
            <w:vAlign w:val="bottom"/>
            <w:tcBorders>
              <w:top w:val="single" w:sz="8" w:color="E1FFFF"/>
            </w:tcBorders>
            <w:gridSpan w:val="2"/>
            <w:shd w:val="clear" w:color="auto" w:fill="E1FFFF"/>
          </w:tcPr>
          <w:p>
            <w:pPr>
              <w:spacing w:after="0"/>
              <w:rPr>
                <w:sz w:val="20"/>
                <w:szCs w:val="20"/>
                <w:color w:val="auto"/>
              </w:rPr>
            </w:pPr>
            <w:r>
              <w:rPr>
                <w:rFonts w:ascii="Arial" w:cs="Arial" w:eastAsia="Arial" w:hAnsi="Arial"/>
                <w:sz w:val="16"/>
                <w:szCs w:val="16"/>
                <w:b w:val="1"/>
                <w:bCs w:val="1"/>
                <w:color w:val="auto"/>
              </w:rPr>
              <w:t>Total other expenses, net</w:t>
            </w:r>
          </w:p>
        </w:tc>
        <w:tc>
          <w:tcPr>
            <w:tcW w:w="162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(22,155</w:t>
            </w:r>
          </w:p>
        </w:tc>
        <w:tc>
          <w:tcPr>
            <w:tcW w:w="80" w:type="dxa"/>
            <w:vAlign w:val="bottom"/>
            <w:tcBorders>
              <w:top w:val="single" w:sz="8" w:color="E1FFFF"/>
            </w:tcBorders>
            <w:shd w:val="clear" w:color="auto" w:fill="E1FFFF"/>
          </w:tcPr>
          <w:p>
            <w:pPr>
              <w:jc w:val="right"/>
              <w:spacing w:after="0"/>
              <w:rPr>
                <w:sz w:val="20"/>
                <w:szCs w:val="20"/>
                <w:color w:val="auto"/>
              </w:rPr>
            </w:pPr>
            <w:r>
              <w:rPr>
                <w:rFonts w:ascii="Arial" w:cs="Arial" w:eastAsia="Arial" w:hAnsi="Arial"/>
                <w:sz w:val="8"/>
                <w:szCs w:val="8"/>
                <w:b w:val="1"/>
                <w:bCs w:val="1"/>
                <w:color w:val="auto"/>
                <w:w w:val="73"/>
              </w:rPr>
              <w:t>)</w:t>
            </w:r>
          </w:p>
        </w:tc>
        <w:tc>
          <w:tcPr>
            <w:tcW w:w="152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(29,434</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Partnership’s profit for the period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8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14,169</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auto"/>
            </w:tcBorders>
          </w:tcPr>
          <w:p>
            <w:pPr>
              <w:spacing w:after="0"/>
              <w:rPr>
                <w:sz w:val="19"/>
                <w:szCs w:val="19"/>
                <w:color w:val="auto"/>
              </w:rPr>
            </w:pPr>
          </w:p>
        </w:tc>
        <w:tc>
          <w:tcPr>
            <w:tcW w:w="6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Reconciliation of IFRS Common Control Reported Results in our Financial Statements to Partnership Performance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5420" w:type="dxa"/>
            <w:vAlign w:val="bottom"/>
            <w:gridSpan w:val="7"/>
          </w:tcPr>
          <w:p>
            <w:pPr>
              <w:jc w:val="right"/>
              <w:ind w:right="1220"/>
              <w:spacing w:after="0"/>
              <w:rPr>
                <w:sz w:val="20"/>
                <w:szCs w:val="20"/>
                <w:color w:val="auto"/>
              </w:rPr>
            </w:pPr>
            <w:r>
              <w:rPr>
                <w:rFonts w:ascii="Arial" w:cs="Arial" w:eastAsia="Arial" w:hAnsi="Arial"/>
                <w:sz w:val="16"/>
                <w:szCs w:val="16"/>
                <w:b w:val="1"/>
                <w:bCs w:val="1"/>
                <w:color w:val="auto"/>
              </w:rPr>
              <w:t>For the three months ended March 31, 2019</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9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Results attributable</w:t>
            </w:r>
          </w:p>
        </w:tc>
        <w:tc>
          <w:tcPr>
            <w:tcW w:w="18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Partnership</w:t>
            </w:r>
          </w:p>
        </w:tc>
        <w:tc>
          <w:tcPr>
            <w:tcW w:w="16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18"/>
                <w:szCs w:val="18"/>
                <w:color w:val="auto"/>
              </w:rPr>
            </w:pPr>
          </w:p>
        </w:tc>
        <w:tc>
          <w:tcPr>
            <w:tcW w:w="190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to GasLog</w:t>
            </w:r>
          </w:p>
        </w:tc>
        <w:tc>
          <w:tcPr>
            <w:tcW w:w="18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w w:val="97"/>
              </w:rPr>
              <w:t>Performance Results</w:t>
            </w:r>
          </w:p>
        </w:tc>
        <w:tc>
          <w:tcPr>
            <w:tcW w:w="16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99"/>
        </w:trPr>
        <w:tc>
          <w:tcPr>
            <w:tcW w:w="5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7,560</w:t>
            </w:r>
          </w:p>
        </w:tc>
        <w:tc>
          <w:tcPr>
            <w:tcW w:w="16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86,325</w:t>
            </w:r>
          </w:p>
        </w:tc>
        <w:tc>
          <w:tcPr>
            <w:tcW w:w="18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93,885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Net pool allocation</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99"/>
              <w:spacing w:after="0"/>
              <w:rPr>
                <w:sz w:val="20"/>
                <w:szCs w:val="20"/>
                <w:color w:val="auto"/>
              </w:rPr>
            </w:pPr>
            <w:r>
              <w:rPr>
                <w:rFonts w:ascii="Arial" w:cs="Arial" w:eastAsia="Arial" w:hAnsi="Arial"/>
                <w:sz w:val="16"/>
                <w:szCs w:val="16"/>
                <w:color w:val="auto"/>
              </w:rPr>
              <w:t>34</w:t>
            </w:r>
          </w:p>
        </w:tc>
        <w:tc>
          <w:tcPr>
            <w:tcW w:w="158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E1FFFF"/>
          </w:tcPr>
          <w:p>
            <w:pPr>
              <w:spacing w:after="0"/>
              <w:rPr>
                <w:sz w:val="20"/>
                <w:szCs w:val="20"/>
                <w:color w:val="auto"/>
              </w:rPr>
            </w:pPr>
            <w:r>
              <w:rPr>
                <w:rFonts w:ascii="Arial" w:cs="Arial" w:eastAsia="Arial" w:hAnsi="Arial"/>
                <w:sz w:val="16"/>
                <w:szCs w:val="16"/>
                <w:color w:val="auto"/>
              </w:rPr>
              <w:t>Voyage expenses and commissions</w:t>
            </w:r>
          </w:p>
        </w:tc>
        <w:tc>
          <w:tcPr>
            <w:tcW w:w="1900" w:type="dxa"/>
            <w:vAlign w:val="bottom"/>
            <w:gridSpan w:val="2"/>
            <w:shd w:val="clear" w:color="auto" w:fill="E1FFFF"/>
          </w:tcPr>
          <w:p>
            <w:pPr>
              <w:jc w:val="right"/>
              <w:ind w:right="19"/>
              <w:spacing w:after="0"/>
              <w:rPr>
                <w:sz w:val="20"/>
                <w:szCs w:val="20"/>
                <w:color w:val="auto"/>
              </w:rPr>
            </w:pPr>
            <w:r>
              <w:rPr>
                <w:rFonts w:ascii="Arial" w:cs="Arial" w:eastAsia="Arial" w:hAnsi="Arial"/>
                <w:sz w:val="16"/>
                <w:szCs w:val="16"/>
                <w:color w:val="auto"/>
              </w:rPr>
              <w:t>(95)</w:t>
            </w:r>
          </w:p>
        </w:tc>
        <w:tc>
          <w:tcPr>
            <w:tcW w:w="1880" w:type="dxa"/>
            <w:vAlign w:val="bottom"/>
            <w:gridSpan w:val="2"/>
            <w:shd w:val="clear" w:color="auto" w:fill="E1FFFF"/>
          </w:tcPr>
          <w:p>
            <w:pPr>
              <w:jc w:val="right"/>
              <w:ind w:right="39"/>
              <w:spacing w:after="0"/>
              <w:rPr>
                <w:sz w:val="20"/>
                <w:szCs w:val="20"/>
                <w:color w:val="auto"/>
              </w:rPr>
            </w:pPr>
            <w:r>
              <w:rPr>
                <w:rFonts w:ascii="Arial" w:cs="Arial" w:eastAsia="Arial" w:hAnsi="Arial"/>
                <w:sz w:val="16"/>
                <w:szCs w:val="16"/>
                <w:color w:val="auto"/>
              </w:rPr>
              <w:t>(1,742)</w:t>
            </w:r>
          </w:p>
        </w:tc>
        <w:tc>
          <w:tcPr>
            <w:tcW w:w="15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(1,837)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Vessel operating costs</w:t>
            </w:r>
          </w:p>
        </w:tc>
        <w:tc>
          <w:tcPr>
            <w:tcW w:w="1900" w:type="dxa"/>
            <w:vAlign w:val="bottom"/>
            <w:gridSpan w:val="2"/>
          </w:tcPr>
          <w:p>
            <w:pPr>
              <w:jc w:val="right"/>
              <w:ind w:right="19"/>
              <w:spacing w:after="0"/>
              <w:rPr>
                <w:sz w:val="20"/>
                <w:szCs w:val="20"/>
                <w:color w:val="auto"/>
              </w:rPr>
            </w:pPr>
            <w:r>
              <w:rPr>
                <w:rFonts w:ascii="Arial" w:cs="Arial" w:eastAsia="Arial" w:hAnsi="Arial"/>
                <w:sz w:val="16"/>
                <w:szCs w:val="16"/>
                <w:color w:val="auto"/>
              </w:rPr>
              <w:t>(1,513)</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(17,118)</w:t>
            </w:r>
          </w:p>
        </w:tc>
        <w:tc>
          <w:tcPr>
            <w:tcW w:w="1580" w:type="dxa"/>
            <w:vAlign w:val="bottom"/>
          </w:tcPr>
          <w:p>
            <w:pPr>
              <w:jc w:val="right"/>
              <w:spacing w:after="0"/>
              <w:rPr>
                <w:sz w:val="20"/>
                <w:szCs w:val="20"/>
                <w:color w:val="auto"/>
              </w:rPr>
            </w:pPr>
            <w:r>
              <w:rPr>
                <w:rFonts w:ascii="Arial" w:cs="Arial" w:eastAsia="Arial" w:hAnsi="Arial"/>
                <w:sz w:val="16"/>
                <w:szCs w:val="16"/>
                <w:color w:val="auto"/>
              </w:rPr>
              <w:t>(18,631)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E1FFFF"/>
          </w:tcPr>
          <w:p>
            <w:pPr>
              <w:spacing w:after="0"/>
              <w:rPr>
                <w:sz w:val="20"/>
                <w:szCs w:val="20"/>
                <w:color w:val="auto"/>
              </w:rPr>
            </w:pPr>
            <w:r>
              <w:rPr>
                <w:rFonts w:ascii="Arial" w:cs="Arial" w:eastAsia="Arial" w:hAnsi="Arial"/>
                <w:sz w:val="16"/>
                <w:szCs w:val="16"/>
                <w:color w:val="auto"/>
              </w:rPr>
              <w:t>Depreciation</w:t>
            </w:r>
          </w:p>
        </w:tc>
        <w:tc>
          <w:tcPr>
            <w:tcW w:w="1900" w:type="dxa"/>
            <w:vAlign w:val="bottom"/>
            <w:gridSpan w:val="2"/>
            <w:shd w:val="clear" w:color="auto" w:fill="E1FFFF"/>
          </w:tcPr>
          <w:p>
            <w:pPr>
              <w:jc w:val="right"/>
              <w:ind w:right="19"/>
              <w:spacing w:after="0"/>
              <w:rPr>
                <w:sz w:val="20"/>
                <w:szCs w:val="20"/>
                <w:color w:val="auto"/>
              </w:rPr>
            </w:pPr>
            <w:r>
              <w:rPr>
                <w:rFonts w:ascii="Arial" w:cs="Arial" w:eastAsia="Arial" w:hAnsi="Arial"/>
                <w:sz w:val="16"/>
                <w:szCs w:val="16"/>
                <w:color w:val="auto"/>
              </w:rPr>
              <w:t>(1,490)</w:t>
            </w:r>
          </w:p>
        </w:tc>
        <w:tc>
          <w:tcPr>
            <w:tcW w:w="1880" w:type="dxa"/>
            <w:vAlign w:val="bottom"/>
            <w:gridSpan w:val="2"/>
            <w:shd w:val="clear" w:color="auto" w:fill="E1FFFF"/>
          </w:tcPr>
          <w:p>
            <w:pPr>
              <w:jc w:val="right"/>
              <w:ind w:right="39"/>
              <w:spacing w:after="0"/>
              <w:rPr>
                <w:sz w:val="20"/>
                <w:szCs w:val="20"/>
                <w:color w:val="auto"/>
              </w:rPr>
            </w:pPr>
            <w:r>
              <w:rPr>
                <w:rFonts w:ascii="Arial" w:cs="Arial" w:eastAsia="Arial" w:hAnsi="Arial"/>
                <w:sz w:val="16"/>
                <w:szCs w:val="16"/>
                <w:color w:val="auto"/>
              </w:rPr>
              <w:t>(20,380)</w:t>
            </w:r>
          </w:p>
        </w:tc>
        <w:tc>
          <w:tcPr>
            <w:tcW w:w="15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(21,870)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900" w:type="dxa"/>
            <w:vAlign w:val="bottom"/>
            <w:gridSpan w:val="2"/>
          </w:tcPr>
          <w:p>
            <w:pPr>
              <w:jc w:val="right"/>
              <w:ind w:right="19"/>
              <w:spacing w:after="0"/>
              <w:rPr>
                <w:sz w:val="20"/>
                <w:szCs w:val="20"/>
                <w:color w:val="auto"/>
              </w:rPr>
            </w:pPr>
            <w:r>
              <w:rPr>
                <w:rFonts w:ascii="Arial" w:cs="Arial" w:eastAsia="Arial" w:hAnsi="Arial"/>
                <w:sz w:val="16"/>
                <w:szCs w:val="16"/>
                <w:color w:val="auto"/>
              </w:rPr>
              <w:t>(96)</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(4,598)</w:t>
            </w:r>
          </w:p>
        </w:tc>
        <w:tc>
          <w:tcPr>
            <w:tcW w:w="1580" w:type="dxa"/>
            <w:vAlign w:val="bottom"/>
          </w:tcPr>
          <w:p>
            <w:pPr>
              <w:jc w:val="right"/>
              <w:spacing w:after="0"/>
              <w:rPr>
                <w:sz w:val="20"/>
                <w:szCs w:val="20"/>
                <w:color w:val="auto"/>
              </w:rPr>
            </w:pPr>
            <w:r>
              <w:rPr>
                <w:rFonts w:ascii="Arial" w:cs="Arial" w:eastAsia="Arial" w:hAnsi="Arial"/>
                <w:sz w:val="16"/>
                <w:szCs w:val="16"/>
                <w:color w:val="auto"/>
              </w:rPr>
              <w:t>(4,694)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top w:val="single" w:sz="8" w:color="E1FFFF"/>
            </w:tcBorders>
            <w:shd w:val="clear" w:color="auto" w:fill="E1FFFF"/>
          </w:tcPr>
          <w:p>
            <w:pPr>
              <w:spacing w:after="0"/>
              <w:rPr>
                <w:sz w:val="20"/>
                <w:szCs w:val="20"/>
                <w:color w:val="auto"/>
              </w:rPr>
            </w:pPr>
            <w:r>
              <w:rPr>
                <w:rFonts w:ascii="Arial" w:cs="Arial" w:eastAsia="Arial" w:hAnsi="Arial"/>
                <w:sz w:val="16"/>
                <w:szCs w:val="16"/>
                <w:b w:val="1"/>
                <w:bCs w:val="1"/>
                <w:color w:val="auto"/>
              </w:rPr>
              <w:t>Profit from operations</w:t>
            </w:r>
          </w:p>
        </w:tc>
        <w:tc>
          <w:tcPr>
            <w:tcW w:w="174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4,366</w:t>
            </w:r>
          </w:p>
        </w:tc>
        <w:tc>
          <w:tcPr>
            <w:tcW w:w="160" w:type="dxa"/>
            <w:vAlign w:val="bottom"/>
            <w:tcBorders>
              <w:top w:val="single" w:sz="8" w:color="E1FFFF"/>
            </w:tcBorders>
            <w:shd w:val="clear" w:color="auto" w:fill="E1FFFF"/>
          </w:tcPr>
          <w:p>
            <w:pPr>
              <w:spacing w:after="0"/>
              <w:rPr>
                <w:sz w:val="17"/>
                <w:szCs w:val="17"/>
                <w:color w:val="auto"/>
              </w:rPr>
            </w:pPr>
          </w:p>
        </w:tc>
        <w:tc>
          <w:tcPr>
            <w:tcW w:w="170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42,521</w:t>
            </w:r>
          </w:p>
        </w:tc>
        <w:tc>
          <w:tcPr>
            <w:tcW w:w="180" w:type="dxa"/>
            <w:vAlign w:val="bottom"/>
            <w:tcBorders>
              <w:top w:val="single" w:sz="8" w:color="E1FFFF"/>
            </w:tcBorders>
            <w:shd w:val="clear" w:color="auto" w:fill="E1FFFF"/>
          </w:tcPr>
          <w:p>
            <w:pPr>
              <w:spacing w:after="0"/>
              <w:rPr>
                <w:sz w:val="17"/>
                <w:szCs w:val="17"/>
                <w:color w:val="auto"/>
              </w:rPr>
            </w:pPr>
          </w:p>
        </w:tc>
        <w:tc>
          <w:tcPr>
            <w:tcW w:w="158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46,887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rPr>
                <w:sz w:val="20"/>
                <w:szCs w:val="20"/>
                <w:color w:val="auto"/>
              </w:rPr>
            </w:pPr>
            <w:r>
              <w:rPr>
                <w:rFonts w:ascii="Arial" w:cs="Arial" w:eastAsia="Arial" w:hAnsi="Arial"/>
                <w:sz w:val="16"/>
                <w:szCs w:val="16"/>
                <w:color w:val="auto"/>
              </w:rPr>
              <w:t>Financial costs</w:t>
            </w:r>
          </w:p>
        </w:tc>
        <w:tc>
          <w:tcPr>
            <w:tcW w:w="1740" w:type="dxa"/>
            <w:vAlign w:val="bottom"/>
          </w:tcPr>
          <w:p>
            <w:pPr>
              <w:jc w:val="right"/>
              <w:spacing w:after="0"/>
              <w:rPr>
                <w:sz w:val="20"/>
                <w:szCs w:val="20"/>
                <w:color w:val="auto"/>
              </w:rPr>
            </w:pPr>
            <w:r>
              <w:rPr>
                <w:rFonts w:ascii="Arial" w:cs="Arial" w:eastAsia="Arial" w:hAnsi="Arial"/>
                <w:sz w:val="16"/>
                <w:szCs w:val="16"/>
                <w:color w:val="auto"/>
              </w:rPr>
              <w:t>(1,730</w:t>
            </w:r>
          </w:p>
        </w:tc>
        <w:tc>
          <w:tcPr>
            <w:tcW w:w="160" w:type="dxa"/>
            <w:vAlign w:val="bottom"/>
          </w:tcPr>
          <w:p>
            <w:pPr>
              <w:jc w:val="right"/>
              <w:ind w:right="19"/>
              <w:spacing w:after="0"/>
              <w:rPr>
                <w:sz w:val="20"/>
                <w:szCs w:val="20"/>
                <w:color w:val="auto"/>
              </w:rPr>
            </w:pPr>
            <w:r>
              <w:rPr>
                <w:rFonts w:ascii="Arial" w:cs="Arial" w:eastAsia="Arial" w:hAnsi="Arial"/>
                <w:sz w:val="16"/>
                <w:szCs w:val="16"/>
                <w:color w:val="auto"/>
                <w:w w:val="74"/>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(17,902</w:t>
            </w:r>
          </w:p>
        </w:tc>
        <w:tc>
          <w:tcPr>
            <w:tcW w:w="180" w:type="dxa"/>
            <w:vAlign w:val="bottom"/>
          </w:tcPr>
          <w:p>
            <w:pPr>
              <w:jc w:val="right"/>
              <w:ind w:right="39"/>
              <w:spacing w:after="0"/>
              <w:rPr>
                <w:sz w:val="20"/>
                <w:szCs w:val="20"/>
                <w:color w:val="auto"/>
              </w:rPr>
            </w:pPr>
            <w:r>
              <w:rPr>
                <w:rFonts w:ascii="Arial" w:cs="Arial" w:eastAsia="Arial" w:hAnsi="Arial"/>
                <w:sz w:val="16"/>
                <w:szCs w:val="16"/>
                <w:color w:val="auto"/>
                <w:w w:val="74"/>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(19,632)</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E1FFFF"/>
          </w:tcPr>
          <w:p>
            <w:pPr>
              <w:spacing w:after="0"/>
              <w:rPr>
                <w:sz w:val="20"/>
                <w:szCs w:val="20"/>
                <w:color w:val="auto"/>
              </w:rPr>
            </w:pPr>
            <w:r>
              <w:rPr>
                <w:rFonts w:ascii="Arial" w:cs="Arial" w:eastAsia="Arial" w:hAnsi="Arial"/>
                <w:sz w:val="16"/>
                <w:szCs w:val="16"/>
                <w:color w:val="auto"/>
              </w:rPr>
              <w:t>Financial income</w:t>
            </w:r>
          </w:p>
        </w:tc>
        <w:tc>
          <w:tcPr>
            <w:tcW w:w="1900" w:type="dxa"/>
            <w:vAlign w:val="bottom"/>
            <w:gridSpan w:val="2"/>
            <w:shd w:val="clear" w:color="auto" w:fill="E1FFFF"/>
          </w:tcPr>
          <w:p>
            <w:pPr>
              <w:jc w:val="right"/>
              <w:ind w:right="79"/>
              <w:spacing w:after="0"/>
              <w:rPr>
                <w:sz w:val="20"/>
                <w:szCs w:val="20"/>
                <w:color w:val="auto"/>
              </w:rPr>
            </w:pPr>
            <w:r>
              <w:rPr>
                <w:rFonts w:ascii="Arial" w:cs="Arial" w:eastAsia="Arial" w:hAnsi="Arial"/>
                <w:sz w:val="16"/>
                <w:szCs w:val="16"/>
                <w:color w:val="auto"/>
              </w:rPr>
              <w:t>14</w:t>
            </w:r>
          </w:p>
        </w:tc>
        <w:tc>
          <w:tcPr>
            <w:tcW w:w="1880" w:type="dxa"/>
            <w:vAlign w:val="bottom"/>
            <w:gridSpan w:val="2"/>
            <w:shd w:val="clear" w:color="auto" w:fill="E1FFFF"/>
          </w:tcPr>
          <w:p>
            <w:pPr>
              <w:jc w:val="right"/>
              <w:ind w:right="99"/>
              <w:spacing w:after="0"/>
              <w:rPr>
                <w:sz w:val="20"/>
                <w:szCs w:val="20"/>
                <w:color w:val="auto"/>
              </w:rPr>
            </w:pPr>
            <w:r>
              <w:rPr>
                <w:rFonts w:ascii="Arial" w:cs="Arial" w:eastAsia="Arial" w:hAnsi="Arial"/>
                <w:sz w:val="16"/>
                <w:szCs w:val="16"/>
                <w:color w:val="auto"/>
              </w:rPr>
              <w:t>624</w:t>
            </w:r>
          </w:p>
        </w:tc>
        <w:tc>
          <w:tcPr>
            <w:tcW w:w="1580" w:type="dxa"/>
            <w:vAlign w:val="bottom"/>
            <w:shd w:val="clear" w:color="auto" w:fill="E1FFFF"/>
          </w:tcPr>
          <w:p>
            <w:pPr>
              <w:jc w:val="right"/>
              <w:spacing w:after="0"/>
              <w:rPr>
                <w:sz w:val="20"/>
                <w:szCs w:val="20"/>
                <w:color w:val="auto"/>
              </w:rPr>
            </w:pPr>
            <w:r>
              <w:rPr>
                <w:rFonts w:ascii="Arial" w:cs="Arial" w:eastAsia="Arial" w:hAnsi="Arial"/>
                <w:sz w:val="16"/>
                <w:szCs w:val="16"/>
                <w:color w:val="auto"/>
              </w:rPr>
              <w:t>638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Loss on derivatives</w:t>
            </w:r>
          </w:p>
        </w:tc>
        <w:tc>
          <w:tcPr>
            <w:tcW w:w="19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(4,877)</w:t>
            </w:r>
          </w:p>
        </w:tc>
        <w:tc>
          <w:tcPr>
            <w:tcW w:w="1580" w:type="dxa"/>
            <w:vAlign w:val="bottom"/>
          </w:tcPr>
          <w:p>
            <w:pPr>
              <w:jc w:val="right"/>
              <w:spacing w:after="0"/>
              <w:rPr>
                <w:sz w:val="20"/>
                <w:szCs w:val="20"/>
                <w:color w:val="auto"/>
              </w:rPr>
            </w:pPr>
            <w:r>
              <w:rPr>
                <w:rFonts w:ascii="Arial" w:cs="Arial" w:eastAsia="Arial" w:hAnsi="Arial"/>
                <w:sz w:val="16"/>
                <w:szCs w:val="16"/>
                <w:color w:val="auto"/>
              </w:rPr>
              <w:t>(4,877)</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5720" w:type="dxa"/>
            <w:vAlign w:val="bottom"/>
            <w:tcBorders>
              <w:top w:val="single" w:sz="8" w:color="E1FFFF"/>
            </w:tcBorders>
            <w:shd w:val="clear" w:color="auto" w:fill="E1FFFF"/>
          </w:tcPr>
          <w:p>
            <w:pPr>
              <w:spacing w:after="0"/>
              <w:rPr>
                <w:sz w:val="20"/>
                <w:szCs w:val="20"/>
                <w:color w:val="auto"/>
              </w:rPr>
            </w:pPr>
            <w:r>
              <w:rPr>
                <w:rFonts w:ascii="Arial" w:cs="Arial" w:eastAsia="Arial" w:hAnsi="Arial"/>
                <w:sz w:val="16"/>
                <w:szCs w:val="16"/>
                <w:b w:val="1"/>
                <w:bCs w:val="1"/>
                <w:color w:val="auto"/>
              </w:rPr>
              <w:t>Total other expenses, net</w:t>
            </w:r>
          </w:p>
        </w:tc>
        <w:tc>
          <w:tcPr>
            <w:tcW w:w="174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(1,716</w:t>
            </w:r>
          </w:p>
        </w:tc>
        <w:tc>
          <w:tcPr>
            <w:tcW w:w="160" w:type="dxa"/>
            <w:vAlign w:val="bottom"/>
            <w:tcBorders>
              <w:top w:val="single" w:sz="8" w:color="E1FFFF"/>
            </w:tcBorders>
            <w:shd w:val="clear" w:color="auto" w:fill="E1FFFF"/>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70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(22,155</w:t>
            </w:r>
          </w:p>
        </w:tc>
        <w:tc>
          <w:tcPr>
            <w:tcW w:w="180" w:type="dxa"/>
            <w:vAlign w:val="bottom"/>
            <w:tcBorders>
              <w:top w:val="single" w:sz="8" w:color="E1FFFF"/>
            </w:tcBorders>
            <w:shd w:val="clear" w:color="auto" w:fill="E1FFFF"/>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top w:val="single" w:sz="8" w:color="auto"/>
              <w:bottom w:val="single" w:sz="8" w:color="auto"/>
            </w:tcBorders>
            <w:shd w:val="clear" w:color="auto" w:fill="E1FFFF"/>
          </w:tcPr>
          <w:p>
            <w:pPr>
              <w:jc w:val="right"/>
              <w:spacing w:after="0"/>
              <w:rPr>
                <w:sz w:val="20"/>
                <w:szCs w:val="20"/>
                <w:color w:val="auto"/>
              </w:rPr>
            </w:pPr>
            <w:r>
              <w:rPr>
                <w:rFonts w:ascii="Arial" w:cs="Arial" w:eastAsia="Arial" w:hAnsi="Arial"/>
                <w:sz w:val="16"/>
                <w:szCs w:val="16"/>
                <w:b w:val="1"/>
                <w:bCs w:val="1"/>
                <w:color w:val="auto"/>
              </w:rPr>
              <w:t>(23,871</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2,650</w:t>
            </w:r>
          </w:p>
        </w:tc>
        <w:tc>
          <w:tcPr>
            <w:tcW w:w="16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18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23,016</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5420" w:type="dxa"/>
            <w:vAlign w:val="bottom"/>
            <w:gridSpan w:val="7"/>
          </w:tcPr>
          <w:p>
            <w:pPr>
              <w:jc w:val="right"/>
              <w:ind w:right="1139"/>
              <w:spacing w:after="0"/>
              <w:rPr>
                <w:sz w:val="20"/>
                <w:szCs w:val="20"/>
                <w:color w:val="auto"/>
              </w:rPr>
            </w:pPr>
            <w:r>
              <w:rPr>
                <w:rFonts w:ascii="Arial" w:cs="Arial" w:eastAsia="Arial" w:hAnsi="Arial"/>
                <w:sz w:val="16"/>
                <w:szCs w:val="16"/>
                <w:b w:val="1"/>
                <w:bCs w:val="1"/>
                <w:color w:val="auto"/>
              </w:rPr>
              <w:t>For the three months ended March 31, 2020</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IFRS Common</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560" w:type="dxa"/>
            <w:vAlign w:val="bottom"/>
          </w:tcPr>
          <w:p>
            <w:pPr>
              <w:jc w:val="center"/>
              <w:ind w:left="99"/>
              <w:spacing w:after="0"/>
              <w:rPr>
                <w:sz w:val="20"/>
                <w:szCs w:val="20"/>
                <w:color w:val="auto"/>
              </w:rPr>
            </w:pPr>
            <w:r>
              <w:rPr>
                <w:rFonts w:ascii="Arial" w:cs="Arial" w:eastAsia="Arial" w:hAnsi="Arial"/>
                <w:sz w:val="16"/>
                <w:szCs w:val="16"/>
                <w:b w:val="1"/>
                <w:bCs w:val="1"/>
                <w:color w:val="auto"/>
                <w:w w:val="92"/>
              </w:rPr>
              <w:t>Results attributable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Partnership</w:t>
            </w: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Control Reported</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18"/>
                <w:szCs w:val="18"/>
                <w:color w:val="auto"/>
              </w:rPr>
            </w:pPr>
          </w:p>
        </w:tc>
        <w:tc>
          <w:tcPr>
            <w:tcW w:w="1560" w:type="dxa"/>
            <w:vAlign w:val="bottom"/>
          </w:tcPr>
          <w:p>
            <w:pPr>
              <w:jc w:val="center"/>
              <w:ind w:left="99"/>
              <w:spacing w:after="0"/>
              <w:rPr>
                <w:sz w:val="20"/>
                <w:szCs w:val="20"/>
                <w:color w:val="auto"/>
              </w:rPr>
            </w:pPr>
            <w:r>
              <w:rPr>
                <w:rFonts w:ascii="Arial" w:cs="Arial" w:eastAsia="Arial" w:hAnsi="Arial"/>
                <w:sz w:val="16"/>
                <w:szCs w:val="16"/>
                <w:b w:val="1"/>
                <w:bCs w:val="1"/>
                <w:color w:val="auto"/>
                <w:w w:val="88"/>
              </w:rPr>
              <w:t>to GasLog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w w:val="97"/>
              </w:rPr>
              <w:t>Performance Results</w:t>
            </w: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Results</w:t>
            </w:r>
          </w:p>
        </w:tc>
        <w:tc>
          <w:tcPr>
            <w:tcW w:w="0" w:type="dxa"/>
            <w:vAlign w:val="bottom"/>
          </w:tcPr>
          <w:p>
            <w:pPr>
              <w:spacing w:after="0"/>
              <w:rPr>
                <w:sz w:val="1"/>
                <w:szCs w:val="1"/>
                <w:color w:val="auto"/>
              </w:rPr>
            </w:pPr>
          </w:p>
        </w:tc>
      </w:tr>
      <w:tr>
        <w:trPr>
          <w:trHeight w:val="199"/>
        </w:trPr>
        <w:tc>
          <w:tcPr>
            <w:tcW w:w="5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560" w:type="dxa"/>
            <w:vAlign w:val="bottom"/>
            <w:tcBorders>
              <w:top w:val="single" w:sz="8" w:color="auto"/>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w w:val="87"/>
              </w:rPr>
              <w:t>—</w:t>
            </w:r>
          </w:p>
        </w:tc>
        <w:tc>
          <w:tcPr>
            <w:tcW w:w="16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91,353</w:t>
            </w:r>
          </w:p>
        </w:tc>
        <w:tc>
          <w:tcPr>
            <w:tcW w:w="18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91,353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56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(3,888)</w:t>
            </w:r>
          </w:p>
        </w:tc>
        <w:tc>
          <w:tcPr>
            <w:tcW w:w="1580" w:type="dxa"/>
            <w:vAlign w:val="bottom"/>
          </w:tcPr>
          <w:p>
            <w:pPr>
              <w:jc w:val="right"/>
              <w:spacing w:after="0"/>
              <w:rPr>
                <w:sz w:val="20"/>
                <w:szCs w:val="20"/>
                <w:color w:val="auto"/>
              </w:rPr>
            </w:pPr>
            <w:r>
              <w:rPr>
                <w:rFonts w:ascii="Arial" w:cs="Arial" w:eastAsia="Arial" w:hAnsi="Arial"/>
                <w:sz w:val="16"/>
                <w:szCs w:val="16"/>
                <w:color w:val="auto"/>
              </w:rPr>
              <w:t>(3,888)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1560" w:type="dxa"/>
            <w:vAlign w:val="bottom"/>
            <w:shd w:val="clear" w:color="auto" w:fill="E5FFFF"/>
          </w:tcPr>
          <w:p>
            <w:pPr>
              <w:spacing w:after="0"/>
              <w:rPr>
                <w:sz w:val="17"/>
                <w:szCs w:val="17"/>
                <w:color w:val="auto"/>
              </w:rPr>
            </w:pPr>
          </w:p>
        </w:tc>
        <w:tc>
          <w:tcPr>
            <w:tcW w:w="34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(19,093)</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(19,093)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Depreciation</w:t>
            </w:r>
          </w:p>
        </w:tc>
        <w:tc>
          <w:tcPr>
            <w:tcW w:w="156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39"/>
              <w:spacing w:after="0"/>
              <w:rPr>
                <w:sz w:val="20"/>
                <w:szCs w:val="20"/>
                <w:color w:val="auto"/>
              </w:rPr>
            </w:pPr>
            <w:r>
              <w:rPr>
                <w:rFonts w:ascii="Arial" w:cs="Arial" w:eastAsia="Arial" w:hAnsi="Arial"/>
                <w:sz w:val="16"/>
                <w:szCs w:val="16"/>
                <w:color w:val="auto"/>
              </w:rPr>
              <w:t>(20,598)</w:t>
            </w:r>
          </w:p>
        </w:tc>
        <w:tc>
          <w:tcPr>
            <w:tcW w:w="1580" w:type="dxa"/>
            <w:vAlign w:val="bottom"/>
          </w:tcPr>
          <w:p>
            <w:pPr>
              <w:jc w:val="right"/>
              <w:spacing w:after="0"/>
              <w:rPr>
                <w:sz w:val="20"/>
                <w:szCs w:val="20"/>
                <w:color w:val="auto"/>
              </w:rPr>
            </w:pPr>
            <w:r>
              <w:rPr>
                <w:rFonts w:ascii="Arial" w:cs="Arial" w:eastAsia="Arial" w:hAnsi="Arial"/>
                <w:sz w:val="16"/>
                <w:szCs w:val="16"/>
                <w:color w:val="auto"/>
              </w:rPr>
              <w:t>(20,598)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560" w:type="dxa"/>
            <w:vAlign w:val="bottom"/>
            <w:shd w:val="clear" w:color="auto" w:fill="E5FFFF"/>
          </w:tcPr>
          <w:p>
            <w:pPr>
              <w:spacing w:after="0"/>
              <w:rPr>
                <w:sz w:val="17"/>
                <w:szCs w:val="17"/>
                <w:color w:val="auto"/>
              </w:rPr>
            </w:pPr>
          </w:p>
        </w:tc>
        <w:tc>
          <w:tcPr>
            <w:tcW w:w="34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(4,171)</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5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7"/>
              </w:rPr>
              <w:t>—</w:t>
            </w:r>
          </w:p>
        </w:tc>
        <w:tc>
          <w:tcPr>
            <w:tcW w:w="16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43,603</w:t>
            </w:r>
          </w:p>
        </w:tc>
        <w:tc>
          <w:tcPr>
            <w:tcW w:w="180" w:type="dxa"/>
            <w:vAlign w:val="bottom"/>
            <w:tcBorders>
              <w:bottom w:val="single" w:sz="8" w:color="E5FFFF"/>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560" w:type="dxa"/>
            <w:vAlign w:val="bottom"/>
            <w:shd w:val="clear" w:color="auto" w:fill="E5FFFF"/>
          </w:tcPr>
          <w:p>
            <w:pPr>
              <w:spacing w:after="0"/>
              <w:rPr>
                <w:sz w:val="17"/>
                <w:szCs w:val="17"/>
                <w:color w:val="auto"/>
              </w:rPr>
            </w:pPr>
          </w:p>
        </w:tc>
        <w:tc>
          <w:tcPr>
            <w:tcW w:w="180" w:type="dxa"/>
            <w:vAlign w:val="bottom"/>
            <w:shd w:val="clear" w:color="auto" w:fill="E5FFFF"/>
          </w:tcPr>
          <w:p>
            <w:pPr>
              <w:ind w:left="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E5FFFF"/>
          </w:tcPr>
          <w:p>
            <w:pPr>
              <w:spacing w:after="0"/>
              <w:rPr>
                <w:sz w:val="17"/>
                <w:szCs w:val="17"/>
                <w:color w:val="auto"/>
              </w:rPr>
            </w:pP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(15,513</w:t>
            </w:r>
          </w:p>
        </w:tc>
        <w:tc>
          <w:tcPr>
            <w:tcW w:w="18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w w:val="74"/>
              </w:rPr>
              <w:t>)</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color w:val="auto"/>
              </w:rPr>
              <w:t>Financial income</w:t>
            </w:r>
          </w:p>
        </w:tc>
        <w:tc>
          <w:tcPr>
            <w:tcW w:w="156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99"/>
              <w:spacing w:after="0"/>
              <w:rPr>
                <w:sz w:val="20"/>
                <w:szCs w:val="20"/>
                <w:color w:val="auto"/>
              </w:rPr>
            </w:pPr>
            <w:r>
              <w:rPr>
                <w:rFonts w:ascii="Arial" w:cs="Arial" w:eastAsia="Arial" w:hAnsi="Arial"/>
                <w:sz w:val="16"/>
                <w:szCs w:val="16"/>
                <w:color w:val="auto"/>
              </w:rPr>
              <w:t>199</w:t>
            </w:r>
          </w:p>
        </w:tc>
        <w:tc>
          <w:tcPr>
            <w:tcW w:w="1580" w:type="dxa"/>
            <w:vAlign w:val="bottom"/>
          </w:tcPr>
          <w:p>
            <w:pPr>
              <w:jc w:val="right"/>
              <w:spacing w:after="0"/>
              <w:rPr>
                <w:sz w:val="20"/>
                <w:szCs w:val="20"/>
                <w:color w:val="auto"/>
              </w:rPr>
            </w:pPr>
            <w:r>
              <w:rPr>
                <w:rFonts w:ascii="Arial" w:cs="Arial" w:eastAsia="Arial" w:hAnsi="Arial"/>
                <w:sz w:val="16"/>
                <w:szCs w:val="16"/>
                <w:color w:val="auto"/>
              </w:rPr>
              <w:t>199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E5FFFF"/>
          </w:tcPr>
          <w:p>
            <w:pPr>
              <w:spacing w:after="0"/>
              <w:rPr>
                <w:sz w:val="20"/>
                <w:szCs w:val="20"/>
                <w:color w:val="auto"/>
              </w:rPr>
            </w:pPr>
            <w:r>
              <w:rPr>
                <w:rFonts w:ascii="Arial" w:cs="Arial" w:eastAsia="Arial" w:hAnsi="Arial"/>
                <w:sz w:val="16"/>
                <w:szCs w:val="16"/>
                <w:color w:val="auto"/>
              </w:rPr>
              <w:t>Loss on derivatives</w:t>
            </w:r>
          </w:p>
        </w:tc>
        <w:tc>
          <w:tcPr>
            <w:tcW w:w="1560" w:type="dxa"/>
            <w:vAlign w:val="bottom"/>
            <w:shd w:val="clear" w:color="auto" w:fill="E5FFFF"/>
          </w:tcPr>
          <w:p>
            <w:pPr>
              <w:spacing w:after="0"/>
              <w:rPr>
                <w:sz w:val="17"/>
                <w:szCs w:val="17"/>
                <w:color w:val="auto"/>
              </w:rPr>
            </w:pPr>
          </w:p>
        </w:tc>
        <w:tc>
          <w:tcPr>
            <w:tcW w:w="34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(14,120)</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(14,120)</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57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5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7"/>
              </w:rPr>
              <w:t>—</w:t>
            </w:r>
          </w:p>
        </w:tc>
        <w:tc>
          <w:tcPr>
            <w:tcW w:w="16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180" w:type="dxa"/>
            <w:vAlign w:val="bottom"/>
            <w:tcBorders>
              <w:bottom w:val="single" w:sz="8" w:color="E5FFFF"/>
            </w:tcBorders>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(29,434</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560" w:type="dxa"/>
            <w:vAlign w:val="bottom"/>
            <w:tcBorders>
              <w:bottom w:val="single" w:sz="8" w:color="auto"/>
            </w:tcBorders>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w w:val="87"/>
              </w:rPr>
              <w:t>—</w:t>
            </w:r>
          </w:p>
        </w:tc>
        <w:tc>
          <w:tcPr>
            <w:tcW w:w="16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180" w:type="dxa"/>
            <w:vAlign w:val="bottom"/>
            <w:tcBorders>
              <w:bottom w:val="single" w:sz="8" w:color="E5FFFF"/>
            </w:tcBorders>
            <w:shd w:val="clear" w:color="auto" w:fill="E5FFFF"/>
          </w:tcPr>
          <w:p>
            <w:pPr>
              <w:spacing w:after="0"/>
              <w:rPr>
                <w:sz w:val="17"/>
                <w:szCs w:val="17"/>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14,169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40"/>
      </w:cols>
      <w:pgMar w:left="320" w:top="34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Roman"/>
      <w:start w:val="1"/>
    </w:lvl>
  </w:abstractNum>
  <w:abstractNum w:abstractNumId="24">
    <w:nsid w:val="71F32454"/>
    <w:multiLevelType w:val="hybridMultilevel"/>
    <w:lvl w:ilvl="0">
      <w:lvlJc w:val="left"/>
      <w:lvlText w:val="(%1)"/>
      <w:numFmt w:val="lowerRoman"/>
      <w:start w:val="3"/>
    </w:lvl>
  </w:abstractNum>
  <w:abstractNum w:abstractNumId="25">
    <w:nsid w:val="2CA88611"/>
    <w:multiLevelType w:val="hybridMultilevel"/>
    <w:lvl w:ilvl="0">
      <w:lvlJc w:val="left"/>
      <w:lvlText w:val="%1"/>
      <w:numFmt w:val="decimal"/>
      <w:start w:val="1"/>
    </w:lvl>
    <w:lvl w:ilvl="1">
      <w:lvlJc w:val="left"/>
      <w:lvlText w:val="(%2)"/>
      <w:numFmt w:val="lowerRoman"/>
      <w:start w:val="4"/>
    </w:lvl>
  </w:abstractNum>
  <w:abstractNum w:abstractNumId="26">
    <w:nsid w:val="836C40E"/>
    <w:multiLevelType w:val="hybridMultilevel"/>
    <w:lvl w:ilvl="0">
      <w:lvlJc w:val="left"/>
      <w:lvlText w:val="%1."/>
      <w:numFmt w:val="decimal"/>
      <w:start w:val="4"/>
    </w:lvl>
    <w:lvl w:ilvl="1">
      <w:lvlJc w:val="left"/>
      <w:lvlText w:val="%2"/>
      <w:numFmt w:val="lowerRoman"/>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2020-05-07T05:49:55Z</dcterms:created>
  <dcterms:modified xsi:type="dcterms:W3CDTF">2020-05-07T05:49:55Z</dcterms:modified>
</cp:coreProperties>
</file>