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260" w:right="460" w:hanging="8"/>
        <w:spacing w:after="0" w:line="207" w:lineRule="exact"/>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REGISTRATION STATEMENT PURSUANT TO SECTION 12(b) OR (g)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ANNUAL REPORT PURSUANT TO SECTION 13 OR 15(d) OF THE SECURITIES EXCHANGE ACT OF 1934 FOR THE</w:t>
      </w:r>
    </w:p>
    <w:p>
      <w:pPr>
        <w:spacing w:after="0" w:line="1" w:lineRule="exact"/>
        <w:rPr>
          <w:rFonts w:ascii="MS PGothic" w:cs="MS PGothic" w:eastAsia="MS PGothic" w:hAnsi="MS PGothic"/>
          <w:sz w:val="16"/>
          <w:szCs w:val="16"/>
          <w:color w:val="auto"/>
        </w:rPr>
      </w:pPr>
    </w:p>
    <w:p>
      <w:pPr>
        <w:ind w:left="6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FISCAL YEAR ENDED DECEMBER 31, 2025</w:t>
      </w:r>
    </w:p>
    <w:p>
      <w:pPr>
        <w:spacing w:after="0" w:line="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206375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GasLog Partners LP</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Republic of the Marshall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 GasLog LNG Services Ltd 69 Akti Miaouli 18537 Piraeus Greece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1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color w:val="auto"/>
        </w:rPr>
        <w:t>Spyros Kokkaliaris, Head of Legal</w:t>
      </w:r>
    </w:p>
    <w:p>
      <w:pPr>
        <w:spacing w:after="0" w:line="2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c/o GasLog LNG Services Ltd,</w:t>
      </w:r>
    </w:p>
    <w:p>
      <w:pPr>
        <w:spacing w:after="0" w:line="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69 Akti Miaouli 18537</w:t>
      </w:r>
    </w:p>
    <w:p>
      <w:pPr>
        <w:spacing w:after="0" w:line="1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Piraeus, Greece</w:t>
      </w:r>
    </w:p>
    <w:p>
      <w:pPr>
        <w:spacing w:after="0" w:line="1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color w:val="auto"/>
        </w:rPr>
        <w:t>Telephone: +30 210 459 1000</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color w:val="auto"/>
        </w:rPr>
        <w:t>Fax: +30 210 459 1242</w:t>
      </w:r>
    </w:p>
    <w:p>
      <w:pPr>
        <w:spacing w:after="0" w:line="1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  Trading Symbols   ​​​</w:t>
            </w:r>
          </w:p>
        </w:tc>
        <w:tc>
          <w:tcPr>
            <w:tcW w:w="3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Series A Preference Units</w:t>
            </w:r>
          </w:p>
        </w:tc>
        <w:tc>
          <w:tcPr>
            <w:tcW w:w="180" w:type="dxa"/>
            <w:vAlign w:val="bottom"/>
          </w:tcPr>
          <w:p>
            <w:pPr>
              <w:spacing w:after="0"/>
              <w:rPr>
                <w:sz w:val="16"/>
                <w:szCs w:val="16"/>
                <w:color w:val="auto"/>
              </w:rPr>
            </w:pPr>
          </w:p>
        </w:tc>
        <w:tc>
          <w:tcPr>
            <w:tcW w:w="1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GLOP PR A</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03"/>
        </w:trPr>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Series B Preference Units</w:t>
            </w:r>
          </w:p>
        </w:tc>
        <w:tc>
          <w:tcPr>
            <w:tcW w:w="180" w:type="dxa"/>
            <w:vAlign w:val="bottom"/>
          </w:tcPr>
          <w:p>
            <w:pPr>
              <w:spacing w:after="0"/>
              <w:rPr>
                <w:sz w:val="17"/>
                <w:szCs w:val="17"/>
                <w:color w:val="auto"/>
              </w:rPr>
            </w:pPr>
          </w:p>
        </w:tc>
        <w:tc>
          <w:tcPr>
            <w:tcW w:w="19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GLOP PR B</w:t>
            </w:r>
          </w:p>
        </w:tc>
        <w:tc>
          <w:tcPr>
            <w:tcW w:w="36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0"/>
        </w:trPr>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Series C Preference Units</w:t>
            </w:r>
          </w:p>
        </w:tc>
        <w:tc>
          <w:tcPr>
            <w:tcW w:w="180" w:type="dxa"/>
            <w:vAlign w:val="bottom"/>
          </w:tcPr>
          <w:p>
            <w:pPr>
              <w:spacing w:after="0"/>
              <w:rPr>
                <w:sz w:val="18"/>
                <w:szCs w:val="18"/>
                <w:color w:val="auto"/>
              </w:rPr>
            </w:pPr>
          </w:p>
        </w:tc>
        <w:tc>
          <w:tcPr>
            <w:tcW w:w="19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GLOP PR C</w:t>
            </w:r>
          </w:p>
        </w:tc>
        <w:tc>
          <w:tcPr>
            <w:tcW w:w="36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FOR WHICH THERE IS A REPORTING OBLIGATION PURSUANT TO SECTION 15(d) OF THE ACT: </w:t>
      </w:r>
      <w:r>
        <w:rPr>
          <w:rFonts w:ascii="Times New Roman" w:cs="Times New Roman" w:eastAsia="Times New Roman" w:hAnsi="Times New Roman"/>
          <w:sz w:val="16"/>
          <w:szCs w:val="16"/>
          <w:color w:val="auto"/>
        </w:rPr>
        <w:t>None</w:t>
      </w:r>
    </w:p>
    <w:p>
      <w:pPr>
        <w:spacing w:after="0" w:line="22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51" w:lineRule="exact"/>
        <w:rPr>
          <w:sz w:val="24"/>
          <w:szCs w:val="24"/>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As of December 31, 2025, there were 16,036,602 Partnership Common Units, 1,080,263 General Partner Units, 5,084,984 Series A Preference Units, 3,496,382 Series B Preference Units and 3,061,045 Series C Preference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858520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177" w:lineRule="exact"/>
        <w:rPr>
          <w:sz w:val="20"/>
          <w:szCs w:val="20"/>
          <w:color w:val="auto"/>
        </w:rPr>
      </w:pPr>
    </w:p>
    <w:p>
      <w:pPr>
        <w:ind w:left="420"/>
        <w:spacing w:after="0" w:line="184" w:lineRule="exact"/>
        <w:tabs>
          <w:tab w:leader="none" w:pos="3080" w:val="left"/>
          <w:tab w:leader="none" w:pos="542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38"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MS PGothic" w:cs="MS PGothic" w:eastAsia="MS PGothic" w:hAnsi="MS PGothic"/>
          <w:sz w:val="16"/>
          <w:szCs w:val="16"/>
          <w:color w:val="auto"/>
        </w:rPr>
        <w:t>☐</w:t>
      </w:r>
    </w:p>
    <w:p>
      <w:pPr>
        <w:spacing w:after="0" w:line="169"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51"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0"/>
          <w:szCs w:val="20"/>
          <w:color w:val="auto"/>
        </w:rPr>
      </w:pPr>
    </w:p>
    <w:p>
      <w:pPr>
        <w:ind w:right="48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sectPr>
      </w:pPr>
    </w:p>
    <w:p>
      <w:pPr>
        <w:spacing w:after="0" w:line="185"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80" w:hanging="44"/>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71" w:lineRule="exact"/>
        <w:rPr>
          <w:sz w:val="20"/>
          <w:szCs w:val="20"/>
          <w:color w:val="auto"/>
        </w:rPr>
      </w:pPr>
    </w:p>
    <w:p>
      <w:pPr>
        <w:sectPr>
          <w:pgSz w:w="11900" w:h="16838" w:orient="portrait"/>
          <w:cols w:equalWidth="0" w:num="3">
            <w:col w:w="2560" w:space="720"/>
            <w:col w:w="4300" w:space="720"/>
            <w:col w:w="1620"/>
          </w:cols>
          <w:pgMar w:left="980" w:top="513" w:right="999" w:bottom="1440" w:gutter="0" w:footer="0" w:header="0"/>
          <w:type w:val="continuous"/>
        </w:sect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500"/>
        <w:spacing w:after="0" w:line="173" w:lineRule="exact"/>
        <w:rPr>
          <w:sz w:val="20"/>
          <w:szCs w:val="20"/>
          <w:color w:val="auto"/>
        </w:rPr>
      </w:pPr>
      <w:r>
        <w:rPr>
          <w:rFonts w:ascii="Times New Roman" w:cs="Times New Roman" w:eastAsia="Times New Roman" w:hAnsi="Times New Roman"/>
          <w:sz w:val="15"/>
          <w:szCs w:val="15"/>
          <w:color w:val="auto"/>
        </w:rPr>
        <w:t xml:space="preserve">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91440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60" w:type="dxa"/>
            <w:vAlign w:val="bottom"/>
            <w:gridSpan w:val="31"/>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2"/>
        </w:trPr>
        <w:tc>
          <w:tcPr>
            <w:tcW w:w="180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EE"/>
              </w:rPr>
              <w:t>ABOUT THIS REPORT</w:t>
            </w:r>
          </w:p>
        </w:tc>
        <w:tc>
          <w:tcPr>
            <w:tcW w:w="7660" w:type="dxa"/>
            <w:vAlign w:val="bottom"/>
            <w:gridSpan w:val="29"/>
          </w:tcPr>
          <w:p>
            <w:pPr>
              <w:spacing w:after="0"/>
              <w:rPr>
                <w:sz w:val="14"/>
                <w:szCs w:val="14"/>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4"/>
                <w:szCs w:val="14"/>
                <w:color w:val="auto"/>
              </w:rPr>
            </w:pPr>
          </w:p>
        </w:tc>
      </w:tr>
      <w:tr>
        <w:trPr>
          <w:trHeight w:val="223"/>
        </w:trPr>
        <w:tc>
          <w:tcPr>
            <w:tcW w:w="94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r>
      <w:tr>
        <w:trPr>
          <w:trHeight w:val="209"/>
        </w:trPr>
        <w:tc>
          <w:tcPr>
            <w:tcW w:w="9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PART I</w:t>
            </w: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2.</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OFFER STATISTICS AND EXPECTED TIMETABLE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3.</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4.</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INFORMATION ON THE PARTNERSHIP</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4.A.</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10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6.</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7.</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MAJOR UNITHOLDERS AND RELATED PARTY TRANSACTIONS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8.</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9.</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10.</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5880" w:type="dxa"/>
            <w:vAlign w:val="bottom"/>
            <w:gridSpan w:val="18"/>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11.</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60" w:type="dxa"/>
            <w:vAlign w:val="bottom"/>
            <w:gridSpan w:val="5"/>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12.</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5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DESCRIPTION OF SECURITIES OTHER THAN EQUITY SECURITIES</w:t>
            </w:r>
          </w:p>
        </w:tc>
        <w:tc>
          <w:tcPr>
            <w:tcW w:w="2820" w:type="dxa"/>
            <w:vAlign w:val="bottom"/>
            <w:gridSpan w:val="7"/>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13.</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14.</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78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15.</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700" w:type="dxa"/>
            <w:vAlign w:val="bottom"/>
            <w:gridSpan w:val="17"/>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16.</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[RESERVED]</w:t>
            </w:r>
          </w:p>
        </w:tc>
        <w:tc>
          <w:tcPr>
            <w:tcW w:w="7260" w:type="dxa"/>
            <w:vAlign w:val="bottom"/>
            <w:gridSpan w:val="27"/>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ITEM 16.A.</w:t>
            </w:r>
          </w:p>
        </w:tc>
        <w:tc>
          <w:tcPr>
            <w:tcW w:w="260" w:type="dxa"/>
            <w:vAlign w:val="bottom"/>
          </w:tcPr>
          <w:p>
            <w:pPr>
              <w:spacing w:after="0"/>
              <w:rPr>
                <w:sz w:val="18"/>
                <w:szCs w:val="18"/>
                <w:color w:val="auto"/>
              </w:rPr>
            </w:pPr>
          </w:p>
        </w:tc>
        <w:tc>
          <w:tcPr>
            <w:tcW w:w="34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AUDIT COMMITTEE FINANCIAL EXPERT</w:t>
            </w:r>
          </w:p>
        </w:tc>
        <w:tc>
          <w:tcPr>
            <w:tcW w:w="4900" w:type="dxa"/>
            <w:vAlign w:val="bottom"/>
            <w:gridSpan w:val="13"/>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16.B.</w:t>
            </w:r>
          </w:p>
        </w:tc>
        <w:tc>
          <w:tcPr>
            <w:tcW w:w="260" w:type="dxa"/>
            <w:vAlign w:val="bottom"/>
          </w:tcPr>
          <w:p>
            <w:pPr>
              <w:spacing w:after="0"/>
              <w:rPr>
                <w:sz w:val="18"/>
                <w:szCs w:val="18"/>
                <w:color w:val="auto"/>
              </w:rPr>
            </w:pPr>
          </w:p>
        </w:tc>
        <w:tc>
          <w:tcPr>
            <w:tcW w:w="1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CODE OF ETHICS</w:t>
            </w:r>
          </w:p>
        </w:tc>
        <w:tc>
          <w:tcPr>
            <w:tcW w:w="6860" w:type="dxa"/>
            <w:vAlign w:val="bottom"/>
            <w:gridSpan w:val="26"/>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ITEM 16.C.</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ITEM 16.D.</w:t>
            </w:r>
          </w:p>
        </w:tc>
        <w:tc>
          <w:tcPr>
            <w:tcW w:w="260" w:type="dxa"/>
            <w:vAlign w:val="bottom"/>
          </w:tcPr>
          <w:p>
            <w:pPr>
              <w:spacing w:after="0"/>
              <w:rPr>
                <w:sz w:val="18"/>
                <w:szCs w:val="18"/>
                <w:color w:val="auto"/>
              </w:rPr>
            </w:pPr>
          </w:p>
        </w:tc>
        <w:tc>
          <w:tcPr>
            <w:tcW w:w="6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140" w:type="dxa"/>
            <w:vAlign w:val="bottom"/>
            <w:gridSpan w:val="4"/>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ITEM 16.E.</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8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5"/>
              </w:rPr>
              <w:t>ITEM 16.F.</w:t>
            </w:r>
          </w:p>
        </w:tc>
        <w:tc>
          <w:tcPr>
            <w:tcW w:w="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CHANGE IN PARTNERSHIP’S CERTIFYING ACCOUNTANT</w:t>
            </w:r>
          </w:p>
        </w:tc>
        <w:tc>
          <w:tcPr>
            <w:tcW w:w="1160" w:type="dxa"/>
            <w:vAlign w:val="bottom"/>
            <w:gridSpan w:val="2"/>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9"/>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ITEM 16.G.</w:t>
            </w:r>
          </w:p>
        </w:tc>
        <w:tc>
          <w:tcPr>
            <w:tcW w:w="260" w:type="dxa"/>
            <w:vAlign w:val="bottom"/>
          </w:tcPr>
          <w:p>
            <w:pPr>
              <w:spacing w:after="0"/>
              <w:rPr>
                <w:sz w:val="18"/>
                <w:szCs w:val="18"/>
                <w:color w:val="auto"/>
              </w:rPr>
            </w:pP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5960" w:type="dxa"/>
            <w:vAlign w:val="bottom"/>
            <w:gridSpan w:val="20"/>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ITEM 16.H.</w:t>
            </w:r>
          </w:p>
        </w:tc>
        <w:tc>
          <w:tcPr>
            <w:tcW w:w="260" w:type="dxa"/>
            <w:vAlign w:val="bottom"/>
          </w:tcPr>
          <w:p>
            <w:pPr>
              <w:spacing w:after="0"/>
              <w:rPr>
                <w:sz w:val="18"/>
                <w:szCs w:val="18"/>
                <w:color w:val="auto"/>
              </w:rPr>
            </w:pP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w:t>
            </w:r>
          </w:p>
        </w:tc>
        <w:tc>
          <w:tcPr>
            <w:tcW w:w="5960" w:type="dxa"/>
            <w:vAlign w:val="bottom"/>
            <w:gridSpan w:val="20"/>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16.I.</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3660" w:type="dxa"/>
            <w:vAlign w:val="bottom"/>
            <w:gridSpan w:val="11"/>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16.J.</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INSIDER TRADING POLICIES</w:t>
            </w:r>
          </w:p>
        </w:tc>
        <w:tc>
          <w:tcPr>
            <w:tcW w:w="5900" w:type="dxa"/>
            <w:vAlign w:val="bottom"/>
            <w:gridSpan w:val="19"/>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7"/>
              </w:rPr>
              <w:t>ITEM 16.K.</w:t>
            </w: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9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PART III</w:t>
            </w:r>
          </w:p>
        </w:tc>
        <w:tc>
          <w:tcPr>
            <w:tcW w:w="26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00" w:type="dxa"/>
            <w:vAlign w:val="bottom"/>
            <w:gridSpan w:val="1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17.</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000" w:type="dxa"/>
            <w:vAlign w:val="bottom"/>
            <w:gridSpan w:val="1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18.</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6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19.</w:t>
            </w:r>
          </w:p>
        </w:tc>
        <w:tc>
          <w:tcPr>
            <w:tcW w:w="24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EXHIBITS</w:t>
            </w:r>
          </w:p>
        </w:tc>
        <w:tc>
          <w:tcPr>
            <w:tcW w:w="1320" w:type="dxa"/>
            <w:vAlign w:val="bottom"/>
            <w:tcBorders>
              <w:top w:val="single" w:sz="8" w:color="0000EE"/>
            </w:tcBorders>
            <w:gridSpan w:val="6"/>
          </w:tcPr>
          <w:p>
            <w:pPr>
              <w:spacing w:after="0"/>
              <w:rPr>
                <w:sz w:val="18"/>
                <w:szCs w:val="18"/>
                <w:color w:val="auto"/>
              </w:rPr>
            </w:pPr>
          </w:p>
        </w:tc>
        <w:tc>
          <w:tcPr>
            <w:tcW w:w="6160" w:type="dxa"/>
            <w:vAlign w:val="bottom"/>
            <w:gridSpan w:val="22"/>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4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5000" w:type="dxa"/>
            <w:vAlign w:val="bottom"/>
            <w:gridSpan w:val="14"/>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this annual report, unless otherwise indicated:</w:t>
      </w:r>
    </w:p>
    <w:p>
      <w:pPr>
        <w:spacing w:after="0" w:line="225" w:lineRule="exact"/>
        <w:rPr>
          <w:sz w:val="20"/>
          <w:szCs w:val="20"/>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the “Partnership”, “we”, “our”, “us” or similar terms refer to GasLog Partners LP or any one or more of its subsidiaries, or to all such entities unless the context otherwise indicates;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depending on the context, refers to GasLog Ltd. and to any one or more of its direct and indirect subsidiaries, other than GasLog Partners;</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Group”, refers to GasLog Ltd. and to any one or more of its direct and indirect subsidiaries, including GasLog Partners;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refers to GasLog Partners GP LLC, the general partner of GasLog Partners and a wholly owned subsidiary of GasLog;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LNG Services” refers to GasLog LNG Services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Carriers” refers to GasLog Carriers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Holdings” refers to GasLog Partners Holdings LLC, a wholly owned subsidiary of GasLog Partners;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72" w:lineRule="auto"/>
        <w:tabs>
          <w:tab w:leader="none" w:pos="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“Merger Agreement with GEPIF”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for a purchase price of $5.80 in cash per share (the “GEPIF Transaction”). Following the consummation of the GEPIF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common shares of GasLog Ltd. Following the GEPIF Transaction, GEPIF held approximately 45% of the outstanding common shares of GasLog Ltd.;</w:t>
      </w:r>
    </w:p>
    <w:p>
      <w:pPr>
        <w:spacing w:after="0" w:line="171" w:lineRule="exact"/>
        <w:rPr>
          <w:rFonts w:ascii="Times New Roman" w:cs="Times New Roman" w:eastAsia="Times New Roman" w:hAnsi="Times New Roman"/>
          <w:sz w:val="17"/>
          <w:szCs w:val="17"/>
          <w:color w:val="auto"/>
        </w:rPr>
      </w:pPr>
    </w:p>
    <w:p>
      <w:pPr>
        <w:ind w:left="680" w:hanging="321"/>
        <w:spacing w:after="0" w:line="254"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with GasLog” refers to the agreement and plan of merger dated as of April 6, 2023, with GasLog, our general partner and Saturn Merger Sub LLC, a wholly owned subsidiary of GasLog (“Merger Sub”), pursuant to which Merger Sub merged with and into the Partnership, with the Partnership surviving as a direct subsidiary of GasLog, and GasLog acquired the outstanding common units of the Partnership not beneficially owned by GasLog for overall consideration of $8.65 per common unit in cash (the “GasLog Partners Transaction”), consisting in part of a special distribution by the Partnership of $3.28 per common unit in cash (the “Special Distribution”) that was distributed to the Partnership’s unitholders in connection with the closing of the GasLog Partners Transaction and the remainder was paid by GasLog as merger consideration at the closing of the GasLog Partners Transaction on July 13, 2023;</w:t>
      </w:r>
    </w:p>
    <w:p>
      <w:pPr>
        <w:spacing w:after="0" w:line="191"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Transaction” refers to the transaction where GIC, a global institutional investor, and a fund managed by GEPIF have entered into an agreement whereby GIC acquired GEPIF’s approximately 45% ownership interest in GasLog. Following the consummation of the GIC Transaction in January 2025, the Rolling Shareholders continue to hold approximately 55% of the outstanding common shares of GasLog Ltd. and GIC holds approximately 45%;</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“Shell” refers to Shell plc or any one or more of its subsidiaries;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“MSL” refers to Methane Services Limited, a subsidiary of Shell;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“Hanwha” refers to Hanwha Ocean Co., Ltd., formerly Daewoo Shipbuilding and Marine Engineering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“CDBL” refers to CL Gas Three Limited, a wholly owned subsidiary of China Development Bank Financial Leasing Co., Ltd.;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“Kansai” refers to KE Fuel International Co., Ltd.;</w:t>
      </w:r>
    </w:p>
    <w:p>
      <w:pPr>
        <w:spacing w:after="0" w:line="225"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“Class B Units” refers collectively to the Class B units issued on June 30, 2019 which are no longer outstanding as of December 31, 2023;</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A Preference Units” refers to our 8.625% Series A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B Preference Units” refers to our 8.200% Series B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C Preference Units” refers to our 8.500% Series C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“Preference Units” refers to our Series A Preference Units, our Series B Preference Units and our Series C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“LNG” refers to liquefied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“FSRUs” refers to Floating Storage and Regasification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“FSUs” refers to Floating Storage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“NYSE” refers to the New York Stock Exchange;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 refers to the U.S. Securities and Exchange Commission;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“IPO” refers to the initial public offering of GasLog Partners on May 12, 2014;</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“IFRS” refers to International Financial Reporting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“dollars” and “$” refer to, and amounts are presented in, U.S. dollars;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“TFDE” refers to tri-fuel diesel electric engine propulsion;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“Steam” refers to steam turbine propulsion;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2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charter hire rates, vessel utilization and vessel values;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new multi-year charters at economically attractive rates;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shipping routes due to accidents, diseases, pandemics, political events, armed conflicts, piracy or acts by terrorists;</w:t>
      </w:r>
    </w:p>
    <w:p>
      <w:pPr>
        <w:spacing w:after="0" w:line="161"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our operating expenses, including crew wages, maintenance, dry-docking and insurance costs and bunker prices;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number of off-hire days and dry-docking requirements including our ability to complete scheduled dry-dockings on time and within budget;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planned capital expenditures and availability of capital resources to fund capital expenditures;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duration and effects of future pandemics on our workforce, business, operations and financial condition;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prices for crude oil, petroleum products and natural gas, including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exchange rates, especially the dollars and Euro (“EUR”);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expand our portfolio by acquiring vessels;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GasLog’s relationships with its employees and ship crews, its ability to retain key employees and provide services to us, and the availability of skilled labor, ship crews and management;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ownership of our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customers’ performance of their obligations under our time charters and other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operating performance, financial condition, liquidity and cash available for distributions;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make cash distributions on our Preference Units or the impact of changes to cash distributions on our financial position;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debt and equity financing on acceptable terms to fund capital expenditures, acquisitions and other corporate activities and funding by banks of their financial commitments;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future, pending or recent acquisitions of ships or other assets, business strategy, areas of possible expansion and expected capital spending;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inherent in ship operation, including the discharge of pollutants;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malfunction or disruption of information technology systems and networks that our operations rely on or any impact of a possible cybersecurity event;</w:t>
      </w:r>
    </w:p>
    <w:p>
      <w:pPr>
        <w:spacing w:after="0" w:line="161"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expected cost of and our ability to comply with environmental and regulatory requirements related to climate change, including requirements with respect to emissions of air pollutants and greenhouse gases (“GHGs”), as well as future changes in such requirements or other actions taken by regulatory authorities, governmental organizations, classification societies and standards imposed by our charterers applicable to our business;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from future litigation;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factors discussed in “Item 3. Key Information—D. Risk Factors” of this annual report.</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60" w:hanging="332"/>
        <w:spacing w:after="0" w:line="500"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00" w:hanging="332"/>
        <w:spacing w:after="0" w:line="500"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29" w:lineRule="exact"/>
        <w:rPr>
          <w:sz w:val="20"/>
          <w:szCs w:val="20"/>
          <w:color w:val="auto"/>
        </w:rPr>
      </w:pPr>
    </w:p>
    <w:p>
      <w:pPr>
        <w:ind w:left="680" w:right="160" w:hanging="321"/>
        <w:spacing w:after="0" w:line="25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reduce or eliminate our ability to pay distributions on our Preference Units.</w:t>
      </w:r>
    </w:p>
    <w:p>
      <w:pPr>
        <w:spacing w:after="0" w:line="187"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p>
      <w:pPr>
        <w:spacing w:after="0" w:line="179" w:lineRule="exact"/>
        <w:rPr>
          <w:rFonts w:ascii="Times New Roman" w:cs="Times New Roman" w:eastAsia="Times New Roman" w:hAnsi="Times New Roman"/>
          <w:sz w:val="18"/>
          <w:szCs w:val="18"/>
          <w:color w:val="auto"/>
        </w:rPr>
      </w:pPr>
    </w:p>
    <w:p>
      <w:pPr>
        <w:jc w:val="both"/>
        <w:ind w:left="680" w:right="2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 that is less efficient compared to newer vessels.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LNG shipping industry is subject to substantial environmental and other regulations which may become increasingly stringent as a result of the growing global focus on a lower carbon economy, the effects of climate change (physical and transition) and the demand for environmental, social and governance (“ESG”) disclosures by investors, lenders and regulators. We may incur substantial costs in complying with new or changing environmental regulations which may affect our results of operations, financial condition and ability to pay distributions on our Preference Units.</w:t>
      </w:r>
    </w:p>
    <w:p>
      <w:pPr>
        <w:spacing w:after="0" w:line="183"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values may fluctuate substantially, which has resulted in non-cash impairment charges in previous years, including in 2025. A further decline in ship values could cause us to incur an additional loss.</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9" w:lineRule="exact"/>
        <w:rPr>
          <w:sz w:val="20"/>
          <w:szCs w:val="20"/>
          <w:color w:val="auto"/>
        </w:rPr>
      </w:pPr>
    </w:p>
    <w:p>
      <w:pPr>
        <w:ind w:left="680" w:right="14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79"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information technology systems and networks to conduct our business and failure to protect these systems against security breaches could materially disrupt our business and results of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certain of its subsidiaries and secured by our vessels, which could have a material adverse effect on our business, financial condition, results of operations and cash flows.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officers are employed by GasLog and face conflicts in the allocation of their time to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9"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may have liability to repay distributions.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Preference Units are subordinated to our indebtedness and other liabilities, and investors’ interests could be diluted by the issuance of additional preference units and by other transactions.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Holders of our Preference Units have extremely limited voting rights.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represent perpetual equity interests, and holders have no right to receive any greater payment than the liquidation preference regardless of the circumstances.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have not been rated, and ratings of any other of our securities may affect the trading price of the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Market interest rates may adversely affect the value of our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are redeemable at our option.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may adversely affect the value of and return on our Preference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Preference Units.</w:t>
      </w:r>
    </w:p>
    <w:p>
      <w:pPr>
        <w:spacing w:after="0" w:line="16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March 12, 2026, our owned and bareboat fleet consists of 11 LNG carriers. Five of our owned vessels currently operate under long-term time charters (defined as those with initial duration of more than three years) and six of our owned and bareboat vessels are currently trading in the short-term spot market (defined as contracts with initial duration of less than three years). The six vessels operating in the short-term spot market, consisting of one Steam vessel and five TFDE vessels, are due to come off charter in 2026. One of the five vessels operating under long-term time charters, a TFDE vessel, is due to come off charter in June 2026.</w:t>
      </w:r>
    </w:p>
    <w:p>
      <w:pPr>
        <w:spacing w:after="0" w:line="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Steam vessel, in particular is less efficient and has higher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than larger, more technologically advanced modern LNG carriers, and it may be more challenging to find spot and/or term employment for this vessel in the future. Unless we are able to secure longer term charters at attractive rates for our vessels coming off charter, we will have exposure to the spot market which is highly competitive and subject to significant price fluctuations. In addition, there may be extended periods of idle time between charters. Moreover, any longer-term charters we are able to secure for our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is generally anywhere between a few days and three years. If we are unable to secure employment for a vessel, we will not receive any revenues from that vessel but we will be required to pay expenses necessary to maintain the vessel in proper operating condition.</w:t>
      </w:r>
    </w:p>
    <w:p>
      <w:pPr>
        <w:spacing w:after="0" w:line="18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distribution to holders of our Preference Units.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a total of 1,619 open vessel days during 2026. A failure to obtain charters at acceptable rates on our vessels could adversely affect our business, financial condition, results of operations and cash flows, including cash available for dividends to holders of our Preference Units.</w:t>
      </w:r>
    </w:p>
    <w:p>
      <w:pPr>
        <w:spacing w:after="0" w:line="17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These factors could result in a decrease in our revenues and cash flows, including cash available for distribution to holders of our Preference Units.</w:t>
      </w:r>
    </w:p>
    <w:p>
      <w:pPr>
        <w:spacing w:after="0" w:line="185"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w:t>
      </w:r>
    </w:p>
    <w:p>
      <w:pPr>
        <w:spacing w:after="0" w:line="13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supply of LNG carriers has been increasing as a result of the ordering and delivery of new ships. This oversupply of tonnage and the tight supply of available slots in shipyards have led to a reduction in LNG carrier orders during 2025 compared to 2024 levels, with shipyard prices for newbuild vessels remaining stable at around $250.0 - $255.0 million. High prices are a result of a renewed focus on energy security, diversification and investment in LNG infrastructure after the geopolitical events surrounding the Russia-Ukraine conflict and the decline of Russian pipeline flows to Europe.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According to Poten &amp; Partners Group, Inc. (“Poten”), as of December 31, 2025, the global trading fleet of conventional LNG carriers (&gt;100,000 cbm) consisted of 705 vessels, with another 271 LNG carriers on order (with delivery up to 2031), of which 26 do not have multi-year charters. The majority of these vessels are tied to new projects, including about 31% of confirmed vessel orders tied to Qatar’s North Field Expansion project, and therefore likely to not negatively impact the supply-demand for vessels, unless the Qatar project is delayed.</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Any expansion of the global LNG carrier fleet in excess of the demand for LNG shipping will likely have a negative impact on charter hire rates, vessel utilization and vessel values. However, it has become difficult to secure additional berths, due to high prices, scarcity of available slots and available deliveries of new vessels from 2027 onwards. If charter hire rates are lower when we are seeking new employment, or if we are unable to secure employment for our vessels trading in the spot and short-term markets, as a result of increased competition from modern vessels, our revenues and cash flows, including cash available for distribution to holders of our Preference Units, may decline.</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holders of our Preference Units. In particular, our ships frequent LNG terminals in countries including Egypt, Nigeria, Equatorial Guinea and Trinidad, as well as transit through the Gulf of Aden and the Strait of Hormuz. Most recently, the escalating military conflict between the U.S., Israel and Iran and the related attacks on vessels led to the shutdown of the Strait of Hormuz. Depending on the duration and severity of the conflict, shipping in this region may experience prolonged disruption. Similarly, Houthi-led attacks in the Suez Canal region forced LNG shipments to reroute via the Cape of Good Hope, halting canal traffic for much of the past year. Although limited transits resumed to serve Egypt’s LNG import terminal, most Qatari and other shipments to Europe continued to bypass the canal. Panama Canal transits were also previously constrained due to drought-related restrictions, which have since gradually eased.</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Future hostilities or other political instability in the geographic regions where we operate or may operate could have a material adverse effect on our business, financial condition, results of operations and cash flows, including cash available for distribution to holders of our Preference Units. Political tensions as a result of changes to trade policies by the U.S. or other countries, and the uncertainty about potential changes, could negatively impact global economic conditions. Trade tensions between the U.S. and China, in particular, remain high, and have escalated in recent periods. The second Trump administration imposed new tariffs on China in 2025, causing China to retaliate with levies on certain U.S. goods. In April 2025, the Office of the U.S. Trade Representative (“USTR”), announced the adoption of additional port fees targeting China’s maritime, logistics and shipbuilding sectors. The U.S. port fees went into effect on October 14, 2025, and were structured to impact certain Chinese-built, owned or operated vessels entering U.S. ports. In response, China’s Ministry of Transport announced parallel Chinese port fees on certain U.S.-linked vessels calling at Chinese ports. While, U.S. and Chinese authorities later announced a temporary suspension of the respective port fees for one year, substantial uncertainty remains as to how the port fees will be assessed following the end of the suspension period on November 10, 2026. Further, on February 13, 2026, the administration released its Maritime Action Plan (the “MAP”) focused on reviving the U.S. shipping sector. Notably, the MAP proposes a “universal infrastructure or security fee,” which would apply more broadly than the USTR special port fees and would cover all internationally built vessels calling at U.S. ports. While specific figures have yet to be determined, the fees would be assessed on the weight of the imported tonnage arriving on the vessel. Currently, the MAP represents a policy plan for the administration, and it is unclear whether any of the initiatives contained therein will ultimately result in binding law or regulation. Given the uncertainties surrounding the implementation and potential magnitude of these proposed fees, as well as any retaliatory measures that other countries may adopt in response, the impact of such measures on our business is difficult to assess at this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second Trump administration has imposed and may continue to impose tariffs on imports from Canada and Mexico and has announced plans to impose tariffs on imports from the EU. It is not known whether and to what extent such new tariffs (or other new laws or regulations) will be adopted by the second Trump administration or the effect that any such actions would have on us or on our industry. The hostilities between Russia and Ukraine and attendant sanctions promulgated by the United States, the EU and other countries may also adversely impact our business, given Russia’s role as a major global exporter of crude oil and natural gas and the imposition of a price cap on Russian-origin oil announced by the U.S., the EU and several other countries in December 2022. In addition, political tensions between China and Taiwan may adversely affect our business and may also have the effect of heightening many of the other risks described in our risk factors, such as those relating to data security, supply chain and market conditions, any of which could negatively affect our business, results of operations, and financial condition.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Terrorist attacks, piracy and the current conflicts in Russia, Ukraine, Iran, the Middle East, Israel, Palestine, the Gulf of Aden, the Red Sea, the Strait of Hormuz and elsewhere, as well as other current and future conflicts and political change, may adversely affect our business, financial condition, results of operations and cash flows, including cash available for distribution to holders of our Preference Units.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ongoing conflict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8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Recent events in the conflict between Israel and Hamas, the recent military actions involving the U.S., Israel and Iran and related conflicts in the Middle East have created additional concerns for the stability of the supply of oil as such conflicts may broaden or escalate. In particular, Qatar recently announced a complete halt to LNG production following an Iranian drone strike hit its facilities. While it is difficult to predict the impact of the shutdown at this time, if it continues for an extended period, there could be a material impact on the global LNG market.</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Geopolitical conflicts have also resulted in attacks on ships, mining of waterways and other efforts to disrupt international shipping, particularly in the Persian and Arabian Gulf regions and West Africa. The Houthi seizures and attacks on commercial vessels in the Red Sea and the Gulf of Aden have impacted the global economy as some companies have decided to reroute vessels to avoid the Suez Canal and Red Sea. The elevated risks and recent attacks on vessels near the Strait of Hormuz introduced yet a further source of uncertainty, effectively shutting down the Strait of Hormuz and forcing companies to reroute their vessels to avoid the waterway. Such conflicts have caused additional volatility in the energy markets and raised concerns of longer-term supply disruption. Acts of terrorism and piracy have also affected ships trading in regions such as the South China Sea and West Africa. Any terrorist attacks targeted at ships may in the future have a material negative effect on our business, financial condition, results of operations and cash flows and could directly impact our ships or our customers.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w:t>
      </w:r>
    </w:p>
    <w:p>
      <w:pPr>
        <w:spacing w:after="0" w:line="22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become increasingly stringent as the result of the growing global focus on a lower carbon economy, the effects of climate change (physical and transition) and the demand for ESG disclosures by investors, lenders and regulators. We may incur substantial costs in complying with new or changing environmental regulations which may affect our results of operations, financial condition and ability to pay distributions on our Preference Units.</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Such requirements may amend existing or introduce new regulations which affect the operational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relating to, such laws and regulations.</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Further, they could result in the denial of access to certain jurisdictional waters or ports or detention in certain ports. We are required to obtain governmental approvals and permits to operate our ships. Delays in obtaining or renewing such governmental approvals may increase our expenses, and the terms and conditions of such approvals could materially and adversely affect our operations.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GHGs and other pollutants) as well as ballast water treatment and ballast water handling may be adopted. For example, the United States (“U.S.”) and the International Maritime Organisation (“IMO”) have implemented regulations and requirements governing ballast water management systems on oceangoing ships. The IMO has also established progressive standards limiting GHG emissions from ships which began in 2023 and extend towards 2030 and 2050 emissions reduction goals. The European Union (the “EU”) has incorporated shipping within the GHG Emissions Trading System (“EU ETS”) which also includes other sectors. In addition, the Fuel EU Maritime Regulation became effective in 2025, which sets annual well-to-wake GHG intensity targets for vessels. These and other laws or regulations may require additional capital expenditures or operating expenses (such as increased costs for low sulfur fuel or pollution controls or compliance-related penalties or costs) in order for us to maintain our ships’ compliance with international and/or national regulations. We may also become subject to additional laws and regulations if we enter new markets or trades.</w:t>
      </w:r>
    </w:p>
    <w:p>
      <w:pPr>
        <w:spacing w:after="0" w:line="1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2023, new rules became effective under the Taxonomy Regulation classifying natural gas and nuclear power generation as “transitional technologies” (provided they meet certain criteria, such as replacing coal plants, and subject to certain limits and phase put periods) and establishing new disclosure rules for companies regarding annual reporting about compliance with green criteria.</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8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71"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Some of these laws and conventions, including OPA and the London Convention, include provisions limiting potential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5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Increased concern over climate change could negatively affect perception of the oil and gas industry which could impact our ability to attract investors, access financing in the bank and capital markets and attract and retain talent.</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resulted in non-cash impairment in previous years, including in 2025. A further decline in ship values could cause us to incur an additional loss.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 charter-free market values and other impairment indicators;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market values of our ships decline, we may be required to record additional impairment charges in our financial statements, which could adversely affect our results of operations. For a discussion of impairment charges for the year ended December 31, 2025, see “Item 5. Operating and Financial Review and Prospects—E. Critical Accounting Estimates—Impairment of Vessels and Right-of-use Assets”. If a charter contract expires or is terminated by the customer, we may be unable to redeploy the affected ships at attractive rates and, rather than continue to incur costs to maintain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holders of our Preference Units.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emissions restrictions may adversely impact our results of operations, financial condition and ability to pay distributions on our Preference Units.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GHG emissions from ships. These regulatory measures may include adoption of cap and trade regimes, carbon taxes, increased efficiency standards and incentives or mandates relating to renewable energy. Although emissions of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beyond those already adopted under the International Convention for the Prevention of Marine Pollution from Ships (“MARPOL”). In 2023, regulations for the EU-wide trading scheme for industrial GHG emissions, the EU ETS, were amended in order to include emissions from maritime transport activities and to require the monitoring, reporting and verification of emissions of additional GHGs and emissions from additional ship types. In 2024, the EU ETS was extended to cover CO2 emissions from all large ships (5,000 gross tonnage and above) entering EU ports, and as of January 1, 2026 it was further extended to also cover methane and nitrous oxide emissions. Shipping companies will need to buy and surrender allowances that correspond to the emissions covered by the system. The Fuel EU Maritime Regulation, which entered into force on January 1, 2025, sets well-to-wake GHG emission intensity requirements, among other provisions. Shipping companies will need to pay penalties for non-compliant vessels. Compliance with these and any future changes in laws and regulations relating to climate change could increase the costs of operating and maintaining our ships and could require us to install new emission controls, as well as acquire emissions allowances, pay taxes related to our GHG emissions or administer and manage a GHG emissions program. Such compliance could also affect our revenues and change significantly the market in which we compete, which may adversely affect any strategic growth opportunities.</w:t>
      </w:r>
    </w:p>
    <w:p>
      <w:pPr>
        <w:spacing w:after="0" w:line="19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There is increasing focus on the environmental (including GHG emissions) footprint of the energy and transportation sectors from governments, regulators, shareholders, customers, environmental non-governmental organizations and other stakeholders. This has resulted in some of our charterers setting specific GHG emissions reduction targets covering all of their activities and products and those of their suppliers. Our vessels on charter to those charterers and other energy companies form part of their supply chain and may be captured within such targets. In addition, many large financial institutions are under pressure to both reduce their own environmental footprints and to monitor the footprints of the companies and projects to which they lend. While LNG is among the cleanest marine transportation fuels, the focus and pressure on the environmental footprint of the marine transportation sector is likely to remain high and may increase. For example, in 2022, IMO amendments to MARPOL Annex VI entered into force that require ships to reduce GHG emissions using technological and operational approaches to improve energy efficiency and that provide important building blocks for future GHG reduction measures. Additionally, in 2023, the IMO adopted the 2023 IMO Strategy on Reduction of GHG Emissions from Ships, a framework for Member States that provides new mid-term emissions reduction goals and guidance. In April 2025, at Marine Environment Protection Committee (“MEPC”) 83, the MEPC of the IMO approved the draft legal text of the IMO Net-Zero framework (“NZF”) to be included as a new chapter in MARPOL Annex VI, among other climate-related measures. The NZF includes a new fuel standard for ships and a global GHG emissions pricing mechanism. These regulations were slated for adoption in October 2025, however MEPC agreed to adjourn the meeting on adoption until October 2026. As a result, the NZF may be subject to further changes. Adoption of the NZF and other regulatory measures implementing the IMO GHG framework may require us to incur additional capital expenditures to achieve compliance with new emissions reduction targets across the shipping sector and increased use of zero or near-zero GHG emission technologies, among other obligations.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holders of our Preference Units.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Adverse effects of climate change upon the oil and gas industry, including growing public concern about the environmental impact of climate change, may also have an effect on demand for our services. For example, increased regulation of GHGs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an epidemic or pandemic, and related governmental responses thereto may have negative effects on the global economy, energy demand and on our results of operations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public health crises, such as that experienced during COVID-19, may negatively affect our business and operations, the health of our crews and the availability of our fleet, as well as our financial position and prospects. The COVID-19 pandemic introduced uncertainty in a number of areas of our business, including operational, commercial, administrative and financial activities. Further, the onset of the COVID-19 pandemic resulted in numerous actions taken by governments and governmental agencies in an attempt to mitigate the spread or any resurgence of the virus, including travel bans, quarantines and other emergency public health measures such as lockdowns. Any future reduction in LNG demand and further closure of, or restricted access to, ports and terminals in regions affected by a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six of our vessels currently trading in the short-term spot market, any additional exposure to the spot market or extended periods of idle time between charters could adversely affect our future liquidity, results of operations and cash flows.</w:t>
      </w:r>
    </w:p>
    <w:p>
      <w:pPr>
        <w:spacing w:after="0" w:line="194"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The occurrence or reoccurrence of any of the foregoing events or other epidemics or other epidemic or a recession or market correction resulting from a future epidemic could have a material adverse effect on the global economy, energy demand and our business.</w:t>
      </w:r>
    </w:p>
    <w:p>
      <w:pPr>
        <w:spacing w:after="0" w:line="13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7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or other failures of operational and information technology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caused by mechanical failure, human error, war, terrorism, disease and related government responses thereto, or political action in various countries;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25"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holders of our Preference Units, could be materially and adversely affected. The impact of any limitation in the operation of our ships or any early charter termination would be amplified, as a substantial portion of our cash flows and income is dependent on the revenues earned by the chartering of our 11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holders of our Preference Units.</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dry-docking. Any delay or cost overrun of the dry-docking could have a material adverse effect on our business, results of operations and financial condition and could significantly reduce or eliminate our ability to pay distributions on our Preference Units.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holders of our Preference Units, could be adversely affected. The upcoming dry-dockings of our vessels are expected to be carried out in 2026 (five vessels), 2028 (one vessel), 2029 (one vessel) and 2030 (one vessel). The three bareboat vessels will not be in our bareboat fleet at the time of their next dry-dockings. The above dry-docking schedule reflects vessels expected to remain in the fleet during the relevant period and excludes vessels expected to exit the fleet prior to their next scheduled dry-docking.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Further technological advancements and other innovations affecting LNG carriers could reduce the charter hire rates we are able to obtain when seeking new employment for our vessels and this could adversely impact the value of our assets and our results of operations and cash flows.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distributions to holders of our Preference Units.</w:t>
      </w:r>
    </w:p>
    <w:p>
      <w:pPr>
        <w:spacing w:after="0" w:line="1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distributions on our Preference Units.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8" w:lineRule="exact"/>
        <w:rPr>
          <w:sz w:val="20"/>
          <w:szCs w:val="20"/>
          <w:color w:val="auto"/>
        </w:rPr>
      </w:pPr>
    </w:p>
    <w:p>
      <w:pPr>
        <w:ind w:left="680" w:right="26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and natural gas. A return to low natural gas prices globally may limit the willingness and ability of developers of new LNG infrastructure projects to approve the development of such new projects;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7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such as COVID-19, safety and terrorism;</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leading to warmer winters in the northern hemisphere and lower gas demand in the traditional peak heating season;</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or regasification;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and oil prices are subject to volatility due to global events outside of our control, including the events in Russia and Ukraine. A continuation of the recent volatility in natural gas and oil prices may adversely affect our growth prospects and results of operations.</w:t>
      </w:r>
    </w:p>
    <w:p>
      <w:pPr>
        <w:spacing w:after="0" w:line="175"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Natural gas prices are likely to continue to face volatility given the constrained supply outlook following the cessation of pipeline flows from Russia to Europe and suspected sabotage of the Nord Stream 1 and 2 pipelines as well as the recent shutdown of LNG production in Qatar.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p>
      <w:pPr>
        <w:spacing w:after="0" w:line="187"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and petroleum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exploration, development, production, transportation and distribution of natural gas;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international hostilities and armed conflicts, and the associated repercussions to supply and demand for LNG and the economy generally; and</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With six vessels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76" w:lineRule="exact"/>
        <w:rPr>
          <w:sz w:val="20"/>
          <w:szCs w:val="20"/>
          <w:color w:val="auto"/>
        </w:rPr>
      </w:pPr>
    </w:p>
    <w:p>
      <w:pPr>
        <w:ind w:left="680" w:right="2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7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benchmarked to the price of crude oil;</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161" w:lineRule="exact"/>
        <w:rPr>
          <w:rFonts w:ascii="Times New Roman" w:cs="Times New Roman" w:eastAsia="Times New Roman" w:hAnsi="Times New Roman"/>
          <w:sz w:val="18"/>
          <w:szCs w:val="18"/>
          <w:color w:val="auto"/>
        </w:rPr>
      </w:pPr>
    </w:p>
    <w:p>
      <w:pPr>
        <w:ind w:left="680" w:right="200" w:hanging="321"/>
        <w:spacing w:after="0" w:line="312"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39" w:lineRule="exact"/>
        <w:rPr>
          <w:rFonts w:ascii="Times New Roman" w:cs="Times New Roman" w:eastAsia="Times New Roman" w:hAnsi="Times New Roman"/>
          <w:sz w:val="17"/>
          <w:szCs w:val="17"/>
          <w:color w:val="auto"/>
        </w:rPr>
      </w:pPr>
    </w:p>
    <w:p>
      <w:pPr>
        <w:ind w:left="680" w:right="10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5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IMO, the United Nations’ agency for regulating shipping, introduced and adopted two measures, the EEXI and CII which entered into force in 2023, and which have impacted and are expected to continue to impact our fleet in the short and long-term future. Pursuant to the EEXI regulation, Steam vessels require an Engine Power Limitation, which has an impact on the vessels’ maximum attainable speed. The CII regulation affects all vessels, as it directly measures operational efficiency. However, its impact is expected to be more pronounced on Steam vessels, which may face greater challenges in maintaining compliance after 2026 due to their less efficient design and the progressively stricter CII targets set each year. All our vessels have achieved compliant CII ratings. Although the regulatory framework is in place, it includes a review clause that required the MEPC to review the effectiveness of the regulations by January 1, 2026 and develop and adopt further amendments as required. Currently, there are no direct penalties for non-compliant vessels, and IMO has postponed the review of CII beyond 2026. At the same time, discussions within the industry continue, and some entities are advocating for a complete overhaul of the measure. Given these uncertainties, the mid-term implications for our fleet remain unclear, making it difficult to fully assess the scale and timing of any associated risks to our business, financial position and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high inflation and continued high interest rates.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holders of our Preference Units.</w:t>
      </w:r>
    </w:p>
    <w:p>
      <w:pPr>
        <w:spacing w:after="0" w:line="14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13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holders of our Preference Units.</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or lease could be required to call on ports located in countries that are subject to restrictions imposed by the United States and other governments.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of the U.S.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sections.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European Union Code of Conduct Group periodically assesses the tax policies of a range of countries including Bermuda, where our vessel-owning entities are incorporated. Currently, Bermuda has committed to comply with the European Union Code of Conduct Group’s requirements on economic substance and previously passed legislation in the form of the Bermuda Economic Substance Act of 2018 and the Marshall Islands Economic Substance Regulations, 2018, as amended. In 2023, the European Union Code of Conduct Group decided to include Marshall Islands on the list of non-cooperative jurisdictions for tax purposes from February 2023 to October 2023. If the European Union Code of Conduct Group decides to include Bermuda or Marshall Islands on the non-cooperative jurisdiction list in the future, we may be subject to additional reporting requirements or other requirements that may have an adverse effect on our business.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cyberattacks and labor strikes. In addition, there is always an inherent possibility of a marine disaster, including collision, explosion, spills and other environmental incidents,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holders of our Preference Units.</w:t>
      </w:r>
    </w:p>
    <w:p>
      <w:pPr>
        <w:spacing w:after="0" w:line="19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could have a material adverse effect on our business, financial condition, results of operations and cash flows, including cash available for distribution to holders of our Preference Units.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holders of our Preference Units.</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5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our results of operations, financial condition and ability to pay distributions.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p>
      <w:pPr>
        <w:spacing w:after="0" w:line="180"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2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holders of our Preference Units.</w:t>
      </w:r>
    </w:p>
    <w:p>
      <w:pPr>
        <w:spacing w:after="0" w:line="1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55%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distribution to holders of our Preference Units.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(including GHG emissions) footprint of marine transportation. Our compliance with existing and new standards and quality requirements is vital for our operations. Related risks could materialize in multiple ways, including a sudden and unexpected breach in quality and/or compliance concerning one or more vessels and/or a decrease in the quality concerning one or more LNG carriers occurring over time. Moreover, increasingly burdensome requirements from LNG industry constituents could further complicate our ability to meet applicable standards. We are largely dependent on GasLog for our compliance with the requirements of our customers. Any non-compliance by us, either as an isolated event or over a period of time, on one or more LNG carriers, or an increase in stringency of requirements imposed by our charterers above and beyond what we deliver, may have a material adverse effect on our future performance, results of operations, cash flows, financial position and our ability to make cash distributions to holders of our Preference Units.</w:t>
      </w:r>
    </w:p>
    <w:p>
      <w:pPr>
        <w:spacing w:after="0" w:line="188"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3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either spot/short-term or long-term.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technology systems and networks to conduct our business and failure to protect these systems against security breaches could materially disrupt our business and adversely affect our results of operations.</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EU’s General Data Protection Regulation (“GDPR”), which regulates the use of personally identifiable information,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Changes in the nature of cyber threats and/or changes to industry standards and regulations might require us to adopt additional procedures for monitoring cybersecurity, which could require significant additional expenses and/or capital expenditures.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technology may result in operational challenges, legal liability, reputational concerns and privacy and competitive risks.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currently have very limited use of artificial intelligence (“AI”), but we are exploring ways to leverage AI applications in our business and, as such technology becomes more prevalent, we expect to expand our use of AI in part of our internal processes and operations. Our use of AI may result in operational challenges, legal liability, reputational concerns and privacy and competitive risks, which could adversely affect our financial condition, results of operations or reputation. Expanding the use of AI may require additional resources, including the incurrence of additional costs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Regulation of AI is rapidly evolving worldwide as legislatures and regulators increasingly focus on these emerging technologies. For example, the European Union’s Artificial Intelligence Act (the “EU AI Act”) establishes, among other things, a risk-based governance framework for regulating AI systems operating in the EU. This framework categorizes AI systems into different categories based on the risks associated with such systems’ intended purposes, prohibiting AI systems with “unacceptable” risks and regulating AI systems with “high” or “limited” risks. There is a risk that our future AI-powered solutions may require us to comply with the applicable requirements of the EU AI Act, which may result in additional costs, increase our risk of liability and fines or otherwise adversely affect our business, results of operations, financial condition and future prospects.</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2025, 55% of our revenues derived from subsidiaries of Shell.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8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holders of our Preference Units.</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incremental debt financing for future acquisitions of ships may depend on the creditworthiness of our charterers, the terms of our future charters and the performance of our vessels operating in the spot market.</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or may significantly increase our costs of obtaining such capital. Reduced expectations for the utilization and earnings of our vessels operating in the short-term spot market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holders of our Preference Units.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secured by our owned vessels, which could have a material adverse effect on our business, financial condition, results of operations and cash flows.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GasLog’s Five-Year Sustainability-Linked Senior Secured Reducing Revolving Credit Facility in the amount of $2.8 billion (the “Facility”) is secured by our vessels and guaranteed by the Partnership. If GasLog defaults in its payment obligations, we may be obligated to make the required payments and we may suffer a material adverse financial impact and our results of operations may be materially adversely affected. Further, in the event of such a default, the lenders in the Facility could terminate their commitments to lend and/or accelerate the outstanding loans and declare all amounts borrowed due and payable. If the Facility lenders were to foreclose on our vessels in the event of such a default, this may adversely affect our ability to finance future operations or capital needs or to engage, expand or pursue our business activities. Any of these events would adversely affect our ability to make distributions to holders of our Preference Units and could cause a decline in the market price of our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are employed by GasLog and face conflicts in the allocation of their time to our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GIC Transaction and the GasLog Partners Transaction could create uncertainty over the future management and direction of the Partnership and could adversely impact the Partnership and our unitholders.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There could be disagreement among major shareholders of GasLog, including the Rolling Shareholders and GIC, with respect to the short- and long-term management, direction and strategy of the Partnership. GasLog has the right to appoint all of our directors and officers, therefore any such disagreements with respect to the Partnership’s strategic direction may have an adverse effect on our business, operations, financial results and unit price.</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Furthermore, since the closing of the GEPIF Transaction, the GasLog Partners Transaction and the full redemption of GasLog’s 8.75% Series A Cumulative Redeemable Perpetual Preference Shares preferred stock in May 2024, GasLog has no public reporting obligations, which could adversely impact the ability of the holders of our Preference Units to assess the management and direction of the Partnership, which may have a negative effect on the price of our Preference Units.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2025, will be payable regardless of our profitability and will reduce our cash available for distribution to holders of our Preference Units.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commercial management agreements, GasLog LNG Services provides us with commercial management services for which we pay to GasLog a fixed commission of 1.25% on gross charter revenues for costs and expenses incurred in connection with providing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2025 were $5.8 million, $3.5 million and $8.2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holders of our Preference Units.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to distribute funds to us in order to satisfy our financial obligations and to make distributions to holders of our Preference Units.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holders of our Preference Units depends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holders of our Preference Units.</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GasLog for capital support and depend on our relationship with GasLog in order to meet our capital expenditure and other business requirements.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a consolidated and wholly owned subsidiary of GasLog and depend on our relationship with GasLog for capital support in order to meet our capital expenditure and other business requirements. We must make substantial capital expenditures to maintain and replace, over the long-term, the operating capacity of our existing fleet. Maintenance and replacement capital expenditures include capital expenditures associated with (i) the removal of a vessel from the water for inspection, maintenance and/or repair of submerged parts (or dry-docking) and (ii) modifying an existing vessel, to the extent these expenditures are incurred to maintain, enhance or replace the operating capacity of our fleet. Further, we fully rely on GasLog for capital support in order to acquire new vessels or invest in new assets to expand our existing fleet. As a result, our ability to generate revenues from the existing fleet is expected to decline over time as our existing vessels age and reach the end of their useful lives. Older vessels generally require higher levels of maintenance and repair expenditures to remain operational, and we may need additional capital support from GasLog to make such expenditures as our fleet continues to age. GasLog has no obligations under our partnership agreement or any other agreement to provide capital support for our capital expenditure and other business requirements.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do not receive capital support from GasLog and are not otherwise able to raise third-party bank financing or generate sufficient cash flow to meet our capital expenditure and other business requirements, we may be forced to sell assets, potentially at a loss, or reduce, delay or cancel our business activities, acquisitions, investments or capital expenditures. Some of these measures may adversely affect our business and reputation, and could have a material adverse effect on our business, financial condition, results of operations and cash flows, including cash available for distributions to holders of our Preference Units.</w:t>
      </w:r>
    </w:p>
    <w:p>
      <w:pPr>
        <w:spacing w:after="0" w:line="179"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securities laws of the United States and the NYSE rules and we only have preferred units listed on the NYSE, and as such we are entitled to exemption from most of the NYSE corporate governance standards, and you may not have the same protections afforded to holders of common units of similarly organized limited partnerships that are subject to all of the NYSE corporate governance requirements.</w:t>
      </w:r>
    </w:p>
    <w:p>
      <w:pPr>
        <w:spacing w:after="0" w:line="180"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or “FPI”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“foreign private issuers” and issuers who list only preferred units are exempt from most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and a nominating/corporate governance committee be established.</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Accordingly, you may not have the same protections afforded to unitholders of similarly organized limited partnerships that are subject to all of the NYSE corporate governance requirements.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definition of “foreign private issuer” under the securities laws of the United States could cause us to lose our FPI status and become subject to increased regulatory and reporting burdens.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4, 2025, the SEC published a concept release soliciting public comment on whether to amend the eligibility criteria for FPI status, and on December 18, 2025, the Holding Foreign Insiders Accountable Act was enacted, which will require our directors and certain officers to comply with the share ownership and transaction reporting obligations of Section 16(a) of the Securities Exchange Act of 1934, as amended (the “Exchange Act”) by March 18, 2026. The concept release outlines several potential approaches to narrow FPI eligibility, including updating the existing shareholder and business contacts tests, adding minimum non-U.S. trading volume requirements or requiring incorporation in jurisdictions with robust regulatory frameworks. If the SEC were to adopt any of these approaches, we may no longer qualify as a FPI and could become subject to additional regulatory and reporting requirements. Compliance with these additional requirements may require us to incur material additional costs.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Marshall Islands, which does not have a well-developed body of partnership law.</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limited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9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62" w:lineRule="exact"/>
        <w:rPr>
          <w:sz w:val="20"/>
          <w:szCs w:val="20"/>
          <w:color w:val="auto"/>
        </w:rPr>
      </w:pPr>
    </w:p>
    <w:p>
      <w:pPr>
        <w:ind w:left="680" w:right="1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brought in a derivative manner on our behalf;</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of breach of a fiduciary duty owed by any director, officer or other employee of us or our general partner, or owed by our general partner, to us or the limited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arising pursuant to any provision of the Marshall Islands Act; or</w:t>
      </w:r>
    </w:p>
    <w:p>
      <w:pPr>
        <w:spacing w:after="0" w:line="225"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Preference Units are subordinated to our indebtedness and other liabilities and investors’ interests could be diluted by the issuance of additional preference units and by other transactions.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Preference Units are subordinated to all of our existing and any future debt obligations. As of December 31, 2025, we had no credit facilities outstanding. As of December 31, 2025, we had an aggregate of $64.9 million of lease liabilities mainly related to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We and certain of our subsidiaries are guarantors of GasLog’s debt obligations under the Facility. If GasLog defaults in its payment obligations, we may be obligated to make the required payments. Any future indebtedness of the Partnership may include restrictions on, our ability to pay distributions to holders of our Preference Units.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Units have extremely limited voting rights.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distributions on the applicable series of Preference Units have been paid in full.</w:t>
      </w:r>
    </w:p>
    <w:p>
      <w:pPr>
        <w:spacing w:after="0" w:line="18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fully rely on GasLog for capital support in order to acquire new vessels or invest in new assets to expand our existing fleet. As a result, our ability to generate revenues from the existing fleet is expected to decline over time as our existing vessels age and reach the end of their useful lives. Older vessels generally require higher levels of maintenance and repair expenditures to remain operational, and we may need additional capital support from GasLog to make such expenditures as our fleet continues to age.</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our Preference Units will have no right to receive or to participate in these amounts. If the market price for Preference Units is greater than the liquidation preference, holders of our Preference Units will have no right to receive the market price from us upon our liquidation.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actions are controlled by GasLog, who has the ability to effectively control the outcome of important corporate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GasLog may be different than yours.</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 consolidated and wholly owned subsidiary of GasLog. As noted above the holders of our Preferences Units generally have no voting rights on most matters. See Item 3.D. – Risk Factors – Risks Relating to Our Preference Units. As a result of the foregoing, GasLog has effective control over our corporate strategy and the outcome of significant corporate matters, and investors may be prevented from influencing such matters including:</w:t>
      </w:r>
    </w:p>
    <w:p>
      <w:pPr>
        <w:spacing w:after="0" w:line="180" w:lineRule="exact"/>
        <w:rPr>
          <w:sz w:val="20"/>
          <w:szCs w:val="20"/>
          <w:color w:val="auto"/>
        </w:rPr>
      </w:pPr>
    </w:p>
    <w:p>
      <w:pPr>
        <w:ind w:left="680" w:right="1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it, any determinations with respect to our operations, business direction and policies, including the appointment and removal of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or other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disposition of substantially all our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for our common units.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interests of GasLog may be different from yours. These actions may take place even if the holders of our Preference Units are opposed and therefore may adversely affect the market value of our Preference Units.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the partnership agreement does not restrict our ability to distribute cash or other property to our common unitholders and our general partner unless any quarterly distributions payable on any series of Preference Units are in arrears. Any distributions made to GasLog, as the owner of all of our outstanding common units, and our general partner, will reduce the amount of cash available to operate our business, and significant distributions may have a material adverse effect on our financial condition.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have not been rated, and ratings of any of our other securities may affect the trading price of the Preference Units.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adversely affect the value of our Preference Units.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Significant inflation and increased interest rates due to interest raises by the U.S. Federal Reserve and other central banks may lead prospective purchasers of our Preference Units to expect higher distribution yields, and higher interest rates may increase our borrowing costs and potentially decrease funds available for distributions. Accordingly, higher market interest rates could cause the market price of our Preference Units to decrease.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Preference Units are redeemable at our option.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may, at our option, redeem all or, from time to time, part of the Series A Preference Units on or after June 15, 2027, the Series B Preference Units on or after March 15, 2023 or the Series C Preference Units on or after March 15, 2024. If we redeem Series A, Series B or Series C Preference Units, redeemed unitholders will be entitled to receive a redemption price equal to $25.00 per unit plus accumulated and unpaid distributions to the date of redemption. We may elect to exercise our partial redemption right on multiple occasions.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and an increase in SOFR may adversely affect the value of and return on our Preference Units.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distribution rate for the Series B Preference Units has been determined based on the Term Secured Overnight Financing Rate (“SOFR”) for a three-month tenor published by the Chicago Mercantile Exchange (“CME”), from and including March 15, 2023. The distribution rate for the Series C Preference Units has been determined based on three-month SOFR published by the CME, from and including March 15, 2024. The distribution rate for the Series A Preference Units will be determined by the Partnership, from and including June 15, 2027, based on the terms of our partnership agreement and applicable Marshall Islands law regarding amending London Interbank Offered Rate (“LIBOR”) tenors for dollars based instruments. Under the current LIBOR fallback provisions for the Series A Preference Units, if there is no published LIBOR rate, the floating rate is expected to be the rate set during the prior interest rate period, which would be the current fixed rate of 8.625%.</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past, the level of SOFR has experienced significant fluctuations. Historical levels, fluctuations and trends of three-month SOFR are not necessarily indicative of future levels. Any historical upward or downward trend in SOFR is not an indication that SOFR is more or less likely to increase or decrease at any time during the floating rate period for a series of Preference Units, and you should not take the historical levels of SOFR as an indication of its future performance. Although the actual SOFR on a distribution payment date or at other times during a distribution period with respect to a series of Preference Units may be higher than the SOFR on the applicable distribution determination date for such series, you will not benefit from the SOFR at any time other than on the distribution determination date for such distribution period. As a result, changes in the SOFR may not result in a comparable change in the market value of our Preference Units in the future.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Preference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you.</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 Taxation of the Partnership”.</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F.3d 299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 2009), the United States Court of Appeals for the Fifth Circuit, or the “Fifth Circuit”, held that income derived from certain time-chartering activities should be treated as rental income rather than services income for purposes of a provision of the Internal Revenue Code,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 —PFIC Status and Significant Tax Consequences” for a more detailed discussion of the U.S. federal income tax consequences to U.S. unitholders if we are treated as a PFIC.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will reduce our cash flow.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We do not expect to qualify for an exemption from such U.S. federal income tax under a tax treaty but we expect to qualify for the exemption under Section 883 of the Code during the 2025 tax year. Even if we do not qualify for such an exemption, we do not currently expect any resulting U.S. federal income tax liability to be material or materially reduce the earnings available for distribution to holders of our Preference Units. For 2025, the estimated U.S. source gross transportation tax was $1.1 million. For a more detailed discussion, see the section entitled “Item 4. Information on the Partnership—B. Business Overview—Taxation of the Partnership—United States”.</w:t>
      </w:r>
    </w:p>
    <w:p>
      <w:pPr>
        <w:spacing w:after="0" w:line="16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income tax in one or more non-U.S. jurisdictions as a result of owning our Preference Units if, under the laws of any such jurisdiction, we are considered to be carrying on business there. Such laws may require you to file a tax return with, and pay taxes to, those jurisdictions.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PARTNERSHIP</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Partnership</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March 12, 2026, we have a fleet of 11 LNG carriers, including three vessels sold and leased back under bareboat charters, comprised of ten vessels with modern TFDE propulsion technology and one Steam vessel.</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Since the IPO we have completed additional equity offerings, the proceeds of which have been used (i) to partially fund the acquisition of 12 GasLog vessel owning subsidiaries, (ii) to pay down debt or (iii) for general corporate purposes.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6, 2023, GasLog entered into the Merger Agreement with GasLog, our general partner and the Merger Sub. Pursuant to the Merger Agreement with GasLog, (i) Merger Sub merged with and into the Partnership, with the Partnership surviving as a direct subsidiary of GasLog, and (ii) GasLog acquired the outstanding common units of the Partnership not beneficially owned by GasLog for overall consideration of $8.65 per common unit in cash, consisting in part of a special distribution by the Partnership of $3.28 per common unit in cash that was distributed to the Partnership’s unitholders in connection with the closing of the GasLog Partners Transaction and the remainder was paid by GasLog as merger consideration at the closing of the GasLog Partners Transaction.</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conflicts committee of the Partnership’s board of directors (“Conflicts Committee”), comprised solely of independent directors and advised by its own independent legal and financial advisors, unanimously recommended that the Partnership’s board of directors approve the Merger Agreement with GasLog and determined that the GasLog Partners Transaction was in the best interests of the Partnership and the holders of its common units unaffiliated with GasLog. Acting upon the recommendation and approval of the Conflicts Committee, the Partnership’s board of directors unanimously approved the Merger Agreement with GasLog and the GasLog Partners Transaction and recommended that the common unitholders of the Partnership vote in favor of the GasLog Partners Transaction.</w:t>
      </w:r>
    </w:p>
    <w:p>
      <w:pPr>
        <w:spacing w:after="0" w:line="17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The GasLog Partners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 The payment date for the Special Distribution was July 12, 2023. The GasLog Partners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Series A Preference Units, Series B Preference Units and Series C Preference Units remain outstanding and continue to trade on the NYSE.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12, 2026, GasLog holds 100% of the common units of the Partnership.</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210 459 1000.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In accordance with these requirements, we file reports and other information as a foreign private issuer with the SEC. You may inspect reports and other information regarding registrants, such as us, that file electronically with the SEC without charge at a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These documents and other important information on our governance are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The information contained on or connected to our website is not a part of this annual report.</w:t>
      </w:r>
    </w:p>
    <w:p>
      <w:pPr>
        <w:spacing w:after="0" w:line="143" w:lineRule="exact"/>
        <w:rPr>
          <w:sz w:val="20"/>
          <w:szCs w:val="20"/>
          <w:color w:val="auto"/>
        </w:rPr>
      </w:pPr>
    </w:p>
    <w:p>
      <w:pPr>
        <w:ind w:right="8140" w:firstLine="8"/>
        <w:spacing w:after="0" w:line="456" w:lineRule="auto"/>
        <w:tabs>
          <w:tab w:leader="none" w:pos="3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Since our IPO in May 2014, we have been an owner, operator and acquirer of LNG carriers. The Partnership’s owned and bareboat fleet consists of 11 LNG carriers, ten vessels with modern TFDE propulsion technology and one Steam vessel.</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All of our vessels were contributed to us by, or acquired by us from, GasLog. Our current charters have initial terms that expire between March 2026 and April 2030. Five of our vessels currently operate under long-term time charters (defined as charters with initial duration of more than three years) and six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Since the formation of the Partnership and the contribution of the three initial vessels in our fleet in 2014, we grew our fleet and our cash flows from 2014 to 2019 through the acquisition from GasLog of vessels with multi-year charters. However, since that time, as a result of the significant, ongoing challenges facing the entire listed midstream energy Master Limited Partnership (“MLP”) industry, our cost of equity capital has remained significantly elevated for a prolonged period, making the funding of new acquisitions challenging and uneconomic.</w:t>
      </w:r>
    </w:p>
    <w:p>
      <w:pPr>
        <w:spacing w:after="0" w:line="14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As of March 12, 2026, GasLog’s and GasLog Partners’ owned and bareboat fleet includes 35 LNG carriers, including 33 ships on the water and two LNG carriers on order from Hanwha.</w:t>
      </w:r>
    </w:p>
    <w:p>
      <w:pPr>
        <w:spacing w:after="0" w:line="16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22, 2021, GasLog announced that it had entered into a Merger Agreement with GEPIF. Under the Merger Agreement with GEPIF, GEPIF agreed to acquire all of the outstanding common shares of GasLog that were not held by the Rolling Shareholders of GasLog in exchange for $5.80 in cash per common share. On June 9, 2021, GasLog announced the completion of the GEPIF Transaction following the special general meeting of GasLog’s shareholders held virtually on June 4, 2021, where the GEPIF Transaction and the related agreements (i) the previously announced Merger Agreement with GEPIF, (ii) the merger and (iii) the statutory merger agreement contemplated by the Merger Agreement with GEPIF, received the requisite approval of GasLog’s shareholders required by the Merger Agreement with GEPIF. Trading in GasLog’s common shares on the NYSE, was suspended with immediate effect and the delisting of the common shares from the NYSE became effective on June 21, 2021. GasLog’s 8.75% Series A Cumulative Redeemable Perpetual Preference Shares remained outstanding and continued to trade on NYSE until their full redemption in May 2024. Following the consummation of the GEPIF Transaction on June 9, 2021, certain existing shareholders, including Blenheim Holdings, which is wholly owned by the Livanos family, and a wholly owned affiliate of the Onassis Foundation, held approximately 55% of the outstanding common shares of GasLog Ltd. and GEPIF held approximately 44.8%.</w:t>
      </w:r>
    </w:p>
    <w:p>
      <w:pPr>
        <w:spacing w:after="0" w:line="19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October 21, 2024, GasLog announced that GEPIF and GIC, a global institutional investor, entered into an agreement whereby GIC would acquire GEPIF’s approximately 45% ownership interest in GasLog. Following the consummation of the GIC Transaction in January 2025, the Rolling Shareholders continue to hold approximately 55% of the outstanding common shares of GasLog Ltd. and GIC holds approximately 45%.</w:t>
      </w:r>
    </w:p>
    <w:p>
      <w:pPr>
        <w:spacing w:after="0" w:line="17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30, 2023, we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a 155,000 cbm TFDE LNG carrier built in 2013 with a wholly owned subsidiary of CDBL for a period of five years with no repurchase option or obligation.</w:t>
      </w:r>
    </w:p>
    <w:p>
      <w:pPr>
        <w:spacing w:after="0" w:line="1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GasLog acquired the outstanding common units of the Partnership not already beneficially owned by GasLog. See “Item 4. Information of the Partnership––A. History and Development of the Partnership”.</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August 27, 2024, we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a 155,000 cbm TFDE LNG carrier built in 2013 with a wholly-owned subsidiary of CDBL for a period of three years with no repurchase option or obligation.</w:t>
      </w:r>
    </w:p>
    <w:p>
      <w:pPr>
        <w:spacing w:after="0" w:line="158"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4, 2025,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a 145,000 cbm Steam LNG carrier built in 2007, was redelivered to its owners, an unrelated third party, pursuant to the completion of the sale and leaseback agreement entered into on October 31, 2022.</w:t>
      </w:r>
    </w:p>
    <w:p>
      <w:pPr>
        <w:spacing w:after="0" w:line="158"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15, 2025, we completed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a 145,000 cbm Steam LNG carrier built in 2007, to an unrelated third party.</w:t>
      </w:r>
    </w:p>
    <w:p>
      <w:pPr>
        <w:spacing w:after="0" w:line="158"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13, 2025, we completed the sale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a 145,000 cbm Steam LNG carrier built in 2006, to an unrelated third party.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wholly-owned fleet as of March 12,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4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Charterer (for contracts of</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(cbm)   ​​​</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 six months)</w:t>
            </w:r>
          </w:p>
        </w:tc>
        <w:tc>
          <w:tcPr>
            <w:tcW w:w="820" w:type="dxa"/>
            <w:vAlign w:val="bottom"/>
            <w:gridSpan w:val="2"/>
            <w:vMerge w:val="continue"/>
          </w:tcPr>
          <w:p>
            <w:pPr>
              <w:spacing w:after="0"/>
              <w:rPr>
                <w:sz w:val="15"/>
                <w:szCs w:val="15"/>
                <w:color w:val="auto"/>
              </w:rPr>
            </w:pPr>
          </w:p>
        </w:tc>
        <w:tc>
          <w:tcPr>
            <w:tcW w:w="136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4"/>
                <w:szCs w:val="14"/>
                <w:b w:val="1"/>
                <w:bCs w:val="1"/>
                <w:color w:val="auto"/>
              </w:rPr>
              <w:t>​​​  Expiration</w:t>
            </w:r>
            <w:r>
              <w:rPr>
                <w:rFonts w:ascii="Times New Roman" w:cs="Times New Roman" w:eastAsia="Times New Roman" w:hAnsi="Times New Roman"/>
                <w:sz w:val="20"/>
                <w:szCs w:val="20"/>
                <w:b w:val="1"/>
                <w:bCs w:val="1"/>
                <w:color w:val="auto"/>
                <w:vertAlign w:val="superscript"/>
              </w:rPr>
              <w:t>(1)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Period</w:t>
            </w:r>
          </w:p>
        </w:tc>
        <w:tc>
          <w:tcPr>
            <w:tcW w:w="0" w:type="dxa"/>
            <w:vAlign w:val="bottom"/>
          </w:tcPr>
          <w:p>
            <w:pPr>
              <w:spacing w:after="0"/>
              <w:rPr>
                <w:sz w:val="1"/>
                <w:szCs w:val="1"/>
                <w:color w:val="auto"/>
              </w:rPr>
            </w:pP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GasLog Greece</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174,000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w w:val="91"/>
              </w:rPr>
              <w:t>n/a</w:t>
            </w:r>
            <w:r>
              <w:rPr>
                <w:rFonts w:ascii="Times New Roman" w:cs="Times New Roman" w:eastAsia="Times New Roman" w:hAnsi="Times New Roman"/>
                <w:sz w:val="24"/>
                <w:szCs w:val="24"/>
                <w:color w:val="auto"/>
                <w:w w:val="91"/>
                <w:vertAlign w:val="superscript"/>
              </w:rPr>
              <w:t>(2)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Methane Rita Andrea</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2006</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5"/>
              </w:rPr>
              <w:t>145,000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Asian LNG buyer</w:t>
            </w:r>
          </w:p>
        </w:tc>
        <w:tc>
          <w:tcPr>
            <w:tcW w:w="1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Steam</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GasLog Glasgow</w:t>
            </w:r>
          </w:p>
        </w:tc>
        <w:tc>
          <w:tcPr>
            <w:tcW w:w="5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2016</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174,000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GasLog Seattle</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2013</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5"/>
              </w:rPr>
              <w:t>155,000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Energy Trading &amp; Marketing Firm</w:t>
            </w:r>
          </w:p>
        </w:tc>
        <w:tc>
          <w:tcPr>
            <w:tcW w:w="1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2026</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i w:val="1"/>
                <w:iCs w:val="1"/>
                <w:color w:val="auto"/>
              </w:rPr>
              <w:t>GasLog Geneva</w:t>
            </w:r>
          </w:p>
        </w:tc>
        <w:tc>
          <w:tcPr>
            <w:tcW w:w="5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2016</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174,000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2028</w:t>
            </w:r>
          </w:p>
        </w:tc>
        <w:tc>
          <w:tcPr>
            <w:tcW w:w="700" w:type="dxa"/>
            <w:vAlign w:val="bottom"/>
            <w:gridSpan w:val="2"/>
            <w:shd w:val="clear" w:color="auto" w:fill="CCEEFF"/>
          </w:tcPr>
          <w:p>
            <w:pPr>
              <w:jc w:val="center"/>
              <w:ind w:left="58"/>
              <w:spacing w:after="0" w:line="216" w:lineRule="exact"/>
              <w:rPr>
                <w:sz w:val="20"/>
                <w:szCs w:val="20"/>
                <w:color w:val="auto"/>
              </w:rPr>
            </w:pPr>
            <w:r>
              <w:rPr>
                <w:rFonts w:ascii="Times New Roman" w:cs="Times New Roman" w:eastAsia="Times New Roman" w:hAnsi="Times New Roman"/>
                <w:sz w:val="17"/>
                <w:szCs w:val="17"/>
                <w:color w:val="auto"/>
                <w:w w:val="97"/>
              </w:rPr>
              <w:t>2031</w:t>
            </w:r>
            <w:r>
              <w:rPr>
                <w:rFonts w:ascii="Times New Roman" w:cs="Times New Roman" w:eastAsia="Times New Roman" w:hAnsi="Times New Roman"/>
                <w:sz w:val="25"/>
                <w:szCs w:val="25"/>
                <w:color w:val="auto"/>
                <w:w w:val="97"/>
                <w:vertAlign w:val="superscript"/>
              </w:rPr>
              <w:t>(2)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i w:val="1"/>
                <w:iCs w:val="1"/>
                <w:color w:val="auto"/>
              </w:rPr>
              <w:t>GasLog Gibraltar</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2016</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5"/>
              </w:rPr>
              <w:t>174,000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2028</w:t>
            </w:r>
          </w:p>
        </w:tc>
        <w:tc>
          <w:tcPr>
            <w:tcW w:w="700" w:type="dxa"/>
            <w:vAlign w:val="bottom"/>
            <w:gridSpan w:val="2"/>
          </w:tcPr>
          <w:p>
            <w:pPr>
              <w:jc w:val="center"/>
              <w:ind w:left="58"/>
              <w:spacing w:after="0" w:line="216" w:lineRule="exact"/>
              <w:rPr>
                <w:sz w:val="20"/>
                <w:szCs w:val="20"/>
                <w:color w:val="auto"/>
              </w:rPr>
            </w:pPr>
            <w:r>
              <w:rPr>
                <w:rFonts w:ascii="Times New Roman" w:cs="Times New Roman" w:eastAsia="Times New Roman" w:hAnsi="Times New Roman"/>
                <w:sz w:val="17"/>
                <w:szCs w:val="17"/>
                <w:color w:val="auto"/>
                <w:w w:val="97"/>
              </w:rPr>
              <w:t>2031</w:t>
            </w:r>
            <w:r>
              <w:rPr>
                <w:rFonts w:ascii="Times New Roman" w:cs="Times New Roman" w:eastAsia="Times New Roman" w:hAnsi="Times New Roman"/>
                <w:sz w:val="25"/>
                <w:szCs w:val="25"/>
                <w:color w:val="auto"/>
                <w:w w:val="97"/>
                <w:vertAlign w:val="superscript"/>
              </w:rPr>
              <w:t>(2)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i w:val="1"/>
                <w:iCs w:val="1"/>
                <w:color w:val="auto"/>
              </w:rPr>
              <w:t>Methane Becki Anne</w:t>
            </w:r>
          </w:p>
        </w:tc>
        <w:tc>
          <w:tcPr>
            <w:tcW w:w="5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2010</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170,000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i w:val="1"/>
                <w:iCs w:val="1"/>
                <w:color w:val="auto"/>
              </w:rPr>
              <w:t>Solaris</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2014</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5"/>
              </w:rPr>
              <w:t>155,000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Kansai</w:t>
            </w:r>
          </w:p>
        </w:tc>
        <w:tc>
          <w:tcPr>
            <w:tcW w:w="1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2030</w:t>
            </w:r>
          </w:p>
        </w:tc>
        <w:tc>
          <w:tcPr>
            <w:tcW w:w="1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Indicates the expiration of the initial term.</w:t>
      </w:r>
    </w:p>
    <w:p>
      <w:pPr>
        <w:spacing w:after="0" w:line="203" w:lineRule="exact"/>
        <w:rPr>
          <w:rFonts w:ascii="Times New Roman" w:cs="Times New Roman" w:eastAsia="Times New Roman" w:hAnsi="Times New Roman"/>
          <w:sz w:val="11"/>
          <w:szCs w:val="11"/>
          <w:color w:val="231F20"/>
        </w:rPr>
      </w:pPr>
    </w:p>
    <w:p>
      <w:pPr>
        <w:ind w:left="340" w:hanging="332"/>
        <w:spacing w:after="0"/>
        <w:tabs>
          <w:tab w:leader="none" w:pos="340" w:val="left"/>
        </w:tabs>
        <w:numPr>
          <w:ilvl w:val="0"/>
          <w:numId w:val="24"/>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There is no active contract with initial durations of more than six months.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6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Charterer (for contracts of</w:t>
            </w: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​​​Propulsion ​​​</w:t>
            </w: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5"/>
        </w:trPr>
        <w:tc>
          <w:tcPr>
            <w:tcW w:w="2960" w:type="dxa"/>
            <w:vAlign w:val="bottom"/>
            <w:gridSpan w:val="2"/>
            <w:vMerge w:val="continue"/>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(cbm)</w:t>
            </w:r>
          </w:p>
        </w:tc>
        <w:tc>
          <w:tcPr>
            <w:tcW w:w="440" w:type="dxa"/>
            <w:vAlign w:val="bottom"/>
            <w:gridSpan w:val="2"/>
            <w:vMerge w:val="continue"/>
          </w:tcPr>
          <w:p>
            <w:pPr>
              <w:spacing w:after="0"/>
              <w:rPr>
                <w:sz w:val="15"/>
                <w:szCs w:val="15"/>
                <w:color w:val="auto"/>
              </w:rPr>
            </w:pPr>
          </w:p>
        </w:tc>
        <w:tc>
          <w:tcPr>
            <w:tcW w:w="24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more than six months)</w:t>
            </w:r>
          </w:p>
        </w:tc>
        <w:tc>
          <w:tcPr>
            <w:tcW w:w="1100" w:type="dxa"/>
            <w:vAlign w:val="bottom"/>
            <w:gridSpan w:val="4"/>
            <w:vMerge w:val="continue"/>
          </w:tcPr>
          <w:p>
            <w:pPr>
              <w:spacing w:after="0"/>
              <w:rPr>
                <w:sz w:val="15"/>
                <w:szCs w:val="15"/>
                <w:color w:val="auto"/>
              </w:rPr>
            </w:pPr>
          </w:p>
        </w:tc>
        <w:tc>
          <w:tcPr>
            <w:tcW w:w="1060" w:type="dxa"/>
            <w:vAlign w:val="bottom"/>
          </w:tcPr>
          <w:p>
            <w:pPr>
              <w:jc w:val="center"/>
              <w:ind w:right="20"/>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Period</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4"/>
                <w:szCs w:val="24"/>
                <w:color w:val="auto"/>
                <w:vertAlign w:val="superscript"/>
              </w:rPr>
              <w:t>(3)</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ind w:right="216"/>
              <w:spacing w:after="0" w:line="210" w:lineRule="exact"/>
              <w:rPr>
                <w:sz w:val="20"/>
                <w:szCs w:val="20"/>
                <w:color w:val="auto"/>
              </w:rPr>
            </w:pPr>
            <w:r>
              <w:rPr>
                <w:rFonts w:ascii="Times New Roman" w:cs="Times New Roman" w:eastAsia="Times New Roman" w:hAnsi="Times New Roman"/>
                <w:sz w:val="24"/>
                <w:szCs w:val="24"/>
                <w:color w:val="auto"/>
                <w:vertAlign w:val="subscript"/>
              </w:rPr>
              <w:t>n/a</w:t>
            </w:r>
            <w:r>
              <w:rPr>
                <w:rFonts w:ascii="Times New Roman" w:cs="Times New Roman" w:eastAsia="Times New Roman" w:hAnsi="Times New Roman"/>
                <w:sz w:val="11"/>
                <w:szCs w:val="1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GasLog Sydney</w:t>
            </w:r>
          </w:p>
        </w:tc>
        <w:tc>
          <w:tcPr>
            <w:tcW w:w="52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9"/>
              </w:rPr>
              <w:t>2013</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5"/>
              </w:rPr>
              <w:t>155,000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tcPr>
          <w:p>
            <w:pPr>
              <w:jc w:val="center"/>
              <w:ind w:right="216"/>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1"/>
                <w:szCs w:val="11"/>
                <w:color w:val="auto"/>
              </w:rPr>
              <w:t>(2)</w:t>
            </w:r>
          </w:p>
        </w:tc>
        <w:tc>
          <w:tcPr>
            <w:tcW w:w="16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TFDE</w:t>
            </w: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GasLog Santiago</w:t>
            </w:r>
          </w:p>
        </w:tc>
        <w:tc>
          <w:tcPr>
            <w:tcW w:w="52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2013</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155,000</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Major Energy Exploration Company</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TFDE</w:t>
            </w:r>
          </w:p>
        </w:tc>
        <w:tc>
          <w:tcPr>
            <w:tcW w:w="10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March 2026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the expiration of the initial term.</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There is no active contract with initial duration of more than six months.</w:t>
      </w:r>
    </w:p>
    <w:p>
      <w:pPr>
        <w:spacing w:after="0" w:line="201"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In October 2026,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xml:space="preserve"> will be redelivered to its owners upon completion of the sale and leaseback agreement and will exit our fleet.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characteristics of our current fleet include the following:</w:t>
      </w:r>
    </w:p>
    <w:p>
      <w:pPr>
        <w:spacing w:after="0" w:line="225" w:lineRule="exact"/>
        <w:rPr>
          <w:sz w:val="20"/>
          <w:szCs w:val="20"/>
          <w:color w:val="auto"/>
        </w:rPr>
      </w:pPr>
    </w:p>
    <w:p>
      <w:pPr>
        <w:jc w:val="both"/>
        <w:ind w:left="680" w:right="20" w:hanging="321"/>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double-hulled, which is standard in the LNG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14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ships is equipped with a steam turbine or TFDE propulsion technology;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Bermuda is the flag state of each ship;</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TFDE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bareboat fleet has an average age of 12.2 years, compared to a current average age of approximately 10.3 years for the global trading LNG carrier fleet including LNG carriers of all sizes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charters for our fleet.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Market (defined as vessels with charter parties with initial duration of more than three years)</w:t>
      </w:r>
    </w:p>
    <w:p>
      <w:pPr>
        <w:spacing w:after="0" w:line="225"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began upon its acquisition by GasLog in 2015 and will terminate in 2029 following the declaration of the five-year option charter period by MSL. There are no other options remaining.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began upon delivery of the ship and will terminate in 2026.</w:t>
      </w:r>
    </w:p>
    <w:p>
      <w:pPr>
        <w:spacing w:after="0" w:line="225"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both will terminate in 2028 following the declaration of the five-year charter extension option by MSL. MSL has the option to further extend the terms of both charters for a period of three years each, all at specified hire rates. These are the final extension options that MSL has.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commenced a multi-year time charter with Kansai in October 2023 which will terminate in March 2030.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Spot Market (defined as vessels with charter parties with initial duration of less than three years)</w:t>
      </w:r>
    </w:p>
    <w:p>
      <w:pPr>
        <w:spacing w:after="0" w:line="225"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are operating in the spot market, providing flexibility to capitalize on short-term opportunities. The vessels are owned by a wholly owned subsidiary of CDBL and leased back to a subsidiary of GasLog Partners.</w:t>
      </w:r>
    </w:p>
    <w:p>
      <w:pPr>
        <w:spacing w:after="0" w:line="158"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commenced a multi-year time charter agreement with an Asian LNG buyer in October 2023 which will terminate in March 2026.</w:t>
      </w:r>
    </w:p>
    <w:p>
      <w:pPr>
        <w:spacing w:after="0" w:line="158"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time charter to a major energy exploration company for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in December 2023 and will terminate in March 2026. The vessel is owned by a subsidiary of CDBL and leased back to a subsidiary of GasLog Partners.</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commenced a one-year charter with an Energy Trading &amp; Marketing Firm in November 2025 which will terminate in November 2026.</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is currently operating in the spot market, providing flexibility to capitalize on short-term opportunities.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dollars.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hire rates provided for under the time charters of our ships include only one component that is a fixed daily amount that may increase during any optional period.</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8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Ships are considered to be on a scheduled off-hire under our time charters during such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Management and Maintenance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our time charters, we are responsible for the technical management of our ships.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 owned subsidiary of GasLog. See “Item 7. Major Unitholders and Related Party Transactions—B. Related Party Transactions—Ship Management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Six of our vessels (one Steam and five TFDE) operate in the spot charter market that covers short-term charters of less than three years. In the future, more of our vessels may operate in the more volatile spot charter market.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2025, GasLog employed (directly and through manning agents) approximately 1,868 seafaring staff who serve on GasLog’s owned and managed vessels (including our fleet) as well as an average of 143 shore-based staff during 2025.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2025, the retention rate was 98.3% for senior seagoing officers, 95.6% for other seagoing officers and 98.6% for shore staff.</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Based on our maintenance standards and the condition of the vessels we expect we will be able to retain the five-year cycle of dry-docking and maintain this assumption for budgeting and operations planning.</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(“ISM”) certification and is currently “in class”.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fleet:</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Dry-docking</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Ship Name</w:t>
            </w:r>
            <w:r>
              <w:rPr>
                <w:rFonts w:ascii="Times New Roman" w:cs="Times New Roman" w:eastAsia="Times New Roman" w:hAnsi="Times New Roman"/>
                <w:sz w:val="21"/>
                <w:szCs w:val="21"/>
                <w:b w:val="1"/>
                <w:bCs w:val="1"/>
                <w:color w:val="auto"/>
                <w:vertAlign w:val="superscript"/>
              </w:rPr>
              <w:t>(*)</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6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Special Survey</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12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120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12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120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12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20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12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1" w:lineRule="exact"/>
        <w:rPr>
          <w:sz w:val="20"/>
          <w:szCs w:val="20"/>
          <w:color w:val="auto"/>
        </w:rPr>
      </w:pPr>
    </w:p>
    <w:p>
      <w:pPr>
        <w:ind w:right="100" w:firstLine="8"/>
        <w:spacing w:after="0" w:line="220" w:lineRule="auto"/>
        <w:tabs>
          <w:tab w:leader="none" w:pos="162"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The next dry-dockings of the bareboat vessels </w:t>
      </w:r>
      <w:r>
        <w:rPr>
          <w:rFonts w:ascii="Times New Roman" w:cs="Times New Roman" w:eastAsia="Times New Roman" w:hAnsi="Times New Roman"/>
          <w:sz w:val="13"/>
          <w:szCs w:val="13"/>
          <w:i w:val="1"/>
          <w:iCs w:val="1"/>
          <w:color w:val="auto"/>
        </w:rPr>
        <w:t>GasLog Shanghai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GasLog Santiago</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xml:space="preserve"> are not included in the above table since they will not be in our bareboat fleet at the time of their next dry-dockings.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incidents, and the liabilities arising from owning and operating ships in international trade.</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hull and machinery insurance on all our ships against marine and war risks at a Total Loss limit amount determined by the most recent brokers’ valuation and our mortgage’s insurance covenants, as deemed to be prudent. In addition, we maintain protection and indemnity insurance on all our ships up to the maximum insurable limit available at any given time by the International Group of P&amp;I Clubs. We also maintain cyber insurance coverage on all of our ships. The insurance coverage is described in more detail below. While we believe that our insurance coverage is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incident and 21 days for secondary membrane cargo tank claims only. In addition to the loss of hire insurance, we also place delay insurance which, like loss of hire, covers all owned vessels for time lost due to events falling under the terms of our hull and machinery insurance, plus additional protection and indemnity-related incidents. The cover has a deductible of seven days with a maximum of seven days (which takes it up to the loss of hire deductible of 14 days) for H&amp;M losses, two days with a maximum of 12 days for ship-related perils, and a maximum of 5 days for shoreside perils. The hire rate is aligned with or is higher than the loss of hire insurance daily sum insured.</w:t>
      </w:r>
    </w:p>
    <w:p>
      <w:pPr>
        <w:spacing w:after="0" w:line="19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West Africa, the Indian Ocean and Gulf of Aden to insure against potential losses relating to the hijacking of a ship and its crew by pirates. The cover has a maximum of 180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85% of the world’s commercial tonnage and have entered into a pooling agreement to reinsure each association’s liabilities. Insurance provided by a P&amp;I association is a form of mutual indemnity insurance.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have insurance coverage for cyber-related vessel hull &amp; machinery risks. Our policy covers physical damage to any of our vessels up to $50.0 million per vessel with a fleet aggregate limit of $150.0 million.</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also purchased an additional cyber product which complements the existing vessel hull &amp; machinery cyber cover for losses in excess of $0.1 million and up to $10.0 million and provides coverage irrespective of cause (malicious act, terror or negligence) for the core Enterprise risks including:</w:t>
      </w:r>
    </w:p>
    <w:p>
      <w:pPr>
        <w:spacing w:after="0" w:line="176"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Defense Costs and Remediation costs (including public relation costs as remediation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repair/replacement of Loss or Damage to IT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Restoration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Loss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(does not need to be caused by a Physical damage event)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Illegal/unlawful demands (ransom)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E-theft financial Loss (instructions for transfer of money, credit, securities etc.)</w:t>
      </w:r>
    </w:p>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insurance company also provides pre-risk assessment and advice that may reduce GasLog’s cyber exposure and chance of claim.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GasLog provides intensive onboard and ashore training for its officers and crews to instill a culture of the highest operational and safety standards. During 2025, GasLog Partners’ fleet experienced one lost time incident and one first aid case.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and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water discharges and air emissions. However, because environmental laws and regulations are subject to frequent change and may impose increasingly strict requirements, it is difficult to predict accurately the ultimate cost of complying with these requirements or the impact of these requirements on the resale value or useful lives of our ships. Moreover, additional legislation or regulation applicable to the operation of our ships that may be implemented in the future, such as in response to a serious marine incident like the 2010 Deepwater Horizon oil spill in the Gulf of Mexico, could limit our ability to do business or negatively affect our profitability</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Maritime Regulations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Standards of Training, Certification and Watchkeeping for Seafarers (“STCW”), MARPOL, the International Convention on Civil Liability for Oil Pollution Damage, the International Convention on Civil Liability for Bunker Oil Pollution Damage and the Hong Kong International Convention for the Safe and Environmentally Sound Recycling of Ships (the “Hong Kong Convention”).</w:t>
      </w:r>
    </w:p>
    <w:p>
      <w:pPr>
        <w:spacing w:after="0" w:line="187"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these standards, at minimum. The current version of SOLAS is the 1974 version, known as SOLAS 1974, which came into force in 1980. As of January 2026, SOLAS 1974 had 171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Ships that transport gas, including LNG carriers, are subject to regulations under amendments to SOLAS, including the International Safety Management Code for the Safe Operation of Ships and for Pollution Prevention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 these requirements. GasLog LNG Services is also subject to the International Code for Construction and Equipment of Ships Carrying Liquefied Gases in Bulk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decreased availability of insurance coverage for affected ships and may result in the denial of access to, or detention in, some 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STCW 1978 entered into force in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marking a major revision of the STCW Convention and Code, entered into force in 2012 under the tacit acceptance procedure and were designed to bring the Convention and Code up to date with developments since they were initially adopted and to enable them to address issues that were anticipated to emerge in the foreseeable future.</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and such standards are updated and revised periodically. In 1997, the IMO adopted Annex VI to MARPOL to address air pollution from ships, which came into force in 2005 and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2008, MEPC approved amendments to Annex VI regarding particulate matter, nitrogen oxide and sulfur oxide emissions standards, which became effective in 2010. These requirements established a series of progressive standards to further limit the sulfur content in fuel oil, which were phased in between 2012 and 2020, as well as new tiers of nitrogen oxide emission standards for new marine diesel engines, depending on their date of installation. As of 2020, ships must either use low sulfur fuel (and may, as a result, be required to undertake necessary fuel tank modification) to comply with a global sulfur cap of 0.5 percent m/m or be fitted with exhaust gas scrubbers. Additionally, more stringent emission standards may apply in coastal areas designated as Emission Control Areas (“ECAs”). Currently, the Baltic Sea area, the North Sea area, the Mediterranean Sea, certain coastal areas of North America (off of the United States and Canada) and the U.S. Caribbean Sea area (around Puerto Rico and the United States Virgin Islands) are designated as ECAs. Within the ECAs, the use of fuel oil with a sulfur content not exceeding 0.10% or the use of an exhaust gas cleaning system is mandatory. At MEPC 82, amendments to Annex VI designating the Canadian Arctic and Norwegian Sea as two new ECAs for nitrogen oxides, sulfur oxides and particulate matter were adopted. The amendments entered into force on March 1, 2026. At MEPC 83, the IMO approved a proposal to designate the North-East Atlantic Ocean as an ECA, although the proposal has not yet been adopted. Additional ECAs may be established in the future.</w:t>
      </w:r>
    </w:p>
    <w:p>
      <w:pPr>
        <w:spacing w:after="0" w:line="19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European Union Directive 2005/33/EC, which became effective in 2010, parallels Annex VI and requires ships to use reduced sulfur content fuel for their main and auxiliary engines. In 2020, the IMO adopted amendments to MARPOL Annex I to prohibit the use of Heavy Fuel Oil in Arctic waters from July 2024. The amendment prohibits the use of oils having a density at 15°C higher than 900 kg/m3 or a kinematic viscosity at 50°C higher than 180 mm2/s. Parties to MARPOL with coastlines bordering Arctic waters may temporarily waive the requirements for ships flying their flags while operating in waters subject to that Party’s sovereignty or jurisdiction until July 1, 2029. Our vessels are required to adhere to this prohibition. Our fleet complies with the relevant legislation and has the relevant certificates, including certificates evidencing compliance with Annex VI of the MARPOL Convention.</w:t>
      </w:r>
    </w:p>
    <w:p>
      <w:pPr>
        <w:spacing w:after="0" w:line="18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to certain defenses and limitations under certain circumstances. Ships carrying more than 2,000 gross tons of oil, and trading to states that are parties to this convention, must maintain evidence of insurance in an amount covering the potential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IMO has also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regulatory regime. We maintain insurance in respect of our ships that satisfies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Hong Kong Convention entered into force on June 26, 2025. The Hong Kong Convention introduces regulations covering the design, construction, operation and preparation of ships in order to facilitate recycling and the operation of ship recycling facilities and establishes an enforcement mechanism for ship recycling, incorporating certification and reporting requirements. Pursuant to the Convention, ships must have an Inventory of Hazardous Materials specific to each ship on board, which must be prepared and verified in line with IMO guidelines. In addition to that initial verification, ships will be subject to additional surveys during the life of the ship, and a final survey prior to recycling.</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spacing w:after="0" w:line="168" w:lineRule="exact"/>
        <w:rPr>
          <w:sz w:val="20"/>
          <w:szCs w:val="20"/>
          <w:color w:val="auto"/>
        </w:rPr>
      </w:pPr>
    </w:p>
    <w:p>
      <w:pPr>
        <w:ind w:firstLine="324"/>
        <w:spacing w:after="0" w:line="217"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(Maritime) Session in 2006, which established minimum working and living conditions for seafarers. The convention entered into force August 20, 2013, and amendments were approved by the International Labour Conference at its 103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Session in 2014. The convention established a single, coherent instrument embodying all up to date standards of existing international maritime labour conventions and recommendations to the extent practicable, as well as the fundamental principles to be found in other international labour conventions.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for all containment and cleanup costs and other damages arising from oil spills from their ships (unless the spill results solely from the act or omission of a third party, an act of God or an act of war). Effective March 23, 2023, OPA increased the limit of liability of responsible parties with respect to ships over 3,000 gross tons to the greater of $2,500 per gross ton or $21.5 million per double hull ship and continues to permit individual states to impose their own liability regimes with regard to oil pollution incidents occurring within their territorial seas.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8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2010 Deepwater Horizon oil spill, could result in amendments to these limitations or other regulatory changes in the future. We maintain the maximum pollution liability coverage amount of $1.0 billion per incident for our ships. We also believe that we are and will be in substantial compliance with OPA, CERCLA and all applicable state regulations in the ports where our ships call.</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Clean Water Act of 1972 (“CWA”) prohibits the discharge of oil, hazardous substances and ballast water in U.S. navigable waters unless authorized by a duly 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In 2013, the EPA published a new VGP that included numeric effluent limits for ballast water expressed as the maximum concentration of living organisms in ballast water. The VGP also imposed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required the EPA and Coast Guard to develop new performance standards and enforcement regulations. In 2024, the EPA issued Vessel Incidental Discharge National Standards of Performance, new final regulations pursuant to VIDA which set discharge standards that are as least as stringent as the VGP. These new standards are enforceable through U.S. Coast Guard regulations, which must be promulgated within two years. Until the Coast Guard’s regulations are final and enforceable, vessels will continue to be subject to the existing discharge requirements under the 2013 VGP. We have submitted NOIs for our fleet and intend to submit NOIs for our ships in the future, where required, and do not believe that the costs associated with obtaining and complying with the VGP will have a material impact on our operations. Management is still assessing the costs associated with complying with the Vessel Incidental Discharge National Standards of Performance and their impact on our operations.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In April 2010, the EPA adopted final emission standards for Category 3 marine diesel engines equivalent to those adopted in the amendments to Annex VI to MARPOL.</w:t>
      </w:r>
    </w:p>
    <w:p>
      <w:pPr>
        <w:spacing w:after="0" w:line="18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CAA also requires states to adopt State Implementation Plans (“SIPs”), which are designed to attain national health-based air quality standards. Several SIPs regulate emissions resulting from ship loading and unloading operations by requiring the installation of vapor control equipment. The MEPC has designated the area extending 200 miles from the territorial sea baseline adjacent to the Atlantic/Gulf and Pacific coasts and the eight main Hawaiian Islands, Baltic Sea, Mediterranean Sea, North Sea and Caribbean Sea as ECAs under Annex VI amendments. In 2024, the MEPC adopted amendments to MARPOL Annex VI to designate the Canadian Arctic and Norwegian Sea as two new ECAs for nitrogen oxides, sulfur oxides and particulate matter, which entered into force on March 1, 2026. At MEPC 83, the IMO approved a proposal to designate the North-East Atlantic Ocean as an ECA, although the proposal has not yet been adopted. Fuel used by vessels operating in an ECA cannot exceed 0.1% (mass by mass) sulfur, and vessels must comply with NOx after-treatment requirements. Our vessels can store and burn low-sulfur fuel oil or alternatively burn natural gas which contains no sulfur. Additionally, burning natural gas will ensure compliance with IMO ECA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and the required equipment was installed to all of our remaining ships during their dry-dockings. The MEPC is currently reviewing the provisions of the BWM Convention and may adopt amendments by MEPC 85.</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July 2011, MEPC adopted two initial sets of mandatory requirements to address GHG emissions from ships: the Energy Efficiency Design Index, which requires a minimum energy efficiency level per capacity mile and is applicable to new vessels, and the Ship Energy Efficiency Management Plan, which is applicable to existing operating vessels. The requirements, which entered into force in 2013, were fully implemented by GasLog as of December 2012 and have been implemented by the Partnership as well.</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June 2021, MEPC finalized and adopted amendments to the MARPOL Annex VI that require ships to reduce their GHG emissions. These amendments combined technical and operational approaches to improve the energy efficiency of ships via introduction of the Energy Efficiency Existing Ships Index (“EEXI”) and Carbon Intensity Indicator (“CII”), and established a framework for later GHG reduction measures. These amendments entered into force in 2022, and the requirements for EEXI and CII certification came into effect in 2023. The EEXI, which indicates the energy efficiency of a ship compared to a baseline, must be implemented for existing ships as technical measures to reduce CO2 emissions. The CII is calculated annually and implemented as an operational carbon intensity measure to benchmark and improve efficiency. The current regulations and framework were initially required to be reviewed by MARPOL by January 1, 2026. IMO has postponed the review beyond 2026.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IMO’s efforts to combat climate change, the IMO adopted an initial GHG emissions reduction strategy in April 2018. This strategy established levels of ambition for emissions reductions subject to ongoing reviews by the organization. The ambition levels considered potential improvements on vessel design and operational performance as well as the immediate need to introduce low/zero carbon fuels, and introduced a list of candidate short-term, mid-term and long-term measures to support the IMO’s ambition levels. In 2023, the IMO adopted the 2023 IMO Strategy on Reduction of GHG Emissions from Ships, a framework for Member States that provided new mid-term emissions reduction goals and guidance. The new strategy built upon the initial GHG strategy’s levels of ambition. The revised levels of ambition include (1) further decreasing the carbon intensity from ships through improvement of energy efficiency; (2) reducing carbon intensity of international shipping; (3) increasing adoption of zero or near-zero emissions technologies, fuels, and energy sources; and (4) achieving net zero GHG emissions from international shipping. In April 2025 at MEPC 83, MEPC approved the draft legal text of a NZF. The NZF includes a marine fuel standard that requires ships to gradually phase in fuels with lower GHG emissions intensity and a global GHG emissions pricing mechanism, and is scheduled for further discussions and possible adoption in October 2026. The NZF, if adopted, would enter into force no earlier than 2028 and require compliance no earlier than 2029. The postponement allows for further technical and political discussions and may result in revisions to the NZF prior to adoption. This delay may materially affect the final structure and implementation of the framework, including potential adjustments to the mid-term measure of GHG Fuel Intensity (“GFI”) standard. Potential long-term emissions reduction measures may be finalized and agreed by MEPC beyond 2030. At the same time, continued uncertainty at the IMO level may increase the likelihood of regional regulatory initiatives addressing GHG emissions from shipping.</w:t>
      </w:r>
    </w:p>
    <w:p>
      <w:pPr>
        <w:spacing w:after="0" w:line="19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the EU, the MRV Regulation (Monitoring, Reporting, Verification), which entered into force in 2015, requires large vessels entering European Union ports to monitor, report and verify their CO2 emissions as of January 1, 2018. In 2023, regulations for the EU-wide trading scheme for industrial GHG emissions, the EU ETS, were amended in order to include emissions from maritime transport activities and to require the monitoring, reporting and verification of emissions of additional GHGs and emissions from additional ship types. In 2024, the EU ETS was extended to cover CO2 emissions from all large ships (of 5,000 gross tonnage and above) entering EU ports, and began to apply to methane and nitrous oxide emissions from January 1, 2026. Shipping companies need to buy and surrender allowances that correspond to the emissions covered by the system. Additionally, in 2025, the Fuel EU Maritime Regulation began to require ships above 5,000 GT transporting cargo or passengers for commercial purposes in the EU to meet annual well-to-wake GHG emissions intensity targets. Ships failing to meet the GHG intensity targets will generate negative compliance balance and as a result, entities responsible for ship compliance will have to pay penalties proportional to such compliance deficits.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the EPA has adopted regulations under the CAA to limit GHG emissions from certain mobile sources, although these requirements do not currently apply to GHG emissions from ships. In addition, the Paris Agreement, which entered into force on November 4, 2016, established an international framework for reducing global GHG emissions,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w:t>
      </w:r>
    </w:p>
    <w:p>
      <w:pPr>
        <w:spacing w:after="0" w:line="18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Any passage of climate control legislation or other regulatory initiatives by the IMO, the European Union, the United States or other countries where we operate, or any treaty adopted or amended at the international level that restricts emissions of GHGs could require us to make significant expenditures that we cannot predict with certainty at this time.</w:t>
      </w:r>
    </w:p>
    <w:p>
      <w:pPr>
        <w:spacing w:after="0" w:line="176"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two stroke low-pressure engines, can be considered among the cleanest of large ships in terms of emissions and very adaptable to the usage of newly developed lower and/or zero emission fuels.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p>
      <w:pPr>
        <w:spacing w:after="0" w:line="189"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automatic information systems to enhance ship-to-ship and ship-to-shore communications;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ship security alert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development of ship security plans;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flag state security certification requirements.</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U.S. Coast Guard regulations, intended to align with international maritime security standards, exempt non-U.S. ships from MTSA ship security measures, provided such ships have on </w:t>
      </w:r>
      <w:r>
        <w:rPr>
          <w:rFonts w:ascii="Times New Roman" w:cs="Times New Roman" w:eastAsia="Times New Roman" w:hAnsi="Times New Roman"/>
          <w:sz w:val="18"/>
          <w:szCs w:val="18"/>
          <w:color w:val="231F20"/>
        </w:rPr>
        <w:t>board a valid “International Ship Security Certificate” that attests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Marshall Islands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Preference Units that may be applicable to you.</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In General</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Our Subsidiaries</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Shipping Income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25"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use of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hiring or leasing of ships for use on a time, operating or bareboat charter basis;</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participation in a pool, partnership, strategic alliance, joint operating agreement or other joint venture we directly or indirectly own or participate in that generates such income;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services directly related to those uses.</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but we expect to qualify for the exemption under Section 883 of the Code during the 2025 tax year.</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2025, our accrued U.S. source gross transportation tax was $1.1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U.S. Source International Transportation Income would be considered “effectively connected” with the conduct of a U.S. trade or business only if:</w:t>
      </w:r>
    </w:p>
    <w:p>
      <w:pPr>
        <w:spacing w:after="0" w:line="162" w:lineRule="exact"/>
        <w:rPr>
          <w:sz w:val="20"/>
          <w:szCs w:val="20"/>
          <w:color w:val="auto"/>
        </w:rPr>
      </w:pPr>
    </w:p>
    <w:p>
      <w:pPr>
        <w:ind w:left="680" w:right="14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had, or were considered to have, a fixed place of business in the United States involved in the earning of U.S. source gross transportation income; and</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Gain on Sale of Shipping Assets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 and Additional Information</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taxation of our subsidiaries, see Note 20 to our audited consolidated financial statements included elsewhere in this annual report.</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jc w:val="both"/>
        <w:ind w:right="320" w:firstLine="324"/>
        <w:spacing w:after="0" w:line="289" w:lineRule="auto"/>
        <w:rPr>
          <w:sz w:val="20"/>
          <w:szCs w:val="20"/>
          <w:color w:val="auto"/>
        </w:rPr>
      </w:pPr>
      <w:r>
        <w:rPr>
          <w:rFonts w:ascii="Times New Roman" w:cs="Times New Roman" w:eastAsia="Times New Roman" w:hAnsi="Times New Roman"/>
          <w:sz w:val="17"/>
          <w:szCs w:val="17"/>
          <w:color w:val="auto"/>
        </w:rPr>
        <w:t>GasLog Partners is a limited partnership formed in the Marshall Islands on January 23, 2014. As of March 12, 2026, we have 15 subsidiaries, of which one is incorporated in the Marshall Islands and 14 are incorporated in Bermuda. Of our subsidiaries, eight own vessels in our fleet. Our subsidiaries are wholly owned by us. A list of our subsidiaries is set forth in Exhibit 8.1 to this annual report.</w:t>
      </w:r>
    </w:p>
    <w:p>
      <w:pPr>
        <w:spacing w:after="0" w:line="1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Other than our ships, we do not own any material property. Our vessels are subject to priority mortgages, which secure GasLog’s obligations under the Facility.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Item 3. Key Information</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D. Risk Factors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and elsewhere in this annual report, our actual results may differ materially from those anticipated in these forward-looking statements. Please see the section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Forward-Looking Statements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at the beginning of this annual report.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We manage our business and analyze and report our results of operations in a single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Since our IPO in May 2014, we have been an owner, operator and acquirer of LNG carriers. As of March 12, 2026, the Partnership’s fleet consists of eight wholly-owned LNG carriers, seven vessels with modern TFDE propulsion technology and one Steam vessel. In addition, GasLog Partners has leased under bareboat charters three TFDE vessels which were sold and leased back with no purchase option.</w:t>
      </w:r>
    </w:p>
    <w:p>
      <w:pPr>
        <w:spacing w:after="0" w:line="153"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All of our vessels were contributed to us by, or acquired by us from, GasLog, which holds 100% of the common units of the Partnership. All vessels have fixed charter terms expiring between March 2026 and April 2030. Five of our vessels currently operate under long-term time charters (defined as charters with initial duration of more than three years) and six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Industry Overview and Trends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Energy Prices</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 clear structural shift toward a lower global gas and LNG price environment is expected from 2026 onwards, driven primarily by a strong wave of new LNG supply. Following the extreme volatility seen since 2021, prices are forecast to normalize as additional liquefaction capacity comes online, particularly in the United States, Qatar and Canada.</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European gas prices (Title Transfer Facility) and Asian spot LNG prices (Japan Korea Marker /Japan LNG delivered ex-ship) are projected to average around $8-9 metric million British thermal units (“MMBtu”) between 2026 and 2035, representing a marked decline from crisis-era levels. A notably soft period is anticipated between 2030 and 2033, during which prices are expected to fall toward the $7/ MMBtu range, approaching the marginal cost of U.S. LNG cargo cancellations. This reflects heightened risks of market oversupply, with average U.S. LNG cargo cancellations estimated at around 26 million metric tonnes per annum (“mmtpa”), equivalent to approximately 11% of global export capacity.</w:t>
      </w:r>
    </w:p>
    <w:p>
      <w:pPr>
        <w:spacing w:after="0" w:line="18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Downside pressures dominate the near- to mid-term outlook. Asian demand growth is expected to remain weaker than previously anticipated in the late 2020s, particularly in China, where macroeconomic headwinds, a prolonged property-sector slowdown and continued coal competitiveness constrain gas consumption. Lower oil prices further weigh on oil-indexed LNG contracts, reinforcing bearish pricing signals across Asia.</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These factors are partially offset by several balancing forces. On the supply side, delays to selected LNG projects in Qatar and reduced availability of Russian LNG limit the extent of oversupply. On the demand side, Europe’s ongoing diversification away from Russian gas, alongside more resilient gas consumption after 2030, provides underlying support for Atlantic Basin LNG prices. Additional upside potential stems from rising power demand linked to data center growth, notably in North America and parts of Asia.</w:t>
      </w:r>
    </w:p>
    <w:p>
      <w:pPr>
        <w:spacing w:after="0" w:line="180"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Henry Hub prices are expected to increase modestly over the medium term, supported by strong demand growth from LNG exports, data centers and industrial activity. However, abundant low-cost shale supply is expected to cap sustained price upside, with long-term increases remaining limited.</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Pricing dynamics are shifting from a scarcity-driven environment toward one of structural abundance, with LNG prices increasingly anchored to U.S. supply economics rather than episodic geopolitical shocks, although volatility is likely to persist amid ongoing geopolitical, logistical and policy-related uncertainties.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Worth noting is the recent development in the Middle East, amidst the U.S./Israel – Iran conflict, that commenced on February 28, 2026. The loss or uncertainty of Middle Eastern supply has tightened global balances and lifted prices across all regions, but regional dislocations have become less consistent. While periods of strong Asian premium have reopened the West-to-East arbitrage, this has been intermittent and highly sensitive to geopolitical developments and cargo availability. At the same time, Europe’s continued willingness to outbid Asia for marginal volumes has at times collapsed arbitrage opportunities, keeping cargoes within the Atlantic and reducing long-haul demand. This has limited the extent to which higher commodity prices translate into sustained freight strength.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supply-led rebalancing of the LNG market is anticipated from 2026 onward, driven by a record year for final investment decisions (“FIDs”) in 2025, according to Wood Mackenzie. More than 72 mmtpa of capacity has already reached FID during the year, with a further 56 mmtpa expected by 2027, primarily in the United States, Canada, and the Middle East.</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United States dominates the supply outlook, and is expected to account for around 38% of global LNG supply by 2035, with total capacity reaching approximately 256 mmtpa. Momentum has been reinforced by policy shifts, including the removal of the Biden-era pause on export approvals, which unlocked projects such as Golden Pass, CP2, Port Arthur, and Rio Grande. U.S. LNG growth underpins the global supply surge but also increases the risk of underutilization in periods of weak demand.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Qatar remains the world’s lowest-cost LNG supplier and a critical anchor of long-term supply. Its North Field East and South projects are expected to add nearly 50 mmtpa by the end of the decade, with further expansion in the mid-2030s lifting total capacity to around 140 mmtpa. While some delays are noted, Qatar continues to set the lower bound of global LNG pricing.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28, 2026, the U.S. and Israel launched coordinated strikes on Iran, with the war remaining ongoing. The Strait of Hormuz is currently not being transited by LNG carriers, due to safety concerns and Qatar, who accounts for 20% of the global LNG trade released an official statement, confirming they have ceased production of LNG and associated products in their Ras Laffan facility. In the event of a prolonged conflict in the region, resulting in the Strait of Hormuz being an unviable route for vessels, offtakers – mostly Asian– will have to seek alternatives to make up for the volumes required to meet demand.</w:t>
      </w:r>
    </w:p>
    <w:p>
      <w:pPr>
        <w:spacing w:after="0" w:line="183"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Canada emerges as a meaningful new supplier, estimated to reach around 32 mmtpa by 2035, supported by LNG Canada, Woodfibre, and Cedar LNG, with further upside from LNG Canada Phase 2 in the early 2030s.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contrast, Russian LNG supply remains heavily constrained. The EU ban of Russian LNG imports by 2027, along with limited ice-class shipping and ongoing sanctions largely restrict growth prospects. While some redirection to Asia is possible, particularly to China, Russian LNG projects are heavily at risk, and no new FIDs are expected in the next decade.</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Africa contributes incremental growth, notably from Mozambique’s Coral Norte and the restart of Area 1 LNG, though security, financing, and execution risks persist. Elsewhere, supply from Algeria and Oman is expected to decline post-2030.</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key structural pattern is the growing reliance on pre-FID and shale-based supply, particularly in North America, which accounts for the majority of incremental gas production needed to offset steep declines from mature fields globally.</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Overall, the LNG supply outlook is characterized by abundance, geographic diversification, and heightened competition, reshaping global trade flows and anchoring long-term prices closer to marginal U.S. supply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Strong global LNG demand growth of around 60% (250 mmtpa) is expected by 2035, significantly outpacing total gas demand growth, according to Wood Mackenzie. LNG increasingly becomes the marginal supply source in regions with declining domestic production and limited pipeline access.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Asia remains the dominant driver, accounting for approximately 75% of global LNG demand growth. However, the pattern is uneven across sub-regions. China’s LNG demand has weakened in recent periods, declining year-on-year in 2025 due to subdued industrial activity, rising domestic production, and increased Russian pipeline imports. Despite this, LNG demand is expected to recover starting in 2026 as prices soften, reaching around 146 bcm by 2035, before beginning a gradual decline thereafter.</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South and Southeast Asia emerge as the strongest structural growth markets. Declining domestic gas production, rapid economic expansion, and rising power demand—particularly from energy-intensive sectors and data centres—drive a sharp increase in LNG imports. By the early 2030s, LNG will likely be the primary gas supply source in Southeast Asia. However, affordability and infrastructure constraints remain critical risks, meaning sustained low global LNG prices are essential to unlock full demand potential.</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Northeast Asia, LNG demand is expected to remain resilient through the mid-2030s, supported by coal-to-gas switching and data centre growth. This resilience partially offsets headwinds from nuclear restarts in Japan and new nuclear capacity in South Korea.</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Europe represents a structurally important LNG market despite limited overall gas demand growth. While near-term LNG demand is slightly lower than previous forecasts due to weaker power-sector gas burn, post-2030, we anticipate that LNG imports will increase materially. The phase-out of Russian pipeline gas and LNG, declining domestic production, and more resilient industrial and residential demand are expected to drive LNG imports to cover around 45% of European gas demand by 2035, with import volumes peaking later than previously expected.</w:t>
      </w:r>
    </w:p>
    <w:p>
      <w:pPr>
        <w:spacing w:after="0" w:line="18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New demand centres have also emerged in the Middle East and Africa. Egypt, Bahrain, Iraq, and South Africa drive an upward revision in LNG demand, supported by declining domestic supply and the deployment of FSRUs as a rapid import solution.</w:t>
      </w:r>
    </w:p>
    <w:p>
      <w:pPr>
        <w:spacing w:after="0" w:line="162"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A notable emerging segment is LNG marine bunkering, which is projected to grow nearly seven-fold by 2035 as shipping decarbonization rules tighten, with Europe and Asia becoming the largest hubs.</w:t>
      </w:r>
    </w:p>
    <w:p>
      <w:pPr>
        <w:spacing w:after="0" w:line="162"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Overall, the dominant pattern is LNG’s transformation from a balancing fuel into a core pillar of energy security, particularly for emerging markets, with demand growth increasingly sensitive to price affordability, infrastructure availability, and policy support.</w:t>
      </w:r>
    </w:p>
    <w:p>
      <w:pPr>
        <w:sectPr>
          <w:pgSz w:w="11900" w:h="16838" w:orient="portrait"/>
          <w:cols w:equalWidth="0" w:num="1">
            <w:col w:w="9900"/>
          </w:cols>
          <w:pgMar w:left="980" w:top="513"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Spot charter rates have demonstrated a consistent downward trend throughout the past year, with 160,000 cbm 0.1% boil-off TFDE headline rates, as reported by Clarkson Research Services Limited (“Clarksons”), averaging $24,245 per day in 2025, a 42.6% decrease year-on-year, and 68.5% lower compared to the five- year average.</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LNG shipping markets remained subdued for most of 2025, with rates hovering near historic lows amid weak demand fundamentals and persistent vessel oversupply. During the first three quarters, lower Asian LNG imports, milder weather, geopolitical trade disruptions and expanding intra-basin trade weighed heavily on tonne-mile demand. Despite stronger European LNG imports, particularly from the U.S., shorter trading routes limited upside for shipping demand. Fleet growth remained robust, while muted ordering activity reflected owner caution amid regulatory uncertainty and depressed earnings. As a result, vessel utilization declined compared with previous years, and rate recoveries during the summer proved short-lived.</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Market sentiment shifted abruptly toward the end of October as winter conditions tightened vessel availability in the Atlantic Basin, driving spot rates for modern low pressure dual fuel two-stroke engine / M-type, electronically controlled, gas injection carriers above $100,000 per day. This surge was primarily underpinned by Europe’s first winter without Russian gas, lower storage levels, stronger U.S.–Europe trade flows and temporary tightening of prompt tonnage. However, the Pacific market failed to mirror this strength due to continued weakness in Asian demand, reinforcing a widening basin premium. Drewry expects the winter spike to ease into early 2026 as additional newbuild deliveries restore vessel availability, with long-term fundamentals remaining supported by ongoing LNG project FIDs and structural growth in future LNG demand, despite near-term volatility.</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holders of our Preference Units. A sustained decline in charter rates could also adversely affect the market value of our 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According to Poten, as of December 31, 2025, the global fleet of dedicated LNG carriers (&gt;100,000 cbm) consisted of 705 conventional LNG Carriers with another 271 LNG carriers on order, of which 26 vessels (or 5.75%) do not have multi-year charters. Poten estimates that a total of 94 LNG carriers are due to be delivered in 2026. In 2025, 31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76"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b w:val="1"/>
          <w:bCs w:val="1"/>
          <w:color w:val="231F20"/>
        </w:rPr>
        <w:t>A.</w:t>
        <w:tab/>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2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supply and demand for LNG shipping services and the number of vessels available in the short-term or spot LNG carrier charter market;</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future employment, at economically attractive rates, for our six vessels operating in the short-term spot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acceptable financing in respect of our capital commitments;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maintain good working relationships with our existing customers and our ability to increase the number of our customers through the development of new working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our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 and efficient technical and operational management of our ships;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and maintain regulatory approvals and to satisfy technical, health, safety and compliance standards that meet our customers’ requirements; and</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regulatory, political and governmental conditions that affect the LNG market and LNG shipping industries, which include geopolitical factors such as the ongoing military conflicts, the imposition of trade tariffs and changes in the number of new LNG importing countries and regions, as well as structural LNG market changes impacting LNG supply and demand.</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62" w:lineRule="exact"/>
        <w:rPr>
          <w:sz w:val="20"/>
          <w:szCs w:val="20"/>
          <w:color w:val="auto"/>
        </w:rPr>
      </w:pPr>
    </w:p>
    <w:p>
      <w:pPr>
        <w:ind w:left="680" w:right="26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hire rate earned by our ships including any of our ships that may trade in the short-term spot market if we are unable to secure new long-term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unscheduled off-hire days;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ship operating expenses, including the costs of crewing, insurance and maintenance;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level of debt, the related interest expense and the timing of required payments of principal;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currency fluctuations;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general and administrative expenses, including costs of consultants.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Principal Components of Revenues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w:t>
      </w:r>
      <w:r>
        <w:rPr>
          <w:rFonts w:ascii="Times New Roman" w:cs="Times New Roman" w:eastAsia="Times New Roman" w:hAnsi="Times New Roman"/>
          <w:sz w:val="18"/>
          <w:szCs w:val="18"/>
          <w:color w:val="231F20"/>
        </w:rPr>
        <w:t>off-hire, unless it is recoverable from insurers. Advance payments under time charter contracts are classified as liabilities until such time as the criteria for recognizing the revenue are met.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a time charter. Voyage expenses represent bunkers consumed during vessels’ unemployment and off-hire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Costs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Ship operating expenses are recognized as expenses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if it was already at the end of its useful life. We review scrap rates on an annual basis, and may revise the rates in response to changing market conditions.</w:t>
      </w:r>
    </w:p>
    <w:p>
      <w:pPr>
        <w:spacing w:after="0" w:line="187"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right-of-use assets are depreciated over the shorter of the assets’ useful life and the lease term on a straight-line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legal and other professional fees, board of directors’ fees, directors’ and officers’ liability insurance, travel and accommodation expenses, commercial management fees and administrative fees payable to GasLog.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w:t>
      </w:r>
      <w:r>
        <w:rPr>
          <w:rFonts w:ascii="Times New Roman" w:cs="Times New Roman" w:eastAsia="Times New Roman" w:hAnsi="Times New Roman"/>
          <w:sz w:val="18"/>
          <w:szCs w:val="18"/>
          <w:color w:val="231F20"/>
        </w:rPr>
        <w:t>estimated future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Disposal</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Gain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loss on disposal is determined by comparing net proceeds from disposal with the carrying amount of a vessel and is included in our consolidated statements of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incurred interest expense on any outstanding indebtedness under our terminated credit facilities and incur interest in our lease liabilities which we include in our financial costs. Financial costs also include amortization of other loan issuance costs incurred in connection with establishing our terminated credit facilities and foreign exchange differences on cash, while all other foreign exchange differences are classified in General and Administrative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and amortization of loan issuance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set forth below are derived from the annual consolidated financial statements of the Partnership.</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numerical figures included in the tables below have been rounded. Discrepancies in tables between totals and the sums of the amounts listed may occur due to such rounding.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2025</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00" w:type="dxa"/>
            <w:vAlign w:val="bottom"/>
          </w:tcPr>
          <w:p>
            <w:pPr>
              <w:ind w:left="52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92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54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29"/>
        </w:trPr>
        <w:tc>
          <w:tcPr>
            <w:tcW w:w="5400" w:type="dxa"/>
            <w:vAlign w:val="bottom"/>
          </w:tcPr>
          <w:p>
            <w:pPr>
              <w:spacing w:after="0"/>
              <w:rPr>
                <w:sz w:val="11"/>
                <w:szCs w:val="11"/>
                <w:color w:val="auto"/>
              </w:rPr>
            </w:pPr>
          </w:p>
        </w:tc>
        <w:tc>
          <w:tcPr>
            <w:tcW w:w="16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60" w:type="dxa"/>
            <w:vAlign w:val="bottom"/>
          </w:tcPr>
          <w:p>
            <w:pPr>
              <w:spacing w:after="0"/>
              <w:rPr>
                <w:sz w:val="11"/>
                <w:szCs w:val="11"/>
                <w:color w:val="auto"/>
              </w:rPr>
            </w:pPr>
          </w:p>
        </w:tc>
        <w:tc>
          <w:tcPr>
            <w:tcW w:w="760" w:type="dxa"/>
            <w:vAlign w:val="bottom"/>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w w:val="73"/>
              </w:rPr>
              <w:t>dollars)</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(78,045)</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7,177</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(104,900)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disposal of vessels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(84,764)</w:t>
            </w:r>
          </w:p>
        </w:tc>
      </w:tr>
      <w:tr>
        <w:trPr>
          <w:trHeight w:val="209"/>
        </w:trPr>
        <w:tc>
          <w:tcPr>
            <w:tcW w:w="54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155,590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(170,785)</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for the year</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150,950</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(171,102)</w:t>
            </w:r>
          </w:p>
        </w:tc>
      </w:tr>
      <w:tr>
        <w:trPr>
          <w:trHeight w:val="20"/>
        </w:trPr>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had an average of 14.0 vessels operating in our owned and bareboat fleet having 5,086 available days while during the year ended December 31, 2025, we had an average of 12.8 vessels operating in our owned and bareboat fleet having 4,596 available days.</w:t>
      </w:r>
    </w:p>
    <w:p>
      <w:pPr>
        <w:spacing w:after="0" w:line="17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decreased by $78.1 million, or 21.9%, from $356.3 million for the year ended December 31, 2024 to $278.2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for the year ended December 31, 2025. The decrease of $78.1 million is mainly attributable to the 482 less available days due to the redelivery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to its owners in July 2025,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in July 2025 and the sale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in October 2025, the lower charter rates due to the weak market and the 610 idle days in the year ended December 31, 2025 (42 idle days for the same period in 2024). As a result, the average daily hire rate per operating day we earned decreased from $71,238 for the year ended December 31, 2024 to $69,799 for the year ended December 31, 2025.</w:t>
      </w:r>
    </w:p>
    <w:p>
      <w:pPr>
        <w:spacing w:after="0" w:line="182"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Voyage expenses and commissions: </w:t>
      </w:r>
      <w:r>
        <w:rPr>
          <w:rFonts w:ascii="Times New Roman" w:cs="Times New Roman" w:eastAsia="Times New Roman" w:hAnsi="Times New Roman"/>
          <w:sz w:val="18"/>
          <w:szCs w:val="18"/>
          <w:color w:val="auto"/>
        </w:rPr>
        <w:t>Voyage expenses and commissions increased by $9.2 million, from $9.1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2024 to $18.3 million for the year ended December 31, 2025. The increase of $9.2 million is mainly attributable to an increase in bunkers consumption as a result of the idle days mentioned above.</w:t>
      </w:r>
    </w:p>
    <w:p>
      <w:pPr>
        <w:spacing w:after="0" w:line="17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Costs: </w:t>
      </w:r>
      <w:r>
        <w:rPr>
          <w:rFonts w:ascii="Times New Roman" w:cs="Times New Roman" w:eastAsia="Times New Roman" w:hAnsi="Times New Roman"/>
          <w:sz w:val="18"/>
          <w:szCs w:val="18"/>
          <w:color w:val="auto"/>
        </w:rPr>
        <w:t>Vessel operating costs decreased by $7.1 million, or 10.2%, from $69.7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to $62.6 million for the year ended December 31, 2025. The decrease in vessel operating costs is mainly attributable to the decrease in the average number of vessels in our fleet and in the scheduled technical and maintenance costs in the year ended December 31, 2025, compared to the prior year, which were partially offset by an unfavorable movement in EUR/dollar exchange rate. As a result, daily operating costs per vessel decreased from $13,609 per day during the year ended December 31, 2024 to $13,361 per day during the year ended December 31, 2025.</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color w:val="auto"/>
        </w:rPr>
        <w:t>Depreciation increased by $0.2 million, from $104.9 million for the year ended December 31, 2024 to $105.1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the year ended December 31, 2025. The increase in depreciation is mainly attributable to an increase in depreciation of the right-of-use assets as a result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sale and leaseback completed on August 27, 2024, partially offset by a decrease in depreciation as a result of the decrease in the average number of vessels in our fleet in the year ended December 31, 2025, compared to the prior year.</w:t>
      </w:r>
    </w:p>
    <w:p>
      <w:pPr>
        <w:spacing w:after="0" w:line="179"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$2.6 million, or 15.9%, from $16.4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2024 to $13.8 million for the year ended December 31, 2025. The decrease in general and administrative expenses is mainly attributable to a decrease in commercial management fees in line with the decrease in revenues discussed above and a decrease in administrative services fees attributable to the decrease in the average number of vessels in our fleet. As a result, daily general and administrative expenses decreased from $3,204 per day for the year ended December 31, 2024 to $2,946 per day for the year ended December 31, 2025.</w:t>
      </w:r>
    </w:p>
    <w:p>
      <w:pPr>
        <w:spacing w:after="0" w:line="18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Gain/(loss) on disposal of vessels: </w:t>
      </w:r>
      <w:r>
        <w:rPr>
          <w:rFonts w:ascii="Times New Roman" w:cs="Times New Roman" w:eastAsia="Times New Roman" w:hAnsi="Times New Roman"/>
          <w:sz w:val="18"/>
          <w:szCs w:val="18"/>
          <w:color w:val="auto"/>
        </w:rPr>
        <w:t>Gain on disposal of vessels was $8.2 million for the year ended December 31, 2024 and loss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disposal of vessels was $0.2 million for the year ended December 31, 2025. In the year ended December 31, 2024, gain on disposal of vessels of $8.2 million was recognized pursuant to the sale and leaseback transaction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CDBL.</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w:t>
      </w:r>
      <w:r>
        <w:rPr>
          <w:rFonts w:ascii="Times New Roman" w:cs="Times New Roman" w:eastAsia="Times New Roman" w:hAnsi="Times New Roman"/>
          <w:sz w:val="18"/>
          <w:szCs w:val="18"/>
          <w:color w:val="auto"/>
        </w:rPr>
        <w:t>Impairment loss was $8.7 million for the year ended December 31, 2024 and $93.4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2025. In the year ended December 31, 2024, an impairment loss of $8.7 million was recognized with respect to two owned Steam vessels and one bareboat TFDE vessel. The impairment loss occurred as a result of the continuous decline in fair values of Steam and TFDE vessels, driven by reduced demand combined with the decrease in headline rates to historical lows. In the year ended December 31, 2025, an impairment loss of $93.4 was recognized, $58.0 million of which related to the two vessels sold in 2025 (the </w:t>
      </w:r>
      <w:r>
        <w:rPr>
          <w:rFonts w:ascii="Times New Roman" w:cs="Times New Roman" w:eastAsia="Times New Roman" w:hAnsi="Times New Roman"/>
          <w:sz w:val="18"/>
          <w:szCs w:val="18"/>
          <w:i w:val="1"/>
          <w:iCs w:val="1"/>
          <w:color w:val="auto"/>
        </w:rPr>
        <w:t xml:space="preserve">Methane Alison Victoria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and $35.4 million was recognised with respect to one owned Steam vessel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bareboat TFDE vessels, in accordance with IFRS. The indications that led to the recognition of the impairment loss included the current low market rates and the differences between the ship brokers’ valuations of our owned fleet and their carrying values.</w:t>
      </w:r>
    </w:p>
    <w:p>
      <w:pPr>
        <w:spacing w:after="0" w:line="185"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increased by $0.2 million, from $4.8 million for the year ended December 31, 2024 to $5.0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the year ended December 31, 2025. The increase in financial costs is mainly attributable to a net increase in interest expense on leases as a result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sale and leaseback completed on August 27, 2024, partially offset by a decrease attributable to the decrease in lease liabilities related to the remaining vessels’ sale and leaseback transactions in 2025 compared to 2024.</w:t>
      </w:r>
    </w:p>
    <w:p>
      <w:pPr>
        <w:spacing w:after="0" w:line="176"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Profit/(loss) for the Year: </w:t>
      </w:r>
      <w:r>
        <w:rPr>
          <w:rFonts w:ascii="Times New Roman" w:cs="Times New Roman" w:eastAsia="Times New Roman" w:hAnsi="Times New Roman"/>
          <w:sz w:val="18"/>
          <w:szCs w:val="18"/>
          <w:color w:val="auto"/>
        </w:rPr>
        <w:t>There was a decrease of $171.2 million, from a profit of $151.0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a loss of $20.2 million for the year ended December 31, 2025, as a result of the aforementioned factors.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the year ended December 31, 2024</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2023 compared to the year ended December 31, 2024, please see “Item 5. Operating and Financial Review and Prospects – A. Operating Results – Year ended December 31, 2023, compared to the year ended December 31, 2024” contained in our annual report on Form 20-F for the year ended December 31, 2024, filed with the SEC on March 14,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Customers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55% of our revenues derived from subsidiaries of Shell, 31% from LNG majors and national oil companies, with the remaining revenues derived from various other charterers.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Seasonality</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revenues of our vessels employed under long-term charter arrangements are not significantly impacted by seasonal trends during the year ended December 31, 2025. However, our six vessels trading in the short-term spot market (defined as vessels under contracts of an initial duration of less than three years) are subject to seasonality in spot rates, which has been evident in the LNG shipping market during 2025. In recent years, there has been a significant increase in the seasonality of LNG shipping spot rates with relative strength during the months of September through January and relative weakness during the months of March through May. To the extent that more of our vessels cease to be employed under long-term charter arrangements (defined as charters with an initial duration of more than three years) in the future, there will likely be some additional seasonality in our revenues.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Liquidity and Capital Resources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flow from operations, borrowings under secured credit facilities, equity raisings including issuances of preference units, capital contributions and proceeds from vessel sales and sales and leaseback transactions. Our principal uses of funds have been expenditures for the growth and maintenance of our fleet, fund working capital requirements, interest and principal payments on our outstanding credit facilities and lease liabilities and dividend distributions.</w:t>
      </w:r>
    </w:p>
    <w:p>
      <w:pPr>
        <w:spacing w:after="0" w:line="17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wholly-owned subsidiary of CDBL. The vessel was sold to CDBL for a gross cash consideration of $120.0 million. GasLog Partners leased back the vessel under a bareboat charter from CDBL for a period of five years with no repurchase option or obligation.</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Sally</w:t>
      </w:r>
      <w:r>
        <w:rPr>
          <w:rFonts w:ascii="Times New Roman" w:cs="Times New Roman" w:eastAsia="Times New Roman" w:hAnsi="Times New Roman"/>
          <w:sz w:val="18"/>
          <w:szCs w:val="18"/>
          <w:color w:val="auto"/>
        </w:rPr>
        <w:t>. The vessel was sold to an unrelated third party for a gross cash consideration of $50.0 million. GasLog Partners leased back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under a bareboat charter until July 4, 2025, when the vessel was redelivered to its owners, an unrelated third party.</w:t>
      </w:r>
    </w:p>
    <w:p>
      <w:pPr>
        <w:spacing w:after="0" w:line="173"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subsidiary, GAS-five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The vessel was sold to a wholly owned subsidiary of CDBL for $140.0 million and leased back under a bareboat charter for a period of five years with no repurchase option or obligation.</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merger consideration under the GasLog Partners Transaction was financed by GasLog’s existing cash and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GasLog Partners Transaction. The aggregate principal amount outstanding under the Bridge Facility Agreement was repaid in full, together with accrued and unpaid interest, on July 26, 2023.</w:t>
      </w:r>
    </w:p>
    <w:p>
      <w:pPr>
        <w:spacing w:after="0" w:line="185"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2024, GasLog Partners’ subsidiary, GAS-four Ltd.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The vessel was sold to a wholly owned subsidiary of CDBL for $151.0 million and leased back under a bareboat charter for a period of three years with no repurchase option or obligation.</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15, 2025, GasLog Partners’ subsidiary, GAS-nineteen Ltd. completed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to an unrelated third party for a gross sale price of approximately $27.0 million.</w:t>
      </w:r>
    </w:p>
    <w:p>
      <w:pPr>
        <w:spacing w:after="0" w:line="158"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13, 2025, GasLog Partners’ subsidiary, GAS-seventeen Ltd. completed the sale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to an unrelated third party for a gross sale price of approximately $25.0 million.</w:t>
      </w:r>
    </w:p>
    <w:p>
      <w:pPr>
        <w:spacing w:after="0" w:line="16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we had $5.2 million of cash and cash equivalents, held in current accounts. During the year ended December 31, 2025, we made a return of capital to GasLog of $51.5 million, reflecting the net proceeds from the sale of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Alison Victoria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w:t>
      </w:r>
      <w:r>
        <w:rPr>
          <w:rFonts w:ascii="Times New Roman" w:cs="Times New Roman" w:eastAsia="Times New Roman" w:hAnsi="Times New Roman"/>
          <w:sz w:val="18"/>
          <w:szCs w:val="18"/>
          <w:color w:val="auto"/>
        </w:rPr>
        <w:t>, which had been pledged as collateral under the terms of the Facility.</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Under our existing charters as of December 31, 2025, we had contracted revenues of $164.5 million for 2026 and $278.5 million thereafter. Although these contracted revenues are based on contracted charter rates, we are dependent on the ability and willingness of our charterers to meet their obligations under these charters.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we had an aggregate of $64.9 million of lease liabilities mainly related to the sale and leasebacks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Santiago</w:t>
      </w:r>
      <w:r>
        <w:rPr>
          <w:rFonts w:ascii="Times New Roman" w:cs="Times New Roman" w:eastAsia="Times New Roman" w:hAnsi="Times New Roman"/>
          <w:sz w:val="18"/>
          <w:szCs w:val="18"/>
          <w:color w:val="auto"/>
        </w:rPr>
        <w:t>, of which $38.7 million was repayable within one year.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2026,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will be redelivered to its owners upon completion of the sale and leaseback agreement and will exit our fleet.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Working Capital Position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our current assets totaled $29.7 million and current liabilities totaled $81.0 million, resulting in a negative working capital position of $51.3 million. Current liabilities include an amount of $21.2 million of unearned revenue in relation to vessel hires received in advance (which represents a non-cash liability that will be recognized as revenues after December 31, 2025 as the services are rendered). In considering going concern, management has reviewed the Partnership’s future cash requirements, earnings projections and GasLog’s ability to support potential liquidity needs.</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Management monitors the Partnership’s liquidity position throughout the year to ensure that it has access to sufficient funds to meet its forecast cash requirements and its ability to evaluate its future distribution policy with GasLog. We anticipate that our liquidity requirements over the next twelve months include operating costs, working capital requirements, dry-docking costs and other vessel upgrades, interest and principal payments on our lease liabilities and dividend distributions. Our primary sources of funds over the next twelve months will be available cash, cash from operations, future sales and sale and leaseback transactions. We believe that these anticipated sources of funds will be sufficient to meet our liquidity needs for at least twelve months from the date of this report, and therefore it is appropriate to prepare the financial statements on a going concern basis.</w:t>
      </w:r>
    </w:p>
    <w:p>
      <w:pPr>
        <w:spacing w:after="0" w:line="189" w:lineRule="exact"/>
        <w:rPr>
          <w:sz w:val="20"/>
          <w:szCs w:val="20"/>
          <w:color w:val="auto"/>
        </w:rPr>
      </w:pPr>
    </w:p>
    <w:p>
      <w:pPr>
        <w:jc w:val="both"/>
        <w:ind w:right="160" w:firstLine="324"/>
        <w:spacing w:after="0" w:line="289" w:lineRule="auto"/>
        <w:rPr>
          <w:sz w:val="20"/>
          <w:szCs w:val="20"/>
          <w:color w:val="auto"/>
        </w:rPr>
      </w:pPr>
      <w:r>
        <w:rPr>
          <w:rFonts w:ascii="Times New Roman" w:cs="Times New Roman" w:eastAsia="Times New Roman" w:hAnsi="Times New Roman"/>
          <w:sz w:val="17"/>
          <w:szCs w:val="17"/>
          <w:color w:val="auto"/>
        </w:rPr>
        <w:t>Our long-term liquidity requirements include working capital payments, capital expenditures for vessels’ maintenance, interest and principal payments under our lease obligations and dividend distributions. Sources of funding for our long-term liquidity requirements include cash from operations, capital contributions from GasLog, new borrowings, future sales and leaseback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40" w:type="dxa"/>
            <w:vAlign w:val="bottom"/>
          </w:tcPr>
          <w:p>
            <w:pPr>
              <w:spacing w:after="0"/>
              <w:rPr>
                <w:sz w:val="12"/>
                <w:szCs w:val="12"/>
                <w:color w:val="auto"/>
              </w:rPr>
            </w:pPr>
          </w:p>
        </w:tc>
        <w:tc>
          <w:tcPr>
            <w:tcW w:w="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231F20"/>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2820" w:type="dxa"/>
            <w:vAlign w:val="bottom"/>
            <w:gridSpan w:val="6"/>
          </w:tcPr>
          <w:p>
            <w:pPr>
              <w:jc w:val="center"/>
              <w:ind w:left="797"/>
              <w:spacing w:after="0" w:line="129" w:lineRule="exact"/>
              <w:rPr>
                <w:sz w:val="20"/>
                <w:szCs w:val="20"/>
                <w:color w:val="auto"/>
              </w:rPr>
            </w:pPr>
            <w:r>
              <w:rPr>
                <w:rFonts w:ascii="Times New Roman" w:cs="Times New Roman" w:eastAsia="Times New Roman" w:hAnsi="Times New Roman"/>
                <w:sz w:val="14"/>
                <w:szCs w:val="14"/>
                <w:b w:val="1"/>
                <w:bCs w:val="1"/>
                <w:color w:val="231F20"/>
              </w:rPr>
              <w:t>(in thousands of U.S. dollars)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provided by operating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269,896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191,692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231F20"/>
              </w:rPr>
              <w:t>Net cash provided by investing activities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139,377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35,300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(104,077)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used in financing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(413,389)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(229,542)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183,847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Operating Activities: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$78.2 million, from $269.9 million in the year ended December 31, 2024 to $191.7 million in the year ended December 31, 2025. The decrease of $78.2 million is mainly attributable to a decrease of $78.1 million in revenues, an increase of $9.2 million in voyage expenses and commissions and a decrease of $0.8 million in working capital movements, partially offset by a decrease of $7.1 million in vessel operating costs and a decrease of $2.6 million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Investing Activities:</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$104.1 million, from $139.4 million in the year ended December 31, 2024 to $35.3 million in the year ended December 31, 2025. The decrease of $104.1 million is attributable to a decrease of $96.7 million in proceeds from sale of vessels and sale and leaseback transactions, net of commissions, an increase in payments for tangible fixed asset additions of $7.6 million and a decrease in financial income received of $0.2 million, partially offset by a decrease in payments for right-of-use assets of $0.4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used in Financing Activities:</w:t>
      </w: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Net cash used in financing activities decreased by $183.9 million, from $413.4 million in the year ended December 31, 2024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$229.5 million in the year ended December 31, 2025. The decrease of $183.9 million is attributable to a decrease of $96.7 million in the return of capital contributions to GasLog, being equal to the net proceeds from the sale and sale and leaseback transactions and to a decrease of $96.2 million in distributions paid, which were partially offset by an increase of $8.9 million in payments for lease liabilities (principal portion) and an increase of $0.2 million in interest paid.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2024</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2023 compared to the year ended December 31, 2024, please see “Item 5. Operating and Financial Review and Prospects - B. Liquidity and Capital Resources - Year ended December 31, 2023 compared to the year ended December 31, 2024” contained in our annual report on Form 20-F for the year ended December 31, 2024, filed with the SEC on March 14,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Borrowing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Credit Facilities</w:t>
      </w:r>
    </w:p>
    <w:p>
      <w:pPr>
        <w:spacing w:after="0" w:line="17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Following the refinancing of our outstanding credit facilities by the Facility in November 2023, the Partnership has no credit facilities outstanding.</w:t>
      </w:r>
    </w:p>
    <w:p>
      <w:pPr>
        <w:spacing w:after="0" w:line="10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November 2, 2023, GasLog, as borrower, entered into the Facility. This financing, involving 14 international banks, includes decarbonization and social key performance targets as a component of the Facility pricing. The Facility refinanced the then-outstanding debt of $2.1 billion secured by 23 LNG carriers (12 GasLog vessels and eleven GasLog Partners vessels), following the acquisition by GasLog on July 13, 2023 of all the outstanding common units of GasLog Partners not already beneficially owned by GasLog.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 billion and $0.7 million remaining available as of that date, for general corporate purposes. The Facility has a five-year tenor, includes two one-year extension options and can be repaid and redrawn at any time, subject to the outstanding amount immediately after any drawdown not exceeding the total facility amount. On February 10, 2025, GasLog signed a supplemental agreement extending the final reduction date by one year to November 2029. In May 2025 and July 2025, National Australia Bank Limited transferred to UBS AG, Skandinaviska Enskilda Banken AB (Publ), National Bank of Greece S.A. and Standard Chartered Bank (Singapore) Limited via transfer certificates, the total amounts of its commitments, rights and obligations under the Facility.</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Covenants and Guarantees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obligations under the Facility are secured as follows:</w:t>
      </w:r>
    </w:p>
    <w:p>
      <w:pPr>
        <w:spacing w:after="0" w:line="225"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owned ships included in the Facility;</w:t>
      </w:r>
    </w:p>
    <w:p>
      <w:pPr>
        <w:spacing w:after="0" w:line="27" w:lineRule="exact"/>
        <w:rPr>
          <w:rFonts w:ascii="Times New Roman" w:cs="Times New Roman" w:eastAsia="Times New Roman" w:hAnsi="Times New Roman"/>
          <w:sz w:val="18"/>
          <w:szCs w:val="18"/>
          <w:color w:val="auto"/>
        </w:rPr>
      </w:pPr>
    </w:p>
    <w:p>
      <w:pPr>
        <w:ind w:left="680" w:right="100" w:hanging="321"/>
        <w:spacing w:after="0" w:line="250"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from the 20 vessel owning companies securing the Facility, the Partnership, GasLog Partners Holdings and GasLog Carriers (the “Guarantors”);</w:t>
      </w: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of the share capital of GasLog, the Guarantors and GasLog LNG Services;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owned ships.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76"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120.0% of the then-outstanding amount under the applicable facility. If GasLog fails to comply with these covenants and is not able to obtain covenant waivers or modifications, the lenders could require the Partnership to make prepayments or provide additional collateral sufficient to bring GasLog into compliance with such covenants, and if we fail to do so the lenders could accelerate the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Expenditures in Relation to Vessel Acquisitions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there are no commitments for capital expenditures related to our fleet with respect to vessel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Research and Development, Patents and Licenses, etc.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Trend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 Critical Accounting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w:t>
      </w:r>
      <w:r>
        <w:rPr>
          <w:rFonts w:ascii="Times New Roman" w:cs="Times New Roman" w:eastAsia="Times New Roman" w:hAnsi="Times New Roman"/>
          <w:sz w:val="18"/>
          <w:szCs w:val="18"/>
          <w:color w:val="231F20"/>
        </w:rPr>
        <w:t>policies are those that reflect significant judgments of uncertainties and potentially result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materially different results under different assumptions and conditions. For a description of all our principal accounting policies, see Note 2 to our annual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 and Right-of-use Assets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 For a detailed description of our impairment policy for the year ended December 31, 2025, see Note 2 to our annual consolidated financial statements included elsewhere in this annual report. The disclosure below supplements the description in Note 2 to our annual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in dollars (i) the historical acquisition cost of our Vessels and Right-of-Use assets and (ii) their carrying value as of December 31, 2024 and December 31, 2025, after giving effect to the aggregate impairment charge of $35.4 million recorded against our Steam vessel and three of our TFDE vessels for the year ended December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Carrying values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0" w:type="dxa"/>
            <w:vAlign w:val="bottom"/>
          </w:tcPr>
          <w:p>
            <w:pPr>
              <w:spacing w:after="0"/>
              <w:rPr>
                <w:sz w:val="1"/>
                <w:szCs w:val="1"/>
                <w:color w:val="auto"/>
              </w:rPr>
            </w:pPr>
          </w:p>
        </w:tc>
      </w:tr>
      <w:tr>
        <w:trPr>
          <w:trHeight w:val="117"/>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Built Date</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2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(cbm)</w:t>
            </w:r>
          </w:p>
        </w:tc>
        <w:tc>
          <w:tcPr>
            <w:tcW w:w="200" w:type="dxa"/>
            <w:vAlign w:val="bottom"/>
            <w:gridSpan w:val="2"/>
            <w:vMerge w:val="continue"/>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vMerge w:val="continue"/>
          </w:tcPr>
          <w:p>
            <w:pPr>
              <w:spacing w:after="0"/>
              <w:rPr>
                <w:sz w:val="15"/>
                <w:szCs w:val="15"/>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22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4"/>
                <w:szCs w:val="24"/>
                <w:color w:val="auto"/>
                <w:vertAlign w:val="superscript"/>
              </w:rPr>
              <w:t>(2)(3)</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25"/>
                <w:szCs w:val="25"/>
                <w:color w:val="auto"/>
                <w:vertAlign w:val="superscript"/>
              </w:rPr>
              <w:t>(2)(3)</w:t>
            </w:r>
          </w:p>
        </w:tc>
        <w:tc>
          <w:tcPr>
            <w:tcW w:w="1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March 2013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25"/>
                <w:szCs w:val="25"/>
                <w:color w:val="auto"/>
                <w:vertAlign w:val="superscript"/>
              </w:rPr>
              <w:t>(2)(3)</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May 2013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Seattle</w:t>
            </w:r>
            <w:r>
              <w:rPr>
                <w:rFonts w:ascii="Times New Roman" w:cs="Times New Roman" w:eastAsia="Times New Roman" w:hAnsi="Times New Roman"/>
                <w:sz w:val="25"/>
                <w:szCs w:val="25"/>
                <w:color w:val="auto"/>
                <w:vertAlign w:val="superscript"/>
              </w:rPr>
              <w:t>(4)</w:t>
            </w:r>
          </w:p>
        </w:tc>
        <w:tc>
          <w:tcPr>
            <w:tcW w:w="1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December 2013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140,239</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June 2014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25"/>
                <w:szCs w:val="25"/>
                <w:color w:val="auto"/>
                <w:vertAlign w:val="superscript"/>
              </w:rPr>
              <w:t>(4)</w:t>
            </w:r>
          </w:p>
        </w:tc>
        <w:tc>
          <w:tcPr>
            <w:tcW w:w="1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April 2006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Becki Anne</w:t>
            </w:r>
            <w:r>
              <w:rPr>
                <w:rFonts w:ascii="Times New Roman" w:cs="Times New Roman" w:eastAsia="Times New Roman" w:hAnsi="Times New Roman"/>
                <w:sz w:val="25"/>
                <w:szCs w:val="25"/>
                <w:color w:val="auto"/>
                <w:vertAlign w:val="superscript"/>
              </w:rPr>
              <w:t>(4)</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w w:val="98"/>
              </w:rPr>
              <w:t>September 2010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March 2016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25"/>
                <w:szCs w:val="25"/>
                <w:color w:val="auto"/>
                <w:vertAlign w:val="superscript"/>
              </w:rPr>
              <w:t>(5)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June 2016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8"/>
              </w:rPr>
              <w:t>September 2016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25"/>
                <w:szCs w:val="25"/>
                <w:color w:val="auto"/>
                <w:vertAlign w:val="superscript"/>
              </w:rPr>
              <w:t>(5)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October 2016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203,835</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153,507</w:t>
            </w:r>
          </w:p>
        </w:tc>
        <w:tc>
          <w:tcPr>
            <w:tcW w:w="0" w:type="dxa"/>
            <w:vAlign w:val="bottom"/>
          </w:tcPr>
          <w:p>
            <w:pPr>
              <w:spacing w:after="0"/>
              <w:rPr>
                <w:sz w:val="1"/>
                <w:szCs w:val="1"/>
                <w:color w:val="auto"/>
              </w:rPr>
            </w:pPr>
          </w:p>
        </w:tc>
      </w:tr>
      <w:tr>
        <w:trPr>
          <w:trHeight w:val="20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$ 2,193,511</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$ 1,282,980</w:t>
            </w:r>
          </w:p>
        </w:tc>
        <w:tc>
          <w:tcPr>
            <w:tcW w:w="18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$ 1,163,002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20" w:hanging="372"/>
        <w:spacing w:after="0" w:line="261" w:lineRule="auto"/>
        <w:tabs>
          <w:tab w:leader="none" w:pos="380" w:val="left"/>
        </w:tabs>
        <w:numPr>
          <w:ilvl w:val="0"/>
          <w:numId w:val="38"/>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Our owned and bareboat vessels are stated at carrying values (see Note 3 and Note 4 to our consolidated financial statements included elsewhere in this annual report).</w:t>
      </w:r>
    </w:p>
    <w:p>
      <w:pPr>
        <w:spacing w:after="0" w:line="162" w:lineRule="exact"/>
        <w:rPr>
          <w:rFonts w:ascii="Times New Roman" w:cs="Times New Roman" w:eastAsia="Times New Roman" w:hAnsi="Times New Roman"/>
          <w:sz w:val="11"/>
          <w:szCs w:val="11"/>
          <w:color w:val="231F20"/>
        </w:rPr>
      </w:pPr>
    </w:p>
    <w:p>
      <w:pPr>
        <w:ind w:left="380" w:right="20" w:hanging="372"/>
        <w:spacing w:after="0" w:line="236" w:lineRule="auto"/>
        <w:tabs>
          <w:tab w:leader="none" w:pos="380" w:val="left"/>
        </w:tabs>
        <w:numPr>
          <w:ilvl w:val="0"/>
          <w:numId w:val="38"/>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 xml:space="preserve">Indicates vessels which have been remeasured at the lower of their carrying amounts and fair values less costs to sell, pursuant to sale and leaseback agreements with third parties and are classified as Right-of-Use Assets in the statement of financial position. In the year ended December 31, 2024, an impairment loss of $0.7 million was recognized with respect to the sale and leaseback of the </w:t>
      </w:r>
      <w:r>
        <w:rPr>
          <w:rFonts w:ascii="Times New Roman" w:cs="Times New Roman" w:eastAsia="Times New Roman" w:hAnsi="Times New Roman"/>
          <w:sz w:val="14"/>
          <w:szCs w:val="14"/>
          <w:i w:val="1"/>
          <w:iCs w:val="1"/>
          <w:color w:val="auto"/>
        </w:rPr>
        <w:t>GasLog Sydney</w:t>
      </w:r>
      <w:r>
        <w:rPr>
          <w:rFonts w:ascii="Times New Roman" w:cs="Times New Roman" w:eastAsia="Times New Roman" w:hAnsi="Times New Roman"/>
          <w:sz w:val="14"/>
          <w:szCs w:val="14"/>
          <w:color w:val="auto"/>
        </w:rPr>
        <w:t>. Each vessel sold and leased back is recognized as a Right-of-Use Asset at an amount equal to the proportion of its previous carrying amount that reflects the Right-of-Use Asset retained.</w:t>
      </w:r>
    </w:p>
    <w:p>
      <w:pPr>
        <w:spacing w:after="0" w:line="176" w:lineRule="exact"/>
        <w:rPr>
          <w:rFonts w:ascii="Times New Roman" w:cs="Times New Roman" w:eastAsia="Times New Roman" w:hAnsi="Times New Roman"/>
          <w:sz w:val="11"/>
          <w:szCs w:val="11"/>
          <w:color w:val="231F20"/>
        </w:rPr>
      </w:pPr>
    </w:p>
    <w:p>
      <w:pPr>
        <w:ind w:left="380" w:right="60" w:hanging="372"/>
        <w:spacing w:after="0" w:line="261" w:lineRule="auto"/>
        <w:tabs>
          <w:tab w:leader="none" w:pos="380" w:val="left"/>
        </w:tabs>
        <w:numPr>
          <w:ilvl w:val="0"/>
          <w:numId w:val="38"/>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The decreased market rates for the TDFE vessels in 2025 were assessed as impairment indicators with respect to right-of-use assets as of December 31, 2025. For all of these three vessels, an aggregate impairment loss of $20.6 million was recorded for the year ended December 31, 2025.</w:t>
      </w:r>
    </w:p>
    <w:p>
      <w:pPr>
        <w:spacing w:after="0" w:line="162" w:lineRule="exact"/>
        <w:rPr>
          <w:rFonts w:ascii="Times New Roman" w:cs="Times New Roman" w:eastAsia="Times New Roman" w:hAnsi="Times New Roman"/>
          <w:sz w:val="11"/>
          <w:szCs w:val="11"/>
          <w:color w:val="231F20"/>
        </w:rPr>
      </w:pPr>
    </w:p>
    <w:p>
      <w:pPr>
        <w:ind w:left="380" w:right="120" w:hanging="372"/>
        <w:spacing w:after="0" w:line="261" w:lineRule="auto"/>
        <w:tabs>
          <w:tab w:leader="none" w:pos="380" w:val="left"/>
        </w:tabs>
        <w:numPr>
          <w:ilvl w:val="0"/>
          <w:numId w:val="38"/>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Indicates our owned vessels for which, as of December 31, 2025, the basic charter-free market value is lower than the vessel’s carrying value by $91.2 million as of December 31, 2025. For the Steam vessel, an impairment loss of $14.8 million was recognized for the year ended December 31, 2025.</w:t>
      </w:r>
    </w:p>
    <w:p>
      <w:pPr>
        <w:spacing w:after="0" w:line="162" w:lineRule="exact"/>
        <w:rPr>
          <w:rFonts w:ascii="Times New Roman" w:cs="Times New Roman" w:eastAsia="Times New Roman" w:hAnsi="Times New Roman"/>
          <w:sz w:val="11"/>
          <w:szCs w:val="11"/>
          <w:color w:val="231F20"/>
        </w:rPr>
      </w:pPr>
    </w:p>
    <w:p>
      <w:pPr>
        <w:ind w:left="380" w:hanging="372"/>
        <w:spacing w:after="0"/>
        <w:tabs>
          <w:tab w:leader="none" w:pos="380" w:val="left"/>
        </w:tabs>
        <w:numPr>
          <w:ilvl w:val="0"/>
          <w:numId w:val="38"/>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Indicates vessels for which, as of December 31, 2025, the basic charter free market value is higher than the vessel’s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Directors and Senior Management</w:t>
      </w:r>
    </w:p>
    <w:p>
      <w:pPr>
        <w:spacing w:after="0" w:line="229"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As of January 1, 2026, Maxime Philippe Cornet de Ways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Ruart has been elected as a director to serve on the Board of Directors and the Audit Committee. The following directors have been determined by our board of directors to be independent under the standards of the NYSE and the rules and regulations of the SEC: Despoina Kyritsi, Konstantinos Andreou and Maxime Philippe Cornet de Ways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Ruart. Officers are elected from time to time by vote of our board of directors and hold office until a successor is elected.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45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Directors/Chief Executive Officer</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Despoina Kyritsi</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18"/>
                <w:szCs w:val="18"/>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Andreou</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Maxime Philippe Cornet de Ways-Ruart</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0" w:type="dxa"/>
            <w:vAlign w:val="bottom"/>
          </w:tcPr>
          <w:p>
            <w:pPr>
              <w:spacing w:after="0"/>
              <w:rPr>
                <w:sz w:val="18"/>
                <w:szCs w:val="18"/>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0"/>
                <w:szCs w:val="20"/>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was appointed as Chief Executive Officer (“CEO”) of GasLog in March 2022 and Chairman and CEO of GasLog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in August 2021. Prior to that, Paolo held the role of Chief Operating Officer (“COO”) from September 2019. Before joining GasLog, Paolo was Managing Director of Stolt Tankers BV Rotterdam, a subsidiary of Stolt Nielsen Limited (“Stolt Nielsen”), where he was responsible for the operation of over 100 chemical tankers, 200 people ashore and over 4,000 seafarers. Prior to joining Stolt Nielsen in 2008, Mr. Enoizi was Managing Director of a family-owned ship management company. His previous roles also included Director of Technical &amp; Innovation and General Manager of Newbuilding &amp; Technical. Paolo brings over 20 years of experience in growth and transformational strategy in ship management, cost optimization, innovative asset solutions and digital tools, with a constant focus on safety, care for people and the development of a more sustainable and safer environment. He holds a Master’s degree in Naval Architecture and Marine Engineering from the University of Genova.</w:t>
      </w:r>
    </w:p>
    <w:p>
      <w:pPr>
        <w:spacing w:after="0" w:line="18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Despoina Kyritsi </w:t>
      </w:r>
      <w:r>
        <w:rPr>
          <w:rFonts w:ascii="Times New Roman" w:cs="Times New Roman" w:eastAsia="Times New Roman" w:hAnsi="Times New Roman"/>
          <w:sz w:val="18"/>
          <w:szCs w:val="18"/>
          <w:color w:val="auto"/>
        </w:rPr>
        <w:t>was appointed to the Board of Directors and the Audit Committee in January 2024. Ms. Kyritsi, after 10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Finance, Accounting &amp; Controlling with DHL Global Forwarding, moved on to the shipping industry and DryLog in 2017, as a Business Analyst, reporting to its board, leading strategic projects, such as M&amp;A, Corporate Restructuring and Regulatory Compliance. Ms. Kyritsi is a Fellow of the Institute of Chartered Shipbrokers (ICS), and a Certified Accountant (Greek Chamber of Economics), holding a degree in Business Administration from the Athens University of Economics and Business, and an MSc in Financial Analysis for Executives from the University of Piraeus in Greece.</w:t>
      </w:r>
    </w:p>
    <w:p>
      <w:pPr>
        <w:spacing w:after="0" w:line="18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Konstantinos Andreou </w:t>
      </w:r>
      <w:r>
        <w:rPr>
          <w:rFonts w:ascii="Times New Roman" w:cs="Times New Roman" w:eastAsia="Times New Roman" w:hAnsi="Times New Roman"/>
          <w:sz w:val="18"/>
          <w:szCs w:val="18"/>
          <w:color w:val="auto"/>
        </w:rPr>
        <w:t>was appointed to the Board of Directors and the Audit Committee on January 1, 2024. He is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maritime, and business law specialist with more than 20 years of professional experience. Within the CERES SHIPPING Group, he has served as Legal Counsel and, since 2017, as Group Chief Compliance Officer. He currently holds the position of Director of Legal for the CERES SHIPPING Group, overseeing legal, regulatory, compliance, and governmental matters across the Group’s activities. Separately, Mr. Andreou serves as an appointed Director of DryLog Shipping Ltd., the Group’s arm in dry-bulk shipping activities.</w:t>
      </w:r>
    </w:p>
    <w:p>
      <w:pPr>
        <w:spacing w:after="0" w:line="183" w:lineRule="exact"/>
        <w:rPr>
          <w:sz w:val="20"/>
          <w:szCs w:val="20"/>
          <w:color w:val="auto"/>
        </w:rPr>
      </w:pPr>
    </w:p>
    <w:p>
      <w:pPr>
        <w:ind w:right="200" w:firstLine="324"/>
        <w:spacing w:after="0" w:line="220" w:lineRule="exact"/>
        <w:rPr>
          <w:sz w:val="20"/>
          <w:szCs w:val="20"/>
          <w:color w:val="auto"/>
        </w:rPr>
      </w:pPr>
      <w:r>
        <w:rPr>
          <w:rFonts w:ascii="Times New Roman" w:cs="Times New Roman" w:eastAsia="Times New Roman" w:hAnsi="Times New Roman"/>
          <w:sz w:val="18"/>
          <w:szCs w:val="18"/>
          <w:color w:val="auto"/>
        </w:rPr>
        <w:t>Mr. Andreou has extensive experience in cross-border legal and regulatory frameworks, sanctions and trade compliance, corporate governance, and complex transactional matters in the maritime and energy sectors. He has also supported the development and structuring of emerging energy and infrastructure ventures, including projects involving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hydrogen transport and other energy-transition and midstream initiatives across multiple jurisdictions.</w:t>
      </w:r>
    </w:p>
    <w:p>
      <w:pPr>
        <w:spacing w:after="0" w:line="20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Mr. Andreou holds an LL.B./LL.M. from Université Lille II Droit et Santé, an LL.M. in Maritime Law (Distinction) from City University London and an Executive M.B.A. from HEC Paris Business School.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Maxime Philippe Cornet de Ways-Ruart </w:t>
      </w:r>
      <w:r>
        <w:rPr>
          <w:rFonts w:ascii="Times New Roman" w:cs="Times New Roman" w:eastAsia="Times New Roman" w:hAnsi="Times New Roman"/>
          <w:sz w:val="18"/>
          <w:szCs w:val="18"/>
          <w:color w:val="auto"/>
        </w:rPr>
        <w:t>was appointed to the Board of Directors and the Audit Committee on January 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Cornet brings over two decades of international leadership across finance and insurance, having served in senior roles at Zurich Insurance Company (Global Head of Travel Insurance &amp; Assistance) and at Cover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More (a Zurich Insurance company) as CEO Underwriting &amp; Global Relations and Chairman, Latin America. He is currently Executive Chairman of JG Aviation/Troyes Aviation and serves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 of Bergbahnen Destination Gstaad, Eigtheen48 and White Cube. He holds a degree from the Institut d’Administration et de Gestion (IAG) at the Université catholique de Louvain (Louvain School of Management) and has worked in the Swiss financial sector since 2001.</w:t>
      </w:r>
    </w:p>
    <w:p>
      <w:pPr>
        <w:spacing w:after="0" w:line="1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Achilleas Tasioulas </w:t>
      </w:r>
      <w:r>
        <w:rPr>
          <w:rFonts w:ascii="Times New Roman" w:cs="Times New Roman" w:eastAsia="Times New Roman" w:hAnsi="Times New Roman"/>
          <w:sz w:val="18"/>
          <w:szCs w:val="18"/>
          <w:color w:val="auto"/>
        </w:rPr>
        <w:t>has served as Chief Financial Officer (“CFO”) of GasLog since July 2020. Mr. Tasioulas joined GasLog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2014 as Financial Controller and his role was expanded to Chief Risk Officer, Financial Controller and Head of Tax in August 2017 and Deputy CFO of GasLog in December 2019 and has over 16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Mr. Tasioulas is an ICAEW Fellow Chartered Accountant, has an MSc in Project Analysis, Finance and Investments from the University of York in the UK and a BSc in Economics from the University of Macedonia in Greece. Furthermore, Mr. Tasioulas has completed executive education programs in Advance Corporate Finance in London Business School and Strategic Financial Leadership in Stanford University Graduate School of Business.</w:t>
      </w:r>
    </w:p>
    <w:p>
      <w:pPr>
        <w:spacing w:after="0" w:line="18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Konstantinos Karathanos </w:t>
      </w:r>
      <w:r>
        <w:rPr>
          <w:rFonts w:ascii="Times New Roman" w:cs="Times New Roman" w:eastAsia="Times New Roman" w:hAnsi="Times New Roman"/>
          <w:sz w:val="18"/>
          <w:szCs w:val="18"/>
          <w:color w:val="auto"/>
        </w:rPr>
        <w:t>was appointed COO of GasLog and GasLog Partners on February 11, 2022. Prior to this role he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Deputy COO from November 2021 and as General Manager Innovation and Technology from 2019. Mr. Karathanos originally joined the group in 2000 and until 2017, held a range of senior technical and operational positions including Fleet Manager, Project &amp; Site Manager and Ship Manager. Between 2017 and 2019 he served as Technical Manager at Minerva Marine before re-joining GasLog. Mr. Karathanos has over 20 years of experience in the shipping industry specializing in LNG Carriers design and construction, as well as Technical &amp; Operational management. His work has focused strongly on energy performance, with particular emphasis on Energy efficiency and decarbonization of the fleet. Mr. Karathanos holds an Executive MBA from ALBA Graduate Business School, the American College of Greece, an MSc in Thermal Power and Fluid Mechanics from the University of Manchester and a B.Eng. in Mechanical Engineering from Manchester Metropolitan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 of the audit committee.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w:t>
      </w:r>
    </w:p>
    <w:p>
      <w:pPr>
        <w:spacing w:after="0" w:line="179" w:lineRule="exact"/>
        <w:rPr>
          <w:sz w:val="20"/>
          <w:szCs w:val="20"/>
          <w:color w:val="auto"/>
        </w:rPr>
      </w:pPr>
    </w:p>
    <w:p>
      <w:pPr>
        <w:ind w:right="5580" w:firstLine="8"/>
        <w:spacing w:after="0" w:line="503" w:lineRule="auto"/>
        <w:tabs>
          <w:tab w:leader="none" w:pos="324" w:val="left"/>
        </w:tabs>
        <w:numPr>
          <w:ilvl w:val="0"/>
          <w:numId w:val="3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Compensation of Directors and Senior Management Reimbursement of Expenses of Our General Partner</w:t>
      </w: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Compensation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services of our executive officers and other employees are provided pursuant to the updated/amended administrative services agreement, under which we pay an annual fee.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2025 to provide pension, retirement or similar benefits to our senior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of Directors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2025, our non-executive directors received an annual fee of $25,000. The aggregate annual fees paid to non-executive directors in 2025 was $50,000. In addition, each director is reimbursed for out-of-pocket expenses in connection with attending meetings of the board of directors or committees.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Board Practices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Following the GasLog Partners Transaction pursuant to which GasLog acquired 100% of our common units, we amended our Partnership Agreement to provide that all of our directors are appointed by our general partner in its sole discretion. Mr. Enoizi was appointed as a director and our CEO on August 1, 2021. Ms. Kyritsi and Mr. Andreou were appointed by GasLog effective as of January 1, 2024. Mr. Maxime Philippe Cornet de Ways-Ruart was appointed by GasLog effective as of January 1, 2026. Our directors, which are all appointed by our general partner serve until a successor is duly appointed by the general partner.</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Ms. Kyritsi, Mr. Andreou and Mr. Cornet were determined by our board to be independent under the standards of the NYSE and the rules and regulations of the SEC.</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us and any of our directors providing for benefits upon termination of their employment or service.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and we only have preferred units listed on the NYSE. Under the securities laws of the United States, “foreign private issuers” are subject to different disclosure requirements than U.S. domiciled registrants, as well as different financial reporting requirements. Under the NYSE rules, “foreign private issuers” and issuers who list only preferred units are exempt from most corporate governance requirements. Subject to limited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and a nominating/corporate governance committee be established. Three of our four directors qualify as independent as of January 1, 2026. As a result of the NYSE exemptions,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meets regularly throughout the year. In 2025, the board met three times. As part of our board meetings, our independent directors meet without the non-independent directors in attendance. In addition, when required, the board holds sessions without the CEO and executive officers present.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an audit committee that, among other things, reviews our external financial reporting, engages our external auditors and oversees our internal audit activities and procedures and the adequacy of our internal accounting controls. On January 1, 2024, Mr. Julian R. Metherell and Mr. James Berner stepped down from the audit committee, and Ms. Despoina Kyritsi and Mr. Konstantinos Andreou have been appointed to serve as members of the audit committee. Their service continued throughout 2025, with Ms. Despoina Kyritsi also acting as chair of the committee. On January 1, 2026, Mr. Maxime Philippe Cornet de Ways-Ruart was appointed to serve as member of the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 xml:space="preserve">http://www.gaslogmlp.com. </w:t>
      </w:r>
      <w:r>
        <w:rPr>
          <w:rFonts w:ascii="Times New Roman" w:cs="Times New Roman" w:eastAsia="Times New Roman" w:hAnsi="Times New Roman"/>
          <w:sz w:val="18"/>
          <w:szCs w:val="18"/>
          <w:color w:val="auto"/>
        </w:rPr>
        <w:t>The information contained on or connected to our website is not a part of this annual report. We will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paper copy of any of these documents upon the written request of a unitholder at no cost. Unitholders may direct their requests to the attention of our Head of Legal, c/o GasLog LNG Services Ltd., 69 Akti Miaouli, Piraeus, 18537 Greece.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Exemptions from NYSE Corporate Governance Rules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and we only have preferred units listed on the NYSE, we are exempt from most corporate governance requirements of the NYSE. As a “foreign private issuer”,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9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D.</w:t>
      </w:r>
      <w:r>
        <w:rPr>
          <w:sz w:val="20"/>
          <w:szCs w:val="20"/>
          <w:color w:val="auto"/>
        </w:rPr>
        <w:tab/>
      </w:r>
      <w:r>
        <w:rPr>
          <w:rFonts w:ascii="Times New Roman" w:cs="Times New Roman" w:eastAsia="Times New Roman" w:hAnsi="Times New Roman"/>
          <w:sz w:val="17"/>
          <w:szCs w:val="17"/>
          <w:b w:val="1"/>
          <w:bCs w:val="1"/>
          <w:color w:val="231F20"/>
        </w:rPr>
        <w:t>Employees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2025, GasLog employed (directly and through manning agents) approximately 1,868 seafaring staff who serve on GasLog’s owned and managed vessels (including our fleet) as well as an average of 143 shore-based staff during 2025. As of December 31, 2024, GasLog employed (directly and through manning agents) approximately 1,821 seafaring staff who serve on GasLog’s owned and managed vessels (including our fleet) as well as an average of 145 shore-based staff during 2024.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 Ship Management Agreements”.</w:t>
      </w:r>
    </w:p>
    <w:p>
      <w:pPr>
        <w:spacing w:after="0" w:line="1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2025, the retention rate was 98.3% for senior seagoing officers, 95.6% for other seagoing officers and 98.6% for shore staff.</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spacing w:after="0" w:line="187"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Share Ownership</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No common units are held by any of our directors and executive officers and/or entities affiliated with these individuals. More information on the Partnership’s ownership is disclosed in “Item 7. Major Unitholders and Related Party Transactions—A. Major Unitholders” below. For information regarding arrangements for involving the employees in the capital of the company, see “Item 6. Directors, Senior Management and Employees- B. Compensation of Directors and Senior Management”.</w:t>
      </w:r>
    </w:p>
    <w:p>
      <w:pPr>
        <w:spacing w:after="0" w:line="17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UNITHOLDERS AND RELATED PARTY TRANSACTIONS</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Major Unitholders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outstanding common units as of March 12, 2026 held by:</w:t>
      </w:r>
    </w:p>
    <w:p>
      <w:pPr>
        <w:spacing w:after="0" w:line="121"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executive officers;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directors;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our directors and officers as a group;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holder known to us to beneficially own 5% or more of our units;</w:t>
      </w: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an aggregate of 16,036,602 common units outstanding as of March 12, 2026. Each issued and outstanding common unit entitles the unitholder to one vote. Information for certain holders is based on their latest filings with the SEC or information delivered to us. Except as noted below, the address of all unitholders, officers and directors identified in the table and the accompanying footnotes below is in care of our principal executive offices.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174"/>
              <w:spacing w:after="0"/>
              <w:rPr>
                <w:sz w:val="20"/>
                <w:szCs w:val="20"/>
                <w:color w:val="auto"/>
              </w:rPr>
            </w:pPr>
            <w:r>
              <w:rPr>
                <w:rFonts w:ascii="Times New Roman" w:cs="Times New Roman" w:eastAsia="Times New Roman" w:hAnsi="Times New Roman"/>
                <w:sz w:val="14"/>
                <w:szCs w:val="14"/>
                <w:b w:val="1"/>
                <w:bCs w:val="1"/>
                <w:color w:val="231F20"/>
              </w:rPr>
              <w:t>Common Units</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231F20"/>
              </w:rPr>
              <w:t>Beneficially</w:t>
            </w:r>
          </w:p>
        </w:tc>
        <w:tc>
          <w:tcPr>
            <w:tcW w:w="0" w:type="dxa"/>
            <w:vAlign w:val="bottom"/>
          </w:tcPr>
          <w:p>
            <w:pPr>
              <w:spacing w:after="0"/>
              <w:rPr>
                <w:sz w:val="1"/>
                <w:szCs w:val="1"/>
                <w:color w:val="auto"/>
              </w:rPr>
            </w:pPr>
          </w:p>
        </w:tc>
      </w:t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 w:type="dxa"/>
            <w:vAlign w:val="bottom"/>
          </w:tcPr>
          <w:p>
            <w:pPr>
              <w:spacing w:after="0"/>
              <w:rPr>
                <w:sz w:val="15"/>
                <w:szCs w:val="15"/>
                <w:color w:val="auto"/>
              </w:rPr>
            </w:pPr>
          </w:p>
        </w:tc>
        <w:tc>
          <w:tcPr>
            <w:tcW w:w="114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231F20"/>
              </w:rPr>
              <w:t>Owned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3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Number    ​​​</w:t>
            </w:r>
          </w:p>
        </w:tc>
        <w:tc>
          <w:tcPr>
            <w:tcW w:w="6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Despoina Kyritsi</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Konstantinos Andreou</w:t>
            </w: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Maxime Philippe Cornet de Ways-Ruart</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5% beneficial owners</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GasLog Ltd.</w:t>
            </w:r>
            <w:r>
              <w:rPr>
                <w:rFonts w:ascii="Times New Roman" w:cs="Times New Roman" w:eastAsia="Times New Roman" w:hAnsi="Times New Roman"/>
                <w:sz w:val="26"/>
                <w:szCs w:val="26"/>
                <w:color w:val="auto"/>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16,036,602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 w:lineRule="exact"/>
        <w:rPr>
          <w:sz w:val="20"/>
          <w:szCs w:val="20"/>
          <w:color w:val="auto"/>
        </w:rPr>
      </w:pPr>
    </w:p>
    <w:p>
      <w:pPr>
        <w:ind w:left="340" w:hanging="332"/>
        <w:spacing w:after="0" w:line="261" w:lineRule="auto"/>
        <w:tabs>
          <w:tab w:leader="none" w:pos="340" w:val="left"/>
        </w:tabs>
        <w:numPr>
          <w:ilvl w:val="0"/>
          <w:numId w:val="42"/>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GasLog Ltd. is effectively controlled by its chairman, Peter G. Livanos, who is deemed to beneficially own, directly or indirectly, 43.5% of the issued and outstanding common shares of GasLog Ltd.</w:t>
      </w:r>
    </w:p>
    <w:p>
      <w:pPr>
        <w:spacing w:after="0" w:line="1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GasLog acquired the outstanding common units of the Partnership not already beneficially owned by GasLog. We are not aware of any other arrangements the operation of which may at a subsequent date result in a change of control of the Company. For additional information, see “Item 4. Information on the Partnership—B. Business Overview—Overview”.</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GasLog Partners Transaction, we have no common unitholders of record located in the United States.</w:t>
      </w:r>
    </w:p>
    <w:p>
      <w:pPr>
        <w:spacing w:after="0" w:line="185"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Each outstanding common unit is entitled to one vote on matters subject to a vote of common unitholders. 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dividends on the applicable series of Preference Units have been paid in full.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completion of the GasLog Partners Transaction, GasLog controls the Partnership’s affairs and policies. See “Item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Senior Management and Employees—C. Board Practices”.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Related Party Transactions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2025 are discussed below.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Administrative Services Agreement</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76"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is a change of control of us or our general partner;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receiver is appointed for all or substantially all of our property;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to wind up our partnership;</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final judgment or order that materially and adversely affects our ability to perform the agreement is obtained or entered and not vacated, discharged or stayed; or</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make a general assignment for the benefit of our creditors, file a petition in bankruptcy or liquidation or commence any reorganization proceedings.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administrative services provided by GasLog include:</w:t>
      </w:r>
    </w:p>
    <w:p>
      <w:pPr>
        <w:spacing w:after="0" w:line="223" w:lineRule="exact"/>
        <w:rPr>
          <w:sz w:val="20"/>
          <w:szCs w:val="20"/>
          <w:color w:val="auto"/>
        </w:rPr>
      </w:pPr>
    </w:p>
    <w:p>
      <w:pPr>
        <w:ind w:left="680" w:right="280" w:hanging="321"/>
        <w:spacing w:after="0" w:line="28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bookkeeping, audit and accounting services: </w:t>
      </w:r>
      <w:r>
        <w:rPr>
          <w:rFonts w:ascii="Times New Roman" w:cs="Times New Roman" w:eastAsia="Times New Roman" w:hAnsi="Times New Roman"/>
          <w:sz w:val="18"/>
          <w:szCs w:val="18"/>
          <w:color w:val="231F20"/>
        </w:rPr>
        <w:t>assistance with the maintenance of our corporate books and records, assistance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with the preparation of our tax returns and arranging for the provision of audit and accounting services;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legal and insurance services: </w:t>
      </w:r>
      <w:r>
        <w:rPr>
          <w:rFonts w:ascii="Times New Roman" w:cs="Times New Roman" w:eastAsia="Times New Roman" w:hAnsi="Times New Roman"/>
          <w:sz w:val="18"/>
          <w:szCs w:val="18"/>
          <w:color w:val="231F20"/>
        </w:rPr>
        <w:t>arranging for the provision of legal, insurance and other professional services and maintaining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existence and good standing in necessary jurisdictions;</w:t>
      </w:r>
    </w:p>
    <w:p>
      <w:pPr>
        <w:spacing w:after="0" w:line="158"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administrative and clerical services: </w:t>
      </w:r>
      <w:r>
        <w:rPr>
          <w:rFonts w:ascii="Times New Roman" w:cs="Times New Roman" w:eastAsia="Times New Roman" w:hAnsi="Times New Roman"/>
          <w:sz w:val="18"/>
          <w:szCs w:val="18"/>
          <w:color w:val="231F20"/>
        </w:rPr>
        <w:t>assistance with personnel administration, payroll and office space, arranging meetings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common 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9" w:lineRule="exact"/>
        <w:rPr>
          <w:rFonts w:ascii="Times New Roman" w:cs="Times New Roman" w:eastAsia="Times New Roman" w:hAnsi="Times New Roman"/>
          <w:sz w:val="18"/>
          <w:szCs w:val="18"/>
          <w:color w:val="auto"/>
        </w:rPr>
      </w:pPr>
    </w:p>
    <w:p>
      <w:pPr>
        <w:ind w:left="680" w:right="160" w:hanging="321"/>
        <w:spacing w:after="0" w:line="267"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banking and financing services: </w:t>
      </w:r>
      <w:r>
        <w:rPr>
          <w:rFonts w:ascii="Times New Roman" w:cs="Times New Roman" w:eastAsia="Times New Roman" w:hAnsi="Times New Roman"/>
          <w:sz w:val="18"/>
          <w:szCs w:val="18"/>
          <w:color w:val="231F20"/>
        </w:rPr>
        <w:t>providing treasury and cash management services including assistance with identifying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accessing sources of capital, preparation of budgets, overseeing banking services and bank accounts, arranging for the deposit of funds and monitoring and maintaining compliance therewith and financial risk management;</w:t>
      </w:r>
    </w:p>
    <w:p>
      <w:pPr>
        <w:spacing w:after="0" w:line="17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advisory services: </w:t>
      </w:r>
      <w:r>
        <w:rPr>
          <w:rFonts w:ascii="Times New Roman" w:cs="Times New Roman" w:eastAsia="Times New Roman" w:hAnsi="Times New Roman"/>
          <w:sz w:val="18"/>
          <w:szCs w:val="18"/>
          <w:color w:val="231F20"/>
        </w:rPr>
        <w:t>assistance in complying with United States and other relevant securities laws;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client and investor relations: </w:t>
      </w:r>
      <w:r>
        <w:rPr>
          <w:rFonts w:ascii="Times New Roman" w:cs="Times New Roman" w:eastAsia="Times New Roman" w:hAnsi="Times New Roman"/>
          <w:sz w:val="18"/>
          <w:szCs w:val="18"/>
          <w:color w:val="231F20"/>
        </w:rPr>
        <w:t>arranging for the provision of advisory, clerical and investor relations services to assist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support us in our communications with our unitholders; and</w:t>
      </w:r>
    </w:p>
    <w:p>
      <w:pPr>
        <w:spacing w:after="0" w:line="16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assistance with the integration of any acquired businesses.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2025, GasLog received a service fee of $0.64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2025 was $8.2 million, which related to all vessels in the GasLog Partners owned and bareboat fleet.</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Ship Management Agreements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All vessels in our fleet have entered into a ship management agreement with GasLog LNG Services, pursuant to which certain crew and technical services are provided by GasLog LNG Services. Under these ship management agreements, our operating subsidiaries pay fees to and reimburse the costs and expenses of the manager as described below.</w:t>
      </w:r>
    </w:p>
    <w:p>
      <w:pPr>
        <w:spacing w:after="0" w:line="174"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Management services. </w:t>
      </w:r>
      <w:r>
        <w:rPr>
          <w:rFonts w:ascii="Times New Roman" w:cs="Times New Roman" w:eastAsia="Times New Roman" w:hAnsi="Times New Roman"/>
          <w:sz w:val="18"/>
          <w:szCs w:val="18"/>
          <w:color w:val="auto"/>
        </w:rPr>
        <w:t>Each amended ship management agreement requires that GasLog LNG Services and its subcontractors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best endeavors to perform, among others, the following management services:</w:t>
      </w:r>
    </w:p>
    <w:p>
      <w:pPr>
        <w:spacing w:after="0" w:line="160" w:lineRule="exact"/>
        <w:rPr>
          <w:sz w:val="20"/>
          <w:szCs w:val="20"/>
          <w:color w:val="auto"/>
        </w:rPr>
      </w:pPr>
    </w:p>
    <w:p>
      <w:pPr>
        <w:ind w:left="680" w:right="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suitably and adequately qualified crew for the vessel in accordance with the requirements of the owner and the attendance to all matters pertaining to training, labor relations, insurance and amenities of the crew;</w:t>
      </w:r>
    </w:p>
    <w:p>
      <w:pPr>
        <w:spacing w:after="0" w:line="161"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applicable documentation of compliance and safety management certificates;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procurement of all stores, spares, equipment, provisions, oils, fuels and any other goods, material or services to be supplied to the vessel;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handling and settlement of claims relating to the vessel, including any claims involving the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navigation of the vessel, handling of all necessary communication, and management of cargo operations of the vessel;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arrangement, maintenance and preparation for suitable moorings for vessels for lay-up.</w:t>
      </w:r>
    </w:p>
    <w:p>
      <w:pPr>
        <w:spacing w:after="0" w:line="2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Management fee. </w:t>
      </w:r>
      <w:r>
        <w:rPr>
          <w:rFonts w:ascii="Times New Roman" w:cs="Times New Roman" w:eastAsia="Times New Roman" w:hAnsi="Times New Roman"/>
          <w:sz w:val="18"/>
          <w:szCs w:val="18"/>
          <w:color w:val="auto"/>
        </w:rPr>
        <w:t>For the year ended December 31, 2025, pursuant to the amended ship management agreements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2021, the vessel-owning subsidiaries, as owners, paid a management fee of $37,500 per month to GasLog LNG Services, as manager, and will reimburse GasLog LNG Services for all expenses incurred on their behalf. The aggregate fees and expenses for services under these management agreements for the year ended December 31, 2025 were $5.8 million, which related to all vessels in the GasLog Partners owned and bareboat fleet.</w:t>
      </w:r>
    </w:p>
    <w:p>
      <w:pPr>
        <w:spacing w:after="0" w:line="18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Each ship management agreement continues indefinitely until terminated by either party as described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Automatic termination and termination by either party. </w:t>
      </w:r>
      <w:r>
        <w:rPr>
          <w:rFonts w:ascii="Times New Roman" w:cs="Times New Roman" w:eastAsia="Times New Roman" w:hAnsi="Times New Roman"/>
          <w:sz w:val="18"/>
          <w:szCs w:val="18"/>
          <w:color w:val="auto"/>
        </w:rPr>
        <w:t>Each ship management agreement will be deemed to be terminated if:</w:t>
      </w:r>
    </w:p>
    <w:p>
      <w:pPr>
        <w:spacing w:after="0" w:line="227" w:lineRule="exact"/>
        <w:rPr>
          <w:sz w:val="20"/>
          <w:szCs w:val="20"/>
          <w:color w:val="auto"/>
        </w:rPr>
      </w:pPr>
    </w:p>
    <w:p>
      <w:pPr>
        <w:ind w:left="680" w:right="16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vessel is sold, becomes a total loss, is declared as a constructive, compromised or arranged total loss or is requisitioned for hire; or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74"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by the manager. </w:t>
      </w:r>
      <w:r>
        <w:rPr>
          <w:rFonts w:ascii="Times New Roman" w:cs="Times New Roman" w:eastAsia="Times New Roman" w:hAnsi="Times New Roman"/>
          <w:sz w:val="18"/>
          <w:szCs w:val="18"/>
          <w:color w:val="auto"/>
        </w:rPr>
        <w:t>Under each ship management agreement, the manager may terminate the ship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immediate effect by written notice if:</w:t>
      </w:r>
    </w:p>
    <w:p>
      <w:pPr>
        <w:spacing w:after="0" w:line="160" w:lineRule="exact"/>
        <w:rPr>
          <w:sz w:val="20"/>
          <w:szCs w:val="20"/>
          <w:color w:val="auto"/>
        </w:rPr>
      </w:pPr>
    </w:p>
    <w:p>
      <w:pPr>
        <w:ind w:left="680" w:right="64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money payable to the manager pursuant to the agreement has not been paid within 30 days of payment having been requested in writing by the manager;</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fails to cease employment of the vessel in an unlawful trade or on a voyage, which in the reasonable opinion of the manager, is unduly hazardous, within a reasonable time after receiving notice from the manager;</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relevant ship management agreement or any of the owner’s rights or obligations are assigned to any person or entity without the manager’s prior written agreement or approval; or</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7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Termination by the owner. </w:t>
      </w:r>
      <w:r>
        <w:rPr>
          <w:rFonts w:ascii="Times New Roman" w:cs="Times New Roman" w:eastAsia="Times New Roman" w:hAnsi="Times New Roman"/>
          <w:sz w:val="17"/>
          <w:szCs w:val="17"/>
          <w:color w:val="auto"/>
        </w:rPr>
        <w:t>Under each ship management agreement, the owner may terminate the applicable agreement by giving 90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written notice 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7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Additional fees and provisions. </w:t>
      </w:r>
      <w:r>
        <w:rPr>
          <w:rFonts w:ascii="Times New Roman" w:cs="Times New Roman" w:eastAsia="Times New Roman" w:hAnsi="Times New Roman"/>
          <w:sz w:val="18"/>
          <w:szCs w:val="18"/>
          <w:color w:val="auto"/>
        </w:rPr>
        <w:t>Under each ship management agreement, the manager and its employees, agents and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indemnified 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Management Agreements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operating subsidiaries have entered into commercial management agreements with GasLog that were amended upon completion of the IPO, pursuant to which GasLog provides certain commercial management services to us. For the year ended December 31, 2025, the commercial management fee was paid as a fixed commission of 1.25% of gross charter revenues of all vessels in the GasLog Partners’ fleet payable monthly in advance. The aggregate fees and expenses under these commercial management agreements for the year ended December 31, 2025 were $3.5 million which related to all vessels in the GasLog Partners owned and bareboat fleet.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commercial management agreements require that GasLog use their best endeavors to perform, among others, the following management services:</w:t>
      </w:r>
    </w:p>
    <w:p>
      <w:pPr>
        <w:spacing w:after="0" w:line="162" w:lineRule="exact"/>
        <w:rPr>
          <w:sz w:val="20"/>
          <w:szCs w:val="20"/>
          <w:color w:val="auto"/>
        </w:rPr>
      </w:pPr>
    </w:p>
    <w:p>
      <w:pPr>
        <w:ind w:left="680" w:right="20" w:hanging="321"/>
        <w:spacing w:after="0" w:line="258"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administration of invoicing and collection of hire payables;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assessment of the market on specific issues and provision of such consultancy services as the owners may from time to time require.</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2020, the Commercial Management Agreements were novated from GasLog Ltd. to GasLog LNG Services. The novation was completed to accurately reflect the Group entity providing the commercial management services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Credit Facilities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November 2, 2023, in connection with GasLog, as Borrower, entering into the Facility in the amount of $2.8 billion, we and GasLog Partners Holdings entered into a guarantee pursuant to which we and GasLog Partners Holdings guaranteed up to the amount of outstanding loan available. As of December 31, 2025 the amount outstanding under the Facility was $2,293.1 million. See “Item 5. Operating and Financial Review and Prospects – B.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Merger Agreement</w:t>
      </w:r>
    </w:p>
    <w:p>
      <w:pPr>
        <w:spacing w:after="0" w:line="229"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231F20"/>
        </w:rPr>
        <w:t>On April 6, 2023, GasLog entered into the GasLog Partners Merger Agreement with GasLog, the general partner and the Merger Sub. For additional information, see “Item 4. Information of the Partnership––A. History and Development of the Partnership”.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Related Party Transactions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disinterested directors of our board. Neither our general partner nor our board of directors will be in breach of their obligations under the partnership agreement or their duties stated or implied by law or equity if the transaction is approved by the disinterested directors of our board. If approval of the disinterested directors of our board is sought, then the disinterested directors of our board will be authorized to consider any and all factors as it determines to be relevant or appropriate under the circumstances and it will be presumed that, in making its decision, the disinterested directors of our board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Transactions with our affiliates that are not approved by the disinterested directors of our board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disinterested directors of our board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Proceedings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Preference Units Distribution Requirements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the Series A Preference Units, from and including May 15, 2017 to, but excluding, June 15, 2027, the distribution rate is 8.625% per annum per $25.00 of liquidation preference per unit (equal to $2.15625 per annum per unit). The terms of the Series A Preference Units provide that the distribution rate will convert from a fixed rate of 8.625% to a floating rate equal to the three-month LIBOR plus a spread of 6.31% per annum on June 15, 2027. The fallback provisions of the Series A Preference Units do not contain a successor rate concept as the units were issued at a time of limited uncertainty regarding the future of LIBOR as a benchmark rate. In the absence of such fallback provisions, from and including June 15, 2027, the distribution rate for the Series A Preference Units will be determined by the Partnership based on the terms of the Partnership Agreement and applicable Marshall Islands law regarding amending LIBOR-based instruments. Under the current LIBOR fallback provisions for the Series A Preference Units, if there is no published LIBOR rate, the floating rate is expected to be the rate set during the prior interest rate period, which would be the current fixed rate of 8.625%. We paid distributions to holders of our Series A Preference Units of $0.5390625 per unit on March 17, 2025, June 16, 2025, September 15, 2025 and December 15, 2025.</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the Series B Preference Units, from and including January 17, 2018 to, but excluding, March 15, 2023, the distribution rate was 8.200% per annum per $25.00 of liquidation preference per unit (equal to $2.05 per annum per unit). From and including March 15, 2023, the distribution rate was a floating rate equal to three-month LIBOR plus a spread of 5.839% per annum per $25.00 of liquidation preference per unit. Effective September 15, 2023, in accordance with the terms of the Series B Preference Units, the three month LIBOR utilized as the base rate for the calculation of the floating rate distributions payable with respect to the Series B Preference Units was replaced by SOFR for a three month tenor published by the Chicago Mercantile Exchange (“CME”) plus a credit spread adjustment of 0.26161% (“Credit Adjusted Term SOFR”) plus a spread of 5.839% per annum per $25.00 of liquidation preference per unit. Credit Adjusted Term SOFR was used as the base rate for the first time with respect to the distributions payable for the distribution period beginning September 15, 2023 and ending December 15, 2023 and will be calculated every three months going forward. The distribution rates are not subject to adjustment. We paid distributions to holders of our Series B Preference Units of $0.6530831, $0.6641672, $0.6651210 and $0.6396068 per unit on March 17, 2025, June 16, 2025, September 15, 2025 and December 15, 2025, respectively.</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Series C Preference Units, from and including November 15, 2018 to, but excluding, March 15, 2024, the distribution rate was 8.500% per annum per $25.00 of liquidation preference per unit (equal to $2.05 per annum per unit). From and including March 15, 2024, the distribution rate is a floating rate equal to the SOFR for a three month tenor published by the CME plus Credit Adjusted Term SOFR plus a spread of 5.317% per annum per $25.00 of liquidation preference per unit. We paid distributions to holders of our Series C Preference Units of $0.6204581, $0.6308172, $0.6317710 and $0.6066193 on March 17, 2025, June 16, 2025, September 15, 2025 and December 15, 2025, respectively.</w:t>
      </w:r>
    </w:p>
    <w:p>
      <w:pPr>
        <w:spacing w:after="0" w:line="18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Distributions of Available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make distributions of available cash after payment of Preference Unit distributions for any quarter in the following manner:</w:t>
      </w:r>
    </w:p>
    <w:p>
      <w:pPr>
        <w:spacing w:after="0" w:line="223" w:lineRule="exact"/>
        <w:rPr>
          <w:sz w:val="20"/>
          <w:szCs w:val="20"/>
          <w:color w:val="auto"/>
        </w:rPr>
      </w:pPr>
    </w:p>
    <w:p>
      <w:pPr>
        <w:ind w:left="680" w:right="180" w:hanging="321"/>
        <w:spacing w:after="0" w:line="284"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first</w:t>
      </w:r>
      <w:r>
        <w:rPr>
          <w:rFonts w:ascii="Times New Roman" w:cs="Times New Roman" w:eastAsia="Times New Roman" w:hAnsi="Times New Roman"/>
          <w:sz w:val="18"/>
          <w:szCs w:val="18"/>
          <w:color w:val="231F20"/>
        </w:rPr>
        <w:t>, to our general partner, in accordance with its percentage interest in the manner described in “—General Partner Interest”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below; and</w:t>
      </w:r>
    </w:p>
    <w:p>
      <w:pPr>
        <w:spacing w:after="0" w:line="158" w:lineRule="exact"/>
        <w:rPr>
          <w:rFonts w:ascii="Times New Roman" w:cs="Times New Roman" w:eastAsia="Times New Roman" w:hAnsi="Times New Roman"/>
          <w:sz w:val="18"/>
          <w:szCs w:val="18"/>
          <w:color w:val="auto"/>
        </w:rPr>
      </w:pPr>
    </w:p>
    <w:p>
      <w:pPr>
        <w:ind w:left="680" w:right="260" w:hanging="321"/>
        <w:spacing w:after="0" w:line="284"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thereafter</w:t>
      </w:r>
      <w:r>
        <w:rPr>
          <w:rFonts w:ascii="Times New Roman" w:cs="Times New Roman" w:eastAsia="Times New Roman" w:hAnsi="Times New Roman"/>
          <w:sz w:val="18"/>
          <w:szCs w:val="18"/>
          <w:color w:val="231F20"/>
        </w:rPr>
        <w:t>, to all common unitholders pro rata, a percentage equal to 100% less the general partner percentage interest, in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manner described in “—General Partner Interest”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Partner Interest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be entitled to distributions that we make prior to our liquidation in accordance with its percentage interest (6.3% as of December 31, 2025). Our general partner has the right, but not the obligation, to contribute a proportionate amount of capital to us to maintain its general partner interest if we issue additional common units. Our general partner’s interest, and the percentage of our cash distributions to which it is entitled, will be proportionately reduced if we issue additional common units in the future and our general partner does not contribute a proportionate amount of capital to us in order to maintain its general partner interest. Our general partner will be entitled to make a capital contribution in order to maintain its general partner interest in the form of the contribution to us of common units based on the current market value of the contributed common units.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Significant Changes</w:t>
      </w:r>
    </w:p>
    <w:p>
      <w:pPr>
        <w:spacing w:after="0" w:line="229" w:lineRule="exact"/>
        <w:rPr>
          <w:rFonts w:ascii="Times New Roman" w:cs="Times New Roman" w:eastAsia="Times New Roman" w:hAnsi="Times New Roman"/>
          <w:sz w:val="18"/>
          <w:szCs w:val="18"/>
          <w:b w:val="1"/>
          <w:bCs w:val="1"/>
          <w:color w:val="231F20"/>
        </w:rPr>
      </w:pPr>
    </w:p>
    <w:p>
      <w:pPr>
        <w:ind w:left="34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See “Item 18. Financial Statements—Note 21. Subsequent Events” below.</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New York Stock Exchange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C Preference Units have been trading on the NYSE under the symbol “GLOP PR C” since November 15, 2018.</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340" w:right="8400" w:hanging="332"/>
        <w:spacing w:after="0" w:line="530" w:lineRule="auto"/>
        <w:tabs>
          <w:tab w:leader="none" w:pos="340" w:val="left"/>
        </w:tabs>
        <w:numPr>
          <w:ilvl w:val="0"/>
          <w:numId w:val="5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Share Capital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Memorandum of Association</w:t>
      </w:r>
    </w:p>
    <w:p>
      <w:pPr>
        <w:spacing w:after="0" w:line="229" w:lineRule="exact"/>
        <w:rPr>
          <w:sz w:val="20"/>
          <w:szCs w:val="20"/>
          <w:color w:val="auto"/>
        </w:rPr>
      </w:pPr>
    </w:p>
    <w:p>
      <w:pPr>
        <w:ind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to be disclosed under Item 10.B is incorporated by reference to </w:t>
      </w:r>
      <w:hyperlink r:id="rId96">
        <w:r>
          <w:rPr>
            <w:rFonts w:ascii="Times New Roman" w:cs="Times New Roman" w:eastAsia="Times New Roman" w:hAnsi="Times New Roman"/>
            <w:sz w:val="18"/>
            <w:szCs w:val="18"/>
            <w:u w:val="single" w:color="auto"/>
            <w:color w:val="0000EE"/>
          </w:rPr>
          <w:t>Exhibit 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Current Report on Form 6-K furnished with the SEC on July 24, 2023.</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Material Contracts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w:t>
      </w:r>
    </w:p>
    <w:p>
      <w:pPr>
        <w:spacing w:after="0" w:line="176" w:lineRule="exact"/>
        <w:rPr>
          <w:sz w:val="20"/>
          <w:szCs w:val="20"/>
          <w:color w:val="auto"/>
        </w:rPr>
      </w:pPr>
    </w:p>
    <w:p>
      <w:pPr>
        <w:ind w:left="680" w:right="480" w:hanging="321"/>
        <w:spacing w:after="0" w:line="282" w:lineRule="auto"/>
        <w:tabs>
          <w:tab w:leader="none" w:pos="6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Administrative Services Agreement; please see “Item 7. Major Unitholders and Related Party Transactions—B. Related Party Transactions—Administrative Services Agreement”.</w:t>
      </w:r>
    </w:p>
    <w:p>
      <w:pPr>
        <w:spacing w:after="0" w:line="161" w:lineRule="exact"/>
        <w:rPr>
          <w:rFonts w:ascii="Times New Roman" w:cs="Times New Roman" w:eastAsia="Times New Roman" w:hAnsi="Times New Roman"/>
          <w:sz w:val="18"/>
          <w:szCs w:val="18"/>
          <w:color w:val="231F20"/>
        </w:rPr>
      </w:pPr>
    </w:p>
    <w:p>
      <w:pPr>
        <w:ind w:left="680" w:right="340" w:hanging="321"/>
        <w:spacing w:after="0" w:line="282" w:lineRule="auto"/>
        <w:tabs>
          <w:tab w:leader="none" w:pos="6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Commercial Management Agreement; please see “Item 7. Major Unitholders and Related Party Transactions—B. Related Party Transactions—Commercial Management Agreement”.</w:t>
      </w:r>
    </w:p>
    <w:p>
      <w:pPr>
        <w:spacing w:after="0" w:line="161" w:lineRule="exact"/>
        <w:rPr>
          <w:rFonts w:ascii="Times New Roman" w:cs="Times New Roman" w:eastAsia="Times New Roman" w:hAnsi="Times New Roman"/>
          <w:sz w:val="18"/>
          <w:szCs w:val="18"/>
          <w:color w:val="231F20"/>
        </w:rPr>
      </w:pPr>
    </w:p>
    <w:p>
      <w:pPr>
        <w:ind w:left="680" w:right="320" w:hanging="321"/>
        <w:spacing w:after="0" w:line="282" w:lineRule="auto"/>
        <w:tabs>
          <w:tab w:leader="none" w:pos="6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Ship Management Agreement; please see “Item 7. Major Unitholders and Related Party Transactions—B. Related Party Transactions—Ship Management Agreements”.</w:t>
      </w:r>
    </w:p>
    <w:p>
      <w:pPr>
        <w:spacing w:after="0" w:line="161" w:lineRule="exact"/>
        <w:rPr>
          <w:rFonts w:ascii="Times New Roman" w:cs="Times New Roman" w:eastAsia="Times New Roman" w:hAnsi="Times New Roman"/>
          <w:sz w:val="18"/>
          <w:szCs w:val="18"/>
          <w:color w:val="231F20"/>
        </w:rPr>
      </w:pPr>
    </w:p>
    <w:p>
      <w:pPr>
        <w:ind w:left="680" w:right="80" w:hanging="321"/>
        <w:spacing w:after="0" w:line="282" w:lineRule="auto"/>
        <w:tabs>
          <w:tab w:leader="none" w:pos="6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Indemnification Agreement for the Partnership’s directors and certain officers; please see “Item 7. Major Unitholders and Related Party Transactions—B. Related Party Transactions—Indemnification Agreements”.</w:t>
      </w:r>
    </w:p>
    <w:p>
      <w:pPr>
        <w:spacing w:after="0" w:line="161" w:lineRule="exact"/>
        <w:rPr>
          <w:rFonts w:ascii="Times New Roman" w:cs="Times New Roman" w:eastAsia="Times New Roman" w:hAnsi="Times New Roman"/>
          <w:sz w:val="18"/>
          <w:szCs w:val="18"/>
          <w:color w:val="231F20"/>
        </w:rPr>
      </w:pPr>
    </w:p>
    <w:p>
      <w:pPr>
        <w:ind w:left="680" w:right="120" w:hanging="321"/>
        <w:spacing w:after="0" w:line="266" w:lineRule="auto"/>
        <w:tabs>
          <w:tab w:leader="none" w:pos="6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Addendum dated April 21, 2015 to the Omnibus Agreement dated May 12, 2014, among GasLog Ltd., GasLog Partners GP LLC and GasLog Partners Holdings LLC; please see “Item 7. Major Unitholders and Related Party Transactions—B. Related Party Transactions— Omnibus Agreement”.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3" w:lineRule="auto"/>
        <w:tabs>
          <w:tab w:leader="none" w:pos="68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Facility Agreement dated November 2, 2023, relating to $2,800,000,000 Reducing Revolving Loan Facility among GasLog Ltd. as borrower, Alpha Bank S.A., ABN Amro Bank N.V., BNP Paribas, Citibank, N.A., London, Branch, Credit Suisse AG, Danish Ship Finance A/S, DNB (UK) Limited, ING Bank N.V., London Branch, National Bank of Greece S.A., Nordea Bank Abp, Filial I Norge, Oversea-Chinese Banking Corporation Limited and Standard Chartered Bank (Singapore) Limited as mandated lead arrangers and bookrunners; National Australia Bank Limited and Skandinaviska Enskilda Banken AB (publ) as mandated lead arrangers; DNB Bank ASA, London Branch as Agent and security agent; ABN Amro Bank N.V. as Sustainability Co-ordinator; BNP Paribas and Citibank, N.A., London, Branch, as Global Co-ordinators and GAS-one Ltd., GAS-two Ltd., GAS-four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as Owners and Guarantors; GasLog Partners LP, GasLog Carriers Ltd. and GasLog Partners Holdings LLC as Guarantors; please see “Item 5. Operating and Financial Review and Prospects—B. Liquidity and Capital Resources—Borrowing Activities—Credit Facilities”.</w:t>
      </w:r>
    </w:p>
    <w:p>
      <w:pPr>
        <w:spacing w:after="0" w:line="187"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Supplemental Agreement dated February 10, 2025 to the Facility Agreement dated November 2, 2023, relating to</w:t>
      </w:r>
    </w:p>
    <w:p>
      <w:pPr>
        <w:spacing w:after="0" w:line="27" w:lineRule="exact"/>
        <w:rPr>
          <w:rFonts w:ascii="Times New Roman" w:cs="Times New Roman" w:eastAsia="Times New Roman" w:hAnsi="Times New Roman"/>
          <w:sz w:val="18"/>
          <w:szCs w:val="18"/>
          <w:color w:val="231F20"/>
        </w:rPr>
      </w:pPr>
    </w:p>
    <w:p>
      <w:pPr>
        <w:ind w:left="680" w:right="20"/>
        <w:spacing w:after="0" w:line="251"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$2,800,000,000 Reducing Revolving Loan Facility among GasLog Ltd. as borrower, Alpha Bank S.A., ABN Amro Bank N.V., BNP Paribas, Citibank, N.A., Jersey Branch, UBS AG, Danish Ship Finance A/S, DNB (UK) Limited, ING Bank N.V., London Branch, National Australia Bank Limited, National Bank of Greece S.A., Nordea Bank Abp, Filial I Norge, Oversea-Chinese Banking Corporation Limited, Skandinaviska Enskilda Banken AB (publ) and Standard Chartered Bank (Singapore) Limited as lenders and GAS-one Ltd., GAS-two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GasLog Partners LP, GasLog Carriers Ltd. and GasLog Partners Holdings LLC as Guarantors; please see “Item 5. Operating and Financial Review and Prospects—B. Liquidity and Capital Resources—Borrowing Activities—Credit Facilities”.</w:t>
      </w:r>
    </w:p>
    <w:p>
      <w:pPr>
        <w:spacing w:after="0" w:line="188"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Exchange Controls and Other Limitations Affecting Security Holders</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U.S. Federal Income Tax Considerations</w:t>
      </w:r>
    </w:p>
    <w:p>
      <w:pPr>
        <w:spacing w:after="0" w:line="229"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Preference Units that are held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Preference Units, the tax treatment of its partners generally will depend upon the status of the partner and the activities of the partnership. If you are a partner in a partnership holding our Preference Units, you are encouraged to consult your own tax advisor regarding the tax consequences to you of the partnership’s ownership of our Preference Units.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Preference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Treated as a Corporation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Preference Units that owns (actually or constructively) less than 10.0% of our equity and that is:</w:t>
      </w:r>
    </w:p>
    <w:p>
      <w:pPr>
        <w:spacing w:after="0" w:line="162"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individual U.S. citizen or resident (as determined for U.S. federal income tax purposes);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corporation (or other entity that is classified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of the rules applicable to PFICs, any distributions to a U.S. Holder made by us with respect to our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Preference Units and thereafter as capital gain. U.S. Holders that are corporations generally will not be entitled to claim a dividend received deduction with respect to distributions they receive from us. Dividends received with respect to our Preference Units generally will be treated as foreign source “passive category income” for purposes of computing allowable foreign tax credits for U.S. federal income tax purposes.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Dividends received with respect to our Preference Units by a U.S. Holder that is an individual, trust or estate, or a “U.S. Individual Holder”, generally will be treated as “qualified dividend income”, which is taxable to such U.S. Individual Holder at preferential tax rates provided that: (i) our Preference Units are readily tradable on an established securities market in the United States (such as the NYSE on which our Preference Units are currently traded); (ii) we are not a PFIC for the tax year during which the dividend is paid or the immediately preceding tax year (which we do not believe we are, have been or will be, as discussed below under “—PFIC Status and Significant Tax Consequences”); (iii) the U.S. Individual Holder has owned the Preference Units for more than 60 days during the 121-day period beginning 60 days before the date on which the Preference Units become ex-dividend (and has not entered into certain risk limiting transactions with respect to such Preference Units); and (iv) the U.S. Individual Holder is not under an obligation to make related payments with respect to positions in substantially similar or related property. There is no assurance that any dividends paid on our Preference Units will be eligible for these preferential rates in the hands of a U.S. Individual Holder, and any distributions paid on our Preference Units that are not eligible for these preferential rates will be taxed at ordinary income rates to a U.S. Individual Holder.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Preference Units that are treated as “extraordinary dividends”. In general, an extraordinary dividend is a dividend that is equal to or in excess of 5% of a unitholder’s adjusted tax basis (or fair market value upon the unitholder’s election) in such Preference Unit. In addition, extraordinary dividends include dividends received within a one-year period that, in the aggregate, equal or exceed 20.0% of a unitholder’s adjusted tax basis (or fair market value). If we pay an “extraordinary dividend” on our Preference Units that is treated as “qualified dividend income”, then any loss recognized by a U.S. Individual Holder from the sale or exchange of such Preference Units will be treated as long-term capital loss to the extent of the amount of such dividend.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Sale, Exchange or Other Disposition of Preference Units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w:t>
      </w:r>
      <w:r>
        <w:rPr>
          <w:rFonts w:ascii="Times New Roman" w:cs="Times New Roman" w:eastAsia="Times New Roman" w:hAnsi="Times New Roman"/>
          <w:sz w:val="18"/>
          <w:szCs w:val="18"/>
          <w:color w:val="231F20"/>
        </w:rPr>
        <w:t>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Medicare Tax on Net Investment Income</w:t>
      </w:r>
    </w:p>
    <w:p>
      <w:pPr>
        <w:spacing w:after="0" w:line="22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Preference Units.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PFIC Status and Significant Tax Consequences</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Adverse U.S. federal income tax rules apply to a U.S. Holder that owns an equity interest in a non-U.S. corporation that is classified as a PFIC for U.S. federal income tax purposes. In general, we </w:t>
      </w:r>
      <w:r>
        <w:rPr>
          <w:rFonts w:ascii="Times New Roman" w:cs="Times New Roman" w:eastAsia="Times New Roman" w:hAnsi="Times New Roman"/>
          <w:sz w:val="18"/>
          <w:szCs w:val="18"/>
          <w:color w:val="231F20"/>
        </w:rPr>
        <w:t>will be treated as a PFIC with respect to a U.S. Holder if, for any tax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which the holder held our units, either:</w:t>
      </w:r>
    </w:p>
    <w:p>
      <w:pPr>
        <w:spacing w:after="0" w:line="176" w:lineRule="exact"/>
        <w:rPr>
          <w:sz w:val="20"/>
          <w:szCs w:val="20"/>
          <w:color w:val="auto"/>
        </w:rPr>
      </w:pPr>
    </w:p>
    <w:p>
      <w:pPr>
        <w:jc w:val="both"/>
        <w:ind w:left="680" w:right="6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50.0% of the average value of the assets held by us (including the assets of our vessel- owning subsidiaries) during such tax year produce, or are held for the production of, passive income.</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Our counsel has indicated to us that the conclusions described above are not free from doubt. While there is legal authority</w:t>
      </w:r>
    </w:p>
    <w:p>
      <w:pPr>
        <w:spacing w:after="0" w:line="2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supporting our conclusions, including IRS pronouncements concerning the characterization of income derived from time charters as services income, the Fifth Circuit held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F.3d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case and, at the same time, announced the position of the IRS that the marine time charter agreements at issue in that case should be treated as service contracts.</w:t>
      </w:r>
    </w:p>
    <w:p>
      <w:pPr>
        <w:spacing w:after="0" w:line="20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Preference Units, as discussed below. In addition, if a U.S. Holder owns our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Preference Units.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Making a Timely QEF Election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Preference Units will be increased to reflect taxed but undistributed earnings and profits. Distributions of earnings and profits that were previously taxed will result in a corresponding reduction in the Electing Holder’s adjusted tax basis in Preference Units and will not be taxed again once distributed. An Electing Holder generally will recognize capital gain or loss on the sale, exchange or other disposition of our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Taxation of U.S. Holders Making a </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Mark-to-Market</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 xml:space="preserve"> Election</w:t>
      </w:r>
    </w:p>
    <w:p>
      <w:pPr>
        <w:spacing w:after="0" w:line="22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were to be treated as a PFIC for any tax year and, as we anticipate, our units were treated as “marketable stock”, then, as an alternative to making a QEF election, a U.S. Holder would be allowed to make a “mark-to-market” election with respect to our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Preference Units at the end of the tax year over the holder’s adjusted tax basis in the Preference Units. The U.S. Holder also would be permitted an ordinary loss in respect of the excess, if any, of the U.S. Holder’s adjusted tax basis in the Preference Units over the fair market value thereof at the end of the tax year, but only to the extent of the net amount previously included in income as a result of the mark-to-market election. A U.S. Holder’s tax basis in its Preference Units would be adjusted to reflect any such income or loss recognized. Gain recognized on the sale, exchange or other disposition of our Preference Units would be treated as ordinary income, and any loss recognized on the sale, exchange or other disposition of the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Not Making a Timely QEF or Mark-to-Market Election</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Preference Units in a tax year in excess of 125.0% of the average annual distributions received by the Non-Electing Holder in the three preceding tax years, or, if shorter, the portion of the Non-Electing Holder’s holding period for the Preference Units before the tax year) and (2) any gain realized on the sale, exchange or other disposition of the units. Under these special rules:</w:t>
      </w:r>
    </w:p>
    <w:p>
      <w:pPr>
        <w:spacing w:after="0" w:line="187" w:lineRule="exact"/>
        <w:rPr>
          <w:sz w:val="20"/>
          <w:szCs w:val="20"/>
          <w:color w:val="auto"/>
        </w:rPr>
      </w:pPr>
    </w:p>
    <w:p>
      <w:pPr>
        <w:ind w:left="680" w:right="4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excess distribution or gain would be allocated ratably over the Non-Electing Holder’s aggregate holding period for the Preference Units;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the current tax year and any tax year prior to the tax year we were first treated as a PFIC with respect to the Non-Electing Holder would be taxed as ordinary income;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These penalties would not apply to a qualified pension, profit sharing or other retirement trust or other tax-exempt organization that did not borrow money or otherwise utilize leverage in connection with its acquisition of our Preference Units. If we were treated as a PFIC for any tax year and a Non-Electing Holder who is an individual dies while owning our Preference Units, such holder’s successor generally would not receive a step-up in tax basis with respect to such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beneficial owner of our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Preference Units, you are encouraged to consult your own tax advisor regarding the tax consequences to you of the partnership’s ownership of our Preference Units.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Disposition of Units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Holder is not subject to U.S. federal income tax or withholding tax on any gain resulting from the disposition of our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Preference Units if they are present in the United States for 183 days or more during the tax year in which those units are disposed and meet certain other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Backup Withholding and Information Reporting</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general, payments to a U.S. Individual Holder of distributions or the proceeds of a disposition of Preference Units will be subject to information reporting. These payments to a U.S. Individual Holder also may be subject to backup withholding if the U.S. Individual Holder:</w:t>
      </w:r>
    </w:p>
    <w:p>
      <w:pPr>
        <w:spacing w:after="0" w:line="176"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fails to provide an accurate taxpayer identification number;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 notified by the IRS that it has failed to report all interest or corporate distributions required to be reported on its U.S. federal income tax returns;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certain circumstances, fails to comply with applicable certification requirements.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w:t>
      </w:r>
      <w:r>
        <w:rPr>
          <w:rFonts w:ascii="Times New Roman" w:cs="Times New Roman" w:eastAsia="Times New Roman" w:hAnsi="Times New Roman"/>
          <w:sz w:val="18"/>
          <w:szCs w:val="18"/>
          <w:color w:val="231F20"/>
        </w:rPr>
        <w:t>Higher reporting thresholds apply to certain individuals living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Marshall Islands Tax Consequences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Because we and our subsidiaries do not and do not expect to conduct business or operations in the Republic of the Marshall Islands, under current Marshall Islands law you will not be subject to </w:t>
      </w:r>
      <w:r>
        <w:rPr>
          <w:rFonts w:ascii="Times New Roman" w:cs="Times New Roman" w:eastAsia="Times New Roman" w:hAnsi="Times New Roman"/>
          <w:sz w:val="18"/>
          <w:szCs w:val="18"/>
          <w:color w:val="231F20"/>
        </w:rPr>
        <w:t>Marshall Islands taxation or withholding on distributions, including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EACH PROSPECTIVE UNITHOLDER IS ENCOURAGED TO CONSULT ITS OWN TAX COUNSEL OR OTHER ADVISOR WITH REGARD TO THE LEGAL AND TAX CONSEQUENCES OF UNIT OWNERSHIP UNDER ITS PARTICULAR CIRCUMSTANCES.</w:t>
      </w:r>
    </w:p>
    <w:p>
      <w:pPr>
        <w:spacing w:after="0" w:line="172" w:lineRule="exact"/>
        <w:rPr>
          <w:sz w:val="20"/>
          <w:szCs w:val="20"/>
          <w:color w:val="auto"/>
        </w:rPr>
      </w:pPr>
    </w:p>
    <w:p>
      <w:pPr>
        <w:ind w:left="340" w:right="7240" w:hanging="332"/>
        <w:spacing w:after="0" w:line="500" w:lineRule="auto"/>
        <w:tabs>
          <w:tab w:leader="none" w:pos="340" w:val="left"/>
        </w:tabs>
        <w:numPr>
          <w:ilvl w:val="0"/>
          <w:numId w:val="5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Dividends and Paying Agents </w:t>
      </w:r>
      <w:r>
        <w:rPr>
          <w:rFonts w:ascii="Times New Roman" w:cs="Times New Roman" w:eastAsia="Times New Roman" w:hAnsi="Times New Roman"/>
          <w:sz w:val="18"/>
          <w:szCs w:val="18"/>
          <w:color w:val="000000"/>
        </w:rPr>
        <w:t>Not applicable.</w:t>
      </w:r>
    </w:p>
    <w:p>
      <w:pPr>
        <w:spacing w:after="0" w:line="1" w:lineRule="exact"/>
        <w:rPr>
          <w:rFonts w:ascii="Times New Roman" w:cs="Times New Roman" w:eastAsia="Times New Roman" w:hAnsi="Times New Roman"/>
          <w:sz w:val="18"/>
          <w:szCs w:val="18"/>
          <w:b w:val="1"/>
          <w:bCs w:val="1"/>
          <w:color w:val="231F20"/>
        </w:rPr>
      </w:pPr>
    </w:p>
    <w:p>
      <w:pPr>
        <w:ind w:left="340" w:right="7820" w:hanging="332"/>
        <w:spacing w:after="0" w:line="530" w:lineRule="auto"/>
        <w:tabs>
          <w:tab w:leader="none" w:pos="340" w:val="left"/>
        </w:tabs>
        <w:numPr>
          <w:ilvl w:val="0"/>
          <w:numId w:val="5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Statement by Experts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Documents on Display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inspect reports and other information regarding companies, such as us, that file electronically with the SEC without charge at a website maintained by the SEC at </w:t>
      </w:r>
      <w:r>
        <w:rPr>
          <w:rFonts w:ascii="Times New Roman" w:cs="Times New Roman" w:eastAsia="Times New Roman" w:hAnsi="Times New Roman"/>
          <w:sz w:val="18"/>
          <w:szCs w:val="18"/>
          <w:i w:val="1"/>
          <w:iCs w:val="1"/>
          <w:color w:val="auto"/>
        </w:rPr>
        <w:t>http://www.sec.gov.</w:t>
      </w:r>
    </w:p>
    <w:p>
      <w:pPr>
        <w:spacing w:after="0" w:line="172" w:lineRule="exact"/>
        <w:rPr>
          <w:sz w:val="20"/>
          <w:szCs w:val="20"/>
          <w:color w:val="auto"/>
        </w:rPr>
      </w:pPr>
    </w:p>
    <w:p>
      <w:pPr>
        <w:ind w:left="340" w:right="7680" w:hanging="332"/>
        <w:spacing w:after="0" w:line="530" w:lineRule="auto"/>
        <w:tabs>
          <w:tab w:leader="none" w:pos="340" w:val="left"/>
        </w:tabs>
        <w:numPr>
          <w:ilvl w:val="0"/>
          <w:numId w:val="60"/>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Subsidiary Information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November 27, 2018, we and GasLog entered into an agreement to modify the partnership agreement with respect to the general partner incentive distribution rights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had all of the rights and obligations attached to the common units, except for voting rights and participation in earnings and distributions until such time as GasLog exercises its right to convert the Class B units to common units. On July 1, 2020, July 1, 2021, July 1, 2022 and July 1, 2023, GasLog Partners issued 415,000 common units on each date in connection with GasLog’s option to convert the second tranche of its Class B units. The Class B-5 units and the Class B-6 units were cancelled on July 13, 2023 in accordance with the provisions of the Merger Agreement with GasLog. Following the IDR elimination and until the completion of the GasLog Partners Transaction, the Partnership’s profit allocation was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 In connection with the modification to the number of directors, we entered into a Seventh Amended and Restated Agreement of Limited Partnership which replaced the Sixth Amended and Restated Limited Partnership Agreement in its entirety. On July 21, 2023, the Board approved an amendment to the Partnership’s Seventh Amended and Restated Agreement of Limited Partnership that makes certain changes relating to the composition of the Board and other changes to reflect the ownership of all outstanding common units of the Partnership by GasLog following the consummation of the GasLog Partners Transaction on July 13, 2023. Please see our Eighth Amended and Restated Limited Partnership Agreement, filed as an exhibit hereto,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Disclosure Controls and Procedures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2025. Based on our evaluation, the CEO and the CFO have concluded that, as of December 31, 2025, our disclosure controls and procedures were effective.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Management’s Annual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using criteria issued by the Committee of Sponsoring Organizations of the Treadway Commission (COSO) in the </w:t>
      </w:r>
      <w:r>
        <w:rPr>
          <w:rFonts w:ascii="Times New Roman" w:cs="Times New Roman" w:eastAsia="Times New Roman" w:hAnsi="Times New Roman"/>
          <w:sz w:val="18"/>
          <w:szCs w:val="18"/>
          <w:i w:val="1"/>
          <w:iCs w:val="1"/>
          <w:color w:val="auto"/>
        </w:rPr>
        <w:t>Internal Control—Integrated Framework</w:t>
      </w: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(2013 framework)</w:t>
      </w:r>
      <w:r>
        <w:rPr>
          <w:rFonts w:ascii="Times New Roman" w:cs="Times New Roman" w:eastAsia="Times New Roman" w:hAnsi="Times New Roman"/>
          <w:sz w:val="18"/>
          <w:szCs w:val="18"/>
          <w:color w:val="auto"/>
        </w:rPr>
        <w:t>. Based on the evaluation, our management concluded that our internal control over financial reporting was effective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2025.</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Attestation Report of the Registered Public Accounting Firm</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the delisting of our common shares from the NYSE in July 2023, we are a non-accelerated filer. Therefore, an attestation report of our registered public accounting firm is not required.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D.</w:t>
      </w:r>
      <w:r>
        <w:rPr>
          <w:sz w:val="20"/>
          <w:szCs w:val="20"/>
          <w:color w:val="auto"/>
        </w:rPr>
        <w:tab/>
      </w:r>
      <w:r>
        <w:rPr>
          <w:rFonts w:ascii="Times New Roman" w:cs="Times New Roman" w:eastAsia="Times New Roman" w:hAnsi="Times New Roman"/>
          <w:sz w:val="17"/>
          <w:szCs w:val="17"/>
          <w:b w:val="1"/>
          <w:bCs w:val="1"/>
          <w:color w:val="231F20"/>
        </w:rPr>
        <w:t>Changes in Internal Control over Financial Reporting</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Ms. Despoina Kyritsi, Mr. Konstantinos Andreou and Mr. Maxime Philippe Cornet de Ways-Ruart, whose biographical details are included in “Item 6. Directors, Senior Management and Employees—A. Directors and Senior Management”, are the audit committee members. Ms. Kyritsi qualifies as an “audit committee financial expert”. Our board of directors has affirmatively determined that each of Ms. Kyritsi, Mr. Andreou and Mr. Cornet meets the definition of “independent director” for purposes of serving on an audit committee under applicable SEC and NYSE rules.</w:t>
      </w:r>
    </w:p>
    <w:p>
      <w:pPr>
        <w:spacing w:after="0" w:line="1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Partnership, a copy of which is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The information contained on or connected to our website is not a part of this annual report. We will also provide a paper copy of this document upon the written request at no cost. Unitholders may direct their requests to the attention of our Head of Legal, GasLog Partners LP, 69 Akti Miaouli, 18537 Piraeus, Greece. No waivers of the Code of Business Conduct and Ethics have been granted to any person during the fiscal year ended December 31, 2025.</w:t>
      </w:r>
    </w:p>
    <w:p>
      <w:pPr>
        <w:spacing w:after="0" w:line="18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Deloitte Certified Public Accountants S.A. (PCAOB ID No. 1163), an independent registered public accounting firm, has audited our annual financial statements, acting as our independent auditor for the fiscal years ended December 31, 2024 and December 31, 2025.</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total amount billed and accrued for Deloitte Certified Public Accountants S.A. (PCAOB ID No. 1163) for services performed in 2024 and 2025, respectively, and breaks down these amounts by the category of service. The fees paid to our principal accountant were approved in accordance with the pre-approval policies and procedures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29"/>
        </w:trPr>
        <w:tc>
          <w:tcPr>
            <w:tcW w:w="37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700" w:type="dxa"/>
            <w:vAlign w:val="bottom"/>
            <w:gridSpan w:val="4"/>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(Expressed in millions</w:t>
            </w:r>
          </w:p>
        </w:tc>
        <w:tc>
          <w:tcPr>
            <w:tcW w:w="1400" w:type="dxa"/>
            <w:vAlign w:val="bottom"/>
            <w:gridSpan w:val="2"/>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of U.S. Dollars)</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080" w:type="dxa"/>
            <w:vAlign w:val="bottom"/>
            <w:gridSpan w:val="2"/>
            <w:shd w:val="clear" w:color="auto" w:fill="CCEEFF"/>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r>
      <w:tr>
        <w:trPr>
          <w:trHeight w:val="20"/>
        </w:trPr>
        <w:tc>
          <w:tcPr>
            <w:tcW w:w="3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8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the audit of the consolidated financial statements of the Partnership and fees for the review of the quarterly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2024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2024 and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2024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0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audits and lawfully permitted non-audit services.</w:t>
      </w:r>
    </w:p>
    <w:p>
      <w:pPr>
        <w:spacing w:after="0" w:line="1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all purchases of our preference units by our affiliated purchasers for the period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 Preference</w:t>
            </w: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 Preference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 Preference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0" w:type="dxa"/>
            <w:vAlign w:val="bottom"/>
          </w:tcPr>
          <w:p>
            <w:pPr>
              <w:spacing w:after="0"/>
              <w:rPr>
                <w:sz w:val="1"/>
                <w:szCs w:val="1"/>
                <w:color w:val="auto"/>
              </w:rPr>
            </w:pPr>
          </w:p>
        </w:tc>
      </w:tr>
      <w:tr>
        <w:trPr>
          <w:trHeight w:val="173"/>
        </w:trPr>
        <w:tc>
          <w:tcPr>
            <w:tcW w:w="5200" w:type="dxa"/>
            <w:vAlign w:val="bottom"/>
            <w:gridSpan w:val="4"/>
            <w:vMerge w:val="continue"/>
          </w:tcPr>
          <w:p>
            <w:pPr>
              <w:spacing w:after="0"/>
              <w:rPr>
                <w:sz w:val="15"/>
                <w:szCs w:val="15"/>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January 2025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February 2025 </w:t>
            </w:r>
            <w:r>
              <w:rPr>
                <w:rFonts w:ascii="Times New Roman" w:cs="Times New Roman" w:eastAsia="Times New Roman" w:hAnsi="Times New Roman"/>
                <w:sz w:val="25"/>
                <w:szCs w:val="25"/>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March 2025 </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April 2025 </w:t>
            </w:r>
            <w:r>
              <w:rPr>
                <w:rFonts w:ascii="Times New Roman" w:cs="Times New Roman" w:eastAsia="Times New Roman" w:hAnsi="Times New Roman"/>
                <w:sz w:val="25"/>
                <w:szCs w:val="25"/>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June 2025 </w:t>
            </w:r>
            <w:r>
              <w:rPr>
                <w:rFonts w:ascii="Times New Roman" w:cs="Times New Roman" w:eastAsia="Times New Roman" w:hAnsi="Times New Roman"/>
                <w:sz w:val="25"/>
                <w:szCs w:val="25"/>
                <w:color w:val="auto"/>
                <w:vertAlign w:val="superscript"/>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July 2025 </w:t>
            </w:r>
            <w:r>
              <w:rPr>
                <w:rFonts w:ascii="Times New Roman" w:cs="Times New Roman" w:eastAsia="Times New Roman" w:hAnsi="Times New Roman"/>
                <w:sz w:val="25"/>
                <w:szCs w:val="25"/>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August 2025 </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September 2025 </w:t>
            </w:r>
            <w:r>
              <w:rPr>
                <w:rFonts w:ascii="Times New Roman" w:cs="Times New Roman" w:eastAsia="Times New Roman" w:hAnsi="Times New Roman"/>
                <w:sz w:val="25"/>
                <w:szCs w:val="25"/>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November 2025 </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December 2025 </w:t>
            </w:r>
            <w:r>
              <w:rPr>
                <w:rFonts w:ascii="Times New Roman" w:cs="Times New Roman" w:eastAsia="Times New Roman" w:hAnsi="Times New Roman"/>
                <w:sz w:val="25"/>
                <w:szCs w:val="25"/>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111,504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line="233" w:lineRule="auto"/>
        <w:tabs>
          <w:tab w:leader="none" w:pos="34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acquired these shares in open-market transactions.</w:t>
      </w:r>
    </w:p>
    <w:p>
      <w:pPr>
        <w:spacing w:after="0" w:line="177" w:lineRule="exact"/>
        <w:rPr>
          <w:rFonts w:ascii="Times New Roman" w:cs="Times New Roman" w:eastAsia="Times New Roman" w:hAnsi="Times New Roman"/>
          <w:sz w:val="22"/>
          <w:szCs w:val="22"/>
          <w:color w:val="auto"/>
          <w:vertAlign w:val="superscript"/>
        </w:rPr>
      </w:pPr>
    </w:p>
    <w:p>
      <w:pPr>
        <w:ind w:left="340" w:right="20" w:hanging="332"/>
        <w:spacing w:after="0" w:line="195" w:lineRule="auto"/>
        <w:tabs>
          <w:tab w:leader="none" w:pos="34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and Paolo Enoizi, for his own benefit, acquired these shares in open-market transactions.</w:t>
      </w:r>
    </w:p>
    <w:p>
      <w:pPr>
        <w:spacing w:after="0" w:line="176" w:lineRule="exact"/>
        <w:rPr>
          <w:rFonts w:ascii="Times New Roman" w:cs="Times New Roman" w:eastAsia="Times New Roman" w:hAnsi="Times New Roman"/>
          <w:sz w:val="22"/>
          <w:szCs w:val="22"/>
          <w:color w:val="auto"/>
          <w:vertAlign w:val="superscript"/>
        </w:rPr>
      </w:pPr>
    </w:p>
    <w:p>
      <w:pPr>
        <w:ind w:left="340" w:right="120" w:hanging="332"/>
        <w:spacing w:after="0" w:line="195" w:lineRule="auto"/>
        <w:tabs>
          <w:tab w:leader="none" w:pos="34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Paolo Enoizi and Konstantinos Karathanos, for their own benefit, acquired these shares in open-market transactions.</w:t>
      </w:r>
    </w:p>
    <w:p>
      <w:pPr>
        <w:spacing w:after="0" w:line="17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PARTNERSHIP’S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Pursuant to certain exceptions for foreign private issuers and issuers that list only preferred units, the Partnership is not required to comply with most of the corporate governance practices followed by U.S. companies under the NYSE listing standards. However, pursuant to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NYSE rules do not require a listed company that is a foreign private issuer or an issuer that lists only preferred units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Ms. Despoina Kyritsi, Mr. Konstantinos Andreou and Mr. Maxime Philippe Cornet de Ways-Ruart satisfies the independence standards established by the NYSE as applicable to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and Compensation Committee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issuers that list only preferred units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has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 A copy of our Trading Policy has been previously filed as an exhibit to GasLog Partners LP’s Annual Report on Form 20-F (File No. 001-36433), filed with the SEC on March 14, 2025.</w:t>
      </w:r>
    </w:p>
    <w:p>
      <w:pPr>
        <w:spacing w:after="0" w:line="1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The Partnership’s cybersecurity risk management and governance largely relies on GasLog’s resources.</w:t>
      </w:r>
    </w:p>
    <w:p>
      <w:pPr>
        <w:spacing w:after="0" w:line="13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GasLog has in place safety and security measures on our vessels and onshore operations to secure our vessels against cybersecurity incidents. GasLog’s processes for assessing, identifying and managing material risks from cybersecurity threats include:</w:t>
      </w:r>
    </w:p>
    <w:p>
      <w:pPr>
        <w:spacing w:after="0" w:line="121" w:lineRule="exact"/>
        <w:rPr>
          <w:sz w:val="20"/>
          <w:szCs w:val="20"/>
          <w:color w:val="auto"/>
        </w:rPr>
      </w:pPr>
    </w:p>
    <w:p>
      <w:pPr>
        <w:ind w:left="680" w:right="280" w:hanging="321"/>
        <w:spacing w:after="0" w:line="289" w:lineRule="auto"/>
        <w:tabs>
          <w:tab w:leader="none" w:pos="6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processes designed in accordance with international standards guidelines including the National Institute of Standards and Technology (NIST) Core Framework, BS ISO/IEC 27001, BS ISO/IEC 27002, the Tanker Management Self-Assessment (TMSA) 13 Elements, BIMCO, IMO Guidelines and International Ship and Port Facility Security (ISPS) Code;</w:t>
      </w:r>
    </w:p>
    <w:p>
      <w:pPr>
        <w:spacing w:after="0" w:line="130" w:lineRule="exact"/>
        <w:rPr>
          <w:rFonts w:ascii="Times New Roman" w:cs="Times New Roman" w:eastAsia="Times New Roman" w:hAnsi="Times New Roman"/>
          <w:sz w:val="17"/>
          <w:szCs w:val="17"/>
          <w:color w:val="auto"/>
        </w:rPr>
      </w:pPr>
    </w:p>
    <w:p>
      <w:pPr>
        <w:ind w:left="680" w:right="30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protection mechanisms such as access procedures, antivirus programs, endpoint detection &amp; response, maintaining a firewall and antispam, anti-phishing and email filtering processes;</w:t>
      </w:r>
    </w:p>
    <w:p>
      <w:pPr>
        <w:spacing w:after="0" w:line="121" w:lineRule="exact"/>
        <w:rPr>
          <w:rFonts w:ascii="Times New Roman" w:cs="Times New Roman" w:eastAsia="Times New Roman" w:hAnsi="Times New Roman"/>
          <w:sz w:val="18"/>
          <w:szCs w:val="18"/>
          <w:color w:val="auto"/>
        </w:rPr>
      </w:pPr>
    </w:p>
    <w:p>
      <w:pPr>
        <w:ind w:left="680" w:right="100" w:hanging="321"/>
        <w:spacing w:after="0" w:line="261"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the Company’s cybersecurity measures;</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procedures to assess personnel’s compliance with information security procedures and to test the condition of the Company’s technology infrastructure;</w:t>
      </w:r>
    </w:p>
    <w:p>
      <w:pPr>
        <w:spacing w:after="0" w:line="12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vulnerability assessment and penetration testing (“VATP”) on shore and on vessels to review our cybersecurity weaknesses, using either internal competencies or external firms;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multi-vendor approach to reduce the risk of the compromise of a major cybersecurity vendor;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comprehensive cybersecurity training for both ship and shore personnel.</w:t>
      </w:r>
    </w:p>
    <w:p>
      <w:pPr>
        <w:spacing w:after="0" w:line="18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GasLog also has processes to oversee and identify cybersecurity risks from cybersecurity threats associated with our use of suppliers, vendors, third-party service providers and IT support companies. These include the use of cybersecurity questionnaires, the performance of contract reviews to ensure IT-related compliance and the mitigation of identified information security risks and the sharing of our information security and acceptable use policy.</w:t>
      </w:r>
    </w:p>
    <w:p>
      <w:pPr>
        <w:spacing w:after="0" w:line="13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GasLog uses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spacing w:after="0" w:line="14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GasLog has adopted the internal policies mentioned above to implement reporting procedures for any cybersecurity incident and a cybersecurity management framework to continuously monitor and assess risk. These policies are developed and periodically reviewed by GasLog’s IT steering committee. The processes outlined above have also been integrated into our overall risk management strategy.</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how risks from cybersecurity threats could materially affect us, including our business strategy, results of operations or financial condition, see “Item 3. Key Information—D. Risk Factors—Risks related to Us—We rely on our information technology systems and networks to conduct our business and failure to protect these systems against security breaches could materially disrupt our business and adversely affect our results of operations,” which is incorporated by reference into this Item 16.K.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has ultimate responsibility for the oversight of cybersecurity risks and responses to cybersecurity incidents, should they arise. The Audit Committee receives quarterly updates about cybersecurity threats and processes from the CEO.</w:t>
      </w:r>
    </w:p>
    <w:p>
      <w:pPr>
        <w:spacing w:after="0" w:line="12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The key management body responsible for assessing and managing material risks from cybersecurity threats is GasLog’s IT steering committee which is made up of the CEO, the COO, the CFO, the Head of Information, Communication and Technology (“ICT”) and the Business Process Innovation Manager of GasLog. The IT steering committee periodically extends invitations to additional participants.</w:t>
      </w:r>
    </w:p>
    <w:p>
      <w:pPr>
        <w:spacing w:after="0" w:line="11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IT steering committee receives information from the Head of ICT regarding the monitoring, prevention, detection, mitigation and remediation of cybersecurity incidents logged by the ICT department, GasLog’s Duty Officer and the Cybersecurity Incident Response Team (“CSIRT”). The Cyber Security Officer (“CySO”) is responsible for researching, developing, implementing, testing and reviewing our information security to protect information and prevent unauthorized access. GasLog’s procedures provide that, to the extent any cybersecurity incident occurs, the Head of ICT or the CySO is the immediate contact. The CSIRT and IT steering committee then take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the Company’s reporting and disclosure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F-37 included herein by reference.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p>
      <w:pPr>
        <w:ind w:left="1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ind w:left="860"/>
        <w:spacing w:after="0" w:line="236"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111">
        <w:r>
          <w:rPr>
            <w:rFonts w:ascii="Times New Roman" w:cs="Times New Roman" w:eastAsia="Times New Roman" w:hAnsi="Times New Roman"/>
            <w:sz w:val="17"/>
            <w:szCs w:val="17"/>
            <w:u w:val="single" w:color="auto"/>
            <w:color w:val="0000EE"/>
          </w:rPr>
          <w:t>Certificate of Limited Partnership of GasLog Partners LP</w:t>
        </w:r>
        <w:r>
          <w:rPr>
            <w:rFonts w:ascii="Times New Roman" w:cs="Times New Roman" w:eastAsia="Times New Roman" w:hAnsi="Times New Roman"/>
            <w:sz w:val="25"/>
            <w:szCs w:val="25"/>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62922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860"/>
        <w:spacing w:after="0" w:line="196"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1.2</w:t>
      </w:r>
      <w:r>
        <w:rPr>
          <w:sz w:val="20"/>
          <w:szCs w:val="20"/>
          <w:color w:val="auto"/>
        </w:rPr>
        <w:tab/>
      </w:r>
      <w:hyperlink r:id="rId96">
        <w:r>
          <w:rPr>
            <w:rFonts w:ascii="Times New Roman" w:cs="Times New Roman" w:eastAsia="Times New Roman" w:hAnsi="Times New Roman"/>
            <w:sz w:val="17"/>
            <w:szCs w:val="17"/>
            <w:u w:val="single" w:color="auto"/>
            <w:color w:val="0000EE"/>
          </w:rPr>
          <w:t>Eighth Amended and Restated Agreement of Limited Partnership of GasLog Partners LP</w:t>
        </w:r>
        <w:r>
          <w:rPr>
            <w:rFonts w:ascii="Times New Roman" w:cs="Times New Roman" w:eastAsia="Times New Roman" w:hAnsi="Times New Roman"/>
            <w:sz w:val="25"/>
            <w:szCs w:val="25"/>
            <w:u w:val="single" w:color="auto"/>
            <w:color w:val="0000EE"/>
            <w:vertAlign w:val="superscript"/>
          </w:rPr>
          <w:t>(2)</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13">
        <w:r>
          <w:rPr>
            <w:rFonts w:ascii="Times New Roman" w:cs="Times New Roman" w:eastAsia="Times New Roman" w:hAnsi="Times New Roman"/>
            <w:sz w:val="17"/>
            <w:szCs w:val="17"/>
            <w:u w:val="single" w:color="auto"/>
            <w:color w:val="0000EE"/>
          </w:rPr>
          <w:t>Certificate of Formation of GasLog Partners GP LLC</w:t>
        </w:r>
        <w:r>
          <w:rPr>
            <w:rFonts w:ascii="Times New Roman" w:cs="Times New Roman" w:eastAsia="Times New Roman" w:hAnsi="Times New Roman"/>
            <w:sz w:val="25"/>
            <w:szCs w:val="25"/>
            <w:u w:val="single" w:color="auto"/>
            <w:color w:val="0000EE"/>
            <w:vertAlign w:val="superscript"/>
          </w:rPr>
          <w:t>(1)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14">
        <w:r>
          <w:rPr>
            <w:rFonts w:ascii="Times New Roman" w:cs="Times New Roman" w:eastAsia="Times New Roman" w:hAnsi="Times New Roman"/>
            <w:sz w:val="17"/>
            <w:szCs w:val="17"/>
            <w:u w:val="single" w:color="auto"/>
            <w:color w:val="0000EE"/>
          </w:rPr>
          <w:t>Limited Liability Company Agreement of GasLog Partners GP LLC</w:t>
        </w:r>
        <w:r>
          <w:rPr>
            <w:rFonts w:ascii="Times New Roman" w:cs="Times New Roman" w:eastAsia="Times New Roman" w:hAnsi="Times New Roman"/>
            <w:sz w:val="25"/>
            <w:szCs w:val="25"/>
            <w:u w:val="single" w:color="auto"/>
            <w:color w:val="0000EE"/>
            <w:vertAlign w:val="superscript"/>
          </w:rPr>
          <w:t>(1)</w:t>
        </w:r>
      </w:hyperlink>
    </w:p>
    <w:p>
      <w:pPr>
        <w:ind w:left="860"/>
        <w:spacing w:after="0" w:line="191"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115">
        <w:r>
          <w:rPr>
            <w:rFonts w:ascii="Times New Roman" w:cs="Times New Roman" w:eastAsia="Times New Roman" w:hAnsi="Times New Roman"/>
            <w:sz w:val="17"/>
            <w:szCs w:val="17"/>
            <w:u w:val="single" w:color="auto"/>
            <w:color w:val="0000EE"/>
          </w:rPr>
          <w:t>Description of Securities</w:t>
        </w:r>
        <w:r>
          <w:rPr>
            <w:rFonts w:ascii="Times New Roman" w:cs="Times New Roman" w:eastAsia="Times New Roman" w:hAnsi="Times New Roman"/>
            <w:sz w:val="25"/>
            <w:szCs w:val="25"/>
            <w:u w:val="single" w:color="auto"/>
            <w:color w:val="0000EE"/>
            <w:vertAlign w:val="superscript"/>
          </w:rPr>
          <w:t>(5)</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16">
        <w:r>
          <w:rPr>
            <w:rFonts w:ascii="Times New Roman" w:cs="Times New Roman" w:eastAsia="Times New Roman" w:hAnsi="Times New Roman"/>
            <w:sz w:val="17"/>
            <w:szCs w:val="17"/>
            <w:u w:val="single" w:color="auto"/>
            <w:color w:val="0000EE"/>
          </w:rPr>
          <w:t>Form of Administrative Services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1"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17">
        <w:r>
          <w:rPr>
            <w:rFonts w:ascii="Times New Roman" w:cs="Times New Roman" w:eastAsia="Times New Roman" w:hAnsi="Times New Roman"/>
            <w:sz w:val="17"/>
            <w:szCs w:val="17"/>
            <w:u w:val="single" w:color="auto"/>
            <w:color w:val="0000EE"/>
          </w:rPr>
          <w:t>Form of Commercial Management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18">
        <w:r>
          <w:rPr>
            <w:rFonts w:ascii="Times New Roman" w:cs="Times New Roman" w:eastAsia="Times New Roman" w:hAnsi="Times New Roman"/>
            <w:sz w:val="17"/>
            <w:szCs w:val="17"/>
            <w:u w:val="single" w:color="auto"/>
            <w:color w:val="0000EE"/>
          </w:rPr>
          <w:t>Form of Ship Management Agreement</w:t>
        </w:r>
        <w:r>
          <w:rPr>
            <w:rFonts w:ascii="Times New Roman" w:cs="Times New Roman" w:eastAsia="Times New Roman" w:hAnsi="Times New Roman"/>
            <w:sz w:val="25"/>
            <w:szCs w:val="25"/>
            <w:u w:val="single" w:color="auto"/>
            <w:color w:val="0000EE"/>
            <w:vertAlign w:val="superscript"/>
          </w:rPr>
          <w:t>(3)</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19">
        <w:r>
          <w:rPr>
            <w:rFonts w:ascii="Times New Roman" w:cs="Times New Roman" w:eastAsia="Times New Roman" w:hAnsi="Times New Roman"/>
            <w:sz w:val="17"/>
            <w:szCs w:val="17"/>
            <w:u w:val="single" w:color="auto"/>
            <w:color w:val="0000EE"/>
          </w:rPr>
          <w:t>Form of Indemnification Agreement for the Partnership’s directors and certain officers</w:t>
        </w:r>
        <w:r>
          <w:rPr>
            <w:rFonts w:ascii="Times New Roman" w:cs="Times New Roman" w:eastAsia="Times New Roman" w:hAnsi="Times New Roman"/>
            <w:sz w:val="25"/>
            <w:szCs w:val="25"/>
            <w:u w:val="single" w:color="auto"/>
            <w:color w:val="0000EE"/>
            <w:vertAlign w:val="superscript"/>
          </w:rPr>
          <w:t>(3)</w:t>
        </w:r>
      </w:hyperlink>
    </w:p>
    <w:p>
      <w:pPr>
        <w:spacing w:after="0" w:line="1" w:lineRule="exact"/>
        <w:rPr>
          <w:sz w:val="20"/>
          <w:szCs w:val="20"/>
          <w:color w:val="auto"/>
        </w:rPr>
      </w:pPr>
    </w:p>
    <w:p>
      <w:pPr>
        <w:ind w:left="1300" w:right="20" w:hanging="426"/>
        <w:spacing w:after="0" w:line="24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20">
        <w:r>
          <w:rPr>
            <w:rFonts w:ascii="Times New Roman" w:cs="Times New Roman" w:eastAsia="Times New Roman" w:hAnsi="Times New Roman"/>
            <w:sz w:val="18"/>
            <w:szCs w:val="18"/>
            <w:u w:val="single" w:color="auto"/>
            <w:color w:val="0000EE"/>
          </w:rPr>
          <w:t>Facility Agreement dated November 2, 2023, relating to $2,800,000,000 Reducing Revolving Loan Facility among</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GasLog Ltd. as borrower, Alpha Bank S.A., ABN Amro Bank N.V., BNP Paribas, Citibank, N.A., London, Branch,</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Credit Suisse AG, Danish Ship Finance A/S, DNB (UK) Limited, ING Bank N.V., London Branch, National Bank of</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Greece S.A., Nordea Bank Abp, Filial I Norge, Oversea-Chinese Banking Corporation Limited and Standard Chartered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Bank (Singapore) Limited as mandated lead arrangers and bookrunners; National Australia Bank Limited and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Skandinaviska Enskilda Banken AB (publ) as mandated lead arrangers; DNB Bank ASA, London Branch as Agent and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security agent; ABN Amro Bank N.V. as Sustainability Co-ordinator; BNP Paribas and Citibank, N.A., London,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Branch, as Global Co-ordinators and GAS-one Ltd., GAS-two Ltd., GAS-four Ltd., GAS-seven Ltd., GAS-eight Ltd.,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GAS-eleven Ltd., GAS-twelve Ltd., GAS-thirteen Ltd., GAS-fourteen Ltd., GAS-sixteen Ltd., GAS-seventeen Ltd.,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GAS-nineteen Ltd., GAS-twenty two Ltd., GAS-twenty three Ltd., GAS-twenty seven Ltd., GAS-twenty eight Ltd.,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GAS-thirty Ltd., GAS-thirty one Ltd., GAS-thirty two Ltd., GAS-thirty three Ltd., GAS-thirty four Ltd., GAS-thirty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five Ltd. and GasLog Hellas-1 Special Maritime Enterprise as Owners and Guarantors; GasLog Partners LP, GasLog</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Carriers Ltd. and GasLog Partners Holdings LLC as Guarantors.</w:t>
        </w:r>
        <w:r>
          <w:rPr>
            <w:rFonts w:ascii="Times New Roman" w:cs="Times New Roman" w:eastAsia="Times New Roman" w:hAnsi="Times New Roman"/>
            <w:sz w:val="26"/>
            <w:szCs w:val="26"/>
            <w:u w:val="single" w:color="auto"/>
            <w:color w:val="0000EE"/>
            <w:vertAlign w:val="superscript"/>
          </w:rPr>
          <w:t>(4)</w:t>
        </w:r>
        <w:r>
          <w:rPr>
            <w:rFonts w:ascii="Times New Roman" w:cs="Times New Roman" w:eastAsia="Times New Roman" w:hAnsi="Times New Roman"/>
            <w:sz w:val="18"/>
            <w:szCs w:val="18"/>
            <w:u w:val="single" w:color="auto"/>
            <w:color w:val="0000EE"/>
          </w:rPr>
          <w:t>*</w:t>
        </w:r>
      </w:hyperlink>
    </w:p>
    <w:p>
      <w:pPr>
        <w:spacing w:after="0" w:line="2" w:lineRule="exact"/>
        <w:rPr>
          <w:rFonts w:ascii="Times New Roman" w:cs="Times New Roman" w:eastAsia="Times New Roman" w:hAnsi="Times New Roman"/>
          <w:sz w:val="18"/>
          <w:szCs w:val="18"/>
          <w:u w:val="single" w:color="auto"/>
          <w:color w:val="0000EE"/>
        </w:rPr>
      </w:pPr>
    </w:p>
    <w:p>
      <w:pPr>
        <w:ind w:left="1300" w:right="40" w:hanging="426"/>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21">
        <w:r>
          <w:rPr>
            <w:rFonts w:ascii="Times New Roman" w:cs="Times New Roman" w:eastAsia="Times New Roman" w:hAnsi="Times New Roman"/>
            <w:sz w:val="18"/>
            <w:szCs w:val="18"/>
            <w:u w:val="single" w:color="auto"/>
            <w:color w:val="0000EE"/>
          </w:rPr>
          <w:t>Supplemental Agreement dated February 10, 2025 to the Facility Agreement dated November 2, 2023, relating to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$2,800,000,000 Reducing Revolving Loan Facility among GasLog Ltd. as borrower, Alpha Bank S.A., ABN Amro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Bank N.V., BNP Paribas, Citibank, N.A., Jersey Branch, UBS AG, Danish Ship Finance A/S, DNB (UK) Limited, ING</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Bank N.V., London Branch, National Australia Bank Limited, National Bank of Greece S.A., Nordea Bank Abp, Filial</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I Norge, Oversea-Chinese Banking Corporation Limited, Skandinaviska Enskilda Banken AB (publ) and Standard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Chartered Bank (Singapore) Limited as lenders and GAS-one Ltd., GAS-two Ltd., GAS-seven Ltd., GAS-eight Ltd.,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GAS-eleven Ltd., GAS-twelve Ltd., GAS-thirteen Ltd., GAS-fourteen Ltd., GAS-sixteen Ltd., GAS-seventeen Ltd.,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GAS-nineteen Ltd., GAS-twenty two Ltd., GAS-twenty three Ltd., GAS-twenty seven Ltd., GAS-twenty eight Ltd.,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GAS-thirty Ltd., GAS-thirty one Ltd., GAS-thirty two Ltd., GAS-thirty three Ltd., GAS-thirty four Ltd., GAS-thirty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five Ltd. and GasLog Hellas-1 Special Maritime Enterprise, GasLog Partners LP, GasLog Carriers Ltd. and GasLog</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Partners Holdings LLC as Guarantors.</w:t>
        </w:r>
        <w:r>
          <w:rPr>
            <w:rFonts w:ascii="Times New Roman" w:cs="Times New Roman" w:eastAsia="Times New Roman" w:hAnsi="Times New Roman"/>
            <w:sz w:val="26"/>
            <w:szCs w:val="26"/>
            <w:u w:val="single" w:color="auto"/>
            <w:color w:val="0000EE"/>
            <w:vertAlign w:val="superscript"/>
          </w:rPr>
          <w:t>(5)*</w:t>
        </w:r>
      </w:hyperlink>
    </w:p>
    <w:p>
      <w:pPr>
        <w:spacing w:after="0" w:line="7" w:lineRule="exact"/>
        <w:rPr>
          <w:rFonts w:ascii="Times New Roman" w:cs="Times New Roman" w:eastAsia="Times New Roman" w:hAnsi="Times New Roman"/>
          <w:sz w:val="18"/>
          <w:szCs w:val="18"/>
          <w:u w:val="single" w:color="auto"/>
          <w:color w:val="0000EE"/>
        </w:rPr>
      </w:pPr>
    </w:p>
    <w:p>
      <w:pPr>
        <w:ind w:left="8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0000EE"/>
        </w:rPr>
        <w:t>List of Subsidiaries of GasLog Partners LP</w:t>
      </w:r>
    </w:p>
    <w:p>
      <w:pPr>
        <w:ind w:left="780"/>
        <w:spacing w:after="0" w:line="209"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11.1</w:t>
      </w:r>
      <w:r>
        <w:rPr>
          <w:sz w:val="20"/>
          <w:szCs w:val="20"/>
          <w:color w:val="auto"/>
        </w:rPr>
        <w:tab/>
      </w:r>
      <w:hyperlink r:id="rId122">
        <w:r>
          <w:rPr>
            <w:rFonts w:ascii="Times New Roman" w:cs="Times New Roman" w:eastAsia="Times New Roman" w:hAnsi="Times New Roman"/>
            <w:sz w:val="17"/>
            <w:szCs w:val="17"/>
            <w:u w:val="single" w:color="auto"/>
            <w:color w:val="0000EE"/>
          </w:rPr>
          <w:t>Trading Policy</w:t>
        </w:r>
        <w:r>
          <w:rPr>
            <w:rFonts w:ascii="Times New Roman" w:cs="Times New Roman" w:eastAsia="Times New Roman" w:hAnsi="Times New Roman"/>
            <w:sz w:val="25"/>
            <w:szCs w:val="25"/>
            <w:u w:val="single" w:color="auto"/>
            <w:color w:val="0000EE"/>
            <w:vertAlign w:val="superscript"/>
          </w:rPr>
          <w:t>(5)</w:t>
        </w:r>
      </w:hyperlink>
    </w:p>
    <w:p>
      <w:pPr>
        <w:spacing w:after="0" w:line="2" w:lineRule="exact"/>
        <w:rPr>
          <w:rFonts w:ascii="Times New Roman" w:cs="Times New Roman" w:eastAsia="Times New Roman" w:hAnsi="Times New Roman"/>
          <w:sz w:val="18"/>
          <w:szCs w:val="18"/>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Executive Officer</w:t>
      </w:r>
    </w:p>
    <w:p>
      <w:pPr>
        <w:spacing w:after="0" w:line="7" w:lineRule="exact"/>
        <w:rPr>
          <w:rFonts w:ascii="Times New Roman" w:cs="Times New Roman" w:eastAsia="Times New Roman" w:hAnsi="Times New Roman"/>
          <w:sz w:val="18"/>
          <w:szCs w:val="18"/>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Financial Officer</w:t>
      </w:r>
    </w:p>
    <w:p>
      <w:pPr>
        <w:spacing w:after="0" w:line="23" w:lineRule="exact"/>
        <w:rPr>
          <w:rFonts w:ascii="Times New Roman" w:cs="Times New Roman" w:eastAsia="Times New Roman" w:hAnsi="Times New Roman"/>
          <w:sz w:val="18"/>
          <w:szCs w:val="18"/>
          <w:u w:val="single" w:color="auto"/>
          <w:color w:val="0000EE"/>
        </w:rPr>
      </w:pPr>
    </w:p>
    <w:p>
      <w:pPr>
        <w:ind w:left="1300" w:right="20" w:hanging="516"/>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0000EE"/>
        </w:rPr>
        <w:t>GasLog Partners LP Certification of Paolo Enoizi, Chief Executive Officer, pursuant to 18 U.S.C. Section 1350, as adopted pursuant to Section 906 of the U.S. Sarbanes- Oxley Act of 2002</w:t>
      </w:r>
    </w:p>
    <w:p>
      <w:pPr>
        <w:ind w:left="1300" w:hanging="516"/>
        <w:spacing w:after="0" w:line="292" w:lineRule="auto"/>
        <w:tabs>
          <w:tab w:leader="none" w:pos="12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0000EE"/>
        </w:rPr>
        <w:t>GasLog Partners LP Certification of Achilleas Tasioulas, Chief Financial Officer, pursuant to 18 U.S.C. Section 1350, as adopted pursuant to Section 906 of the U.S. Sarbanes-Oxley Act of 2002</w:t>
      </w:r>
    </w:p>
    <w:p>
      <w:pPr>
        <w:sectPr>
          <w:pgSz w:w="11900" w:h="16838" w:orient="portrait"/>
          <w:cols w:equalWidth="0" w:num="1">
            <w:col w:w="9920"/>
          </w:cols>
          <w:pgMar w:left="980" w:top="513" w:right="999" w:bottom="1440" w:gutter="0" w:footer="0" w:header="0"/>
        </w:sectPr>
      </w:pPr>
    </w:p>
    <w:p>
      <w:pPr>
        <w:spacing w:after="0" w:line="38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5"/>
        </w:trPr>
        <w:tc>
          <w:tcPr>
            <w:tcW w:w="1080" w:type="dxa"/>
            <w:vAlign w:val="bottom"/>
            <w:tcBorders>
              <w:top w:val="single" w:sz="8" w:color="auto"/>
              <w:bottom w:val="single" w:sz="8" w:color="auto"/>
            </w:tcBorders>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top w:val="single" w:sz="8" w:color="auto"/>
              <w:bottom w:val="single" w:sz="8" w:color="auto"/>
            </w:tcBorders>
            <w:vMerge w:val="restart"/>
          </w:tcPr>
          <w:p>
            <w:pPr>
              <w:spacing w:after="0" w:line="189"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Clawback Policy</w:t>
              </w:r>
            </w:hyperlink>
          </w:p>
        </w:tc>
        <w:tc>
          <w:tcPr>
            <w:tcW w:w="160" w:type="dxa"/>
            <w:vAlign w:val="bottom"/>
            <w:tcBorders>
              <w:top w:val="single" w:sz="8" w:color="auto"/>
              <w:bottom w:val="single" w:sz="8" w:color="0000EE"/>
            </w:tcBorders>
            <w:gridSpan w:val="2"/>
          </w:tcPr>
          <w:p>
            <w:pPr>
              <w:jc w:val="right"/>
              <w:spacing w:after="0" w:line="115" w:lineRule="exact"/>
              <w:rPr>
                <w:rFonts w:ascii="Times New Roman" w:cs="Times New Roman" w:eastAsia="Times New Roman" w:hAnsi="Times New Roman"/>
                <w:sz w:val="13"/>
                <w:szCs w:val="13"/>
                <w:color w:val="0000EE"/>
                <w:w w:val="92"/>
              </w:rPr>
            </w:pPr>
            <w:hyperlink r:id="rId124">
              <w:r>
                <w:rPr>
                  <w:rFonts w:ascii="Times New Roman" w:cs="Times New Roman" w:eastAsia="Times New Roman" w:hAnsi="Times New Roman"/>
                  <w:sz w:val="13"/>
                  <w:szCs w:val="13"/>
                  <w:color w:val="0000EE"/>
                  <w:w w:val="92"/>
                </w:rPr>
                <w:t>(4)</w:t>
              </w:r>
            </w:hyperlink>
          </w:p>
        </w:tc>
        <w:tc>
          <w:tcPr>
            <w:tcW w:w="7240" w:type="dxa"/>
            <w:vAlign w:val="bottom"/>
            <w:tcBorders>
              <w:top w:val="single" w:sz="8" w:color="auto"/>
              <w:bottom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0"/>
                <w:szCs w:val="20"/>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Instance Document</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101.SCH</w:t>
            </w:r>
          </w:p>
        </w:tc>
        <w:tc>
          <w:tcPr>
            <w:tcW w:w="16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Taxonomy Extension Schema</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101.CAL</w:t>
            </w:r>
          </w:p>
        </w:tc>
        <w:tc>
          <w:tcPr>
            <w:tcW w:w="16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Taxonomy Extension Scheme Calculation Linkbase</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101.DEF</w:t>
            </w:r>
          </w:p>
        </w:tc>
        <w:tc>
          <w:tcPr>
            <w:tcW w:w="16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Taxonomy Extension Scheme Definition Linkbase</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101.LAB</w:t>
            </w:r>
          </w:p>
        </w:tc>
        <w:tc>
          <w:tcPr>
            <w:tcW w:w="16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Taxonomy Extension Scheme Label Linkbase</w:t>
            </w:r>
          </w:p>
        </w:tc>
        <w:tc>
          <w:tcPr>
            <w:tcW w:w="0" w:type="dxa"/>
            <w:vAlign w:val="bottom"/>
          </w:tcPr>
          <w:p>
            <w:pPr>
              <w:spacing w:after="0"/>
              <w:rPr>
                <w:sz w:val="1"/>
                <w:szCs w:val="1"/>
                <w:color w:val="auto"/>
              </w:rPr>
            </w:pPr>
          </w:p>
        </w:tc>
      </w:tr>
      <w:tr>
        <w:trPr>
          <w:trHeight w:val="234"/>
        </w:trPr>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101.PRE</w:t>
            </w:r>
          </w:p>
        </w:tc>
        <w:tc>
          <w:tcPr>
            <w:tcW w:w="160" w:type="dxa"/>
            <w:vAlign w:val="bottom"/>
          </w:tcPr>
          <w:p>
            <w:pPr>
              <w:spacing w:after="0"/>
              <w:rPr>
                <w:sz w:val="20"/>
                <w:szCs w:val="20"/>
                <w:color w:val="auto"/>
              </w:rPr>
            </w:pPr>
          </w:p>
        </w:tc>
        <w:tc>
          <w:tcPr>
            <w:tcW w:w="86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XBRL Taxonomy Extension Scheme Presentation Linkbase</w:t>
            </w:r>
          </w:p>
        </w:tc>
        <w:tc>
          <w:tcPr>
            <w:tcW w:w="0" w:type="dxa"/>
            <w:vAlign w:val="bottom"/>
          </w:tcPr>
          <w:p>
            <w:pPr>
              <w:spacing w:after="0"/>
              <w:rPr>
                <w:sz w:val="1"/>
                <w:szCs w:val="1"/>
                <w:color w:val="auto"/>
              </w:rPr>
            </w:pPr>
          </w:p>
        </w:tc>
      </w:tr>
    </w:tbl>
    <w:p>
      <w:pPr>
        <w:ind w:left="1300" w:hanging="480"/>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(formatted as Inline XBRL and included in Exhibit 101)</w:t>
      </w:r>
    </w:p>
    <w:p>
      <w:pPr>
        <w:spacing w:after="0" w:line="233" w:lineRule="exact"/>
        <w:rPr>
          <w:rFonts w:ascii="Times New Roman" w:cs="Times New Roman" w:eastAsia="Times New Roman" w:hAnsi="Times New Roman"/>
          <w:sz w:val="18"/>
          <w:szCs w:val="18"/>
          <w:color w:val="auto"/>
        </w:rPr>
      </w:pPr>
    </w:p>
    <w:p>
      <w:pPr>
        <w:ind w:left="340" w:right="660" w:hanging="332"/>
        <w:spacing w:after="0" w:line="208" w:lineRule="auto"/>
        <w:tabs>
          <w:tab w:leader="none" w:pos="34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Registration Statement on Form F-1 (File No. 333-195109), declared effective by the SEC on May 6, 2014, and hereby incorporated by reference to such Registration Statement.</w:t>
      </w:r>
    </w:p>
    <w:p>
      <w:pPr>
        <w:spacing w:after="0" w:line="199" w:lineRule="exact"/>
        <w:rPr>
          <w:rFonts w:ascii="Times New Roman" w:cs="Times New Roman" w:eastAsia="Times New Roman" w:hAnsi="Times New Roman"/>
          <w:sz w:val="27"/>
          <w:szCs w:val="27"/>
          <w:color w:val="231F20"/>
          <w:vertAlign w:val="superscript"/>
        </w:rPr>
      </w:pPr>
    </w:p>
    <w:p>
      <w:pPr>
        <w:ind w:left="340" w:right="220" w:hanging="332"/>
        <w:spacing w:after="0" w:line="208" w:lineRule="auto"/>
        <w:tabs>
          <w:tab w:leader="none" w:pos="34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3.2 to GasLog Partners LP’s Report on Form 6-K (File No. 001-36433), filed with the SEC on July 24, 2023,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Annual Report on Form 20-F (File No. 001-36433), filed with the SEC on February 12, 2016,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Previously filed as an exhibit to GasLog Partners LP’s Annual Report on Form 20-F (File No. 001-36433), filed with the SEC on March 7, 2024,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Previously filed as an exhibit to GasLog Partners LP’s Annual Report on Form 20-F (File No. 001-36433), filed with the SEC on March 14, 2025,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-1986915</wp:posOffset>
            </wp:positionV>
            <wp:extent cx="15684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0" w:lineRule="exact"/>
        <w:rPr>
          <w:sz w:val="20"/>
          <w:szCs w:val="20"/>
          <w:color w:val="auto"/>
        </w:rPr>
      </w:pPr>
    </w:p>
    <w:p>
      <w:pPr>
        <w:ind w:left="340" w:right="360" w:hanging="332"/>
        <w:spacing w:after="0" w:line="266" w:lineRule="auto"/>
        <w:tabs>
          <w:tab w:leader="none" w:pos="34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231F20"/>
        </w:rPr>
        <w:t>GASLOG PARTNERS LP,</w:t>
      </w:r>
    </w:p>
    <w:p>
      <w:pPr>
        <w:spacing w:after="0" w:line="27" w:lineRule="exact"/>
        <w:rPr>
          <w:sz w:val="20"/>
          <w:szCs w:val="20"/>
          <w:color w:val="auto"/>
        </w:rPr>
      </w:pPr>
    </w:p>
    <w:tbl>
      <w:tblPr>
        <w:tblLayout w:type="fixed"/>
        <w:tblInd w:w="508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231F20"/>
              </w:rPr>
              <w:t>/s/ PAOLO ENOIZI</w:t>
            </w:r>
          </w:p>
        </w:tc>
      </w:tr>
      <w:tr>
        <w:trPr>
          <w:trHeight w:val="189"/>
        </w:trPr>
        <w:tc>
          <w:tcPr>
            <w:tcW w:w="6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231F20"/>
              </w:rPr>
              <w:t>Name:</w:t>
            </w:r>
          </w:p>
        </w:tc>
        <w:tc>
          <w:tcPr>
            <w:tcW w:w="36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231F20"/>
              </w:rPr>
              <w:t>Paolo Enoizi</w:t>
            </w:r>
          </w:p>
        </w:tc>
      </w:tr>
      <w:tr>
        <w:trPr>
          <w:trHeight w:val="236"/>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231F20"/>
              </w:rPr>
              <w:t>Chief Executive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Dated: 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Deloitte Certified Public Accountants S.A. (PCAOB ID No.1163)</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2024 and 2025</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total comprehensive income or loss for the years ended December 31, 2023, 2024</w:t>
            </w: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940" w:type="dxa"/>
            <w:vAlign w:val="bottom"/>
            <w:tcBorders>
              <w:top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and 2025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partners’ equity for the years ended December 31, 2023, 2024 and 2025</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620" w:type="dxa"/>
            <w:vAlign w:val="bottom"/>
            <w:tcBorders>
              <w:top w:val="single" w:sz="8" w:color="CCEEFF"/>
            </w:tcBorders>
            <w:gridSpan w:val="3"/>
          </w:tcPr>
          <w:p>
            <w:pPr>
              <w:spacing w:after="0"/>
              <w:rPr>
                <w:sz w:val="15"/>
                <w:szCs w:val="15"/>
                <w:color w:val="auto"/>
              </w:rPr>
            </w:pPr>
          </w:p>
        </w:tc>
        <w:tc>
          <w:tcPr>
            <w:tcW w:w="5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Unitholders and Board of Directors of GasLog Partners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Partners LP and subsidiaries (the “Partnership”) as of December 31, 2024 and 2025, the related consolidated statements of profit or loss and total comprehensive income or loss, changes in partners’ equity and cash flows, for each of the three years in the period ended December 31, 2025, and the related notes (collectively referred to as the “financial statements”). In our opinion, the financial statements present fairly, in all material respects, the financial position of the Partnership as of December 31, 2024 and 2025, and the results of its operations and its cash flows for each of the three years in the period ended December 31, 2025,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&amp; Right-of-Use Assets—Impairment of vessels—Refer to Notes 2, 3 and 4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 Description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2025, 4 out of 8 owned vessels and all 3 bareboat vessels (right-of-use-assets) had impairment indications.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Partnership’s owned vessels and bareboat vessels are evaluated for impairment when events or changes in circumstances indicate that the carrying value may not be recoverable, and conversely for reversal of impairment. For each vessel (owned and bareboat vessels consisting of Steam and TFDE type vessels) where impairment indicators or impairment reversal indicators are identified, management estimates the recoverable amount which is the higher of fair value less cost to sell and value in use and compares it to the carrying value. As of December 31, 2025, negative indicators were identified for certain of the Partnership’s vessels, which triggered the existence of potential impairment. The Partnership assesses value in use using discounted future cash flows, which requires management to make estimates and assumptions, of which estimated long-term charter rates for non-contracted revenue days involve the most significant judgement, estimation and subjectivity.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at December 31, 2025, the Partnership performed an impairment assessment for its owned and bareboat vessels for which impairment indicators were identified, by calculating each vessel’s value in use which incorporated estimated long-term charter rates for non-contracted revenue days. Estimated long-term charter rates for non-contracted revenue days reflect both (1) the ‘Period 1’ – 2026 assumed Time Charter Equivalent (TCE) rate which aligns with the Partnership’s approved budget and is applied from the end of the vessels’ charter party agreement expiration up to December 31, 2026 and (2) two ‘Period 2’ TCE rates: one applied from January 1, 2027 through December 31, 2027, and another applied from January 1, 2028 until the end of the vessels’ useful life, both based on longer-term expectations for the LNG industry.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estimated long-term charter rates for non-contracted days, as defined above, used in the discounted projected net operating cash flows for owned and bareboat vessels with impairment indicator as a critical audit matter because of the complex judgments made by management to estimate them and the significant impact they have on discounted cash flows expected to be generated over the remaining useful life of the vessel and due to the sensitivity of it in the value in use calculations. Performing audit procedures to evaluate the reasonableness of management’s estimates of long-term charter rates for non-contracted revenue days required a high degree of auditor judgment and an increased extent of audit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the Critical Audit Matter Was Addressed in the Audit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estimated long-term charter rate assumption for non-contracted revenue days used by management to estimate the recoverable amount of Steam and TFDE owned and bareboat vessels included the following:</w:t>
      </w:r>
    </w:p>
    <w:p>
      <w:pPr>
        <w:spacing w:after="0" w:line="162" w:lineRule="exact"/>
        <w:rPr>
          <w:sz w:val="20"/>
          <w:szCs w:val="20"/>
          <w:color w:val="auto"/>
        </w:rPr>
      </w:pPr>
    </w:p>
    <w:p>
      <w:pPr>
        <w:jc w:val="both"/>
        <w:ind w:left="660" w:hanging="423"/>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Period 1- 2026 TCE rate for non-contracted revenue days up to December 31, 2026, by comparing management’s assumptions for vessels to market data and considered whether actual time charters agreed with charterers for similar vessels.</w:t>
      </w:r>
    </w:p>
    <w:p>
      <w:pPr>
        <w:spacing w:after="0" w:line="175" w:lineRule="exact"/>
        <w:rPr>
          <w:rFonts w:ascii="Times New Roman" w:cs="Times New Roman" w:eastAsia="Times New Roman" w:hAnsi="Times New Roman"/>
          <w:sz w:val="18"/>
          <w:szCs w:val="18"/>
          <w:color w:val="auto"/>
        </w:rPr>
      </w:pPr>
    </w:p>
    <w:p>
      <w:pPr>
        <w:ind w:left="660" w:hanging="473"/>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estimated Period 2 TCE rates for non-contracted revenue days assumptions as follows: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the rationale and evidence for the estimated long-term charter rate assumptions. This included examining the differential between the Period 2 TCE rates for each vessel type as assumed by management. Our assessment involved comparing these assumptions to historic new build prices, actual charter rates, and available market data on nearer-term charter rates. We focused particularly on the charter rate differentials between available market data charter rates and the Company’s vessel types.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them with management’s assumptions for the period up to December 31, 2026,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79" w:lineRule="exact"/>
        <w:rPr>
          <w:rFonts w:ascii="Times New Roman" w:cs="Times New Roman" w:eastAsia="Times New Roman" w:hAnsi="Times New Roman"/>
          <w:sz w:val="18"/>
          <w:szCs w:val="18"/>
          <w:color w:val="auto"/>
        </w:rPr>
      </w:pPr>
    </w:p>
    <w:p>
      <w:pPr>
        <w:ind w:left="660" w:hanging="523"/>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sensitivity disclosures in Notes 3 and 4 based on our own sensitivity analysis and checked management’s calculations of those sensitivities.</w:t>
      </w:r>
    </w:p>
    <w:p>
      <w:pPr>
        <w:spacing w:after="0" w:line="161" w:lineRule="exact"/>
        <w:rPr>
          <w:rFonts w:ascii="Times New Roman" w:cs="Times New Roman" w:eastAsia="Times New Roman" w:hAnsi="Times New Roman"/>
          <w:sz w:val="18"/>
          <w:szCs w:val="18"/>
          <w:color w:val="auto"/>
        </w:rPr>
      </w:pPr>
    </w:p>
    <w:p>
      <w:pPr>
        <w:ind w:left="660" w:hanging="501"/>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0" w:type="dxa"/>
            <w:vAlign w:val="bottom"/>
          </w:tcPr>
          <w:p>
            <w:pPr>
              <w:spacing w:after="0"/>
              <w:rPr>
                <w:sz w:val="18"/>
                <w:szCs w:val="18"/>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Tangible fixed assets</w:t>
            </w:r>
          </w:p>
        </w:tc>
        <w:tc>
          <w:tcPr>
            <w:tcW w:w="10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88"/>
              </w:rPr>
              <w:t>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1,276,472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1,116,578</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54,960</w:t>
            </w:r>
          </w:p>
        </w:tc>
      </w:tr>
      <w:tr>
        <w:trPr>
          <w:trHeight w:val="209"/>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1,407,844</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1,172,611</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88"/>
              </w:rPr>
              <w:t>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29,689</w:t>
            </w:r>
          </w:p>
        </w:tc>
      </w:tr>
      <w:tr>
        <w:trPr>
          <w:trHeight w:val="249"/>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1,446,117</w:t>
            </w: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1,202,300</w:t>
            </w:r>
          </w:p>
        </w:tc>
      </w:tr>
      <w:tr>
        <w:trPr>
          <w:trHeight w:val="197"/>
        </w:trPr>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Partners’ equity and liabilities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unitholders and general partner (16,036,602 common and 1,080,263 general</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partner units issued and outstanding as of December 31, 2024 and December 31, 2025)</w:t>
            </w:r>
          </w:p>
        </w:tc>
        <w:tc>
          <w:tcPr>
            <w:tcW w:w="10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814,972</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unitholders (5,084,984 Series A Preference Units, 3,496,382 Series B</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Preference Units and 3,061,045 Series C Preference Units issued and outstanding as of</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and December 31, 2025)</w:t>
            </w:r>
          </w:p>
        </w:tc>
        <w:tc>
          <w:tcPr>
            <w:tcW w:w="10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88"/>
              </w:rPr>
              <w:t>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279,859</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1,296,703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1,094,831</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0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88"/>
              </w:rPr>
              <w:t>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106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88"/>
              </w:rPr>
              <w:t>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38,679</w:t>
            </w:r>
          </w:p>
        </w:tc>
      </w:tr>
      <w:tr>
        <w:trPr>
          <w:trHeight w:val="210"/>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84,258</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81,026</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10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88"/>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65,156</w:t>
            </w:r>
          </w:p>
        </w:tc>
        <w:tc>
          <w:tcPr>
            <w:tcW w:w="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26,443</w:t>
            </w: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 and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1,446,117</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1,202,300</w:t>
            </w: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ind w:right="3760"/>
        <w:spacing w:after="0" w:line="268" w:lineRule="auto"/>
        <w:rPr>
          <w:sz w:val="20"/>
          <w:szCs w:val="20"/>
          <w:color w:val="auto"/>
        </w:rPr>
      </w:pPr>
      <w:r>
        <w:rPr>
          <w:rFonts w:ascii="Times New Roman" w:cs="Times New Roman" w:eastAsia="Times New Roman" w:hAnsi="Times New Roman"/>
          <w:sz w:val="18"/>
          <w:szCs w:val="18"/>
          <w:b w:val="1"/>
          <w:bCs w:val="1"/>
          <w:color w:val="auto"/>
        </w:rPr>
        <w:t>Consolidated statements of profit or loss and total comprehensive income or loss For the years ended December 31, 2023, 2024 and 2025 (All amounts expressed 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2023</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2025</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278,217</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(18,303)</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6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12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(67,753)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(62,554)</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3,4</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(98,472)</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(105,140)</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11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(22,795)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(Loss)/gain on disposal of vessels</w:t>
            </w: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6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7"/>
              </w:rPr>
              <w:t>3,4</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r>
      <w:tr>
        <w:trPr>
          <w:trHeight w:val="209"/>
        </w:trPr>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196,645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155,590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(15,195)</w:t>
            </w:r>
          </w:p>
        </w:tc>
      </w:tr>
      <w:tr>
        <w:trPr>
          <w:trHeight w:val="21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6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6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17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(4,957)</w:t>
            </w:r>
          </w:p>
        </w:tc>
      </w:tr>
      <w:tr>
        <w:trPr>
          <w:trHeight w:val="209"/>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Profit/(loss) and total comprehensive income/(loss) for the year</w:t>
            </w: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(20,152)</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partners’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Preference</w:t>
            </w:r>
          </w:p>
        </w:tc>
        <w:tc>
          <w:tcPr>
            <w:tcW w:w="100" w:type="dxa"/>
            <w:vAlign w:val="bottom"/>
          </w:tcPr>
          <w:p>
            <w:pPr>
              <w:spacing w:after="0"/>
              <w:rPr>
                <w:sz w:val="13"/>
                <w:szCs w:val="13"/>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 and</w:t>
            </w:r>
          </w:p>
        </w:tc>
        <w:tc>
          <w:tcPr>
            <w:tcW w:w="980" w:type="dxa"/>
            <w:vAlign w:val="bottom"/>
            <w:gridSpan w:val="3"/>
            <w:vMerge w:val="continue"/>
          </w:tcPr>
          <w:p>
            <w:pPr>
              <w:spacing w:after="0"/>
              <w:rPr>
                <w:sz w:val="12"/>
                <w:szCs w:val="12"/>
                <w:color w:val="auto"/>
              </w:rPr>
            </w:pPr>
          </w:p>
        </w:tc>
        <w:tc>
          <w:tcPr>
            <w:tcW w:w="960" w:type="dxa"/>
            <w:vAlign w:val="bottom"/>
            <w:gridSpan w:val="2"/>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  Partners’</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5"/>
                <w:szCs w:val="15"/>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681,561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960,910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GasLog - Borrowings repayments (Note 7)</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GasLog ($50,000 loan pay-out by GasLog Partners) (Note 1)</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Stock plan termination</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(265,512)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 of accrued distribution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and total comprehensive income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111,242</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138,709</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1,240,347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280,069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1,520,416</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contributions (Note 6)</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(197,462)</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and total comprehensive income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150,950</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1,016,574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280,129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1,296,703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contributions (Note 6)</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(102,467)</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(130,220)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(loss)/profit and total comprehensive (loss)/income</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4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814,972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1,094,831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Borders>
              <w:bottom w:val="single" w:sz="8" w:color="CCEEFF"/>
            </w:tcBorders>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Profit/(loss) for the year</w:t>
            </w:r>
          </w:p>
        </w:tc>
        <w:tc>
          <w:tcPr>
            <w:tcW w:w="9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for:</w:t>
            </w:r>
          </w:p>
        </w:tc>
        <w:tc>
          <w:tcPr>
            <w:tcW w:w="9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Loss/(gain) on disposal of vessels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(8,196)</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costs</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income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60" w:type="dxa"/>
            <w:vAlign w:val="bottom"/>
          </w:tcPr>
          <w:p>
            <w:pPr>
              <w:spacing w:after="0"/>
              <w:rPr>
                <w:sz w:val="12"/>
                <w:szCs w:val="12"/>
                <w:color w:val="auto"/>
              </w:rPr>
            </w:pPr>
          </w:p>
        </w:tc>
        <w:tc>
          <w:tcPr>
            <w:tcW w:w="10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(7,612)</w:t>
            </w:r>
          </w:p>
        </w:tc>
        <w:tc>
          <w:tcPr>
            <w:tcW w:w="180" w:type="dxa"/>
            <w:vAlign w:val="bottom"/>
          </w:tcPr>
          <w:p>
            <w:pPr>
              <w:spacing w:after="0"/>
              <w:rPr>
                <w:sz w:val="12"/>
                <w:szCs w:val="12"/>
                <w:color w:val="auto"/>
              </w:rPr>
            </w:pPr>
          </w:p>
        </w:tc>
        <w:tc>
          <w:tcPr>
            <w:tcW w:w="10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derivatives (excluding realized gain on forward foreign exchange contracts</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(1,447)</w:t>
            </w:r>
          </w:p>
        </w:tc>
        <w:tc>
          <w:tcPr>
            <w:tcW w:w="1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 for trading)</w:t>
            </w:r>
          </w:p>
        </w:tc>
        <w:tc>
          <w:tcPr>
            <w:tcW w:w="9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297,714</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260,968</w:t>
            </w: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183,567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Movements in operating assets and liabilities:</w:t>
            </w: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trade and other receivables</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(13,590)</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inventories</w:t>
            </w:r>
          </w:p>
        </w:tc>
        <w:tc>
          <w:tcPr>
            <w:tcW w:w="1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related parties, net</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(17,530)</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5,321</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prepayments and other current assets</w:t>
            </w:r>
          </w:p>
        </w:tc>
        <w:tc>
          <w:tcPr>
            <w:tcW w:w="1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(2,314)</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other non-current assets</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 in other non-current liabilities</w:t>
            </w:r>
          </w:p>
        </w:tc>
        <w:tc>
          <w:tcPr>
            <w:tcW w:w="1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trade accounts payable</w:t>
            </w:r>
          </w:p>
        </w:tc>
        <w:tc>
          <w:tcPr>
            <w:tcW w:w="1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other payables and accruals</w:t>
            </w:r>
          </w:p>
        </w:tc>
        <w:tc>
          <w:tcPr>
            <w:tcW w:w="1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(9,538)</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262,398</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269,896</w:t>
            </w: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vessels and sale and leaseback, net</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137,188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148,220</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for tangible fixed assets additions</w:t>
            </w:r>
          </w:p>
        </w:tc>
        <w:tc>
          <w:tcPr>
            <w:tcW w:w="124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(15,169)</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(8,477)</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for right-of-use assets</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(5,525)</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income received</w:t>
            </w:r>
          </w:p>
        </w:tc>
        <w:tc>
          <w:tcPr>
            <w:tcW w:w="1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7,943</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short-term cash deposits</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(58,000)</w:t>
            </w: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Maturity of short-term cash deposits</w:t>
            </w:r>
          </w:p>
        </w:tc>
        <w:tc>
          <w:tcPr>
            <w:tcW w:w="1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83,000</w:t>
            </w: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1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149,437</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139,377</w:t>
            </w: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repayments</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(217,070)</w:t>
            </w: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elements of lease payments</w:t>
            </w:r>
          </w:p>
        </w:tc>
        <w:tc>
          <w:tcPr>
            <w:tcW w:w="12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(23,103)</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(33,863)</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(69,791)</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(4,830)</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loan issuance costs, net</w:t>
            </w:r>
          </w:p>
        </w:tc>
        <w:tc>
          <w:tcPr>
            <w:tcW w:w="12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26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interest rate swaps termination</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3,488</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 (including common and preference)</w:t>
            </w:r>
          </w:p>
        </w:tc>
        <w:tc>
          <w:tcPr>
            <w:tcW w:w="12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(292,259)</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(226,443)</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Return of capital contributions</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2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(148,220)</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(598,376)</w:t>
            </w:r>
          </w:p>
        </w:tc>
        <w:tc>
          <w:tcPr>
            <w:tcW w:w="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(413,389)</w:t>
            </w:r>
          </w:p>
        </w:tc>
        <w:tc>
          <w:tcPr>
            <w:tcW w:w="2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(229,542)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124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12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(186,235)</w:t>
            </w: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(4,116)</w:t>
            </w:r>
          </w:p>
        </w:tc>
        <w:tc>
          <w:tcPr>
            <w:tcW w:w="2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beginning of the year</w:t>
            </w:r>
          </w:p>
        </w:tc>
        <w:tc>
          <w:tcPr>
            <w:tcW w:w="124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198,122</w:t>
            </w:r>
          </w:p>
        </w:tc>
        <w:tc>
          <w:tcPr>
            <w:tcW w:w="2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11,887</w:t>
            </w:r>
          </w:p>
        </w:tc>
        <w:tc>
          <w:tcPr>
            <w:tcW w:w="2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the year</w:t>
            </w:r>
          </w:p>
        </w:tc>
        <w:tc>
          <w:tcPr>
            <w:tcW w:w="1240" w:type="dxa"/>
            <w:vAlign w:val="bottom"/>
            <w:tcBorders>
              <w:bottom w:val="single" w:sz="8" w:color="CCEEFF"/>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11,887</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7,771</w:t>
            </w: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5,221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liabilities at the end of the year</w:t>
            </w:r>
          </w:p>
        </w:tc>
        <w:tc>
          <w:tcPr>
            <w:tcW w:w="124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Financing costs included in liabilities at the end of the year</w:t>
            </w:r>
          </w:p>
        </w:tc>
        <w:tc>
          <w:tcPr>
            <w:tcW w:w="12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assumed from Parent through deemed distributions</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repayments through capital contributions</w:t>
            </w:r>
          </w:p>
        </w:tc>
        <w:tc>
          <w:tcPr>
            <w:tcW w:w="12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764,080</w:t>
            </w: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prepayment of lease payments</w:t>
            </w:r>
          </w:p>
        </w:tc>
        <w:tc>
          <w:tcPr>
            <w:tcW w:w="1240" w:type="dxa"/>
            <w:vAlign w:val="bottom"/>
            <w:shd w:val="clear" w:color="auto" w:fill="CCEEFF"/>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11,979</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5,329</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liabilities at the end of the year - Right-of-use assets</w:t>
            </w:r>
          </w:p>
        </w:tc>
        <w:tc>
          <w:tcPr>
            <w:tcW w:w="1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Expenses on vessel disposal included in liabilities at the end of the year</w:t>
            </w:r>
          </w:p>
        </w:tc>
        <w:tc>
          <w:tcPr>
            <w:tcW w:w="1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GasLog Partners LP (“GasLog Partners” or the “Partnership”) was formed as a limited partnership under the laws of the Marshall Islands on January 23, 2014, being a wholly owned subsidiary of GasLog Ltd. (“GasLog”) for the purpose of initially acquiring the interests in three liquefied natural gas (“LNG”) carriers that were contributed to the Partnership by GasLog in connection with the initial public offering of its common units (the “IPO”) on May 12, 2014.</w:t>
      </w:r>
    </w:p>
    <w:p>
      <w:pPr>
        <w:spacing w:after="0" w:line="18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Partnership’s principal business is the ownership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January 24, 2023, the Partnership’s board of directors (the “Board”) received an unsolicited non-binding proposal from GasLog to acquire all of the outstanding common units representing limited partner interests of the Partnership not already beneficially owned by GasLog. On April 6, 2023, the Partnership entered into an Agreement and Plan of Merger (the “Merger Agreement”) with GasLog Partners GP LLC, the general partner of the Partnership, GasLog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and Exchange Commission, or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“Series A Preference Units”), 8.200% Series B Cumulative Redeemable Perpetual Fixed to Floating Rate Preference Units (the “Series B Preference Units”) and 8.500% Series C Cumulative Redeemable Perpetual Fixed to Floating Rate Preference Units (the “Series C Preference Units”) remain outstanding and continue to trade on the NYSE.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merger consideration was financed by GasLog’s existing cash and the borrowing of a term loan in an aggregate principal amount of $50,000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On July 21, 2023, the Board approved an amendment to the Partnership’s Seventh Amended and Restated Agreement of Limited Partnership that made certain changes relating to the composition of the Board and other changes to reflect the ownership of all outstanding common units of the Partnership by GasLog, following the consummation of the previously announced merger involving GasLog and the Partnership on July 13, 2023.</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GIC, a global institutional investor, and a fund managed by BlackRock’s Global Infrastructure Partners (“BlackRock”) have entered into an agreement whereby GIC acquired BlackRock’s approximately 45% shareholding in GasLog, which holds 100% of the common units of the Partnership. Following the consummation of this transaction in January 2025, Blenheim Holdings Ltd., which is wholly owned by the Livanos family, and the Onassis Foundation maintain their respective shareholdings of approximately 55% in the aggregate in GasLog.</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Since its IPO, the Partnership has acquired from GasLog 100% of the ownership interests in 15 vessel-owning entities in aggregate. The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81"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 owned subsidiary of China Development Bank Financial Leasing Co., Ltd. (“CDBL”). The vessel was sold and leased back under a bareboat charter with CDBL for a period of five years with no repurchase option or obligation.</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a wholly owned subsidiary of CDBL. The vessel was sold and leased back under a bareboat charter with CDBL for a period of five years with no repurchase option or obligation.</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2024, GasLog Partners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a wholly owned subsidiary of CDBL. The vessel was sold and leased back under a bareboat charter with CDBL for a period of three years with no repurchase option or obligation.</w:t>
      </w:r>
    </w:p>
    <w:p>
      <w:pPr>
        <w:spacing w:after="0" w:line="173" w:lineRule="exact"/>
        <w:rPr>
          <w:sz w:val="20"/>
          <w:szCs w:val="20"/>
          <w:color w:val="auto"/>
        </w:rPr>
      </w:pPr>
    </w:p>
    <w:p>
      <w:pPr>
        <w:ind w:right="5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4, 2025,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(previously sold and leased-back by GAS- twenty one Ltd.) was redelivered to its owners, an unrelated third party.</w:t>
      </w:r>
    </w:p>
    <w:p>
      <w:pPr>
        <w:spacing w:after="0" w:line="158"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15, 2025, GasLog Partners, completed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(previously owned by GAS- nineteen Ltd.) to an unrelated third party.</w:t>
      </w:r>
    </w:p>
    <w:p>
      <w:pPr>
        <w:spacing w:after="0" w:line="158"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13, 2025, GasLog Partners, completed the sale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(previously owned by GAS- seventeen Ltd.) to an unrelated third party.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companies listed below were 100% held by the Partnership. The Partnership wholly owned eight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LNG vessels and operated three LNG vessels leased back under bareboat charters, as described above: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Cargo</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Vessel</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Cubic Meters</w:t>
            </w: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(“cbm”)</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GAS-three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2010</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Right-of-use asset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GasLog Shanghai</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January 2013</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GAS-four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2010</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Right-of-use asset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Santiago</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GAS-five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272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February 2011   Right-of-use asset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Sydney</w:t>
            </w:r>
          </w:p>
        </w:tc>
        <w:tc>
          <w:tcPr>
            <w:tcW w:w="100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2013</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GAS-seven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2011</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Seattle</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2013</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GAS-eight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2011</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Solaris</w:t>
            </w:r>
          </w:p>
        </w:tc>
        <w:tc>
          <w:tcPr>
            <w:tcW w:w="100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GAS-eleven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Greece</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2016</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GAS-twelve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Glasgow</w:t>
            </w:r>
          </w:p>
        </w:tc>
        <w:tc>
          <w:tcPr>
            <w:tcW w:w="100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2016</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GAS-thirteen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Geneva</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2016</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GAS-fourteen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GasLog Gibraltar</w:t>
            </w:r>
          </w:p>
        </w:tc>
        <w:tc>
          <w:tcPr>
            <w:tcW w:w="100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2016</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GAS-sixteen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Methane Rita Andrea</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GAS-seventeen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Dormant</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GAS-nineteen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Dormant</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one Ltd.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Dormant</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2015</w:t>
            </w:r>
          </w:p>
        </w:tc>
        <w:tc>
          <w:tcPr>
            <w:tcW w:w="1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Methane Becki Anne</w:t>
            </w:r>
          </w:p>
        </w:tc>
        <w:tc>
          <w:tcPr>
            <w:tcW w:w="100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2015</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 Partners Holdings LLC</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Marshall Islands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Historical cost is generally based on the fair value of the consideration given in exchange for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Partnership’s current assets totaled $29,689 while current liabilities totaled $81,026, resulting in a negative working capital position of $51,337. Current liabilities include an amount of $21,223 of unearned revenue in relation to vessel hires received in advance (which represents a non-cash liability that will be recognized as revenues after December 31, 2025 as the services are rendered).</w:t>
      </w:r>
    </w:p>
    <w:p>
      <w:pPr>
        <w:spacing w:after="0" w:line="18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considering going concern, management monitors the Partnership’s liquidity position throughout the year to ensure it has access to sufficient funds to meet its forecast cash requirements and its ability to evaluate its future distribution policy with GasLog. Management anticipates that its primary sources of funds over the next twelve months and in the long-term will be available cash, cash from operations, capital contributions from GasLog, future sales and sale and leaseback transactions. Management believes that these anticipated sources of funds will be sufficient to meet its liquidity needs for at least twelve months from the date of this report, and therefore it is appropriate to prepare the financial statements on a going concern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19, 2026, the Partnership’s board of directors authorized the consolidated financial statements for issuance and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Partnership and its subsidiaries from the date of their incorporation by GasLog, as they were under the common control of GasLog. All intra-group transactions and balances are eliminated on consolidation.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Revenues comprise revenues from time charters for the charter hire of the Partnership’s vessels earned during the period in accordance with existing contracts.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revenue is recognized “over time” as the customer (i.e. the charterer) is simultaneously receiving and consuming the benefits of the service.</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Time charter hires are received monthly in advance and are classified as liabilities until such time as the criteria for recognizing the revenue as earned are met.</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to match the recognition of the respective hire revenues realized. All other voyage expenses and vessel operating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with the exception of commissions, which are also recognized on a pro-rata basis over the period of the time charter. Bunkers’ consumption included in voyage expenses represents mainly bunkers consumed during vessels’ unemployment and off-hire.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interest expense, other borrowing costs and realized loss/gain on derivatives are recognized on an accrual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are classified in Financial costs, while all other foreign exchange differences are classified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Non-current assets (such as vessels)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Vessels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8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LNG vessels are also required to undergo an underwater survey in lieu of dry-docking (“intermediate survey”) in order to meet certain classification requirements. The intermediate survey component is estimated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useful lives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 years</w:t>
            </w:r>
          </w:p>
        </w:tc>
        <w:tc>
          <w:tcPr>
            <w:tcW w:w="25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c>
          <w:tcPr>
            <w:tcW w:w="25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Intermediate survey component</w:t>
            </w: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period until the next dry-docking (i.e. 1-3 years)</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6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Management estimates the residual value of its vessels to be equal to the product of their lightweight tonnage (“LWT”) and an estimated scrap rate per LWT.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When vessels are sold, they are derecognized and any gain or loss resulting from their disposals is included in profit or loss. Gain or loss on disposal is determined by comparing proceeds from sale, net of costs attributable to such sale, with the carrying amount of the vessel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tangible fixed assets and right-of-use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costs of disposal is the amount obtainable from the sale of an asset in an arm’s length transaction less the costs of disposal, while “value in use” is the expected value of all expectations about possible estimated future cash flows, discounted to their present value. Recoverable amounts are estimated for individual assets. Each vessel is considered to be a single cash-generating unit. The fair value less costs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Lease income from operating leases of vessels where the Partnership is a lessor is recognized in the statement of profit or loss on a straight-line basis over the lease term. The respective leased assets are included in the statement of financial position based on their nature under “Tangible fixed assets” or “Right-of-use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Partnership is a lessee under vessel sale and leaseback arrangements and also leases vessel communication equipment. Rental contracts are typically made for fixed periods but may have extension options. Lease terms are negotiated on an individual basis and contain a wide range of different terms and conditions. On initial recognition, a lease is recognized as a right-of-use asset and a corresponding liability at the date at which the leased asset is available for use by the Partnership.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w:t>
      </w:r>
    </w:p>
    <w:p>
      <w:pPr>
        <w:ind w:firstLine="8"/>
        <w:spacing w:after="0" w:line="251"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which is the Partnership’s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items comprise of vessel equipment with value of less or equal to $5.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time charter, bunkers on board the vessel. Inventories are stated at the lower of cost calculated on a first-in, first-out basis, and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79"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cash deposits</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w:t>
      </w:r>
    </w:p>
    <w:p>
      <w:pPr>
        <w:spacing w:after="0" w:line="183"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58"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ind w:left="340" w:right="580"/>
        <w:spacing w:after="0" w:line="266" w:lineRule="auto"/>
        <w:rPr>
          <w:sz w:val="20"/>
          <w:szCs w:val="20"/>
          <w:color w:val="auto"/>
        </w:rPr>
      </w:pPr>
      <w:r>
        <w:rPr>
          <w:rFonts w:ascii="Times New Roman" w:cs="Times New Roman" w:eastAsia="Times New Roman" w:hAnsi="Times New Roman"/>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72"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87" w:lineRule="exact"/>
        <w:rPr>
          <w:sz w:val="20"/>
          <w:szCs w:val="20"/>
          <w:color w:val="auto"/>
        </w:rPr>
      </w:pPr>
    </w:p>
    <w:p>
      <w:pPr>
        <w:jc w:val="both"/>
        <w:ind w:left="340" w:right="60"/>
        <w:spacing w:after="0" w:line="281" w:lineRule="auto"/>
        <w:rPr>
          <w:sz w:val="20"/>
          <w:szCs w:val="20"/>
          <w:color w:val="auto"/>
        </w:rPr>
      </w:pPr>
      <w:r>
        <w:rPr>
          <w:rFonts w:ascii="Times New Roman" w:cs="Times New Roman" w:eastAsia="Times New Roman" w:hAnsi="Times New Roman"/>
          <w:sz w:val="17"/>
          <w:szCs w:val="17"/>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64"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Each vessel-owning company owns or leases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5"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employee benefits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76"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employee benefits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unwinding in the discount reflected in the consolidated statement of profit or loss.</w:t>
      </w:r>
    </w:p>
    <w:p>
      <w:pPr>
        <w:spacing w:after="0" w:line="176"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to executives and others providing similar services is measured at the fair value of the equity instruments on the grant date. Details regarding the determination of the fair value of share-based transactions are set out in Note 6.</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grant of equity instruments is cancelled or settled during the vesting period (other than a grant cancelled by forfeiture when the vesting conditions are not satisfied) (a) the Partnership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Union’s Emissions Trading System</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2024, the European Union’s Emissions Trading System (“EU ETS”) was extended to cover Carbon dioxide (“CO2”) emissions from all large ships (of 5,000 gross tonnage and above) entering European Union (“EU”) ports, and will also apply to methane and nitrus oxide beginning in 2026. Shipping companies will need to buy or receive and surrender EU ETS emissions allowances (“EUAs”) that correspond to the emissions covered by the system.</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EU ETS, the Company recognizes a liability at each period end based on the total number of EUAs required to be submitted based on emissions occurring on or prior to the period end. EUAs relating to the annual emissions are required to be surrendered to the EU authorities in September of the following year. The obligation to submit EUAs is presented within Other payables and accruals since settlement to the EU is due within twelve months of the reporting date. The obligation to be settled using EUAs on hand will be measured at the carrying amount of these EUAs. Any excess emission is measured at the market value of EUAs at the period end.</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value of the EUAs to be provided to the Partnership under the terms of the charter party agreements that are intended to be used to settle the Partnership’s EUA obligations are accounted within Trade and other receivables. EUA obligations that are not charterers’ liability are recognized in the consolidated statement of profit or loss under Voyage expenses and commissions.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process of applying the Partnership’s accounting policies as of December 31, 2025, management made several critical accounting judgments in preparing its discounted cashflow analysis, that had the most significant effect on the amounts recognized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 are as follows:</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vessels and right-of-use vessels: </w:t>
      </w:r>
      <w:r>
        <w:rPr>
          <w:rFonts w:ascii="Times New Roman" w:cs="Times New Roman" w:eastAsia="Times New Roman" w:hAnsi="Times New Roman"/>
          <w:sz w:val="18"/>
          <w:szCs w:val="18"/>
          <w:color w:val="auto"/>
        </w:rPr>
        <w:t>The Partnership evaluates the carrying amounts of each of its owned and bareboat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to determine whether there is any indication that those 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and right-of-use vessels as of December 31, 2025, was $1,163,002 (December 31, 2024: $1,398,232). Recoverable amount is the higher of fair value less costs to sell and value in use. The Partnership’s estimates of recoverable value assume that the vessels are all in seaworthy condition without need for repair and certified in class without notations of any kind.</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Partnership obtains charter-free market values for its owned vessels from independent and internationally recognized ship brokers on a semi-annual basis, which are also commonly used and accepted by GasLog’s lenders for determining compliance with the relevant covenants in GasLog’s credit facilities. Vessel values can be highly volatile, so the charter-free market values may not be indicative of the current or future market value of the Partnership’s owned vessels, or prices that could be achieved if it were to sell them.</w:t>
      </w:r>
    </w:p>
    <w:p>
      <w:pPr>
        <w:spacing w:after="0" w:line="1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a number of negative indicators such as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at a price lower than the carrying amount of the vessel and the continuous decline of the charter - free market values of the Partnership’s owned steam turbine propulsion (“Steam”) vessels, as estimated by ship brokers, driven by the reduced demand and the current decrease in market rates, prompted the Partnership to conclude that events and circumstances triggered the existence of potential impairment for the owned Steam vessels.</w:t>
      </w:r>
    </w:p>
    <w:p>
      <w:pPr>
        <w:spacing w:after="0" w:line="18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 number of negative indicators such as the continuous decline of the charter-free market values of the Partnership’s owned Steam and tri-fuel diesel electric engine propulsion (“TFDE”) vessels as estimated by ship brokers, driven by reduced demand and a continuing decrease in headline rates, prompted the Partnership to conclude that events and circumstances triggered the existence of potential impairment for the owned Steam and for the owned and bareboat TFDE vessels.</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Partnership performed an impairment assessment for its owned and bareboat TFDE and Steam vessels by calculating each vessel’s value in use applying the “traditional” approach, i.e. using the single most likely cash flow, for its owned TFDE vessels and the bareboat vessels and the “expected cash flow” approach, i.e. using all expectations about possible cash flows for its owned Steam vessels. The expected cash flow approach was considered more appropriate in light of the increasing uncertainty pertaining to the business outlook for our Steam vessels. As of June 30, 2025 and December 31, 2025, the Partnership’s management established its expectations for recovering each Steam vessel’s carrying amount in the form of two alternative scenarios: (a) continued operation of the vessel until the end of its useful economic life or (b) sale (at fair value less costs to sell) in the middle of 2026. Appropriate probabilities were determined and assigned to each probable outcome, taking into account management’s established strategic goals and tactical objectives with respect to vessels’ operation and residual value risk management.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useful economic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June 30, 2025 and December 31, 2025,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non-contracted periods starting on the second year for already-expired charters or upon the expiration of the firm charter period of a vessel through the end of each vessel’s useful economic life, the estimated average time charter rates for Steam and TFDE vessels were based on analysis of future supply and demand for LNG, internally estimated and market-derived costs of building and financing newbuild LNG vessels, the technical characteristics of each vessel and an assessment of the appropriate discount for Steam and TFDE vessels’ charter rates compared to modern newbuild LNG carriers, which is driven largely by unit freight cost differentials and utilization of such vessels. The Partnership also considered estimated future time charter rates, taking into account the significant uncertainties regarding future demand for such vessels in light of the continued addition of modern, larger and more fuel-efficient LNG carriers to the global fleet and the anticipated developments in terms of environmental regulations.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the Partnership’s control, management believes that the use of the revenue estimates discussed above is reasonable as of the reporting date. The Partnership has assumed no inflation nor any other revenue escalation or growth factors in determining forecasted time charter rates beyond the contracted charter period through the end of a vessel’s useful economic life, consistent with long-run historical evidence and industry expectations.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Partnership used an annual operating expenses escalation factor equal to 1% based on historical data and experience, as well as expectations of future inflation on operating and dry-docking costs. Estimates for the remaining useful economic lives of the current fleet and residual and scrap values are the same as those used for our depreciation policy. All estimates used and assumptions made were in accordance with the Partnership’s internal budgets and historical experience of the shipping industry, taking into account the effect of observable inflationary pressures as of June 30, 2025 and December 31, 2025.</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Partnership’s impairment assessment as of December 31, 2025, the rate used to discount future estimated cash flows to their present values was 8.06% (June 30, 2025: 7.88%). This was based on an estimated weighted average cost of capital calculated using cost of equity and cost of debt components, adjusted further also for vessel-specific risks and uncertainties, as applicable to each probable outcome.</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owned and bareboat vessels as of December 31, 2025, we performed a sensitivity analysis on the most difficult, subjective or complex assumptions that have the potential to affect the outcome of the impairment assessment, which is the projected charter hire rate used to forecast future cash flows for non-contracted revenue days and the discount rate used. It is reasonably possible that changes to these assumptions within the next financial year could require a material adjustment of the carrying amount of the Partnership’s vessels and right-of-use vessels.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Standards and interpretations adopted in the current period</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were no IFRS standards or amendments that became effective in the current year which were relevant to the Partnership or material with respect to the Partnership’s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date of authorization of these consolidated financial statements, the following standards and amendments relevant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were in issue but not yet effective:</w:t>
      </w:r>
    </w:p>
    <w:p>
      <w:pPr>
        <w:spacing w:after="0" w:line="2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the new standard on presentation and disclosure in financial statements, which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 The new standard will be applied from its mandatory effective date of January 1, 2027 and should be applied retrospectively. Earlier application is permitted. Management anticipates that this amendment will not have a material impact on the Partnership’s financial statements.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2024, the IASB issued targeted amendments to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IFRS 7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clarify the requirements for the timing of recognition and derecognition of some financial assets and liabilities, with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 for some financial liabilities settled through an electronic cash transfer system, to clarify and add further guidance for assessing whether a financial asset meets the solely payments of principal and interest criterion, to add new disclosures for certain instruments with contractual terms that can change cash flows (such as some instruments with features linked to the achievement of environment, social and governance targets), and to make updates to the disclosures for equity instruments designated at fair value through other comprehensive income. The amendments are effective for annual periods beginning on or after January 1, 2026. Management anticipates that these amendments will not have a material impact on the Partnership’s financial statements.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Partnership’s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Tangible fixed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tangible fixed assets (i.e. vessels and their associated depot spares)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tangible</w:t>
            </w:r>
          </w:p>
        </w:tc>
        <w:tc>
          <w:tcPr>
            <w:tcW w:w="14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Vessels</w:t>
            </w: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tangible fixed</w:t>
            </w:r>
          </w:p>
        </w:tc>
        <w:tc>
          <w:tcPr>
            <w:tcW w:w="0" w:type="dxa"/>
            <w:vAlign w:val="bottom"/>
          </w:tcPr>
          <w:p>
            <w:pPr>
              <w:spacing w:after="0"/>
              <w:rPr>
                <w:sz w:val="1"/>
                <w:szCs w:val="1"/>
                <w:color w:val="auto"/>
              </w:rPr>
            </w:pPr>
          </w:p>
        </w:tc>
      </w:tr>
      <w:tr>
        <w:trPr>
          <w:trHeight w:val="173"/>
        </w:trPr>
        <w:tc>
          <w:tcPr>
            <w:tcW w:w="4900" w:type="dxa"/>
            <w:vAlign w:val="bottom"/>
            <w:gridSpan w:val="4"/>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assets</w:t>
            </w:r>
          </w:p>
        </w:tc>
        <w:tc>
          <w:tcPr>
            <w:tcW w:w="102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assets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2,155,587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1,961,808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1,643,544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1,651,659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Accumulated depreciation and impairment loss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692,653</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Disposals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(271,623)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535,081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535,081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1,269,155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1,276,472</w:t>
            </w:r>
          </w:p>
        </w:tc>
        <w:tc>
          <w:tcPr>
            <w:tcW w:w="0" w:type="dxa"/>
            <w:vAlign w:val="bottom"/>
          </w:tcPr>
          <w:p>
            <w:pPr>
              <w:spacing w:after="0"/>
              <w:rPr>
                <w:sz w:val="1"/>
                <w:szCs w:val="1"/>
                <w:color w:val="auto"/>
              </w:rPr>
            </w:pPr>
          </w:p>
        </w:tc>
      </w:tr>
      <w:tr>
        <w:trPr>
          <w:trHeight w:val="210"/>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1,108,463</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8,115</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All of our wholly-owned vessels have been pledged as collateral under the terms of the Five-Year Sustainability-Linked Senior Secured Reducing Revolving Credit Facility in the amount of $2.8 billion entered into by GasLog (the “Facility”) (Note 7).</w:t>
      </w:r>
    </w:p>
    <w:p>
      <w:pPr>
        <w:spacing w:after="0" w:line="160"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August 27, 2024, GAS-four Ltd.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a wholly owned subsidiary of CDBL (Note 4).</w:t>
      </w:r>
    </w:p>
    <w:p>
      <w:pPr>
        <w:spacing w:after="0" w:line="15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2025, GAS- nineteen Ltd., the vessel-owning entity of the Steam vessel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which transaction was completed on July 15, 2025. All criteria outlined by IFRS 5 </w:t>
      </w:r>
      <w:r>
        <w:rPr>
          <w:rFonts w:ascii="Times New Roman" w:cs="Times New Roman" w:eastAsia="Times New Roman" w:hAnsi="Times New Roman"/>
          <w:sz w:val="18"/>
          <w:szCs w:val="18"/>
          <w:i w:val="1"/>
          <w:iCs w:val="1"/>
          <w:color w:val="auto"/>
        </w:rPr>
        <w:t>Non-current Assets Held for Sale and Discontinued Operations</w:t>
      </w:r>
      <w:r>
        <w:rPr>
          <w:rFonts w:ascii="Times New Roman" w:cs="Times New Roman" w:eastAsia="Times New Roman" w:hAnsi="Times New Roman"/>
          <w:sz w:val="18"/>
          <w:szCs w:val="18"/>
          <w:color w:val="auto"/>
        </w:rPr>
        <w:t xml:space="preserve"> were deemed to have been met as of June 30, 2025. As a result, the carrying amount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was remeasured at the lower between carrying amount and fair value less costs to sell and the vessel was reclassified as “Vessel held for sale” (within current assets) as of June 30, 2025 and an impairment loss of $30,346 was recognized in profit or loss for the year ended December 31, 2025.</w:t>
      </w:r>
    </w:p>
    <w:p>
      <w:pPr>
        <w:spacing w:after="0" w:line="18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a number of negative indicators such as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at a price lower than the carrying amount of the vessel and the continuous decline of the charter-free market values of the Partnership’s owned Steam vessels, as estimated by ship brokers, driven by the reduced demand and the current decrease in market rates, prompted the Partnership to conclude that events and circumstances triggered the existence of potential impairment for the owned Steam vessels, in accordance with the Partnership’s accounting policy (Note 2).</w:t>
      </w:r>
    </w:p>
    <w:p>
      <w:pPr>
        <w:spacing w:after="0" w:line="18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 (value in use) for one Steam vessel was lower than the respective carrying amount of the vessel and, consequently, an impairment loss of $5,458 was recognized in the consolidated statement of profit or loss in the period ended June 30, 2025.</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GAS- seventeen Ltd., the vessel-owning entity of the Steam vessel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which transaction was completed on October 13, 2025. All criteria outlined by IFRS 5 </w:t>
      </w:r>
      <w:r>
        <w:rPr>
          <w:rFonts w:ascii="Times New Roman" w:cs="Times New Roman" w:eastAsia="Times New Roman" w:hAnsi="Times New Roman"/>
          <w:sz w:val="18"/>
          <w:szCs w:val="18"/>
          <w:i w:val="1"/>
          <w:iCs w:val="1"/>
          <w:color w:val="auto"/>
        </w:rPr>
        <w:t>Non-current Assets Held for Sale and Discontinued Operations</w:t>
      </w:r>
      <w:r>
        <w:rPr>
          <w:rFonts w:ascii="Times New Roman" w:cs="Times New Roman" w:eastAsia="Times New Roman" w:hAnsi="Times New Roman"/>
          <w:sz w:val="18"/>
          <w:szCs w:val="18"/>
          <w:color w:val="auto"/>
        </w:rPr>
        <w:t xml:space="preserve"> were deemed to have been met as of September 30, 2025. As a result, the carrying amount of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was remeasured at the lower between carrying amount and fair value less costs to sell and the vessel was reclassified as “Vessel held for sale” (within current assets) as of September 30, 2025 and an impairment loss of $22,249 was recognized in profit or loss for the year ended December 31, 2025.</w:t>
      </w:r>
    </w:p>
    <w:p>
      <w:pPr>
        <w:spacing w:after="0" w:line="18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 number of negative indicators, such as the continuous decline of the charter-free market values of the Partnership’s owned vessels as estimated by ship brokers, driven by reduced demand, and the continuing decrease in headline rates, prompted the Partnership to conclude that events and circumstances triggered the existence of potential impairment for the owned vessels, in accordance with the Partnership’s accounting policy (Note 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 (value in use) for the Steam vessel owned by the Partnership was lower than the respective carrying amount of this vessel and, consequently, an impairment loss of $14,778 was recognized in the consolidated statement of profit or loss in the year ended December 31, 2025.</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41,071</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(14,778)</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the most sensitive and/or subjective assumptions that have the potential to affect the outcome of the impairment assessment are the projected charter hire rate used to forecast future cash flows for non-contracted revenue days (the “re-chartering rate”) and the discount rate used. The average long-term re-chartering rate over the remaining useful life of the vessels used in our impairment exercise for the Steam vessels was $35 per day and for the TFDE vessels was approximately $65 per day. Increasing/decreasing the average re-chartering rate used by $5 per day would (decrease)/increase the impairment loss by $(6,750)/$16,676. The adjusted discount rate used for the Steam vessel was 8.87% while for the TFDE vessels was 8.46%. Increasing/decreasing the discount rate by 0.5% would increase/(decrease) the impairment loss by $982/($1,038),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right-of-use assets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8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Vessels</w:t>
            </w:r>
          </w:p>
        </w:tc>
        <w:tc>
          <w:tcPr>
            <w:tcW w:w="140" w:type="dxa"/>
            <w:vAlign w:val="bottom"/>
          </w:tcPr>
          <w:p>
            <w:pPr>
              <w:spacing w:after="0"/>
              <w:rPr>
                <w:sz w:val="13"/>
                <w:szCs w:val="13"/>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​​​Equipment ​​​</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125,823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129,077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129,890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4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54,960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August 27, 2024, GasLog Partners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a wholly owned subsidiary of CDBL. The vessel was sold to CDBL for net proceeds of $148,220 and leased back under a bareboat charter for a period of three years with no repurchase option or obligation. This sale and leaseback met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$52,310 and a corresponding lease liability of $46,981.</w:t>
      </w:r>
    </w:p>
    <w:p>
      <w:pPr>
        <w:spacing w:after="0" w:line="180"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4, 2025,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was redelivered to its owners, an unrelated third party, pursuant to the completion of the sale and leaseback agreement entered into on October 31, 2022.</w:t>
      </w:r>
    </w:p>
    <w:p>
      <w:pPr>
        <w:spacing w:after="0" w:line="16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 number of negative indicators, as described in Note 3, triggered the existence of potential impairment for the right-of-use vessels, in accordance with the Partnership’s accounting policy (Note 2).</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amounts (values in use) for the TFDE vessels chartered by the Partnership were lower than the respective carrying amounts of these vessels and, consequently, an aggregate impairment loss of $20,607 was recognized in the consolidated statement of profit or loss in the year ended December 31, 2025.</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vessel</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(20,607)</w:t>
            </w:r>
          </w:p>
        </w:tc>
        <w:tc>
          <w:tcPr>
            <w:tcW w:w="1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54,539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described in Note 3, increasing/decreasing the average re-chartering rate used by $5 per day would (decrease)/increase the impairment loss by $(2,986)/$2,986. Increasing/decreasing the discount rate by 0.5% would increase/(decrease) the impairment loss by $276/($279),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lease liabilities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(38,525)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64,912</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38,679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64,912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An amount of $61,453 has been recognized in the consolidated statement of profit or loss under Revenues for the year ended December 31, 2025 ($85,435 for the year ended December 31, 2024 and $69,082 for the year ended December 31, 2023), which represents the revenue from subleasing right-of-use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and Other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and other receivables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20" w:type="dxa"/>
            <w:vAlign w:val="bottom"/>
            <w:vMerge w:val="restart"/>
          </w:tcPr>
          <w:p>
            <w:pPr>
              <w:ind w:left="77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gridSpan w:val="4"/>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8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5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charterers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13,383</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Accrued income represents net revenues and bunkers receivable from charterers, which have not yet been invoiced; all other amounts not yet invoiced are included under Other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Partners’ Equity</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Partnership had previously granted to its executives Restricted Common Units (“RCUs”) and Performance Common Units (“PCUs”) in accordance with its 2015 Long-Term Incentive Plan (the “2015 Plan”).</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fair value per common unit of the RCUs and PCUs in accordance with the 2015 Plan was determined by using the grant date closing price and was not further adjusted since the holders were entitled to cash distributions.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April 3, 2023, GasLog Partners issued 108,894 common units in connection with the vesting of 92,805 RCUs and 16,089 PCUs under the 2015 Plan.</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July 3, 2023, GasLog Partners issued 415,000 common units in connection with GasLog’s election to convert the fourth tranche of its Class B units issued upon the elimination of incentive distribution rights in June 2019.</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further described in Note 1, on July 7, 2023, the Partnership’s common unitholders voted to approve the previously announced merger, with GasLog acquiring all of the outstanding common units of the Partnership not already beneficially owned by GasLog. The payment date for the 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Upon the completion of the Transaction, 36,175,157 common units and the remaining 830,000 Class B units were cancelled.</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Transaction, the previously unvested RCUs and PCUs vested and were settled. The PCUs vested with performance goals deemed achieved based on actual achievement as of immediately prior to the Effective Time. Since the completion of the Transaction, the Partnership does not provide any type of Equity Compensation Plan or Long-Term Incentive Plan.</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total expense recognized in respect of equity-settled employee benefits for the year ended December 31, 2025 was nil (nil for the year ended December 31, 2024 and $1,357 for the year ended December 31, 2023).</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Partnership returned to GasLog $148,220 as return of capital contributions being equal to the net proceeds from the sale and leaseback of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which was a vessel pledged as collateral under the terms of the Facility (Note 7).</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Partnership returned to GasLog $51,500 as return of capital contributions being equal to the net proceeds from the sale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which were vessels pledged as collateral under the terms of the Facility (Note 7).</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Partnership’s capital consisted of 16,036,602 outstanding common units, 1,080,263 outstanding general partner units and 11,642,411 Preference Units (5,084,984 Series A Preference Units, 3,496,382 Series B Preference Units and 3,061,045 Series C Preference Units, and together with the Series A Preference Units and the Series B Preference Units, the “Preference Units”).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Partnership’s cash distributions for the years ended December 31, 2023, 2024 and 2025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Type of units</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209"/>
        </w:trPr>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25, 2023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2023</w:t>
            </w:r>
          </w:p>
        </w:tc>
        <w:tc>
          <w:tcPr>
            <w:tcW w:w="14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26, 2023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11, 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2023</w:t>
            </w:r>
          </w:p>
        </w:tc>
        <w:tc>
          <w:tcPr>
            <w:tcW w:w="14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0.5390625, $0.6887222, $0.53125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7, 2023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12, 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174,797</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c>
          <w:tcPr>
            <w:tcW w:w="14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0.5390625, $0.7249747, $0.53125</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0.5390625, $0.7274123, $0.53125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15, 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22, 2023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5.2380174</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22, 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89,658</w:t>
            </w:r>
          </w:p>
        </w:tc>
      </w:tr>
      <w:tr>
        <w:trPr>
          <w:trHeight w:val="209"/>
        </w:trPr>
        <w:tc>
          <w:tcPr>
            <w:tcW w:w="2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6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292,259</w:t>
            </w:r>
          </w:p>
        </w:tc>
      </w:tr>
      <w:tr>
        <w:trPr>
          <w:trHeight w:val="209"/>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c>
          <w:tcPr>
            <w:tcW w:w="14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0.5390625, $0.7253680, $0.53125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3.3672969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57,638</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c>
          <w:tcPr>
            <w:tcW w:w="140" w:type="dxa"/>
            <w:vAlign w:val="bottom"/>
          </w:tcPr>
          <w:p>
            <w:pPr>
              <w:spacing w:after="0"/>
              <w:rPr>
                <w:sz w:val="18"/>
                <w:szCs w:val="18"/>
                <w:color w:val="auto"/>
              </w:rPr>
            </w:pPr>
          </w:p>
        </w:tc>
        <w:tc>
          <w:tcPr>
            <w:tcW w:w="4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$0.7302596, $0.6969096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2.9931528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51,233</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c>
          <w:tcPr>
            <w:tcW w:w="140" w:type="dxa"/>
            <w:vAlign w:val="bottom"/>
          </w:tcPr>
          <w:p>
            <w:pPr>
              <w:spacing w:after="0"/>
              <w:rPr>
                <w:sz w:val="18"/>
                <w:szCs w:val="18"/>
                <w:color w:val="auto"/>
              </w:rPr>
            </w:pPr>
          </w:p>
        </w:tc>
        <w:tc>
          <w:tcPr>
            <w:tcW w:w="4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$0.7311853, $0.6978353</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2.8684381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49,099</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2024</w:t>
            </w:r>
          </w:p>
        </w:tc>
        <w:tc>
          <w:tcPr>
            <w:tcW w:w="140" w:type="dxa"/>
            <w:vAlign w:val="bottom"/>
          </w:tcPr>
          <w:p>
            <w:pPr>
              <w:spacing w:after="0"/>
              <w:rPr>
                <w:sz w:val="18"/>
                <w:szCs w:val="18"/>
                <w:color w:val="auto"/>
              </w:rPr>
            </w:pPr>
          </w:p>
        </w:tc>
        <w:tc>
          <w:tcPr>
            <w:tcW w:w="4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$0.6977798, $0.6647923</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16,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 2024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2.3072219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39,492</w:t>
            </w:r>
          </w:p>
        </w:tc>
      </w:tr>
      <w:tr>
        <w:trPr>
          <w:trHeight w:val="209"/>
        </w:trPr>
        <w:tc>
          <w:tcPr>
            <w:tcW w:w="2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226,443</w:t>
            </w:r>
          </w:p>
        </w:tc>
      </w:tr>
      <w:tr>
        <w:trPr>
          <w:trHeight w:val="209"/>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1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$ 0.5390625, $0.6530831, $0.6204581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17, 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2.1825072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37,358</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28, 2025</w:t>
            </w:r>
          </w:p>
        </w:tc>
        <w:tc>
          <w:tcPr>
            <w:tcW w:w="140" w:type="dxa"/>
            <w:vAlign w:val="bottom"/>
            <w:shd w:val="clear" w:color="auto" w:fill="CCEEFF"/>
          </w:tcPr>
          <w:p>
            <w:pPr>
              <w:spacing w:after="0"/>
              <w:rPr>
                <w:sz w:val="18"/>
                <w:szCs w:val="18"/>
                <w:color w:val="auto"/>
              </w:rPr>
            </w:pPr>
          </w:p>
        </w:tc>
        <w:tc>
          <w:tcPr>
            <w:tcW w:w="4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$0.6641672, $0.6308172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16, 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0.8730029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24, 2025</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0.5390625, $0.665121, $0.631771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15, 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2.9307954</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25, 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50,166</w:t>
            </w:r>
          </w:p>
        </w:tc>
      </w:tr>
      <w:tr>
        <w:trPr>
          <w:trHeight w:val="216"/>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c>
          <w:tcPr>
            <w:tcW w:w="140" w:type="dxa"/>
            <w:vAlign w:val="bottom"/>
            <w:shd w:val="clear" w:color="auto" w:fill="CCEEFF"/>
          </w:tcPr>
          <w:p>
            <w:pPr>
              <w:spacing w:after="0"/>
              <w:rPr>
                <w:sz w:val="18"/>
                <w:szCs w:val="18"/>
                <w:color w:val="auto"/>
              </w:rPr>
            </w:pPr>
          </w:p>
        </w:tc>
        <w:tc>
          <w:tcPr>
            <w:tcW w:w="4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Preference (Series A, B, C)  $ 0.5390625,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0.6396068,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0.6066193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15, 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r>
      <w:tr>
        <w:trPr>
          <w:trHeight w:val="209"/>
        </w:trPr>
        <w:tc>
          <w:tcPr>
            <w:tcW w:w="2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6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The general partner retains the right to appoint all of the directors.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Partnership Agreement (as amended following the Transaction) provides that the general partner will be entitled to distributions in accordance with its percentage interest. As of December 31, 2025, the percentage interest is 6.3% (6.3% as of December 31, 2024). The general partner has the right, but not the obligation, to contribute a proportionate amount of capital to the Partnership to maintain its percentage interest if the Partnership issues additional common units. The general partner’s interest, and the percentage of the Partnership’s cash distributions to which it is entitled, will be proportionately reduced if the Partnership issues additional common units in the future and the general partner does not contribute a proportionate amount of capital to the Partnership in order to maintain its general partner interest. The general partner will be entitled to make a capital contribution in order to maintain its general partner interest in the form of the contribution to the Partnership of common units based on the current value of the contributed common units to the Partnership.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determined by the Partnership based on the terms of the Partnership Agreement and applicable Marshall Islands law regarding amending USD London Interbank Offered Rate (“LIBOR”) - based instruments. Under the current fallback provisions, if there is no published LIBOR rate, the floating rate is expected to be the rate set during the prior interest rate period, which would be the current fixed rate of 8.625%.</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2023, distributions on the Series B Preference Units accrued at 8.200% per annum per $25.00 of liquidation preference per unit. From and including March 15, 2023, the Series B Preference Units are redeemable, wholly or partially, at our option, and the distribution rate was a floating rate equal to three-month LIBOR plus a spread of 5.839% per annum per $25.00 of liquidation preference per unit of Series B Preference Units. On June 30, 2023, Intercontinental Exchange (“ICE”) Benchmark Administration, the administrator of LIBOR, ceased to publish the overnight and one, three, six and twelve month LIBOR settings on a representative basis. Effective September 15, 2023, in accordance with the terms of the Series B Preference Units, the three-month LIBOR utilized as the base rate for the calculation of the floating rate distributions payable with respect to the Series B Preference Units was replaced by the Term Secured Overnight Financing Rate (“SOFR”) for a three month tenor published by the Chicago Mercantile Exchange (“CME”) plus a credit spread adjustment of 0.26161% (“Credit Adjusted Term SOFR”) plus a spread of 5.839% per annum per $25.00 of liquidation preference per unit. Credit Adjusted Term SOFR was used as the base rate for the first time with respect to the distributions payable for the distribution period beginning September 15, 2023 and ending December 15, 2023 and is calculated every three months going forward. The distribution rates are not subject to adjustment.</w:t>
      </w:r>
    </w:p>
    <w:p>
      <w:pPr>
        <w:spacing w:after="0" w:line="1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2024, the distributions on the Series C Preference Units accrued at 8.500% per annum per $25.00 of liquidation preference per unit. From and including March 15, 2024, the Series C Preference Units are redeemable, wholly or partially, at our option, and the distribution rate is a floating rate equal to the three-month Credit Adjusted Term SOFR plus a spread of 5.317% per annum per $25.00 of liquidation preference per unit of Series C Preference Units. The distribution rates are not subject to adjustment.</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220" w:firstLine="8"/>
        <w:spacing w:after="0" w:line="530" w:lineRule="auto"/>
        <w:tabs>
          <w:tab w:leader="none" w:pos="1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 Terminated Facilities:</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(a) GAS-eleven Ltd., GAS-twelve Ltd., GAS-thirteen Ltd. and GAS-fourteen Ltd. Facility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 (the “Assumed October 2015 Facility”). Amounts drawn under each applicable tranche bore interest at LIBOR plus a margin.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June 2023, a supplemental agreement to the Assumed October 2015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Credit Adjustment Spread (“CAS”), effective from and including the interest period beginning after June 30, 2023. Additionally, in June 2023, HSBC Bank plc transferred to ING Bank N.V., London Branch via transfer certificate its commitments, rights and obligations under the Assumed October 2015 Facility.</w:t>
      </w:r>
    </w:p>
    <w:p>
      <w:pPr>
        <w:spacing w:after="0" w:line="187"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the Facility section below), the outstanding balances of GAS-eleven Ltd., GAS-twelve Ltd., GAS-thirteen Ltd. and GAS-fourteen Ltd. totaling $320,581 were fully repaid. The existing loan facilities of the specified companies were terminated and the respective unamortized loan fees of $3,655 written-off to the consolidated statement of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2019 GasLog Partners Facility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five-year credit facility of up to $450,000 (the “2019 GasLog Partners Facility”). Subsequently, on the same date, the Development Bank of Japan, Inc. entered the facility as lender via transfer certificate. The vessels covered by the 2019 GasLog Partners Facility were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The 2019 GasLog Partners Facility bore interest at LIBOR plus a margin.</w:t>
      </w:r>
    </w:p>
    <w:p>
      <w:pPr>
        <w:spacing w:after="0" w:line="18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October 26, 2021, the outstanding indebtedness of GAS-three Ltd., in the amount of $97,050 was prepaid pursuant to the sale and leaseback agreement entered into with a wholly owned subsidiary of CDBL.</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March 30, 2023, the outstanding indebtedness of GAS-five Ltd. in the amount of $87,780 was prepaid pursuant to the sale and leaseback agreement entered into with a wholly owned subsidiary of CDBL. The relevant advance of the loan agreement was cancelled and the respective unamortized loan fees of $229 written-off to the consolidated statement of profit or loss.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February 2023, a supplemental agreement to the 2019 GasLog Partners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August 21, 2023.</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the Facility section below), the outstanding balances of GAS-four Ltd., GAS-sixteen Ltd. and GAS-seventeen Ltd. totaling $148,194 were fully repaid. The existing loan facilities of the specified companies were terminated and the respective unamortized loan fees of $157 written-off to the consolidated statement of profit or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BNP Paribas, Credit Suisse AG and Alpha Bank S.A.</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five-year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Interest on the GasLog Partners $260.3M Facility was payable at a rate of LIBOR plus a margin.</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2023, a supplemental agreement to the GasLog Partners $260.3M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the Facility section below), the outstanding balances of GAS-seven Ltd. and GAS-eight Ltd. totaling $181,419 were fully repaid. The existing loan facilities of the specified companies were terminated and the respective unamortized loan fees of $985 written-off to the consolidated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DNB Bank ASA, London Branch, and ING Bank N.V., London Branch</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five-year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Interest on the GasLog Partners $193.7M Facility was payable at a rate of LIBOR plus a margin.</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that the margin would remain unchanged and the facility would be transitioned from the six-month LIBOR to the three-month CME Term SOFR Reference Rates as administered by CME Group Benchmark Administration Limited (“CBA”), effective July 21, 2022.</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October 31, 2022, the outstanding indebtedness of GAS-twenty one Ltd., in the amount of $32,939 was prepaid pursuant to the sale and leaseback agreement entered into with an unrelated third party.</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the Facility section below), the outstanding balances of GAS-nineteen Ltd. and GAS-twenty seven Ltd. totaling $113,886 were fully repaid. The existing loan facilities of the specified companies were terminated and the respective unamortized loan fees of $805 written-off to the consolidated statement of profit or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Facility: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2, 2023, GasLog, as borrower, entered into the Facility. This financing, involving 14 international banks, includes decarbonization and social key performance targets as a component of the Facility pricing. The Facility refinanced the then-outstanding debt of $2,123,443 secured by 23 LNG carriers across both GasLog and GasLog Partners, following the acquisition by GasLog on July 13, 2023 of all the outstanding common units of GasLog Partners not already beneficially owned by GasLog. The 23 LNG carriers (12 GasLog vessels and eleven GasLog Partners vessels) included in the Facility were initially comprised of ten dual-fuel two-stroke engine propulsion (“X-DF”) LNG carriers, ten TFDE LNG carriers and three Steam LNG carriers. Citibank, N.A., London Branch and BNP Paribas acted as joint coordinators on the Facility. The transaction was completed on November 13, 2023, with GasLog drawing down an amount of $2,128,000 and $672,000 remaining available as of that date, for general corporate purposes.</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10, 2025, GasLog signed a supplemental agreement to the Facility, extending the final reduction date by one year to November 2029. In May 2025 and July 2025, National Australia Bank Limited transferred to UBS AG, Skandinaviska Enskilda Banken AB (Publ), National Bank of Greece S.A. and Standard Chartered Bank (Singapore) Limited via transfer certificates, the total amounts of its commitments, rights and obligations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obligations under the Facility are secured as follows:</w:t>
      </w:r>
    </w:p>
    <w:p>
      <w:pPr>
        <w:spacing w:after="0" w:line="225" w:lineRule="exact"/>
        <w:rPr>
          <w:sz w:val="20"/>
          <w:szCs w:val="20"/>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owned ships included in the Facility;</w:t>
      </w:r>
    </w:p>
    <w:p>
      <w:pPr>
        <w:spacing w:after="0" w:line="27" w:lineRule="exact"/>
        <w:rPr>
          <w:rFonts w:ascii="Times New Roman" w:cs="Times New Roman" w:eastAsia="Times New Roman" w:hAnsi="Times New Roman"/>
          <w:sz w:val="18"/>
          <w:szCs w:val="18"/>
          <w:color w:val="auto"/>
        </w:rPr>
      </w:pPr>
    </w:p>
    <w:p>
      <w:pPr>
        <w:ind w:left="680" w:right="340" w:hanging="321"/>
        <w:spacing w:after="0" w:line="250"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from the 20 vessel owning companies securing the Facility, the Partnership, GasLog Partners Holdings LLC and GasLog Carriers Ltd. (the “Guarantors”);</w:t>
      </w: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of the share capital of GasLog, the Guarantors and GasLog LNG Services;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owned ships.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7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 120.0% of the then outstanding amount under the Facility.</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Compliance with the above covenants is required at all times. GasLog was in compliance with all covenants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Payables and Accruals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20" w:type="dxa"/>
            <w:vAlign w:val="bottom"/>
            <w:vMerge w:val="restart"/>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4"/>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8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5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 to charterers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33,784</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39,532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unearned revenue of $21,223 represents monthly charter hires received in advance as of December 31, 2025 relating to January 2026 (December 31, 2024: $23,996).</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has recognized the following amounts relating to revenues: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time charters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183,435</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spot time charters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172,085</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356,262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278,217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Partnership defines long-term time charters as charter party agreements with an initial duration of more than three years (excluding any optional periods), while all charter party agreements of an initial duration of less than (or equal to) three years (excluding any optional periods) are classified as spot time charters.</w:t>
      </w:r>
    </w:p>
    <w:p>
      <w:pPr>
        <w:spacing w:after="0" w:line="176"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technical management service components of revenues from time charters (Revenues from long-term time charters and Revenues from spot time charters) for the years ended December 31, 2023, 2024 and 2025 were $69,321, $72,684 and $58,147, respectively. These figures are not readily quantifiable as the Partnership’s contracts (under time charter arrangements) do not separate these components. The service component amounts are estimated based on the amounts of the vessel operating expenses for each year applying the “cost plus margin” approach.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received include payments for the service components in these time charter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Voyage Expenses and Commissions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9,141</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18,303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Bunkers’ consumption represents mainly bunkers consumed during periods when a vessel is not employed under a charter or off-hire periods (including bunkers consumed during dry-docking).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 fees (Note 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management fees (Note 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Other expenses include legal and professional costs relating to the Transaction of $1,500 for the year ended December 31, 2025 ($1,799 for the year ended December 31, 2024 and $4,144 for the year ended December 31,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Vessel Operating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vessel operating costs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costs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69,731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Net Financial Income and Costs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financial costs is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2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costs including bank commissions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67,060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an amount of $5,831 representing the write-off of the unamortized deferred loan issuance costs in connection with the termination of all the Partnership’s loans (Note 7) was included in Amortization and write-off of deferred loan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Partnership has the following balances with related parties which are included in the consolidated statements of financial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vMerge w:val="restart"/>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related parties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Due from GasLog </w:t>
            </w:r>
            <w:r>
              <w:rPr>
                <w:rFonts w:ascii="Times New Roman" w:cs="Times New Roman" w:eastAsia="Times New Roman" w:hAnsi="Times New Roman"/>
                <w:sz w:val="25"/>
                <w:szCs w:val="25"/>
                <w:color w:val="auto"/>
                <w:vertAlign w:val="superscript"/>
              </w:rPr>
              <w:t>(a)</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balances for the years ended December 31, 2024 and December 31, 2025 represent mainly cash advanced by the Partnership to GasLog.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had the following transactions with related parties for the years ended December 31, 2023, 2024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5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09"/>
        </w:trPr>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 LNG Services</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Commercial management fee </w:t>
            </w:r>
            <w:r>
              <w:rPr>
                <w:rFonts w:ascii="Times New Roman" w:cs="Times New Roman" w:eastAsia="Times New Roman" w:hAnsi="Times New Roman"/>
                <w:sz w:val="24"/>
                <w:szCs w:val="24"/>
                <w:color w:val="auto"/>
                <w:vertAlign w:val="superscript"/>
              </w:rPr>
              <w:t>(i)</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GasLog</w:t>
            </w:r>
          </w:p>
        </w:tc>
        <w:tc>
          <w:tcPr>
            <w:tcW w:w="180" w:type="dxa"/>
            <w:vAlign w:val="bottom"/>
          </w:tcPr>
          <w:p>
            <w:pPr>
              <w:spacing w:after="0"/>
              <w:rPr>
                <w:sz w:val="18"/>
                <w:szCs w:val="18"/>
                <w:color w:val="auto"/>
              </w:rPr>
            </w:pPr>
          </w:p>
        </w:tc>
        <w:tc>
          <w:tcPr>
            <w:tcW w:w="2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Administrative services fee </w:t>
            </w:r>
            <w:r>
              <w:rPr>
                <w:rFonts w:ascii="Times New Roman" w:cs="Times New Roman" w:eastAsia="Times New Roman" w:hAnsi="Times New Roman"/>
                <w:sz w:val="25"/>
                <w:szCs w:val="25"/>
                <w:color w:val="auto"/>
                <w:vertAlign w:val="superscript"/>
              </w:rPr>
              <w:t>(ii)</w:t>
            </w:r>
          </w:p>
        </w:tc>
        <w:tc>
          <w:tcPr>
            <w:tcW w:w="200" w:type="dxa"/>
            <w:vAlign w:val="bottom"/>
          </w:tcPr>
          <w:p>
            <w:pPr>
              <w:spacing w:after="0"/>
              <w:rPr>
                <w:sz w:val="18"/>
                <w:szCs w:val="18"/>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8,248</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 LNG Services</w:t>
            </w:r>
          </w:p>
        </w:tc>
        <w:tc>
          <w:tcPr>
            <w:tcW w:w="1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Management fees </w:t>
            </w:r>
            <w:r>
              <w:rPr>
                <w:rFonts w:ascii="Times New Roman" w:cs="Times New Roman" w:eastAsia="Times New Roman" w:hAnsi="Times New Roman"/>
                <w:sz w:val="25"/>
                <w:szCs w:val="25"/>
                <w:color w:val="auto"/>
                <w:vertAlign w:val="superscript"/>
              </w:rPr>
              <w:t>(iii)</w:t>
            </w:r>
          </w:p>
        </w:tc>
        <w:tc>
          <w:tcPr>
            <w:tcW w:w="2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Vessel operating costs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GasLog LNG Services</w:t>
            </w:r>
          </w:p>
        </w:tc>
        <w:tc>
          <w:tcPr>
            <w:tcW w:w="18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vessel operating costs</w:t>
            </w:r>
          </w:p>
        </w:tc>
        <w:tc>
          <w:tcPr>
            <w:tcW w:w="200" w:type="dxa"/>
            <w:vAlign w:val="bottom"/>
          </w:tcPr>
          <w:p>
            <w:pPr>
              <w:spacing w:after="0"/>
              <w:rPr>
                <w:sz w:val="20"/>
                <w:szCs w:val="20"/>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Vessel operating costs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Commercial Management Agreements</w:t>
      </w:r>
    </w:p>
    <w:p>
      <w:pPr>
        <w:spacing w:after="0" w:line="180" w:lineRule="exact"/>
        <w:rPr>
          <w:rFonts w:ascii="Times New Roman" w:cs="Times New Roman" w:eastAsia="Times New Roman" w:hAnsi="Times New Roman"/>
          <w:sz w:val="11"/>
          <w:szCs w:val="11"/>
          <w:color w:val="auto"/>
        </w:rPr>
      </w:pPr>
    </w:p>
    <w:p>
      <w:pPr>
        <w:ind w:left="340" w:right="2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vessel-owning subsidiaries of GasLog Partners have entered into commercial management agreements with GasLog LNG Services (collectively, the “Commercial Management Agreements”), pursuant to which GasLog LNG Services provides certain commercial management services, including chartering services, consultancy services on market issues and invoicing and collection of hire payables, to the Partnership. The annual commercial management fee is calculated as a fixed commission of 1.25% on the annual gross charter revenues of each vessel, which is payable monthly in advance.</w:t>
      </w:r>
    </w:p>
    <w:p>
      <w:pPr>
        <w:spacing w:after="0" w:line="159"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Administrative Services Agreement</w:t>
      </w:r>
    </w:p>
    <w:p>
      <w:pPr>
        <w:spacing w:after="0" w:line="194" w:lineRule="exact"/>
        <w:rPr>
          <w:rFonts w:ascii="Times New Roman" w:cs="Times New Roman" w:eastAsia="Times New Roman" w:hAnsi="Times New Roman"/>
          <w:sz w:val="11"/>
          <w:szCs w:val="11"/>
          <w:color w:val="auto"/>
        </w:rPr>
      </w:pPr>
    </w:p>
    <w:p>
      <w:pPr>
        <w:ind w:left="340" w:right="240"/>
        <w:spacing w:after="0" w:line="23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 has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years ended December 31, 2023, 2024 and 2025, the annual service fee was $643 per vessel per year.</w:t>
      </w:r>
    </w:p>
    <w:p>
      <w:pPr>
        <w:spacing w:after="0" w:line="14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Ship Management Agreements</w:t>
      </w:r>
    </w:p>
    <w:p>
      <w:pPr>
        <w:spacing w:after="0" w:line="194" w:lineRule="exact"/>
        <w:rPr>
          <w:rFonts w:ascii="Times New Roman" w:cs="Times New Roman" w:eastAsia="Times New Roman" w:hAnsi="Times New Roman"/>
          <w:sz w:val="11"/>
          <w:szCs w:val="11"/>
          <w:color w:val="auto"/>
        </w:rPr>
      </w:pPr>
    </w:p>
    <w:p>
      <w:pPr>
        <w:ind w:left="340" w:right="100"/>
        <w:spacing w:after="0" w:line="23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Each of the vessel owning subsidiaries of GasLog Partners has entered into a ship management agreement and subsequent amendments (collectively, the “Ship Management Agreements”) under which the vessel owning subsidiaries pay a management fee of $37.5 per month to the Manager and reimburse the Manager for all expenses incurred on their behalf and contain clauses for decreased management fees in case of a vessel’s lay-up. The management fees are subject to an annual adjustment, agreed between the parties in good faith, on the basis of general inflation and proof of increases in actual costs incurred by the Manager. Each Ship Management Agreement continues indefinitely until terminated by either party.</w:t>
      </w:r>
    </w:p>
    <w:p>
      <w:pPr>
        <w:spacing w:after="0" w:line="160"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Omnibus Agreement</w:t>
      </w:r>
    </w:p>
    <w:p>
      <w:pPr>
        <w:spacing w:after="0" w:line="180" w:lineRule="exact"/>
        <w:rPr>
          <w:rFonts w:ascii="Times New Roman" w:cs="Times New Roman" w:eastAsia="Times New Roman" w:hAnsi="Times New Roman"/>
          <w:sz w:val="14"/>
          <w:szCs w:val="14"/>
          <w:color w:val="auto"/>
        </w:rPr>
      </w:pPr>
    </w:p>
    <w:p>
      <w:pPr>
        <w:ind w:left="3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12, 2014, the Partnership entered into an omnibus agreement with GasLog, our general partner and certain of our other subsidiaries. On July 21, 2023, the Board approved the termination of the Omnibus Agreement with GasLog, its general partner and certain other subsidiaries. The omnibus agreement governed among other things (i) when and the extent to which the Partnership and GasLog would compete against each other, (ii) the time and the value at which the Partnership would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5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Merger Agreement</w:t>
      </w:r>
    </w:p>
    <w:p>
      <w:pPr>
        <w:spacing w:after="0" w:line="19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details on the Merger Agreement with GasLog, refer to Note 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Future gross minimum lease payments receivable in relation to non-cancellable time charter agreements for vessels in operation, including vessels under a lease (Note 4) as of December 31, 2025,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6"/>
        </w:trPr>
        <w:tc>
          <w:tcPr>
            <w:tcW w:w="85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123,559</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95,323</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85,611</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10"/>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339,404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right="640" w:firstLine="324"/>
        <w:spacing w:after="0" w:line="300" w:lineRule="auto"/>
        <w:rPr>
          <w:sz w:val="20"/>
          <w:szCs w:val="20"/>
          <w:color w:val="auto"/>
        </w:rPr>
      </w:pPr>
      <w:r>
        <w:rPr>
          <w:rFonts w:ascii="Times New Roman" w:cs="Times New Roman" w:eastAsia="Times New Roman" w:hAnsi="Times New Roman"/>
          <w:sz w:val="18"/>
          <w:szCs w:val="18"/>
          <w:color w:val="auto"/>
        </w:rPr>
        <w:t>As of December 31, 2025, the Partnership has an estimated compliance surplus of 3,185tCO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 under the Fuel EU Maritime Regulation.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Financial Risk Management</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Currency Risk: </w:t>
      </w:r>
      <w:r>
        <w:rPr>
          <w:rFonts w:ascii="Times New Roman" w:cs="Times New Roman" w:eastAsia="Times New Roman" w:hAnsi="Times New Roman"/>
          <w:sz w:val="17"/>
          <w:szCs w:val="17"/>
          <w:color w:val="auto"/>
        </w:rPr>
        <w:t>Currency risk is the risk that the value of financial instruments and/or the cost of commercial transactions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fluctuate due to changes 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(“EUR”). Specifically, for the year ended December 31, 2025, approximately $40,876 of the operating and administrative expenses were denominated in EUR (December 31, 2024: $43,311 and December 31, 2023: $49,094). As of December 31, 2025, approximately $2,659 of the Partnership’s outstanding trade payables and accruals were denominated in EUR (December 31, 2024: $5,888).</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an indication of the extent of the Partnership’s sensitivity to changes in exchange rate, a 10% increase in the average EUR/USD exchange rate would have decreased its profit and cash flows during the year ended December 31, 2025 by $4,088, based upon its expenses during the year (December 31, 2024: $4,331 and December 31, 2023: $4,909).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Partnership manages its liquidity risk by receiving capital contributions to fund its commitments and by maintaining cash and cash equivalents.</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tables include both interest and principal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Less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11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1-3 months</w:t>
            </w:r>
          </w:p>
        </w:tc>
        <w:tc>
          <w:tcPr>
            <w:tcW w:w="1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3-12 months   ​​​</w:t>
            </w: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180" w:type="dxa"/>
            <w:vAlign w:val="bottom"/>
            <w:gridSpan w:val="2"/>
            <w:vMerge w:val="continue"/>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115,835</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132,896</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7,569</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10,261</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44,507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26,975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89,312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*Non-financial liabilities are excluded.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and arises from cash and cash equivalents, as well as credit exposures to customers, including trade and other receivables and amounts due from related parties. The Partnership is exposed to credit risk in the event of non-performance by any of its counterparties. To limit this risk, the Partnership currently deals exclusively with financial institutions and customers with high credit ratings.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4"/>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88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5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December 31, 2024 and December 31, 2025, 39%, 44% and 55%, respectively, of the Partnership’s revenues were earned from subsidiaries of Shell plc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2025.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credit risk on liquid funds is limited because the direct and indirect counterparties are banks with high credit ratings assigned by international credit rating agencies.</w:t>
      </w:r>
    </w:p>
    <w:p>
      <w:pPr>
        <w:spacing w:after="0" w:line="158" w:lineRule="exact"/>
        <w:rPr>
          <w:sz w:val="20"/>
          <w:szCs w:val="20"/>
          <w:color w:val="auto"/>
        </w:rPr>
      </w:pPr>
    </w:p>
    <w:p>
      <w:pPr>
        <w:ind w:right="7100" w:firstLine="8"/>
        <w:spacing w:after="0" w:line="532" w:lineRule="auto"/>
        <w:tabs>
          <w:tab w:leader="none" w:pos="27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 Financial Instruments Interest rate swap agreements</w:t>
      </w:r>
    </w:p>
    <w:p>
      <w:pPr>
        <w:spacing w:after="0" w:line="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Partnership had entered into interest rate swap agreements which converted the floating interest rate exposure into a fixed interest rate in order to hedge a portion of the Partnership’s exposure to fluctuations in prevailing market interest rates. Under the interest rate swaps, the counterparty effected quarterly floating-rate payments to the Partnership for the notional amount based on the three-month LIBOR, and the Partnership effected quarterly payments to the counterparty on the notional amount at the respective fixed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August 2023, GAS-twenty seven Ltd. terminated its four interest rate swap agreements with an aggregate notional amount of $133,333 initially due in 2024 and 2025 with DNB Bank ASA, London Branch and ING Bank N.V., London Branch, receiving an amount of $3,488.</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of the Partnership were not designated as cash flow hedging instruments. During the years ended December 31, 2025 and 2024, the Partnership did not enter into any new interest rate swaps and the change in the fair value of the interest rate swaps for the year ended December 31, 2025 amounted to nil (December 31, 2024: nil and December 31, 2023: a loss of $88), which was recognized in profit or loss in the year incurred and is included in Gain on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Partnership may use non-deliverable forward foreign exchange contracts to mitigate foreign exchange transaction exposures in EUR.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foreign exchange contracts held for trading</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mentioned above were not designated as cash flow hedging instruments. During the years ended December 31, 2025 and 2024, the Partnership did not enter into any new forward foreign exchange contracts. During the year ended December 31, 2023, the Partnership entered into 15 new forward foreign exchange contracts with HSBC Bank PLC for a total exchange amount of EUR 11,500 with staggered settlement dates throughout 2023.</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Gain on derivatives is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2024    ​​​</w:t>
            </w:r>
          </w:p>
        </w:tc>
        <w:tc>
          <w:tcPr>
            <w:tcW w:w="5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interest rate swaps held for trading</w:t>
            </w: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 on forward foreign exchange contracts held for trading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interest rate swaps held for trading</w:t>
            </w: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gain on derivatives</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w:t>
            </w:r>
          </w:p>
        </w:tc>
        <w:tc>
          <w:tcPr>
            <w:tcW w:w="160" w:type="dxa"/>
            <w:vAlign w:val="bottom"/>
          </w:tcPr>
          <w:p>
            <w:pPr>
              <w:spacing w:after="0"/>
              <w:rPr>
                <w:sz w:val="18"/>
                <w:szCs w:val="18"/>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Partnership’s financial assets and liabilities approximate to their carrying amounts at the reporting date.</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There were no financial instruments in Levels 1, 2 or 3 during the periods presented. The definitions of the levels, provided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are based on the degree to which the fair value is observable:</w:t>
      </w:r>
    </w:p>
    <w:p>
      <w:pPr>
        <w:spacing w:after="0" w:line="143" w:lineRule="exact"/>
        <w:rPr>
          <w:sz w:val="20"/>
          <w:szCs w:val="20"/>
          <w:color w:val="auto"/>
        </w:rPr>
      </w:pPr>
    </w:p>
    <w:p>
      <w:pPr>
        <w:ind w:left="680" w:hanging="321"/>
        <w:spacing w:after="0"/>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Reconciliations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reconciliations of the Partnership’s financing activities for the three years ended December 31, 2025 are presented in the following tables: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Deferred</w:t>
            </w:r>
          </w:p>
        </w:tc>
        <w:tc>
          <w:tcPr>
            <w:tcW w:w="1020" w:type="dxa"/>
            <w:vAlign w:val="bottom"/>
            <w:gridSpan w:val="2"/>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4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Non-cash</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40" w:type="dxa"/>
            <w:vAlign w:val="bottom"/>
          </w:tcPr>
          <w:p>
            <w:pPr>
              <w:spacing w:after="0"/>
              <w:rPr>
                <w:sz w:val="12"/>
                <w:szCs w:val="12"/>
                <w:color w:val="auto"/>
              </w:rPr>
            </w:pPr>
          </w:p>
        </w:tc>
        <w:tc>
          <w:tcPr>
            <w:tcW w:w="88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costs, assets</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921,946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Borrowings drawdowns</w:t>
            </w:r>
          </w:p>
        </w:tc>
        <w:tc>
          <w:tcPr>
            <w:tcW w:w="4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 (Note 7)</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(217,070)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(764,080)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(981,150)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 (Note 13)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4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Additions in deferred loan issuance costs</w:t>
            </w:r>
          </w:p>
        </w:tc>
        <w:tc>
          <w:tcPr>
            <w:tcW w:w="134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F-35</w:t>
            </w: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derivative assets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Non-cash</w:t>
            </w: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  Net derivative</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80" w:type="dxa"/>
            <w:vAlign w:val="bottom"/>
          </w:tcPr>
          <w:p>
            <w:pPr>
              <w:spacing w:after="0"/>
              <w:rPr>
                <w:sz w:val="15"/>
                <w:szCs w:val="15"/>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interest rate swaps termination (Note 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17)</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lease liabilities arising from financing activities is as follows: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240" w:type="dxa"/>
            <w:vAlign w:val="bottom"/>
            <w:gridSpan w:val="2"/>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320" w:type="dxa"/>
            <w:vAlign w:val="bottom"/>
            <w:gridSpan w:val="2"/>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8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(3,785)</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0" w:type="dxa"/>
            <w:vAlign w:val="bottom"/>
          </w:tcPr>
          <w:p>
            <w:pPr>
              <w:spacing w:after="0"/>
              <w:rPr>
                <w:sz w:val="1"/>
                <w:szCs w:val="1"/>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(33,863)</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(4,946)</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64,912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4800"/>
              <w:spacing w:after="0"/>
              <w:rPr>
                <w:sz w:val="20"/>
                <w:szCs w:val="20"/>
                <w:color w:val="auto"/>
              </w:rPr>
            </w:pPr>
            <w:r>
              <w:rPr>
                <w:rFonts w:ascii="Times New Roman" w:cs="Times New Roman" w:eastAsia="Times New Roman" w:hAnsi="Times New Roman"/>
                <w:sz w:val="18"/>
                <w:szCs w:val="18"/>
                <w:color w:val="auto"/>
              </w:rPr>
              <w:t>F-36</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2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Taxation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Partnership’s incorporation and the vessels’ registration, the Partnership is not subject to tax on international shipping income and its vessels qualify for shipping income exclusion. However, it is subject to registration and tonnage taxes, which are included in vessel operating costs in the consolidated statement of profit or loss.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Partnership did not qualify for this exemption for the two years ended December 31, 2024. For the year ended December 31, 2025, the Partnership will examine whether an exemption under Section 883 of the Code can be earned. If the Company does not qualify for an exemption for the year ended December 31, 2025, the estimated U.S. source gross transportation tax would be $1,060, which is included in Other payables and accruals and Voyage expenses and commissions. The U.S. source gross transportation tax for the years ended December 31, 2024 and 2023 was $530 and $1,420,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Effective as of January 1, 2026, Mr. Maxime Philippe Cornet de Ways-Ruart was appointed to serve as a member of the Partnership’s Board and audit committee.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11, 2026, the Board of GasLog Partners approved and declared a distribution on the Series A Preference Units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$0.5390625 per preference unit, a distribution on the Series B Preference Units of $0.6129300 per preference unit and a distribution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C Preference Units of $0.5803050 per preference unit. The cash distributions were paid on March 16, 2026 to all unitholders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 as of March 9, 2026.</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17, 2026, the Board of GasLog Partners approved and declared a quarterly cash distribution of $1.55893 per common unit to GasLog that was settled immediately.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SUBSIDIARIES OF 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companies are subsidiaries of GasLog Partners LP:</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8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 Interest</w:t>
            </w:r>
          </w:p>
        </w:tc>
      </w:tr>
      <w:tr>
        <w:trPr>
          <w:trHeight w:val="191"/>
        </w:trPr>
        <w:tc>
          <w:tcPr>
            <w:tcW w:w="43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GasLog Partners Holdings LLC</w:t>
            </w:r>
          </w:p>
        </w:tc>
        <w:tc>
          <w:tcPr>
            <w:tcW w:w="320" w:type="dxa"/>
            <w:vAlign w:val="bottom"/>
          </w:tcPr>
          <w:p>
            <w:pPr>
              <w:spacing w:after="0"/>
              <w:rPr>
                <w:sz w:val="16"/>
                <w:szCs w:val="16"/>
                <w:color w:val="auto"/>
              </w:rPr>
            </w:pPr>
          </w:p>
        </w:tc>
        <w:tc>
          <w:tcPr>
            <w:tcW w:w="2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Marshall Islands</w:t>
            </w:r>
          </w:p>
        </w:tc>
        <w:tc>
          <w:tcPr>
            <w:tcW w:w="28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GAS-three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GAS-four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GAS-five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GAS-seven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GAS-eight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GAS-eleven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GAS-twelve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GAS-thirteen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GAS-fourteen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GAS-sixteen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GAS-seventeen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GAS-nineteen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GAS-twenty one Ltd.</w:t>
            </w:r>
          </w:p>
        </w:tc>
        <w:tc>
          <w:tcPr>
            <w:tcW w:w="3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GAS-twenty seven Ltd.</w:t>
            </w: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4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Paolo Enoizi certify that:</w:t>
      </w:r>
    </w:p>
    <w:p>
      <w:pPr>
        <w:spacing w:after="0" w:line="229" w:lineRule="exact"/>
        <w:rPr>
          <w:sz w:val="20"/>
          <w:szCs w:val="20"/>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27" w:lineRule="exact"/>
        <w:rPr>
          <w:rFonts w:ascii="Times New Roman" w:cs="Times New Roman" w:eastAsia="Times New Roman" w:hAnsi="Times New Roman"/>
          <w:sz w:val="18"/>
          <w:szCs w:val="18"/>
          <w:color w:val="auto"/>
        </w:rPr>
      </w:pPr>
    </w:p>
    <w:p>
      <w:pPr>
        <w:ind w:left="260" w:right="80" w:hanging="252"/>
        <w:spacing w:after="0" w:line="250"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260" w:right="40" w:hanging="252"/>
        <w:spacing w:after="0" w:line="250"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 w:lineRule="exact"/>
        <w:rPr>
          <w:rFonts w:ascii="Times New Roman" w:cs="Times New Roman" w:eastAsia="Times New Roman" w:hAnsi="Times New Roman"/>
          <w:sz w:val="18"/>
          <w:szCs w:val="18"/>
          <w:color w:val="auto"/>
        </w:rPr>
      </w:pPr>
    </w:p>
    <w:p>
      <w:pPr>
        <w:ind w:left="780" w:right="80" w:hanging="318"/>
        <w:spacing w:after="0" w:line="25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80" w:right="100" w:hanging="318"/>
        <w:spacing w:after="0" w:line="25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780" w:right="40" w:hanging="318"/>
        <w:spacing w:after="0" w:line="25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80" w:right="40" w:hanging="318"/>
        <w:spacing w:after="0" w:line="25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 w:lineRule="exact"/>
        <w:rPr>
          <w:rFonts w:ascii="Times New Roman" w:cs="Times New Roman" w:eastAsia="Times New Roman" w:hAnsi="Times New Roman"/>
          <w:sz w:val="18"/>
          <w:szCs w:val="18"/>
          <w:color w:val="auto"/>
        </w:rPr>
      </w:pPr>
    </w:p>
    <w:p>
      <w:pPr>
        <w:ind w:left="260" w:right="140" w:hanging="252"/>
        <w:spacing w:after="0" w:line="250"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80" w:right="380" w:hanging="318"/>
        <w:spacing w:after="0" w:line="25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80" w:right="820" w:hanging="318"/>
        <w:spacing w:after="0" w:line="260" w:lineRule="auto"/>
        <w:tabs>
          <w:tab w:leader="none" w:pos="73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By:/s/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24345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229" w:lineRule="exact"/>
        <w:rPr>
          <w:sz w:val="20"/>
          <w:szCs w:val="20"/>
          <w:color w:val="auto"/>
        </w:rPr>
      </w:pPr>
    </w:p>
    <w:p>
      <w:pPr>
        <w:ind w:left="260" w:hanging="252"/>
        <w:spacing w:after="0"/>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27" w:lineRule="exact"/>
        <w:rPr>
          <w:rFonts w:ascii="Times New Roman" w:cs="Times New Roman" w:eastAsia="Times New Roman" w:hAnsi="Times New Roman"/>
          <w:sz w:val="18"/>
          <w:szCs w:val="18"/>
          <w:color w:val="auto"/>
        </w:rPr>
      </w:pPr>
    </w:p>
    <w:p>
      <w:pPr>
        <w:ind w:left="260" w:right="80" w:hanging="252"/>
        <w:spacing w:after="0" w:line="250" w:lineRule="auto"/>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260" w:right="40" w:hanging="252"/>
        <w:spacing w:after="0" w:line="250" w:lineRule="auto"/>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 w:lineRule="exact"/>
        <w:rPr>
          <w:rFonts w:ascii="Times New Roman" w:cs="Times New Roman" w:eastAsia="Times New Roman" w:hAnsi="Times New Roman"/>
          <w:sz w:val="18"/>
          <w:szCs w:val="18"/>
          <w:color w:val="auto"/>
        </w:rPr>
      </w:pPr>
    </w:p>
    <w:p>
      <w:pPr>
        <w:ind w:left="780" w:right="40" w:hanging="326"/>
        <w:spacing w:after="0" w:line="25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80" w:right="60" w:hanging="326"/>
        <w:spacing w:after="0" w:line="25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780" w:right="20" w:hanging="326"/>
        <w:spacing w:after="0" w:line="25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780" w:hanging="326"/>
        <w:spacing w:after="0" w:line="25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 w:lineRule="exact"/>
        <w:rPr>
          <w:rFonts w:ascii="Times New Roman" w:cs="Times New Roman" w:eastAsia="Times New Roman" w:hAnsi="Times New Roman"/>
          <w:sz w:val="18"/>
          <w:szCs w:val="18"/>
          <w:color w:val="auto"/>
        </w:rPr>
      </w:pPr>
    </w:p>
    <w:p>
      <w:pPr>
        <w:ind w:left="260" w:right="140" w:hanging="252"/>
        <w:spacing w:after="0" w:line="250" w:lineRule="auto"/>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jc w:val="both"/>
        <w:ind w:left="780" w:right="380" w:hanging="326"/>
        <w:spacing w:after="0" w:line="25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80" w:right="780" w:hanging="326"/>
        <w:spacing w:after="0" w:line="260" w:lineRule="auto"/>
        <w:tabs>
          <w:tab w:leader="none" w:pos="7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17145</wp:posOffset>
            </wp:positionV>
            <wp:extent cx="2425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2025, as filed with the Securities and Exchange Commission on the date hereof (the “Report”), the undersigned officer of the Company certifies pursuant to 18 U.S.C. Section 1350, as adopted pursuant to Section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260" w:right="60" w:hanging="252"/>
        <w:spacing w:after="0" w:line="250" w:lineRule="auto"/>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and is not intended to be used or relied upon for any other purpose.</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23742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2025,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260" w:right="60" w:hanging="252"/>
        <w:spacing w:after="0" w:line="250" w:lineRule="auto"/>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and is not intended to be used or relied upon for any other purpose.</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23742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upperLetter"/>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upperLetter"/>
      <w:start w:val="2"/>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lowerRoman"/>
      <w:start w:val="1"/>
    </w:lvl>
  </w:abstractNum>
  <w:abstractNum w:abstractNumId="32">
    <w:nsid w:val="D34B6A8"/>
    <w:multiLevelType w:val="hybridMultilevel"/>
    <w:lvl w:ilvl="0">
      <w:lvlJc w:val="left"/>
      <w:lvlText w:val="(%1)"/>
      <w:numFmt w:val="lowerRoman"/>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lowerRoman"/>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upperLetter"/>
      <w:start w:val="2"/>
    </w:lvl>
  </w:abstractNum>
  <w:abstractNum w:abstractNumId="39">
    <w:nsid w:val="310C50B3"/>
    <w:multiLevelType w:val="hybridMultilevel"/>
    <w:lvl w:ilvl="0">
      <w:lvlJc w:val="left"/>
      <w:lvlText w:val="%1."/>
      <w:numFmt w:val="upperLetter"/>
      <w:start w:val="6"/>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upperLetter"/>
      <w:start w:val="2"/>
    </w:lvl>
  </w:abstractNum>
  <w:abstractNum w:abstractNumId="50">
    <w:nsid w:val="15014ACB"/>
    <w:multiLevelType w:val="hybridMultilevel"/>
    <w:lvl w:ilvl="0">
      <w:lvlJc w:val="left"/>
      <w:lvlText w:val="%1."/>
      <w:numFmt w:val="upperLetter"/>
      <w:start w:val="1"/>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upperLetter"/>
      <w:start w:val="1"/>
    </w:lvl>
    <w:lvl w:ilvl="1">
      <w:lvlJc w:val="left"/>
      <w:lvlText w:val="(%2)"/>
      <w:numFmt w:val="lowerLetter"/>
      <w:start w:val="6"/>
    </w:lvl>
  </w:abstractNum>
  <w:abstractNum w:abstractNumId="53">
    <w:nsid w:val="799D0247"/>
    <w:multiLevelType w:val="hybridMultilevel"/>
    <w:lvl w:ilvl="0">
      <w:lvlJc w:val="left"/>
      <w:lvlText w:val="%1."/>
      <w:numFmt w:val="upperLetter"/>
      <w:start w:val="4"/>
    </w:lvl>
    <w:lvl w:ilvl="1">
      <w:lvlJc w:val="left"/>
      <w:lvlText w:val="%2"/>
      <w:numFmt w:val="lowerLetter"/>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upperLetter"/>
      <w:start w:val="6"/>
    </w:lvl>
  </w:abstractNum>
  <w:abstractNum w:abstractNumId="59">
    <w:nsid w:val="5DC79EA8"/>
    <w:multiLevelType w:val="hybridMultilevel"/>
    <w:lvl w:ilvl="0">
      <w:lvlJc w:val="left"/>
      <w:lvlText w:val="%1."/>
      <w:numFmt w:val="upperLetter"/>
      <w:start w:val="9"/>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decimal"/>
      <w:start w:val="1"/>
    </w:lvl>
    <w:lvl w:ilvl="1">
      <w:lvlJc w:val="left"/>
      <w:lvlText w:val="%2"/>
      <w:numFmt w:val="decimal"/>
      <w:start w:val="104"/>
    </w:lvl>
  </w:abstractNum>
  <w:abstractNum w:abstractNumId="64">
    <w:nsid w:val="BF72B14"/>
    <w:multiLevelType w:val="hybridMultilevel"/>
    <w:lvl w:ilvl="0">
      <w:lvlJc w:val="left"/>
      <w:lvlText w:val="(%1)"/>
      <w:numFmt w:val="decimal"/>
      <w:start w:val="1"/>
    </w:lvl>
    <w:lvl w:ilvl="1">
      <w:lvlJc w:val="left"/>
      <w:lvlText w:val="%2"/>
      <w:numFmt w:val="decimal"/>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lowerRoman"/>
      <w:start w:val="1"/>
    </w:lvl>
    <w:lvl w:ilvl="1">
      <w:lvlJc w:val="left"/>
      <w:lvlText w:val="%2."/>
      <w:numFmt w:val="decimal"/>
      <w:start w:val="1"/>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lowerLetter"/>
      <w:start w:val="2"/>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decimal"/>
      <w:start w:val="7"/>
    </w:lvl>
  </w:abstractNum>
  <w:abstractNum w:abstractNumId="78">
    <w:nsid w:val="71EA1109"/>
    <w:multiLevelType w:val="hybridMultilevel"/>
    <w:lvl w:ilvl="0">
      <w:lvlJc w:val="left"/>
      <w:lvlText w:val="(%1)"/>
      <w:numFmt w:val="lowerRoman"/>
      <w:start w:val="1"/>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decimal"/>
      <w:start w:val="17"/>
    </w:lvl>
  </w:abstractNum>
  <w:abstractNum w:abstractNumId="83">
    <w:nsid w:val="94211F2"/>
    <w:multiLevelType w:val="hybridMultilevel"/>
    <w:lvl w:ilvl="0">
      <w:lvlJc w:val="left"/>
      <w:lvlText w:val="%1."/>
      <w:numFmt w:val="decimal"/>
      <w:start w:val="17"/>
    </w:lvl>
    <w:lvl w:ilvl="1">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2" Type="http://schemas.openxmlformats.org/officeDocument/2006/relationships/image" Target="media/image103.png"/><Relationship Id="rId123"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96" Type="http://schemas.openxmlformats.org/officeDocument/2006/relationships/hyperlink" Target="https://www.sec.gov/Archives/edgar/data/1598655/000095015723000792/ex3-2.htm" TargetMode="External"/><Relationship Id="rId111" Type="http://schemas.openxmlformats.org/officeDocument/2006/relationships/hyperlink" Target="https://www.sec.gov/Archives/edgar/data/1598655/000093041314001858/c76356_ex3-1.htm" TargetMode="External"/><Relationship Id="rId113" Type="http://schemas.openxmlformats.org/officeDocument/2006/relationships/hyperlink" Target="https://www.sec.gov/Archives/edgar/data/1598655/000093041314001858/c76356_ex3-3.htm" TargetMode="External"/><Relationship Id="rId114" Type="http://schemas.openxmlformats.org/officeDocument/2006/relationships/hyperlink" Target="https://www.sec.gov/Archives/edgar/data/1598655/000093041314001858/c76356_ex3-4.htm" TargetMode="External"/><Relationship Id="rId115" Type="http://schemas.openxmlformats.org/officeDocument/2006/relationships/hyperlink" Target="https://www.sec.gov/Archives/edgar/data/1598655/000110465925023694/glop-20241231xex2d3.htm" TargetMode="External"/><Relationship Id="rId116" Type="http://schemas.openxmlformats.org/officeDocument/2006/relationships/hyperlink" Target="https://www.sec.gov/Archives/edgar/data/1598655/000093041314001858/c76356_ex10-3.htm" TargetMode="External"/><Relationship Id="rId117" Type="http://schemas.openxmlformats.org/officeDocument/2006/relationships/hyperlink" Target="https://www.sec.gov/Archives/edgar/data/1598655/000093041314001858/c76356_ex10-4.htm" TargetMode="External"/><Relationship Id="rId118" Type="http://schemas.openxmlformats.org/officeDocument/2006/relationships/hyperlink" Target="https://www.sec.gov/Archives/edgar/data/1598655/000093041316005434/c83888_ex4-5.htm" TargetMode="External"/><Relationship Id="rId119" Type="http://schemas.openxmlformats.org/officeDocument/2006/relationships/hyperlink" Target="https://www.sec.gov/Archives/edgar/data/1598655/000093041316005434/c83888_ex4-9.htm" TargetMode="External"/><Relationship Id="rId120" Type="http://schemas.openxmlformats.org/officeDocument/2006/relationships/hyperlink" Target="https://www.sec.gov/Archives/edgar/data/1598655/000110465924031663/glop-20221231xex4d6.htm" TargetMode="External"/><Relationship Id="rId121" Type="http://schemas.openxmlformats.org/officeDocument/2006/relationships/hyperlink" Target="https://www.sec.gov/Archives/edgar/data/1598655/000110465925023694/glop-20241231xex4d6.htm" TargetMode="External"/><Relationship Id="rId122" Type="http://schemas.openxmlformats.org/officeDocument/2006/relationships/hyperlink" Target="https://www.sec.gov/Archives/edgar/data/1598655/000110465925023694/glop-20241231xex11d1.htm" TargetMode="External"/><Relationship Id="rId124" Type="http://schemas.openxmlformats.org/officeDocument/2006/relationships/hyperlink" Target="https://www.sec.gov/Archives/edgar/data/1598655/000110465924031663/glop-2022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2026-03-19T07:31:29Z</dcterms:created>
  <dcterms:modified xsi:type="dcterms:W3CDTF">2026-03-19T07:31:29Z</dcterms:modified>
</cp:coreProperties>
</file>